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28388" w14:textId="34D59996" w:rsidR="005E04CF" w:rsidRDefault="005C5377" w:rsidP="005C5377">
      <w:pPr>
        <w:pStyle w:val="Pagedecouverture"/>
        <w:rPr>
          <w:noProof/>
        </w:rPr>
      </w:pPr>
      <w:bookmarkStart w:id="0" w:name="LW_BM_COVERPAGE"/>
      <w:r>
        <w:rPr>
          <w:noProof/>
        </w:rPr>
        <w:pict w14:anchorId="2340C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FF6C50CC-9DFB-4D7D-A03A-96EA30F9F8F9" style="width:455.25pt;height:420pt">
            <v:imagedata r:id="rId8" o:title=""/>
          </v:shape>
        </w:pict>
      </w:r>
    </w:p>
    <w:bookmarkEnd w:id="0"/>
    <w:p w14:paraId="6FD585FD" w14:textId="77777777" w:rsidR="005E04CF" w:rsidRDefault="005E04CF" w:rsidP="005E04CF">
      <w:pPr>
        <w:rPr>
          <w:noProof/>
        </w:rPr>
        <w:sectPr w:rsidR="005E04CF" w:rsidSect="005C5377">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6E8898C1" w14:textId="7B43B722" w:rsidR="00F822D8" w:rsidRDefault="00F822D8" w:rsidP="007C2A92">
      <w:pPr>
        <w:pStyle w:val="TOCHeading"/>
        <w:rPr>
          <w:noProof/>
        </w:rPr>
      </w:pPr>
      <w:bookmarkStart w:id="1" w:name="_GoBack"/>
      <w:bookmarkEnd w:id="1"/>
    </w:p>
    <w:sdt>
      <w:sdtPr>
        <w:rPr>
          <w:rFonts w:asciiTheme="minorHAnsi" w:eastAsiaTheme="minorHAnsi" w:hAnsiTheme="minorHAnsi" w:cstheme="minorBidi"/>
          <w:noProof/>
          <w:color w:val="auto"/>
          <w:sz w:val="22"/>
          <w:szCs w:val="22"/>
          <w:lang w:val="en-GB"/>
        </w:rPr>
        <w:id w:val="261188495"/>
        <w:docPartObj>
          <w:docPartGallery w:val="Table of Contents"/>
          <w:docPartUnique/>
        </w:docPartObj>
      </w:sdtPr>
      <w:sdtEndPr>
        <w:rPr>
          <w:b/>
          <w:bCs/>
        </w:rPr>
      </w:sdtEndPr>
      <w:sdtContent>
        <w:p w14:paraId="72151621" w14:textId="226F3683" w:rsidR="00CC653F" w:rsidRPr="008F1389" w:rsidRDefault="00CC653F">
          <w:pPr>
            <w:pStyle w:val="TOCHeading"/>
            <w:rPr>
              <w:rFonts w:ascii="Times New Roman" w:hAnsi="Times New Roman" w:cs="Times New Roman"/>
              <w:noProof/>
            </w:rPr>
          </w:pPr>
          <w:r w:rsidRPr="008F1389">
            <w:rPr>
              <w:rFonts w:ascii="Times New Roman" w:hAnsi="Times New Roman" w:cs="Times New Roman"/>
              <w:noProof/>
            </w:rPr>
            <w:t>Contents</w:t>
          </w:r>
        </w:p>
        <w:p w14:paraId="1F8B171C" w14:textId="77777777" w:rsidR="002C312F" w:rsidRPr="008F1389" w:rsidRDefault="002C312F" w:rsidP="002C312F">
          <w:pPr>
            <w:rPr>
              <w:rFonts w:ascii="Times New Roman" w:hAnsi="Times New Roman" w:cs="Times New Roman"/>
              <w:noProof/>
              <w:lang w:val="en-US"/>
            </w:rPr>
          </w:pPr>
        </w:p>
        <w:p w14:paraId="1E196BA7" w14:textId="7258CCE7" w:rsidR="00F57CCC" w:rsidRPr="008F1389" w:rsidRDefault="00CC653F">
          <w:pPr>
            <w:pStyle w:val="TOC1"/>
            <w:rPr>
              <w:rFonts w:ascii="Times New Roman" w:hAnsi="Times New Roman"/>
              <w:noProof/>
              <w:lang w:val="en-GB" w:eastAsia="en-GB"/>
            </w:rPr>
          </w:pPr>
          <w:r w:rsidRPr="008F1389">
            <w:rPr>
              <w:rFonts w:ascii="Times New Roman" w:hAnsi="Times New Roman"/>
              <w:noProof/>
            </w:rPr>
            <w:fldChar w:fldCharType="begin"/>
          </w:r>
          <w:r w:rsidRPr="008F1389">
            <w:rPr>
              <w:rFonts w:ascii="Times New Roman" w:hAnsi="Times New Roman"/>
              <w:noProof/>
            </w:rPr>
            <w:instrText xml:space="preserve"> TOC \o "1-3" \h \z \u </w:instrText>
          </w:r>
          <w:r w:rsidRPr="008F1389">
            <w:rPr>
              <w:rFonts w:ascii="Times New Roman" w:hAnsi="Times New Roman"/>
              <w:noProof/>
            </w:rPr>
            <w:fldChar w:fldCharType="separate"/>
          </w:r>
          <w:hyperlink w:anchor="_Toc114470582" w:history="1">
            <w:r w:rsidR="00F57CCC" w:rsidRPr="008F1389">
              <w:rPr>
                <w:rStyle w:val="Hyperlink"/>
                <w:rFonts w:ascii="Times New Roman" w:hAnsi="Times New Roman"/>
                <w:noProof/>
              </w:rPr>
              <w:t>1.</w:t>
            </w:r>
            <w:r w:rsidR="00F57CCC" w:rsidRPr="008F1389">
              <w:rPr>
                <w:rFonts w:ascii="Times New Roman" w:hAnsi="Times New Roman"/>
                <w:noProof/>
                <w:lang w:val="en-GB" w:eastAsia="en-GB"/>
              </w:rPr>
              <w:tab/>
            </w:r>
            <w:r w:rsidR="00F57CCC" w:rsidRPr="008F1389">
              <w:rPr>
                <w:rStyle w:val="Hyperlink"/>
                <w:rFonts w:ascii="Times New Roman" w:hAnsi="Times New Roman"/>
                <w:noProof/>
              </w:rPr>
              <w:t>Introduction</w:t>
            </w:r>
            <w:r w:rsidR="00F57CCC" w:rsidRPr="008F1389">
              <w:rPr>
                <w:rFonts w:ascii="Times New Roman" w:hAnsi="Times New Roman"/>
                <w:noProof/>
                <w:webHidden/>
              </w:rPr>
              <w:tab/>
            </w:r>
            <w:r w:rsidR="00F57CCC" w:rsidRPr="008F1389">
              <w:rPr>
                <w:rFonts w:ascii="Times New Roman" w:hAnsi="Times New Roman"/>
                <w:noProof/>
                <w:webHidden/>
              </w:rPr>
              <w:fldChar w:fldCharType="begin"/>
            </w:r>
            <w:r w:rsidR="00F57CCC" w:rsidRPr="008F1389">
              <w:rPr>
                <w:rFonts w:ascii="Times New Roman" w:hAnsi="Times New Roman"/>
                <w:noProof/>
                <w:webHidden/>
              </w:rPr>
              <w:instrText xml:space="preserve"> PAGEREF _Toc114470582 \h </w:instrText>
            </w:r>
            <w:r w:rsidR="00F57CCC" w:rsidRPr="008F1389">
              <w:rPr>
                <w:rFonts w:ascii="Times New Roman" w:hAnsi="Times New Roman"/>
                <w:noProof/>
                <w:webHidden/>
              </w:rPr>
            </w:r>
            <w:r w:rsidR="00F57CCC" w:rsidRPr="008F1389">
              <w:rPr>
                <w:rFonts w:ascii="Times New Roman" w:hAnsi="Times New Roman"/>
                <w:noProof/>
                <w:webHidden/>
              </w:rPr>
              <w:fldChar w:fldCharType="separate"/>
            </w:r>
            <w:r w:rsidR="008F1389" w:rsidRPr="008F1389">
              <w:rPr>
                <w:rFonts w:ascii="Times New Roman" w:hAnsi="Times New Roman"/>
                <w:noProof/>
                <w:webHidden/>
              </w:rPr>
              <w:t>3</w:t>
            </w:r>
            <w:r w:rsidR="00F57CCC" w:rsidRPr="008F1389">
              <w:rPr>
                <w:rFonts w:ascii="Times New Roman" w:hAnsi="Times New Roman"/>
                <w:noProof/>
                <w:webHidden/>
              </w:rPr>
              <w:fldChar w:fldCharType="end"/>
            </w:r>
          </w:hyperlink>
        </w:p>
        <w:p w14:paraId="5043A0A3" w14:textId="50F1DADC" w:rsidR="00F57CCC" w:rsidRPr="008F1389" w:rsidRDefault="005C5377">
          <w:pPr>
            <w:pStyle w:val="TOC1"/>
            <w:rPr>
              <w:rFonts w:ascii="Times New Roman" w:hAnsi="Times New Roman"/>
              <w:noProof/>
              <w:lang w:val="en-GB" w:eastAsia="en-GB"/>
            </w:rPr>
          </w:pPr>
          <w:hyperlink w:anchor="_Toc114470583" w:history="1">
            <w:r w:rsidR="00F57CCC" w:rsidRPr="008F1389">
              <w:rPr>
                <w:rStyle w:val="Hyperlink"/>
                <w:rFonts w:ascii="Times New Roman" w:hAnsi="Times New Roman"/>
                <w:noProof/>
              </w:rPr>
              <w:t>2.</w:t>
            </w:r>
            <w:r w:rsidR="00F57CCC" w:rsidRPr="008F1389">
              <w:rPr>
                <w:rFonts w:ascii="Times New Roman" w:hAnsi="Times New Roman"/>
                <w:noProof/>
                <w:lang w:val="en-GB" w:eastAsia="en-GB"/>
              </w:rPr>
              <w:tab/>
            </w:r>
            <w:r w:rsidR="00F57CCC" w:rsidRPr="008F1389">
              <w:rPr>
                <w:rStyle w:val="Hyperlink"/>
                <w:rFonts w:ascii="Times New Roman" w:hAnsi="Times New Roman"/>
                <w:noProof/>
              </w:rPr>
              <w:t>Increasing importance of reliance on DIAs</w:t>
            </w:r>
            <w:r w:rsidR="00F57CCC" w:rsidRPr="008F1389">
              <w:rPr>
                <w:rFonts w:ascii="Times New Roman" w:hAnsi="Times New Roman"/>
                <w:noProof/>
                <w:webHidden/>
              </w:rPr>
              <w:tab/>
            </w:r>
            <w:r w:rsidR="00F57CCC" w:rsidRPr="008F1389">
              <w:rPr>
                <w:rFonts w:ascii="Times New Roman" w:hAnsi="Times New Roman"/>
                <w:noProof/>
                <w:webHidden/>
              </w:rPr>
              <w:fldChar w:fldCharType="begin"/>
            </w:r>
            <w:r w:rsidR="00F57CCC" w:rsidRPr="008F1389">
              <w:rPr>
                <w:rFonts w:ascii="Times New Roman" w:hAnsi="Times New Roman"/>
                <w:noProof/>
                <w:webHidden/>
              </w:rPr>
              <w:instrText xml:space="preserve"> PAGEREF _Toc114470583 \h </w:instrText>
            </w:r>
            <w:r w:rsidR="00F57CCC" w:rsidRPr="008F1389">
              <w:rPr>
                <w:rFonts w:ascii="Times New Roman" w:hAnsi="Times New Roman"/>
                <w:noProof/>
                <w:webHidden/>
              </w:rPr>
            </w:r>
            <w:r w:rsidR="00F57CCC" w:rsidRPr="008F1389">
              <w:rPr>
                <w:rFonts w:ascii="Times New Roman" w:hAnsi="Times New Roman"/>
                <w:noProof/>
                <w:webHidden/>
              </w:rPr>
              <w:fldChar w:fldCharType="separate"/>
            </w:r>
            <w:r w:rsidR="008F1389" w:rsidRPr="008F1389">
              <w:rPr>
                <w:rFonts w:ascii="Times New Roman" w:hAnsi="Times New Roman"/>
                <w:noProof/>
                <w:webHidden/>
              </w:rPr>
              <w:t>3</w:t>
            </w:r>
            <w:r w:rsidR="00F57CCC" w:rsidRPr="008F1389">
              <w:rPr>
                <w:rFonts w:ascii="Times New Roman" w:hAnsi="Times New Roman"/>
                <w:noProof/>
                <w:webHidden/>
              </w:rPr>
              <w:fldChar w:fldCharType="end"/>
            </w:r>
          </w:hyperlink>
        </w:p>
        <w:p w14:paraId="4D76652E" w14:textId="6FC936D9" w:rsidR="00F57CCC" w:rsidRPr="008F1389" w:rsidRDefault="005C5377">
          <w:pPr>
            <w:pStyle w:val="TOC1"/>
            <w:rPr>
              <w:rFonts w:ascii="Times New Roman" w:hAnsi="Times New Roman"/>
              <w:noProof/>
              <w:lang w:val="en-GB" w:eastAsia="en-GB"/>
            </w:rPr>
          </w:pPr>
          <w:hyperlink w:anchor="_Toc114470584" w:history="1">
            <w:r w:rsidR="00F57CCC" w:rsidRPr="008F1389">
              <w:rPr>
                <w:rStyle w:val="Hyperlink"/>
                <w:rFonts w:ascii="Times New Roman" w:hAnsi="Times New Roman"/>
                <w:noProof/>
              </w:rPr>
              <w:t>3.</w:t>
            </w:r>
            <w:r w:rsidR="00F57CCC" w:rsidRPr="008F1389">
              <w:rPr>
                <w:rFonts w:ascii="Times New Roman" w:hAnsi="Times New Roman"/>
                <w:noProof/>
                <w:lang w:val="en-GB" w:eastAsia="en-GB"/>
              </w:rPr>
              <w:tab/>
            </w:r>
            <w:r w:rsidR="00F57CCC" w:rsidRPr="008F1389">
              <w:rPr>
                <w:rStyle w:val="Hyperlink"/>
                <w:rFonts w:ascii="Times New Roman" w:hAnsi="Times New Roman"/>
                <w:noProof/>
              </w:rPr>
              <w:t>An overview of DIA use in the Member States</w:t>
            </w:r>
            <w:r w:rsidR="00F57CCC" w:rsidRPr="008F1389">
              <w:rPr>
                <w:rFonts w:ascii="Times New Roman" w:hAnsi="Times New Roman"/>
                <w:noProof/>
                <w:webHidden/>
              </w:rPr>
              <w:tab/>
            </w:r>
            <w:r w:rsidR="00F57CCC" w:rsidRPr="008F1389">
              <w:rPr>
                <w:rFonts w:ascii="Times New Roman" w:hAnsi="Times New Roman"/>
                <w:noProof/>
                <w:webHidden/>
              </w:rPr>
              <w:fldChar w:fldCharType="begin"/>
            </w:r>
            <w:r w:rsidR="00F57CCC" w:rsidRPr="008F1389">
              <w:rPr>
                <w:rFonts w:ascii="Times New Roman" w:hAnsi="Times New Roman"/>
                <w:noProof/>
                <w:webHidden/>
              </w:rPr>
              <w:instrText xml:space="preserve"> PAGEREF _Toc114470584 \h </w:instrText>
            </w:r>
            <w:r w:rsidR="00F57CCC" w:rsidRPr="008F1389">
              <w:rPr>
                <w:rFonts w:ascii="Times New Roman" w:hAnsi="Times New Roman"/>
                <w:noProof/>
                <w:webHidden/>
              </w:rPr>
            </w:r>
            <w:r w:rsidR="00F57CCC" w:rsidRPr="008F1389">
              <w:rPr>
                <w:rFonts w:ascii="Times New Roman" w:hAnsi="Times New Roman"/>
                <w:noProof/>
                <w:webHidden/>
              </w:rPr>
              <w:fldChar w:fldCharType="separate"/>
            </w:r>
            <w:r w:rsidR="008F1389" w:rsidRPr="008F1389">
              <w:rPr>
                <w:rFonts w:ascii="Times New Roman" w:hAnsi="Times New Roman"/>
                <w:noProof/>
                <w:webHidden/>
              </w:rPr>
              <w:t>6</w:t>
            </w:r>
            <w:r w:rsidR="00F57CCC" w:rsidRPr="008F1389">
              <w:rPr>
                <w:rFonts w:ascii="Times New Roman" w:hAnsi="Times New Roman"/>
                <w:noProof/>
                <w:webHidden/>
              </w:rPr>
              <w:fldChar w:fldCharType="end"/>
            </w:r>
          </w:hyperlink>
        </w:p>
        <w:p w14:paraId="521478FD" w14:textId="76C71941" w:rsidR="00F57CCC" w:rsidRPr="008F1389" w:rsidRDefault="005C5377">
          <w:pPr>
            <w:pStyle w:val="TOC1"/>
            <w:rPr>
              <w:rFonts w:ascii="Times New Roman" w:hAnsi="Times New Roman"/>
              <w:noProof/>
              <w:lang w:val="en-GB" w:eastAsia="en-GB"/>
            </w:rPr>
          </w:pPr>
          <w:hyperlink w:anchor="_Toc114470585" w:history="1">
            <w:r w:rsidR="00F57CCC" w:rsidRPr="008F1389">
              <w:rPr>
                <w:rStyle w:val="Hyperlink"/>
                <w:rFonts w:ascii="Times New Roman" w:hAnsi="Times New Roman"/>
                <w:noProof/>
              </w:rPr>
              <w:t>4.</w:t>
            </w:r>
            <w:r w:rsidR="00F57CCC" w:rsidRPr="008F1389">
              <w:rPr>
                <w:rFonts w:ascii="Times New Roman" w:hAnsi="Times New Roman"/>
                <w:noProof/>
                <w:lang w:val="en-GB" w:eastAsia="en-GB"/>
              </w:rPr>
              <w:tab/>
            </w:r>
            <w:r w:rsidR="00F57CCC" w:rsidRPr="008F1389">
              <w:rPr>
                <w:rStyle w:val="Hyperlink"/>
                <w:rFonts w:ascii="Times New Roman" w:hAnsi="Times New Roman"/>
                <w:noProof/>
              </w:rPr>
              <w:t>Key components of a good quality DIA</w:t>
            </w:r>
            <w:r w:rsidR="00F57CCC" w:rsidRPr="008F1389">
              <w:rPr>
                <w:rFonts w:ascii="Times New Roman" w:hAnsi="Times New Roman"/>
                <w:noProof/>
                <w:webHidden/>
              </w:rPr>
              <w:tab/>
            </w:r>
            <w:r w:rsidR="00F57CCC" w:rsidRPr="008F1389">
              <w:rPr>
                <w:rFonts w:ascii="Times New Roman" w:hAnsi="Times New Roman"/>
                <w:noProof/>
                <w:webHidden/>
              </w:rPr>
              <w:fldChar w:fldCharType="begin"/>
            </w:r>
            <w:r w:rsidR="00F57CCC" w:rsidRPr="008F1389">
              <w:rPr>
                <w:rFonts w:ascii="Times New Roman" w:hAnsi="Times New Roman"/>
                <w:noProof/>
                <w:webHidden/>
              </w:rPr>
              <w:instrText xml:space="preserve"> PAGEREF _Toc114470585 \h </w:instrText>
            </w:r>
            <w:r w:rsidR="00F57CCC" w:rsidRPr="008F1389">
              <w:rPr>
                <w:rFonts w:ascii="Times New Roman" w:hAnsi="Times New Roman"/>
                <w:noProof/>
                <w:webHidden/>
              </w:rPr>
            </w:r>
            <w:r w:rsidR="00F57CCC" w:rsidRPr="008F1389">
              <w:rPr>
                <w:rFonts w:ascii="Times New Roman" w:hAnsi="Times New Roman"/>
                <w:noProof/>
                <w:webHidden/>
              </w:rPr>
              <w:fldChar w:fldCharType="separate"/>
            </w:r>
            <w:r w:rsidR="008F1389" w:rsidRPr="008F1389">
              <w:rPr>
                <w:rFonts w:ascii="Times New Roman" w:hAnsi="Times New Roman"/>
                <w:noProof/>
                <w:webHidden/>
              </w:rPr>
              <w:t>11</w:t>
            </w:r>
            <w:r w:rsidR="00F57CCC" w:rsidRPr="008F1389">
              <w:rPr>
                <w:rFonts w:ascii="Times New Roman" w:hAnsi="Times New Roman"/>
                <w:noProof/>
                <w:webHidden/>
              </w:rPr>
              <w:fldChar w:fldCharType="end"/>
            </w:r>
          </w:hyperlink>
        </w:p>
        <w:p w14:paraId="76727599" w14:textId="44D3756D" w:rsidR="00F57CCC" w:rsidRPr="008F1389" w:rsidRDefault="005C5377">
          <w:pPr>
            <w:pStyle w:val="TOC2"/>
            <w:tabs>
              <w:tab w:val="left" w:pos="660"/>
              <w:tab w:val="right" w:leader="dot" w:pos="9350"/>
            </w:tabs>
            <w:rPr>
              <w:rFonts w:ascii="Times New Roman" w:hAnsi="Times New Roman"/>
              <w:noProof/>
              <w:lang w:val="en-GB" w:eastAsia="en-GB"/>
            </w:rPr>
          </w:pPr>
          <w:hyperlink w:anchor="_Toc114470586" w:history="1">
            <w:r w:rsidR="00F57CCC" w:rsidRPr="008F1389">
              <w:rPr>
                <w:rStyle w:val="Hyperlink"/>
                <w:rFonts w:ascii="Times New Roman" w:hAnsi="Times New Roman"/>
                <w:noProof/>
              </w:rPr>
              <w:t>a.</w:t>
            </w:r>
            <w:r w:rsidR="00F57CCC" w:rsidRPr="008F1389">
              <w:rPr>
                <w:rFonts w:ascii="Times New Roman" w:hAnsi="Times New Roman"/>
                <w:noProof/>
                <w:lang w:val="en-GB" w:eastAsia="en-GB"/>
              </w:rPr>
              <w:tab/>
            </w:r>
            <w:r w:rsidR="00F57CCC" w:rsidRPr="008F1389">
              <w:rPr>
                <w:rStyle w:val="Hyperlink"/>
                <w:rFonts w:ascii="Times New Roman" w:hAnsi="Times New Roman"/>
                <w:noProof/>
              </w:rPr>
              <w:t>Who and when should do a DIA and at what level of granularity?</w:t>
            </w:r>
            <w:r w:rsidR="00F57CCC" w:rsidRPr="008F1389">
              <w:rPr>
                <w:rFonts w:ascii="Times New Roman" w:hAnsi="Times New Roman"/>
                <w:noProof/>
                <w:webHidden/>
              </w:rPr>
              <w:tab/>
            </w:r>
            <w:r w:rsidR="00F57CCC" w:rsidRPr="008F1389">
              <w:rPr>
                <w:rFonts w:ascii="Times New Roman" w:hAnsi="Times New Roman"/>
                <w:noProof/>
                <w:webHidden/>
              </w:rPr>
              <w:fldChar w:fldCharType="begin"/>
            </w:r>
            <w:r w:rsidR="00F57CCC" w:rsidRPr="008F1389">
              <w:rPr>
                <w:rFonts w:ascii="Times New Roman" w:hAnsi="Times New Roman"/>
                <w:noProof/>
                <w:webHidden/>
              </w:rPr>
              <w:instrText xml:space="preserve"> PAGEREF _Toc114470586 \h </w:instrText>
            </w:r>
            <w:r w:rsidR="00F57CCC" w:rsidRPr="008F1389">
              <w:rPr>
                <w:rFonts w:ascii="Times New Roman" w:hAnsi="Times New Roman"/>
                <w:noProof/>
                <w:webHidden/>
              </w:rPr>
            </w:r>
            <w:r w:rsidR="00F57CCC" w:rsidRPr="008F1389">
              <w:rPr>
                <w:rFonts w:ascii="Times New Roman" w:hAnsi="Times New Roman"/>
                <w:noProof/>
                <w:webHidden/>
              </w:rPr>
              <w:fldChar w:fldCharType="separate"/>
            </w:r>
            <w:r w:rsidR="008F1389" w:rsidRPr="008F1389">
              <w:rPr>
                <w:rFonts w:ascii="Times New Roman" w:hAnsi="Times New Roman"/>
                <w:noProof/>
                <w:webHidden/>
              </w:rPr>
              <w:t>11</w:t>
            </w:r>
            <w:r w:rsidR="00F57CCC" w:rsidRPr="008F1389">
              <w:rPr>
                <w:rFonts w:ascii="Times New Roman" w:hAnsi="Times New Roman"/>
                <w:noProof/>
                <w:webHidden/>
              </w:rPr>
              <w:fldChar w:fldCharType="end"/>
            </w:r>
          </w:hyperlink>
        </w:p>
        <w:p w14:paraId="201659CF" w14:textId="6DC64BE7" w:rsidR="00F57CCC" w:rsidRPr="008F1389" w:rsidRDefault="005C5377">
          <w:pPr>
            <w:pStyle w:val="TOC2"/>
            <w:tabs>
              <w:tab w:val="left" w:pos="660"/>
              <w:tab w:val="right" w:leader="dot" w:pos="9350"/>
            </w:tabs>
            <w:rPr>
              <w:rFonts w:ascii="Times New Roman" w:hAnsi="Times New Roman"/>
              <w:noProof/>
              <w:lang w:val="en-GB" w:eastAsia="en-GB"/>
            </w:rPr>
          </w:pPr>
          <w:hyperlink w:anchor="_Toc114470587" w:history="1">
            <w:r w:rsidR="00F57CCC" w:rsidRPr="008F1389">
              <w:rPr>
                <w:rStyle w:val="Hyperlink"/>
                <w:rFonts w:ascii="Times New Roman" w:hAnsi="Times New Roman"/>
                <w:noProof/>
              </w:rPr>
              <w:t>b.</w:t>
            </w:r>
            <w:r w:rsidR="00F57CCC" w:rsidRPr="008F1389">
              <w:rPr>
                <w:rFonts w:ascii="Times New Roman" w:hAnsi="Times New Roman"/>
                <w:noProof/>
                <w:lang w:val="en-GB" w:eastAsia="en-GB"/>
              </w:rPr>
              <w:tab/>
            </w:r>
            <w:r w:rsidR="00F57CCC" w:rsidRPr="008F1389">
              <w:rPr>
                <w:rStyle w:val="Hyperlink"/>
                <w:rFonts w:ascii="Times New Roman" w:hAnsi="Times New Roman"/>
                <w:noProof/>
              </w:rPr>
              <w:t>What policy areas to choose for DIAs and what length of time to consider?</w:t>
            </w:r>
            <w:r w:rsidR="00F57CCC" w:rsidRPr="008F1389">
              <w:rPr>
                <w:rFonts w:ascii="Times New Roman" w:hAnsi="Times New Roman"/>
                <w:noProof/>
                <w:webHidden/>
              </w:rPr>
              <w:tab/>
            </w:r>
            <w:r w:rsidR="00F57CCC" w:rsidRPr="008F1389">
              <w:rPr>
                <w:rFonts w:ascii="Times New Roman" w:hAnsi="Times New Roman"/>
                <w:noProof/>
                <w:webHidden/>
              </w:rPr>
              <w:fldChar w:fldCharType="begin"/>
            </w:r>
            <w:r w:rsidR="00F57CCC" w:rsidRPr="008F1389">
              <w:rPr>
                <w:rFonts w:ascii="Times New Roman" w:hAnsi="Times New Roman"/>
                <w:noProof/>
                <w:webHidden/>
              </w:rPr>
              <w:instrText xml:space="preserve"> PAGEREF _Toc114470587 \h </w:instrText>
            </w:r>
            <w:r w:rsidR="00F57CCC" w:rsidRPr="008F1389">
              <w:rPr>
                <w:rFonts w:ascii="Times New Roman" w:hAnsi="Times New Roman"/>
                <w:noProof/>
                <w:webHidden/>
              </w:rPr>
            </w:r>
            <w:r w:rsidR="00F57CCC" w:rsidRPr="008F1389">
              <w:rPr>
                <w:rFonts w:ascii="Times New Roman" w:hAnsi="Times New Roman"/>
                <w:noProof/>
                <w:webHidden/>
              </w:rPr>
              <w:fldChar w:fldCharType="separate"/>
            </w:r>
            <w:r w:rsidR="008F1389" w:rsidRPr="008F1389">
              <w:rPr>
                <w:rFonts w:ascii="Times New Roman" w:hAnsi="Times New Roman"/>
                <w:noProof/>
                <w:webHidden/>
              </w:rPr>
              <w:t>13</w:t>
            </w:r>
            <w:r w:rsidR="00F57CCC" w:rsidRPr="008F1389">
              <w:rPr>
                <w:rFonts w:ascii="Times New Roman" w:hAnsi="Times New Roman"/>
                <w:noProof/>
                <w:webHidden/>
              </w:rPr>
              <w:fldChar w:fldCharType="end"/>
            </w:r>
          </w:hyperlink>
        </w:p>
        <w:p w14:paraId="14800AFB" w14:textId="09FCB253" w:rsidR="00F57CCC" w:rsidRPr="008F1389" w:rsidRDefault="005C5377">
          <w:pPr>
            <w:pStyle w:val="TOC2"/>
            <w:tabs>
              <w:tab w:val="left" w:pos="660"/>
              <w:tab w:val="right" w:leader="dot" w:pos="9350"/>
            </w:tabs>
            <w:rPr>
              <w:rFonts w:ascii="Times New Roman" w:hAnsi="Times New Roman"/>
              <w:noProof/>
              <w:lang w:val="en-GB" w:eastAsia="en-GB"/>
            </w:rPr>
          </w:pPr>
          <w:hyperlink w:anchor="_Toc114470588" w:history="1">
            <w:r w:rsidR="00F57CCC" w:rsidRPr="008F1389">
              <w:rPr>
                <w:rStyle w:val="Hyperlink"/>
                <w:rFonts w:ascii="Times New Roman" w:hAnsi="Times New Roman"/>
                <w:noProof/>
              </w:rPr>
              <w:t>c.</w:t>
            </w:r>
            <w:r w:rsidR="00F57CCC" w:rsidRPr="008F1389">
              <w:rPr>
                <w:rFonts w:ascii="Times New Roman" w:hAnsi="Times New Roman"/>
                <w:noProof/>
                <w:lang w:val="en-GB" w:eastAsia="en-GB"/>
              </w:rPr>
              <w:tab/>
            </w:r>
            <w:r w:rsidR="00F57CCC" w:rsidRPr="008F1389">
              <w:rPr>
                <w:rStyle w:val="Hyperlink"/>
                <w:rFonts w:ascii="Times New Roman" w:hAnsi="Times New Roman"/>
                <w:noProof/>
              </w:rPr>
              <w:t>What tools to use?</w:t>
            </w:r>
            <w:r w:rsidR="00F57CCC" w:rsidRPr="008F1389">
              <w:rPr>
                <w:rFonts w:ascii="Times New Roman" w:hAnsi="Times New Roman"/>
                <w:noProof/>
                <w:webHidden/>
              </w:rPr>
              <w:tab/>
            </w:r>
            <w:r w:rsidR="00F57CCC" w:rsidRPr="008F1389">
              <w:rPr>
                <w:rFonts w:ascii="Times New Roman" w:hAnsi="Times New Roman"/>
                <w:noProof/>
                <w:webHidden/>
              </w:rPr>
              <w:fldChar w:fldCharType="begin"/>
            </w:r>
            <w:r w:rsidR="00F57CCC" w:rsidRPr="008F1389">
              <w:rPr>
                <w:rFonts w:ascii="Times New Roman" w:hAnsi="Times New Roman"/>
                <w:noProof/>
                <w:webHidden/>
              </w:rPr>
              <w:instrText xml:space="preserve"> PAGEREF _Toc114470588 \h </w:instrText>
            </w:r>
            <w:r w:rsidR="00F57CCC" w:rsidRPr="008F1389">
              <w:rPr>
                <w:rFonts w:ascii="Times New Roman" w:hAnsi="Times New Roman"/>
                <w:noProof/>
                <w:webHidden/>
              </w:rPr>
            </w:r>
            <w:r w:rsidR="00F57CCC" w:rsidRPr="008F1389">
              <w:rPr>
                <w:rFonts w:ascii="Times New Roman" w:hAnsi="Times New Roman"/>
                <w:noProof/>
                <w:webHidden/>
              </w:rPr>
              <w:fldChar w:fldCharType="separate"/>
            </w:r>
            <w:r w:rsidR="008F1389" w:rsidRPr="008F1389">
              <w:rPr>
                <w:rFonts w:ascii="Times New Roman" w:hAnsi="Times New Roman"/>
                <w:noProof/>
                <w:webHidden/>
              </w:rPr>
              <w:t>17</w:t>
            </w:r>
            <w:r w:rsidR="00F57CCC" w:rsidRPr="008F1389">
              <w:rPr>
                <w:rFonts w:ascii="Times New Roman" w:hAnsi="Times New Roman"/>
                <w:noProof/>
                <w:webHidden/>
              </w:rPr>
              <w:fldChar w:fldCharType="end"/>
            </w:r>
          </w:hyperlink>
        </w:p>
        <w:p w14:paraId="0F31FC2E" w14:textId="7867C292" w:rsidR="00F57CCC" w:rsidRPr="008F1389" w:rsidRDefault="005C5377">
          <w:pPr>
            <w:pStyle w:val="TOC2"/>
            <w:tabs>
              <w:tab w:val="left" w:pos="660"/>
              <w:tab w:val="right" w:leader="dot" w:pos="9350"/>
            </w:tabs>
            <w:rPr>
              <w:rFonts w:ascii="Times New Roman" w:hAnsi="Times New Roman"/>
              <w:noProof/>
              <w:lang w:val="en-GB" w:eastAsia="en-GB"/>
            </w:rPr>
          </w:pPr>
          <w:hyperlink w:anchor="_Toc114470589" w:history="1">
            <w:r w:rsidR="00F57CCC" w:rsidRPr="008F1389">
              <w:rPr>
                <w:rStyle w:val="Hyperlink"/>
                <w:rFonts w:ascii="Times New Roman" w:hAnsi="Times New Roman"/>
                <w:noProof/>
              </w:rPr>
              <w:t>d.</w:t>
            </w:r>
            <w:r w:rsidR="00F57CCC" w:rsidRPr="008F1389">
              <w:rPr>
                <w:rFonts w:ascii="Times New Roman" w:hAnsi="Times New Roman"/>
                <w:noProof/>
                <w:lang w:val="en-GB" w:eastAsia="en-GB"/>
              </w:rPr>
              <w:tab/>
            </w:r>
            <w:r w:rsidR="00F57CCC" w:rsidRPr="008F1389">
              <w:rPr>
                <w:rStyle w:val="Hyperlink"/>
                <w:rFonts w:ascii="Times New Roman" w:hAnsi="Times New Roman"/>
                <w:noProof/>
              </w:rPr>
              <w:t>What data to use?</w:t>
            </w:r>
            <w:r w:rsidR="00F57CCC" w:rsidRPr="008F1389">
              <w:rPr>
                <w:rFonts w:ascii="Times New Roman" w:hAnsi="Times New Roman"/>
                <w:noProof/>
                <w:webHidden/>
              </w:rPr>
              <w:tab/>
            </w:r>
            <w:r w:rsidR="00F57CCC" w:rsidRPr="008F1389">
              <w:rPr>
                <w:rFonts w:ascii="Times New Roman" w:hAnsi="Times New Roman"/>
                <w:noProof/>
                <w:webHidden/>
              </w:rPr>
              <w:fldChar w:fldCharType="begin"/>
            </w:r>
            <w:r w:rsidR="00F57CCC" w:rsidRPr="008F1389">
              <w:rPr>
                <w:rFonts w:ascii="Times New Roman" w:hAnsi="Times New Roman"/>
                <w:noProof/>
                <w:webHidden/>
              </w:rPr>
              <w:instrText xml:space="preserve"> PAGEREF _Toc114470589 \h </w:instrText>
            </w:r>
            <w:r w:rsidR="00F57CCC" w:rsidRPr="008F1389">
              <w:rPr>
                <w:rFonts w:ascii="Times New Roman" w:hAnsi="Times New Roman"/>
                <w:noProof/>
                <w:webHidden/>
              </w:rPr>
            </w:r>
            <w:r w:rsidR="00F57CCC" w:rsidRPr="008F1389">
              <w:rPr>
                <w:rFonts w:ascii="Times New Roman" w:hAnsi="Times New Roman"/>
                <w:noProof/>
                <w:webHidden/>
              </w:rPr>
              <w:fldChar w:fldCharType="separate"/>
            </w:r>
            <w:r w:rsidR="008F1389" w:rsidRPr="008F1389">
              <w:rPr>
                <w:rFonts w:ascii="Times New Roman" w:hAnsi="Times New Roman"/>
                <w:noProof/>
                <w:webHidden/>
              </w:rPr>
              <w:t>23</w:t>
            </w:r>
            <w:r w:rsidR="00F57CCC" w:rsidRPr="008F1389">
              <w:rPr>
                <w:rFonts w:ascii="Times New Roman" w:hAnsi="Times New Roman"/>
                <w:noProof/>
                <w:webHidden/>
              </w:rPr>
              <w:fldChar w:fldCharType="end"/>
            </w:r>
          </w:hyperlink>
        </w:p>
        <w:p w14:paraId="0BA41EA5" w14:textId="0974C3DC" w:rsidR="00F57CCC" w:rsidRPr="008F1389" w:rsidRDefault="005C5377">
          <w:pPr>
            <w:pStyle w:val="TOC2"/>
            <w:tabs>
              <w:tab w:val="left" w:pos="660"/>
              <w:tab w:val="right" w:leader="dot" w:pos="9350"/>
            </w:tabs>
            <w:rPr>
              <w:rFonts w:ascii="Times New Roman" w:hAnsi="Times New Roman"/>
              <w:noProof/>
              <w:lang w:val="en-GB" w:eastAsia="en-GB"/>
            </w:rPr>
          </w:pPr>
          <w:hyperlink w:anchor="_Toc114470590" w:history="1">
            <w:r w:rsidR="00F57CCC" w:rsidRPr="008F1389">
              <w:rPr>
                <w:rStyle w:val="Hyperlink"/>
                <w:rFonts w:ascii="Times New Roman" w:hAnsi="Times New Roman"/>
                <w:noProof/>
              </w:rPr>
              <w:t>e.</w:t>
            </w:r>
            <w:r w:rsidR="00F57CCC" w:rsidRPr="008F1389">
              <w:rPr>
                <w:rFonts w:ascii="Times New Roman" w:hAnsi="Times New Roman"/>
                <w:noProof/>
                <w:lang w:val="en-GB" w:eastAsia="en-GB"/>
              </w:rPr>
              <w:tab/>
            </w:r>
            <w:r w:rsidR="00F57CCC" w:rsidRPr="008F1389">
              <w:rPr>
                <w:rStyle w:val="Hyperlink"/>
                <w:rFonts w:ascii="Times New Roman" w:hAnsi="Times New Roman"/>
                <w:noProof/>
              </w:rPr>
              <w:t>What indicators to use?</w:t>
            </w:r>
            <w:r w:rsidR="00F57CCC" w:rsidRPr="008F1389">
              <w:rPr>
                <w:rFonts w:ascii="Times New Roman" w:hAnsi="Times New Roman"/>
                <w:noProof/>
                <w:webHidden/>
              </w:rPr>
              <w:tab/>
            </w:r>
            <w:r w:rsidR="00F57CCC" w:rsidRPr="008F1389">
              <w:rPr>
                <w:rFonts w:ascii="Times New Roman" w:hAnsi="Times New Roman"/>
                <w:noProof/>
                <w:webHidden/>
              </w:rPr>
              <w:fldChar w:fldCharType="begin"/>
            </w:r>
            <w:r w:rsidR="00F57CCC" w:rsidRPr="008F1389">
              <w:rPr>
                <w:rFonts w:ascii="Times New Roman" w:hAnsi="Times New Roman"/>
                <w:noProof/>
                <w:webHidden/>
              </w:rPr>
              <w:instrText xml:space="preserve"> PAGEREF _Toc114470590 \h </w:instrText>
            </w:r>
            <w:r w:rsidR="00F57CCC" w:rsidRPr="008F1389">
              <w:rPr>
                <w:rFonts w:ascii="Times New Roman" w:hAnsi="Times New Roman"/>
                <w:noProof/>
                <w:webHidden/>
              </w:rPr>
            </w:r>
            <w:r w:rsidR="00F57CCC" w:rsidRPr="008F1389">
              <w:rPr>
                <w:rFonts w:ascii="Times New Roman" w:hAnsi="Times New Roman"/>
                <w:noProof/>
                <w:webHidden/>
              </w:rPr>
              <w:fldChar w:fldCharType="separate"/>
            </w:r>
            <w:r w:rsidR="008F1389" w:rsidRPr="008F1389">
              <w:rPr>
                <w:rFonts w:ascii="Times New Roman" w:hAnsi="Times New Roman"/>
                <w:noProof/>
                <w:webHidden/>
              </w:rPr>
              <w:t>28</w:t>
            </w:r>
            <w:r w:rsidR="00F57CCC" w:rsidRPr="008F1389">
              <w:rPr>
                <w:rFonts w:ascii="Times New Roman" w:hAnsi="Times New Roman"/>
                <w:noProof/>
                <w:webHidden/>
              </w:rPr>
              <w:fldChar w:fldCharType="end"/>
            </w:r>
          </w:hyperlink>
        </w:p>
        <w:p w14:paraId="323860AE" w14:textId="624B931C" w:rsidR="00F57CCC" w:rsidRPr="008F1389" w:rsidRDefault="005C5377">
          <w:pPr>
            <w:pStyle w:val="TOC2"/>
            <w:tabs>
              <w:tab w:val="left" w:pos="660"/>
              <w:tab w:val="right" w:leader="dot" w:pos="9350"/>
            </w:tabs>
            <w:rPr>
              <w:rFonts w:ascii="Times New Roman" w:hAnsi="Times New Roman"/>
              <w:noProof/>
              <w:lang w:val="en-GB" w:eastAsia="en-GB"/>
            </w:rPr>
          </w:pPr>
          <w:hyperlink w:anchor="_Toc114470591" w:history="1">
            <w:r w:rsidR="00F57CCC" w:rsidRPr="008F1389">
              <w:rPr>
                <w:rStyle w:val="Hyperlink"/>
                <w:rFonts w:ascii="Times New Roman" w:hAnsi="Times New Roman"/>
                <w:noProof/>
              </w:rPr>
              <w:t>f.</w:t>
            </w:r>
            <w:r w:rsidR="00F57CCC" w:rsidRPr="008F1389">
              <w:rPr>
                <w:rFonts w:ascii="Times New Roman" w:hAnsi="Times New Roman"/>
                <w:noProof/>
                <w:lang w:val="en-GB" w:eastAsia="en-GB"/>
              </w:rPr>
              <w:tab/>
            </w:r>
            <w:r w:rsidR="00F57CCC" w:rsidRPr="008F1389">
              <w:rPr>
                <w:rStyle w:val="Hyperlink"/>
                <w:rFonts w:ascii="Times New Roman" w:hAnsi="Times New Roman"/>
                <w:noProof/>
              </w:rPr>
              <w:t>How to disseminate DIAs?</w:t>
            </w:r>
            <w:r w:rsidR="00F57CCC" w:rsidRPr="008F1389">
              <w:rPr>
                <w:rFonts w:ascii="Times New Roman" w:hAnsi="Times New Roman"/>
                <w:noProof/>
                <w:webHidden/>
              </w:rPr>
              <w:tab/>
            </w:r>
            <w:r w:rsidR="00F57CCC" w:rsidRPr="008F1389">
              <w:rPr>
                <w:rFonts w:ascii="Times New Roman" w:hAnsi="Times New Roman"/>
                <w:noProof/>
                <w:webHidden/>
              </w:rPr>
              <w:fldChar w:fldCharType="begin"/>
            </w:r>
            <w:r w:rsidR="00F57CCC" w:rsidRPr="008F1389">
              <w:rPr>
                <w:rFonts w:ascii="Times New Roman" w:hAnsi="Times New Roman"/>
                <w:noProof/>
                <w:webHidden/>
              </w:rPr>
              <w:instrText xml:space="preserve"> PAGEREF _Toc114470591 \h </w:instrText>
            </w:r>
            <w:r w:rsidR="00F57CCC" w:rsidRPr="008F1389">
              <w:rPr>
                <w:rFonts w:ascii="Times New Roman" w:hAnsi="Times New Roman"/>
                <w:noProof/>
                <w:webHidden/>
              </w:rPr>
            </w:r>
            <w:r w:rsidR="00F57CCC" w:rsidRPr="008F1389">
              <w:rPr>
                <w:rFonts w:ascii="Times New Roman" w:hAnsi="Times New Roman"/>
                <w:noProof/>
                <w:webHidden/>
              </w:rPr>
              <w:fldChar w:fldCharType="separate"/>
            </w:r>
            <w:r w:rsidR="008F1389" w:rsidRPr="008F1389">
              <w:rPr>
                <w:rFonts w:ascii="Times New Roman" w:hAnsi="Times New Roman"/>
                <w:noProof/>
                <w:webHidden/>
              </w:rPr>
              <w:t>34</w:t>
            </w:r>
            <w:r w:rsidR="00F57CCC" w:rsidRPr="008F1389">
              <w:rPr>
                <w:rFonts w:ascii="Times New Roman" w:hAnsi="Times New Roman"/>
                <w:noProof/>
                <w:webHidden/>
              </w:rPr>
              <w:fldChar w:fldCharType="end"/>
            </w:r>
          </w:hyperlink>
        </w:p>
        <w:p w14:paraId="37E1CAA7" w14:textId="1D5E32F8" w:rsidR="00F57CCC" w:rsidRPr="008F1389" w:rsidRDefault="005C5377">
          <w:pPr>
            <w:pStyle w:val="TOC1"/>
            <w:rPr>
              <w:rFonts w:ascii="Times New Roman" w:hAnsi="Times New Roman"/>
              <w:noProof/>
              <w:lang w:val="en-GB" w:eastAsia="en-GB"/>
            </w:rPr>
          </w:pPr>
          <w:hyperlink w:anchor="_Toc114470592" w:history="1">
            <w:r w:rsidR="00F57CCC" w:rsidRPr="008F1389">
              <w:rPr>
                <w:rStyle w:val="Hyperlink"/>
                <w:rFonts w:ascii="Times New Roman" w:hAnsi="Times New Roman"/>
                <w:noProof/>
              </w:rPr>
              <w:t>5.</w:t>
            </w:r>
            <w:r w:rsidR="00F57CCC" w:rsidRPr="008F1389">
              <w:rPr>
                <w:rFonts w:ascii="Times New Roman" w:hAnsi="Times New Roman"/>
                <w:noProof/>
                <w:lang w:val="en-GB" w:eastAsia="en-GB"/>
              </w:rPr>
              <w:tab/>
            </w:r>
            <w:r w:rsidR="00F57CCC" w:rsidRPr="008F1389">
              <w:rPr>
                <w:rStyle w:val="Hyperlink"/>
                <w:rFonts w:ascii="Times New Roman" w:hAnsi="Times New Roman"/>
                <w:noProof/>
              </w:rPr>
              <w:t>Conclusion</w:t>
            </w:r>
            <w:r w:rsidR="00F57CCC" w:rsidRPr="008F1389">
              <w:rPr>
                <w:rFonts w:ascii="Times New Roman" w:hAnsi="Times New Roman"/>
                <w:noProof/>
                <w:webHidden/>
              </w:rPr>
              <w:tab/>
            </w:r>
            <w:r w:rsidR="00F57CCC" w:rsidRPr="008F1389">
              <w:rPr>
                <w:rFonts w:ascii="Times New Roman" w:hAnsi="Times New Roman"/>
                <w:noProof/>
                <w:webHidden/>
              </w:rPr>
              <w:fldChar w:fldCharType="begin"/>
            </w:r>
            <w:r w:rsidR="00F57CCC" w:rsidRPr="008F1389">
              <w:rPr>
                <w:rFonts w:ascii="Times New Roman" w:hAnsi="Times New Roman"/>
                <w:noProof/>
                <w:webHidden/>
              </w:rPr>
              <w:instrText xml:space="preserve"> PAGEREF _Toc114470592 \h </w:instrText>
            </w:r>
            <w:r w:rsidR="00F57CCC" w:rsidRPr="008F1389">
              <w:rPr>
                <w:rFonts w:ascii="Times New Roman" w:hAnsi="Times New Roman"/>
                <w:noProof/>
                <w:webHidden/>
              </w:rPr>
            </w:r>
            <w:r w:rsidR="00F57CCC" w:rsidRPr="008F1389">
              <w:rPr>
                <w:rFonts w:ascii="Times New Roman" w:hAnsi="Times New Roman"/>
                <w:noProof/>
                <w:webHidden/>
              </w:rPr>
              <w:fldChar w:fldCharType="separate"/>
            </w:r>
            <w:r w:rsidR="008F1389" w:rsidRPr="008F1389">
              <w:rPr>
                <w:rFonts w:ascii="Times New Roman" w:hAnsi="Times New Roman"/>
                <w:noProof/>
                <w:webHidden/>
              </w:rPr>
              <w:t>36</w:t>
            </w:r>
            <w:r w:rsidR="00F57CCC" w:rsidRPr="008F1389">
              <w:rPr>
                <w:rFonts w:ascii="Times New Roman" w:hAnsi="Times New Roman"/>
                <w:noProof/>
                <w:webHidden/>
              </w:rPr>
              <w:fldChar w:fldCharType="end"/>
            </w:r>
          </w:hyperlink>
        </w:p>
        <w:p w14:paraId="6C284188" w14:textId="4565D422" w:rsidR="00F57CCC" w:rsidRPr="008F1389" w:rsidRDefault="005C5377">
          <w:pPr>
            <w:pStyle w:val="TOC1"/>
            <w:rPr>
              <w:rFonts w:ascii="Times New Roman" w:hAnsi="Times New Roman"/>
              <w:noProof/>
              <w:lang w:val="en-GB" w:eastAsia="en-GB"/>
            </w:rPr>
          </w:pPr>
          <w:hyperlink w:anchor="_Toc114470593" w:history="1">
            <w:r w:rsidR="00F57CCC" w:rsidRPr="008F1389">
              <w:rPr>
                <w:rStyle w:val="Hyperlink"/>
                <w:rFonts w:ascii="Times New Roman" w:hAnsi="Times New Roman"/>
                <w:noProof/>
              </w:rPr>
              <w:t>Annex</w:t>
            </w:r>
            <w:r w:rsidR="00F57CCC" w:rsidRPr="008F1389">
              <w:rPr>
                <w:rFonts w:ascii="Times New Roman" w:hAnsi="Times New Roman"/>
                <w:noProof/>
                <w:webHidden/>
              </w:rPr>
              <w:tab/>
            </w:r>
            <w:r w:rsidR="00F57CCC" w:rsidRPr="008F1389">
              <w:rPr>
                <w:rFonts w:ascii="Times New Roman" w:hAnsi="Times New Roman"/>
                <w:noProof/>
                <w:webHidden/>
              </w:rPr>
              <w:fldChar w:fldCharType="begin"/>
            </w:r>
            <w:r w:rsidR="00F57CCC" w:rsidRPr="008F1389">
              <w:rPr>
                <w:rFonts w:ascii="Times New Roman" w:hAnsi="Times New Roman"/>
                <w:noProof/>
                <w:webHidden/>
              </w:rPr>
              <w:instrText xml:space="preserve"> PAGEREF _Toc114470593 \h </w:instrText>
            </w:r>
            <w:r w:rsidR="00F57CCC" w:rsidRPr="008F1389">
              <w:rPr>
                <w:rFonts w:ascii="Times New Roman" w:hAnsi="Times New Roman"/>
                <w:noProof/>
                <w:webHidden/>
              </w:rPr>
            </w:r>
            <w:r w:rsidR="00F57CCC" w:rsidRPr="008F1389">
              <w:rPr>
                <w:rFonts w:ascii="Times New Roman" w:hAnsi="Times New Roman"/>
                <w:noProof/>
                <w:webHidden/>
              </w:rPr>
              <w:fldChar w:fldCharType="separate"/>
            </w:r>
            <w:r w:rsidR="008F1389" w:rsidRPr="008F1389">
              <w:rPr>
                <w:rFonts w:ascii="Times New Roman" w:hAnsi="Times New Roman"/>
                <w:noProof/>
                <w:webHidden/>
              </w:rPr>
              <w:t>37</w:t>
            </w:r>
            <w:r w:rsidR="00F57CCC" w:rsidRPr="008F1389">
              <w:rPr>
                <w:rFonts w:ascii="Times New Roman" w:hAnsi="Times New Roman"/>
                <w:noProof/>
                <w:webHidden/>
              </w:rPr>
              <w:fldChar w:fldCharType="end"/>
            </w:r>
          </w:hyperlink>
        </w:p>
        <w:p w14:paraId="2DFEF01E" w14:textId="77C00F57" w:rsidR="00CC653F" w:rsidRDefault="00CC653F">
          <w:pPr>
            <w:rPr>
              <w:noProof/>
            </w:rPr>
          </w:pPr>
          <w:r w:rsidRPr="008F1389">
            <w:rPr>
              <w:rFonts w:ascii="Times New Roman" w:hAnsi="Times New Roman" w:cs="Times New Roman"/>
              <w:b/>
              <w:bCs/>
              <w:noProof/>
            </w:rPr>
            <w:fldChar w:fldCharType="end"/>
          </w:r>
        </w:p>
      </w:sdtContent>
    </w:sdt>
    <w:p w14:paraId="4765F787" w14:textId="77777777" w:rsidR="00F822D8" w:rsidRDefault="00F822D8" w:rsidP="001046B5">
      <w:pPr>
        <w:jc w:val="center"/>
        <w:rPr>
          <w:rFonts w:ascii="Times New Roman" w:hAnsi="Times New Roman" w:cs="Times New Roman"/>
          <w:b/>
          <w:noProof/>
          <w:sz w:val="24"/>
          <w:szCs w:val="24"/>
        </w:rPr>
      </w:pPr>
    </w:p>
    <w:p w14:paraId="7F04FDBA" w14:textId="099160A9" w:rsidR="00E079D9" w:rsidRDefault="00E079D9">
      <w:pPr>
        <w:rPr>
          <w:rFonts w:ascii="Times New Roman" w:hAnsi="Times New Roman" w:cs="Times New Roman"/>
          <w:b/>
          <w:noProof/>
          <w:sz w:val="24"/>
          <w:szCs w:val="24"/>
        </w:rPr>
      </w:pPr>
      <w:r>
        <w:rPr>
          <w:rFonts w:ascii="Times New Roman" w:hAnsi="Times New Roman" w:cs="Times New Roman"/>
          <w:b/>
          <w:noProof/>
          <w:sz w:val="24"/>
          <w:szCs w:val="24"/>
        </w:rPr>
        <w:br w:type="page"/>
      </w:r>
    </w:p>
    <w:p w14:paraId="2935F87B" w14:textId="77777777" w:rsidR="00F822D8" w:rsidRDefault="00F822D8" w:rsidP="001046B5">
      <w:pPr>
        <w:jc w:val="center"/>
        <w:rPr>
          <w:rFonts w:ascii="Times New Roman" w:hAnsi="Times New Roman" w:cs="Times New Roman"/>
          <w:b/>
          <w:noProof/>
          <w:sz w:val="24"/>
          <w:szCs w:val="24"/>
        </w:rPr>
      </w:pPr>
    </w:p>
    <w:p w14:paraId="35A912EC" w14:textId="77777777" w:rsidR="00F822D8" w:rsidRDefault="00F822D8" w:rsidP="001046B5">
      <w:pPr>
        <w:jc w:val="center"/>
        <w:rPr>
          <w:rFonts w:ascii="Times New Roman" w:hAnsi="Times New Roman" w:cs="Times New Roman"/>
          <w:b/>
          <w:noProof/>
          <w:sz w:val="24"/>
          <w:szCs w:val="24"/>
        </w:rPr>
      </w:pPr>
    </w:p>
    <w:p w14:paraId="062A7275" w14:textId="77777777" w:rsidR="00F822D8" w:rsidRDefault="00F822D8" w:rsidP="001046B5">
      <w:pPr>
        <w:jc w:val="center"/>
        <w:rPr>
          <w:rFonts w:ascii="Times New Roman" w:hAnsi="Times New Roman" w:cs="Times New Roman"/>
          <w:b/>
          <w:noProof/>
          <w:sz w:val="24"/>
          <w:szCs w:val="24"/>
        </w:rPr>
      </w:pPr>
    </w:p>
    <w:p w14:paraId="2D50A126" w14:textId="01F72D14" w:rsidR="00F822D8" w:rsidRDefault="007C2A92" w:rsidP="00E079D9">
      <w:pPr>
        <w:rPr>
          <w:rFonts w:ascii="Times New Roman" w:hAnsi="Times New Roman" w:cs="Times New Roman"/>
          <w:b/>
          <w:noProof/>
          <w:sz w:val="24"/>
          <w:szCs w:val="24"/>
        </w:rPr>
      </w:pPr>
      <w:r>
        <w:rPr>
          <w:rFonts w:ascii="Times New Roman" w:hAnsi="Times New Roman" w:cs="Times New Roman"/>
          <w:b/>
          <w:noProof/>
          <w:sz w:val="24"/>
          <w:szCs w:val="24"/>
        </w:rPr>
        <w:t>List of abbreviation</w:t>
      </w:r>
      <w:r w:rsidR="00E079D9">
        <w:rPr>
          <w:rFonts w:ascii="Times New Roman" w:hAnsi="Times New Roman" w:cs="Times New Roman"/>
          <w:b/>
          <w:noProof/>
          <w:sz w:val="24"/>
          <w:szCs w:val="24"/>
        </w:rPr>
        <w:t>s</w:t>
      </w:r>
    </w:p>
    <w:p w14:paraId="47384298" w14:textId="12B6CD5F" w:rsidR="00E079D9" w:rsidRDefault="00E079D9" w:rsidP="00E079D9">
      <w:pPr>
        <w:rPr>
          <w:rFonts w:ascii="Times New Roman" w:hAnsi="Times New Roman" w:cs="Times New Roman"/>
          <w:noProof/>
          <w:sz w:val="24"/>
          <w:szCs w:val="24"/>
        </w:rPr>
      </w:pPr>
      <w:r>
        <w:rPr>
          <w:rFonts w:ascii="Times New Roman" w:hAnsi="Times New Roman" w:cs="Times New Roman"/>
          <w:noProof/>
          <w:sz w:val="24"/>
          <w:szCs w:val="24"/>
        </w:rPr>
        <w:t>AROP</w:t>
      </w:r>
      <w:r>
        <w:rPr>
          <w:rFonts w:ascii="Times New Roman" w:hAnsi="Times New Roman" w:cs="Times New Roman"/>
          <w:noProof/>
          <w:sz w:val="24"/>
          <w:szCs w:val="24"/>
        </w:rPr>
        <w:tab/>
      </w:r>
      <w:r>
        <w:rPr>
          <w:rFonts w:ascii="Times New Roman" w:hAnsi="Times New Roman" w:cs="Times New Roman"/>
          <w:noProof/>
          <w:sz w:val="24"/>
          <w:szCs w:val="24"/>
        </w:rPr>
        <w:tab/>
        <w:t>at-risk-of-poverty rat</w:t>
      </w:r>
      <w:r w:rsidR="00DA66E6">
        <w:rPr>
          <w:rFonts w:ascii="Times New Roman" w:hAnsi="Times New Roman" w:cs="Times New Roman"/>
          <w:noProof/>
          <w:sz w:val="24"/>
          <w:szCs w:val="24"/>
        </w:rPr>
        <w:t>e</w:t>
      </w:r>
    </w:p>
    <w:p w14:paraId="7B2CF0D5" w14:textId="1E9189C9" w:rsidR="00E079D9" w:rsidRDefault="00E079D9" w:rsidP="00E079D9">
      <w:pPr>
        <w:rPr>
          <w:rFonts w:ascii="Times New Roman" w:hAnsi="Times New Roman" w:cs="Times New Roman"/>
          <w:noProof/>
          <w:sz w:val="24"/>
          <w:szCs w:val="24"/>
        </w:rPr>
      </w:pPr>
      <w:r>
        <w:rPr>
          <w:rFonts w:ascii="Times New Roman" w:hAnsi="Times New Roman" w:cs="Times New Roman"/>
          <w:noProof/>
          <w:sz w:val="24"/>
          <w:szCs w:val="24"/>
        </w:rPr>
        <w:t>DBP</w:t>
      </w:r>
      <w:r>
        <w:rPr>
          <w:rFonts w:ascii="Times New Roman" w:hAnsi="Times New Roman" w:cs="Times New Roman"/>
          <w:noProof/>
          <w:sz w:val="24"/>
          <w:szCs w:val="24"/>
        </w:rPr>
        <w:tab/>
      </w:r>
      <w:r>
        <w:rPr>
          <w:rFonts w:ascii="Times New Roman" w:hAnsi="Times New Roman" w:cs="Times New Roman"/>
          <w:noProof/>
          <w:sz w:val="24"/>
          <w:szCs w:val="24"/>
        </w:rPr>
        <w:tab/>
        <w:t>Draft Budgetary Plan</w:t>
      </w:r>
    </w:p>
    <w:p w14:paraId="02890DEB" w14:textId="20B1B068" w:rsidR="00E079D9" w:rsidRDefault="00E079D9" w:rsidP="00E079D9">
      <w:pPr>
        <w:rPr>
          <w:rFonts w:ascii="Times New Roman" w:hAnsi="Times New Roman" w:cs="Times New Roman"/>
          <w:noProof/>
          <w:sz w:val="24"/>
          <w:szCs w:val="24"/>
        </w:rPr>
      </w:pPr>
      <w:r w:rsidRPr="00E079D9">
        <w:rPr>
          <w:rFonts w:ascii="Times New Roman" w:hAnsi="Times New Roman" w:cs="Times New Roman"/>
          <w:noProof/>
          <w:sz w:val="24"/>
          <w:szCs w:val="24"/>
        </w:rPr>
        <w:t>DIA</w:t>
      </w:r>
      <w:r>
        <w:rPr>
          <w:rFonts w:ascii="Times New Roman" w:hAnsi="Times New Roman" w:cs="Times New Roman"/>
          <w:noProof/>
          <w:sz w:val="24"/>
          <w:szCs w:val="24"/>
        </w:rPr>
        <w:tab/>
      </w:r>
      <w:r>
        <w:rPr>
          <w:rFonts w:ascii="Times New Roman" w:hAnsi="Times New Roman" w:cs="Times New Roman"/>
          <w:noProof/>
          <w:sz w:val="24"/>
          <w:szCs w:val="24"/>
        </w:rPr>
        <w:tab/>
      </w:r>
      <w:r w:rsidRPr="00E079D9">
        <w:rPr>
          <w:rFonts w:ascii="Times New Roman" w:hAnsi="Times New Roman" w:cs="Times New Roman"/>
          <w:noProof/>
          <w:sz w:val="24"/>
          <w:szCs w:val="24"/>
        </w:rPr>
        <w:t>Distributional impact assessment</w:t>
      </w:r>
    </w:p>
    <w:p w14:paraId="5BC953C8" w14:textId="235193B2" w:rsidR="00CC6618" w:rsidRDefault="00CC6618" w:rsidP="00E079D9">
      <w:pPr>
        <w:rPr>
          <w:rFonts w:ascii="Times New Roman" w:hAnsi="Times New Roman" w:cs="Times New Roman"/>
          <w:noProof/>
          <w:sz w:val="24"/>
          <w:szCs w:val="24"/>
        </w:rPr>
      </w:pPr>
      <w:r w:rsidRPr="00CC6618">
        <w:rPr>
          <w:rFonts w:ascii="Times New Roman" w:hAnsi="Times New Roman" w:cs="Times New Roman"/>
          <w:noProof/>
          <w:sz w:val="24"/>
          <w:szCs w:val="24"/>
        </w:rPr>
        <w:t>EU-SILC</w:t>
      </w:r>
      <w:r>
        <w:rPr>
          <w:rFonts w:ascii="Times New Roman" w:hAnsi="Times New Roman" w:cs="Times New Roman"/>
          <w:noProof/>
          <w:sz w:val="24"/>
          <w:szCs w:val="24"/>
        </w:rPr>
        <w:tab/>
        <w:t>European Union’s Survey of Income and Living Conditions</w:t>
      </w:r>
    </w:p>
    <w:p w14:paraId="1C8E0339" w14:textId="77777777" w:rsidR="00CC6618" w:rsidRDefault="00CC6618" w:rsidP="00E079D9">
      <w:pPr>
        <w:rPr>
          <w:rFonts w:ascii="Times New Roman" w:hAnsi="Times New Roman" w:cs="Times New Roman"/>
          <w:noProof/>
          <w:sz w:val="24"/>
          <w:szCs w:val="24"/>
        </w:rPr>
      </w:pPr>
      <w:r>
        <w:rPr>
          <w:rFonts w:ascii="Times New Roman" w:hAnsi="Times New Roman" w:cs="Times New Roman"/>
          <w:noProof/>
          <w:sz w:val="24"/>
          <w:szCs w:val="24"/>
        </w:rPr>
        <w:t>HBS</w:t>
      </w:r>
      <w:r>
        <w:rPr>
          <w:rFonts w:ascii="Times New Roman" w:hAnsi="Times New Roman" w:cs="Times New Roman"/>
          <w:noProof/>
          <w:sz w:val="24"/>
          <w:szCs w:val="24"/>
        </w:rPr>
        <w:tab/>
      </w:r>
      <w:r>
        <w:rPr>
          <w:rFonts w:ascii="Times New Roman" w:hAnsi="Times New Roman" w:cs="Times New Roman"/>
          <w:noProof/>
          <w:sz w:val="24"/>
          <w:szCs w:val="24"/>
        </w:rPr>
        <w:tab/>
      </w:r>
      <w:r w:rsidRPr="00CC6618">
        <w:rPr>
          <w:rFonts w:ascii="Times New Roman" w:hAnsi="Times New Roman" w:cs="Times New Roman"/>
          <w:noProof/>
          <w:sz w:val="24"/>
          <w:szCs w:val="24"/>
        </w:rPr>
        <w:t>Household Budget Survey</w:t>
      </w:r>
    </w:p>
    <w:p w14:paraId="7EFE4ADB" w14:textId="69E5E4FF" w:rsidR="00CC6618" w:rsidRPr="00CC6618" w:rsidRDefault="00CC6618" w:rsidP="00CC6618">
      <w:pPr>
        <w:rPr>
          <w:rFonts w:ascii="Times New Roman" w:hAnsi="Times New Roman" w:cs="Times New Roman"/>
          <w:noProof/>
          <w:sz w:val="24"/>
          <w:szCs w:val="24"/>
        </w:rPr>
      </w:pPr>
      <w:r>
        <w:rPr>
          <w:rFonts w:ascii="Times New Roman" w:hAnsi="Times New Roman" w:cs="Times New Roman"/>
          <w:noProof/>
          <w:sz w:val="24"/>
          <w:szCs w:val="24"/>
        </w:rPr>
        <w:t>HFCS</w:t>
      </w:r>
      <w:r>
        <w:rPr>
          <w:rFonts w:ascii="Times New Roman" w:hAnsi="Times New Roman" w:cs="Times New Roman"/>
          <w:noProof/>
          <w:sz w:val="24"/>
          <w:szCs w:val="24"/>
        </w:rPr>
        <w:tab/>
      </w:r>
      <w:r>
        <w:rPr>
          <w:rFonts w:ascii="Times New Roman" w:hAnsi="Times New Roman" w:cs="Times New Roman"/>
          <w:noProof/>
          <w:sz w:val="24"/>
          <w:szCs w:val="24"/>
        </w:rPr>
        <w:tab/>
      </w:r>
      <w:r w:rsidRPr="00CC6618">
        <w:rPr>
          <w:rFonts w:ascii="Times New Roman" w:hAnsi="Times New Roman" w:cs="Times New Roman"/>
          <w:noProof/>
          <w:sz w:val="24"/>
          <w:szCs w:val="24"/>
        </w:rPr>
        <w:t xml:space="preserve">Household Finance and Consumption Survey </w:t>
      </w:r>
    </w:p>
    <w:p w14:paraId="0B9BE723" w14:textId="2C4886BE" w:rsidR="00CC6618" w:rsidRDefault="00071BA6" w:rsidP="00E079D9">
      <w:pPr>
        <w:rPr>
          <w:rFonts w:ascii="Times New Roman" w:hAnsi="Times New Roman" w:cs="Times New Roman"/>
          <w:noProof/>
          <w:sz w:val="24"/>
          <w:szCs w:val="24"/>
        </w:rPr>
      </w:pPr>
      <w:r>
        <w:rPr>
          <w:rFonts w:ascii="Times New Roman" w:hAnsi="Times New Roman" w:cs="Times New Roman"/>
          <w:noProof/>
          <w:sz w:val="24"/>
          <w:szCs w:val="24"/>
        </w:rPr>
        <w:t>GDP</w:t>
      </w:r>
      <w:r>
        <w:rPr>
          <w:rFonts w:ascii="Times New Roman" w:hAnsi="Times New Roman" w:cs="Times New Roman"/>
          <w:noProof/>
          <w:sz w:val="24"/>
          <w:szCs w:val="24"/>
        </w:rPr>
        <w:tab/>
      </w:r>
      <w:r>
        <w:rPr>
          <w:rFonts w:ascii="Times New Roman" w:hAnsi="Times New Roman" w:cs="Times New Roman"/>
          <w:noProof/>
          <w:sz w:val="24"/>
          <w:szCs w:val="24"/>
        </w:rPr>
        <w:tab/>
        <w:t>Gross Domestic Product</w:t>
      </w:r>
    </w:p>
    <w:p w14:paraId="032AF0B4" w14:textId="111D271B" w:rsidR="00E079D9" w:rsidRDefault="00E079D9" w:rsidP="00E079D9">
      <w:pPr>
        <w:rPr>
          <w:rFonts w:ascii="Times New Roman" w:hAnsi="Times New Roman" w:cs="Times New Roman"/>
          <w:noProof/>
          <w:sz w:val="24"/>
          <w:szCs w:val="24"/>
        </w:rPr>
      </w:pPr>
      <w:r>
        <w:rPr>
          <w:rFonts w:ascii="Times New Roman" w:hAnsi="Times New Roman" w:cs="Times New Roman"/>
          <w:noProof/>
          <w:sz w:val="24"/>
          <w:szCs w:val="24"/>
        </w:rPr>
        <w:t>LMA</w:t>
      </w:r>
      <w:r>
        <w:rPr>
          <w:rFonts w:ascii="Times New Roman" w:hAnsi="Times New Roman" w:cs="Times New Roman"/>
          <w:noProof/>
          <w:sz w:val="24"/>
          <w:szCs w:val="24"/>
        </w:rPr>
        <w:tab/>
      </w:r>
      <w:r>
        <w:rPr>
          <w:rFonts w:ascii="Times New Roman" w:hAnsi="Times New Roman" w:cs="Times New Roman"/>
          <w:noProof/>
          <w:sz w:val="24"/>
          <w:szCs w:val="24"/>
        </w:rPr>
        <w:tab/>
        <w:t>Labour Market Adjustment</w:t>
      </w:r>
    </w:p>
    <w:p w14:paraId="2671E438" w14:textId="370700E4" w:rsidR="00E079D9" w:rsidRDefault="00E079D9" w:rsidP="00E079D9">
      <w:pPr>
        <w:rPr>
          <w:rFonts w:ascii="Times New Roman" w:hAnsi="Times New Roman" w:cs="Times New Roman"/>
          <w:noProof/>
          <w:sz w:val="24"/>
          <w:szCs w:val="24"/>
        </w:rPr>
      </w:pPr>
      <w:r>
        <w:rPr>
          <w:rFonts w:ascii="Times New Roman" w:hAnsi="Times New Roman" w:cs="Times New Roman"/>
          <w:noProof/>
          <w:sz w:val="24"/>
          <w:szCs w:val="24"/>
        </w:rPr>
        <w:t>NRP</w:t>
      </w:r>
      <w:r>
        <w:rPr>
          <w:rFonts w:ascii="Times New Roman" w:hAnsi="Times New Roman" w:cs="Times New Roman"/>
          <w:noProof/>
          <w:sz w:val="24"/>
          <w:szCs w:val="24"/>
        </w:rPr>
        <w:tab/>
      </w:r>
      <w:r>
        <w:rPr>
          <w:rFonts w:ascii="Times New Roman" w:hAnsi="Times New Roman" w:cs="Times New Roman"/>
          <w:noProof/>
          <w:sz w:val="24"/>
          <w:szCs w:val="24"/>
        </w:rPr>
        <w:tab/>
      </w:r>
      <w:r w:rsidRPr="00E079D9">
        <w:rPr>
          <w:rFonts w:ascii="Times New Roman" w:hAnsi="Times New Roman" w:cs="Times New Roman"/>
          <w:noProof/>
          <w:sz w:val="24"/>
          <w:szCs w:val="24"/>
        </w:rPr>
        <w:t>National Reform Programme</w:t>
      </w:r>
    </w:p>
    <w:p w14:paraId="7D40903A" w14:textId="3F4A9CB7" w:rsidR="001046B5" w:rsidRPr="00FB3283" w:rsidRDefault="00E079D9" w:rsidP="00545661">
      <w:pPr>
        <w:rPr>
          <w:rFonts w:ascii="Times New Roman" w:hAnsi="Times New Roman" w:cs="Times New Roman"/>
          <w:noProof/>
          <w:sz w:val="24"/>
          <w:szCs w:val="24"/>
        </w:rPr>
      </w:pPr>
      <w:r>
        <w:rPr>
          <w:rFonts w:ascii="Times New Roman" w:hAnsi="Times New Roman" w:cs="Times New Roman"/>
          <w:noProof/>
          <w:sz w:val="24"/>
          <w:szCs w:val="24"/>
        </w:rPr>
        <w:t xml:space="preserve">SCP </w:t>
      </w:r>
      <w:r>
        <w:rPr>
          <w:rFonts w:ascii="Times New Roman" w:hAnsi="Times New Roman" w:cs="Times New Roman"/>
          <w:noProof/>
          <w:sz w:val="24"/>
          <w:szCs w:val="24"/>
        </w:rPr>
        <w:tab/>
      </w:r>
      <w:r>
        <w:rPr>
          <w:rFonts w:ascii="Times New Roman" w:hAnsi="Times New Roman" w:cs="Times New Roman"/>
          <w:noProof/>
          <w:sz w:val="24"/>
          <w:szCs w:val="24"/>
        </w:rPr>
        <w:tab/>
      </w:r>
      <w:r w:rsidRPr="00E079D9">
        <w:rPr>
          <w:rFonts w:ascii="Times New Roman" w:hAnsi="Times New Roman" w:cs="Times New Roman"/>
          <w:noProof/>
          <w:sz w:val="24"/>
          <w:szCs w:val="24"/>
        </w:rPr>
        <w:t xml:space="preserve">Stability or Convergence Programme </w:t>
      </w:r>
      <w:r>
        <w:rPr>
          <w:rFonts w:ascii="Times New Roman" w:hAnsi="Times New Roman" w:cs="Times New Roman"/>
          <w:noProof/>
          <w:sz w:val="24"/>
          <w:szCs w:val="24"/>
        </w:rPr>
        <w:br w:type="page"/>
      </w:r>
    </w:p>
    <w:p w14:paraId="1E1716F8" w14:textId="77777777" w:rsidR="00314AB2" w:rsidRDefault="00314AB2" w:rsidP="001046B5">
      <w:pPr>
        <w:jc w:val="center"/>
        <w:rPr>
          <w:rFonts w:ascii="Times New Roman" w:hAnsi="Times New Roman" w:cs="Times New Roman"/>
          <w:b/>
          <w:noProof/>
          <w:sz w:val="24"/>
          <w:szCs w:val="24"/>
        </w:rPr>
      </w:pPr>
    </w:p>
    <w:p w14:paraId="76D8F0C5" w14:textId="2B972106" w:rsidR="001046B5" w:rsidRPr="004B203D" w:rsidRDefault="001046B5" w:rsidP="00F6593C">
      <w:pPr>
        <w:pStyle w:val="Heading1"/>
        <w:numPr>
          <w:ilvl w:val="0"/>
          <w:numId w:val="27"/>
        </w:numPr>
        <w:rPr>
          <w:rFonts w:ascii="Times New Roman" w:hAnsi="Times New Roman" w:cs="Times New Roman"/>
          <w:noProof/>
        </w:rPr>
      </w:pPr>
      <w:bookmarkStart w:id="2" w:name="_Toc114470582"/>
      <w:r w:rsidRPr="004B203D">
        <w:rPr>
          <w:rFonts w:ascii="Times New Roman" w:hAnsi="Times New Roman" w:cs="Times New Roman"/>
          <w:noProof/>
        </w:rPr>
        <w:t>Introduction</w:t>
      </w:r>
      <w:bookmarkEnd w:id="2"/>
      <w:r w:rsidRPr="004B203D">
        <w:rPr>
          <w:rFonts w:ascii="Times New Roman" w:hAnsi="Times New Roman" w:cs="Times New Roman"/>
          <w:noProof/>
        </w:rPr>
        <w:t xml:space="preserve"> </w:t>
      </w:r>
    </w:p>
    <w:p w14:paraId="388D8979" w14:textId="77777777" w:rsidR="00845146" w:rsidRDefault="00845146" w:rsidP="00C11D08">
      <w:pPr>
        <w:jc w:val="both"/>
        <w:rPr>
          <w:rFonts w:ascii="Times New Roman" w:hAnsi="Times New Roman" w:cs="Times New Roman"/>
          <w:b/>
          <w:noProof/>
          <w:sz w:val="24"/>
          <w:szCs w:val="24"/>
        </w:rPr>
      </w:pPr>
    </w:p>
    <w:p w14:paraId="799BDD00" w14:textId="150A4C4C" w:rsidR="003A2918" w:rsidRDefault="00504A5F" w:rsidP="00C11D08">
      <w:pPr>
        <w:jc w:val="both"/>
        <w:rPr>
          <w:noProof/>
        </w:rPr>
      </w:pPr>
      <w:r w:rsidRPr="00347053">
        <w:rPr>
          <w:rFonts w:ascii="Times New Roman" w:hAnsi="Times New Roman" w:cs="Times New Roman"/>
          <w:b/>
          <w:noProof/>
          <w:sz w:val="24"/>
          <w:szCs w:val="24"/>
        </w:rPr>
        <w:t xml:space="preserve">Distributional </w:t>
      </w:r>
      <w:r w:rsidR="00E079D9">
        <w:rPr>
          <w:rFonts w:ascii="Times New Roman" w:hAnsi="Times New Roman" w:cs="Times New Roman"/>
          <w:b/>
          <w:noProof/>
          <w:sz w:val="24"/>
          <w:szCs w:val="24"/>
        </w:rPr>
        <w:t>i</w:t>
      </w:r>
      <w:r w:rsidRPr="00347053">
        <w:rPr>
          <w:rFonts w:ascii="Times New Roman" w:hAnsi="Times New Roman" w:cs="Times New Roman"/>
          <w:b/>
          <w:noProof/>
          <w:sz w:val="24"/>
          <w:szCs w:val="24"/>
        </w:rPr>
        <w:t>mpact assessment (DIA) can be referred to as an analysis, usually quantitative in nature, which assesses the distributional effects of polic</w:t>
      </w:r>
      <w:r w:rsidR="00AA6E2D">
        <w:rPr>
          <w:rFonts w:ascii="Times New Roman" w:hAnsi="Times New Roman" w:cs="Times New Roman"/>
          <w:b/>
          <w:noProof/>
          <w:sz w:val="24"/>
          <w:szCs w:val="24"/>
        </w:rPr>
        <w:t>ies</w:t>
      </w:r>
      <w:r w:rsidRPr="00347053">
        <w:rPr>
          <w:rFonts w:ascii="Times New Roman" w:hAnsi="Times New Roman" w:cs="Times New Roman"/>
          <w:b/>
          <w:noProof/>
          <w:sz w:val="24"/>
          <w:szCs w:val="24"/>
        </w:rPr>
        <w:t xml:space="preserve"> </w:t>
      </w:r>
      <w:r w:rsidR="008F3A86">
        <w:rPr>
          <w:rFonts w:ascii="Times New Roman" w:hAnsi="Times New Roman" w:cs="Times New Roman"/>
          <w:b/>
          <w:noProof/>
          <w:sz w:val="24"/>
          <w:szCs w:val="24"/>
        </w:rPr>
        <w:t xml:space="preserve">on the income of various groups </w:t>
      </w:r>
      <w:r w:rsidRPr="00347053">
        <w:rPr>
          <w:rFonts w:ascii="Times New Roman" w:hAnsi="Times New Roman" w:cs="Times New Roman"/>
          <w:b/>
          <w:noProof/>
          <w:sz w:val="24"/>
          <w:szCs w:val="24"/>
        </w:rPr>
        <w:t>across the population</w:t>
      </w:r>
      <w:r w:rsidR="008F3A86">
        <w:rPr>
          <w:rFonts w:ascii="Times New Roman" w:hAnsi="Times New Roman" w:cs="Times New Roman"/>
          <w:noProof/>
          <w:sz w:val="24"/>
          <w:szCs w:val="24"/>
        </w:rPr>
        <w:t xml:space="preserve">. </w:t>
      </w:r>
      <w:r w:rsidRPr="00504A5F">
        <w:rPr>
          <w:rFonts w:ascii="Times New Roman" w:hAnsi="Times New Roman" w:cs="Times New Roman"/>
          <w:noProof/>
          <w:sz w:val="24"/>
          <w:szCs w:val="24"/>
        </w:rPr>
        <w:t xml:space="preserve">More specifically, DIA refers to the assessment of the impact of policies on the income distribution in a country by analysing their impact on disposable income, poverty and income inequality indicators (e.g., </w:t>
      </w:r>
      <w:r w:rsidR="007C2A92">
        <w:rPr>
          <w:rFonts w:ascii="Times New Roman" w:hAnsi="Times New Roman" w:cs="Times New Roman"/>
          <w:noProof/>
          <w:sz w:val="24"/>
          <w:szCs w:val="24"/>
        </w:rPr>
        <w:t>at-risk-of-poverty</w:t>
      </w:r>
      <w:r w:rsidRPr="00504A5F">
        <w:rPr>
          <w:rFonts w:ascii="Times New Roman" w:hAnsi="Times New Roman" w:cs="Times New Roman"/>
          <w:noProof/>
          <w:sz w:val="24"/>
          <w:szCs w:val="24"/>
        </w:rPr>
        <w:t xml:space="preserve"> rate, </w:t>
      </w:r>
      <w:r w:rsidR="007C2A92" w:rsidRPr="007C2A92">
        <w:rPr>
          <w:rFonts w:ascii="Times New Roman" w:hAnsi="Times New Roman" w:cs="Times New Roman"/>
          <w:noProof/>
          <w:sz w:val="24"/>
          <w:szCs w:val="24"/>
        </w:rPr>
        <w:t xml:space="preserve">income quintile share ratio </w:t>
      </w:r>
      <w:r w:rsidRPr="00504A5F">
        <w:rPr>
          <w:rFonts w:ascii="Times New Roman" w:hAnsi="Times New Roman" w:cs="Times New Roman"/>
          <w:noProof/>
          <w:sz w:val="24"/>
          <w:szCs w:val="24"/>
        </w:rPr>
        <w:t xml:space="preserve">S80/S20). This can be done either before the policy is implemented (i.e., </w:t>
      </w:r>
      <w:r w:rsidRPr="00E27501">
        <w:rPr>
          <w:rFonts w:ascii="Times New Roman" w:hAnsi="Times New Roman" w:cs="Times New Roman"/>
          <w:i/>
          <w:noProof/>
          <w:sz w:val="24"/>
          <w:szCs w:val="24"/>
        </w:rPr>
        <w:t>ex</w:t>
      </w:r>
      <w:r w:rsidR="00E27501" w:rsidRPr="00E27501">
        <w:rPr>
          <w:rFonts w:ascii="Times New Roman" w:hAnsi="Times New Roman" w:cs="Times New Roman"/>
          <w:i/>
          <w:noProof/>
          <w:sz w:val="24"/>
          <w:szCs w:val="24"/>
        </w:rPr>
        <w:t xml:space="preserve"> </w:t>
      </w:r>
      <w:r w:rsidRPr="00E27501">
        <w:rPr>
          <w:rFonts w:ascii="Times New Roman" w:hAnsi="Times New Roman" w:cs="Times New Roman"/>
          <w:i/>
          <w:noProof/>
          <w:sz w:val="24"/>
          <w:szCs w:val="24"/>
        </w:rPr>
        <w:t>ante</w:t>
      </w:r>
      <w:r w:rsidRPr="00504A5F">
        <w:rPr>
          <w:rFonts w:ascii="Times New Roman" w:hAnsi="Times New Roman" w:cs="Times New Roman"/>
          <w:noProof/>
          <w:sz w:val="24"/>
          <w:szCs w:val="24"/>
        </w:rPr>
        <w:t xml:space="preserve"> DIA, </w:t>
      </w:r>
      <w:r w:rsidR="00714B43">
        <w:rPr>
          <w:rFonts w:ascii="Times New Roman" w:hAnsi="Times New Roman" w:cs="Times New Roman"/>
          <w:noProof/>
          <w:sz w:val="24"/>
          <w:szCs w:val="24"/>
        </w:rPr>
        <w:t xml:space="preserve">which is </w:t>
      </w:r>
      <w:r w:rsidRPr="00504A5F">
        <w:rPr>
          <w:rFonts w:ascii="Times New Roman" w:hAnsi="Times New Roman" w:cs="Times New Roman"/>
          <w:noProof/>
          <w:sz w:val="24"/>
          <w:szCs w:val="24"/>
        </w:rPr>
        <w:t xml:space="preserve">the main focus of this </w:t>
      </w:r>
      <w:r w:rsidR="008944E8">
        <w:rPr>
          <w:rFonts w:ascii="Times New Roman" w:hAnsi="Times New Roman" w:cs="Times New Roman"/>
          <w:noProof/>
          <w:sz w:val="24"/>
          <w:szCs w:val="24"/>
        </w:rPr>
        <w:t>S</w:t>
      </w:r>
      <w:r w:rsidR="00724AAD">
        <w:rPr>
          <w:rFonts w:ascii="Times New Roman" w:hAnsi="Times New Roman" w:cs="Times New Roman"/>
          <w:noProof/>
          <w:sz w:val="24"/>
          <w:szCs w:val="24"/>
        </w:rPr>
        <w:t xml:space="preserve">taff </w:t>
      </w:r>
      <w:r w:rsidR="008944E8">
        <w:rPr>
          <w:rFonts w:ascii="Times New Roman" w:hAnsi="Times New Roman" w:cs="Times New Roman"/>
          <w:noProof/>
          <w:sz w:val="24"/>
          <w:szCs w:val="24"/>
        </w:rPr>
        <w:t>W</w:t>
      </w:r>
      <w:r w:rsidR="00724AAD">
        <w:rPr>
          <w:rFonts w:ascii="Times New Roman" w:hAnsi="Times New Roman" w:cs="Times New Roman"/>
          <w:noProof/>
          <w:sz w:val="24"/>
          <w:szCs w:val="24"/>
        </w:rPr>
        <w:t xml:space="preserve">orking </w:t>
      </w:r>
      <w:r w:rsidR="008944E8">
        <w:rPr>
          <w:rFonts w:ascii="Times New Roman" w:hAnsi="Times New Roman" w:cs="Times New Roman"/>
          <w:noProof/>
          <w:sz w:val="24"/>
          <w:szCs w:val="24"/>
        </w:rPr>
        <w:t>D</w:t>
      </w:r>
      <w:r w:rsidR="00724AAD">
        <w:rPr>
          <w:rFonts w:ascii="Times New Roman" w:hAnsi="Times New Roman" w:cs="Times New Roman"/>
          <w:noProof/>
          <w:sz w:val="24"/>
          <w:szCs w:val="24"/>
        </w:rPr>
        <w:t>ocument</w:t>
      </w:r>
      <w:r w:rsidRPr="00504A5F">
        <w:rPr>
          <w:rFonts w:ascii="Times New Roman" w:hAnsi="Times New Roman" w:cs="Times New Roman"/>
          <w:noProof/>
          <w:sz w:val="24"/>
          <w:szCs w:val="24"/>
        </w:rPr>
        <w:t xml:space="preserve">), by simulating and </w:t>
      </w:r>
      <w:r w:rsidR="00724AAD">
        <w:rPr>
          <w:rFonts w:ascii="Times New Roman" w:hAnsi="Times New Roman" w:cs="Times New Roman"/>
          <w:noProof/>
          <w:sz w:val="24"/>
          <w:szCs w:val="24"/>
        </w:rPr>
        <w:t xml:space="preserve">assessing </w:t>
      </w:r>
      <w:r w:rsidRPr="00504A5F">
        <w:rPr>
          <w:rFonts w:ascii="Times New Roman" w:hAnsi="Times New Roman" w:cs="Times New Roman"/>
          <w:noProof/>
          <w:sz w:val="24"/>
          <w:szCs w:val="24"/>
        </w:rPr>
        <w:t>its distributional impact through microsimulation models, or after the policy is implemented (</w:t>
      </w:r>
      <w:r w:rsidRPr="008944E8">
        <w:rPr>
          <w:rFonts w:ascii="Times New Roman" w:hAnsi="Times New Roman" w:cs="Times New Roman"/>
          <w:i/>
          <w:noProof/>
          <w:sz w:val="24"/>
          <w:szCs w:val="24"/>
        </w:rPr>
        <w:t>ex</w:t>
      </w:r>
      <w:r w:rsidR="008944E8" w:rsidRPr="008944E8">
        <w:rPr>
          <w:rFonts w:ascii="Times New Roman" w:hAnsi="Times New Roman" w:cs="Times New Roman"/>
          <w:i/>
          <w:noProof/>
          <w:sz w:val="24"/>
          <w:szCs w:val="24"/>
        </w:rPr>
        <w:t xml:space="preserve"> </w:t>
      </w:r>
      <w:r w:rsidRPr="008944E8">
        <w:rPr>
          <w:rFonts w:ascii="Times New Roman" w:hAnsi="Times New Roman" w:cs="Times New Roman"/>
          <w:i/>
          <w:noProof/>
          <w:sz w:val="24"/>
          <w:szCs w:val="24"/>
        </w:rPr>
        <w:t>post</w:t>
      </w:r>
      <w:r w:rsidRPr="00504A5F">
        <w:rPr>
          <w:rFonts w:ascii="Times New Roman" w:hAnsi="Times New Roman" w:cs="Times New Roman"/>
          <w:noProof/>
          <w:sz w:val="24"/>
          <w:szCs w:val="24"/>
        </w:rPr>
        <w:t xml:space="preserve"> DIA) to evaluate its actual performance and impact.</w:t>
      </w:r>
      <w:r>
        <w:rPr>
          <w:rFonts w:ascii="Times New Roman" w:hAnsi="Times New Roman" w:cs="Times New Roman"/>
          <w:noProof/>
          <w:sz w:val="24"/>
          <w:szCs w:val="24"/>
        </w:rPr>
        <w:t xml:space="preserve"> </w:t>
      </w:r>
      <w:r w:rsidR="003A2918" w:rsidRPr="00C11D08">
        <w:rPr>
          <w:rFonts w:ascii="Times New Roman" w:hAnsi="Times New Roman" w:cs="Times New Roman"/>
          <w:noProof/>
          <w:sz w:val="24"/>
          <w:szCs w:val="24"/>
        </w:rPr>
        <w:t xml:space="preserve">An appropriate account of the impact of </w:t>
      </w:r>
      <w:r w:rsidR="0038276E" w:rsidRPr="00C11D08">
        <w:rPr>
          <w:rFonts w:ascii="Times New Roman" w:hAnsi="Times New Roman" w:cs="Times New Roman"/>
          <w:noProof/>
          <w:sz w:val="24"/>
          <w:szCs w:val="24"/>
        </w:rPr>
        <w:t xml:space="preserve">new </w:t>
      </w:r>
      <w:r w:rsidR="003A2918" w:rsidRPr="00C11D08">
        <w:rPr>
          <w:rFonts w:ascii="Times New Roman" w:hAnsi="Times New Roman" w:cs="Times New Roman"/>
          <w:noProof/>
          <w:sz w:val="24"/>
          <w:szCs w:val="24"/>
        </w:rPr>
        <w:t>measures on the income distribution contributes to evidence</w:t>
      </w:r>
      <w:r w:rsidR="004933DA" w:rsidRPr="00C11D08">
        <w:rPr>
          <w:rFonts w:ascii="Times New Roman" w:hAnsi="Times New Roman" w:cs="Times New Roman"/>
          <w:noProof/>
          <w:sz w:val="24"/>
          <w:szCs w:val="24"/>
        </w:rPr>
        <w:t>-</w:t>
      </w:r>
      <w:r w:rsidR="003A2918" w:rsidRPr="00C11D08">
        <w:rPr>
          <w:rFonts w:ascii="Times New Roman" w:hAnsi="Times New Roman" w:cs="Times New Roman"/>
          <w:noProof/>
          <w:sz w:val="24"/>
          <w:szCs w:val="24"/>
        </w:rPr>
        <w:t>based policy making</w:t>
      </w:r>
      <w:r w:rsidR="003A2918">
        <w:rPr>
          <w:rFonts w:ascii="Times New Roman" w:hAnsi="Times New Roman" w:cs="Times New Roman"/>
          <w:noProof/>
          <w:sz w:val="24"/>
          <w:szCs w:val="24"/>
        </w:rPr>
        <w:t xml:space="preserve"> and </w:t>
      </w:r>
      <w:r w:rsidR="003A2918" w:rsidRPr="00BD1FD8">
        <w:rPr>
          <w:rFonts w:ascii="Times New Roman" w:hAnsi="Times New Roman" w:cs="Times New Roman"/>
          <w:noProof/>
          <w:sz w:val="24"/>
          <w:szCs w:val="24"/>
        </w:rPr>
        <w:t>build</w:t>
      </w:r>
      <w:r w:rsidR="003A2918">
        <w:rPr>
          <w:rFonts w:ascii="Times New Roman" w:hAnsi="Times New Roman" w:cs="Times New Roman"/>
          <w:noProof/>
          <w:sz w:val="24"/>
          <w:szCs w:val="24"/>
        </w:rPr>
        <w:t>s</w:t>
      </w:r>
      <w:r w:rsidR="003A2918" w:rsidRPr="00BD1FD8">
        <w:rPr>
          <w:rFonts w:ascii="Times New Roman" w:hAnsi="Times New Roman" w:cs="Times New Roman"/>
          <w:noProof/>
          <w:sz w:val="24"/>
          <w:szCs w:val="24"/>
        </w:rPr>
        <w:t xml:space="preserve"> up a </w:t>
      </w:r>
      <w:r w:rsidR="003A2918">
        <w:rPr>
          <w:rFonts w:ascii="Times New Roman" w:hAnsi="Times New Roman" w:cs="Times New Roman"/>
          <w:noProof/>
          <w:sz w:val="24"/>
          <w:szCs w:val="24"/>
        </w:rPr>
        <w:t xml:space="preserve">comprehensive framework </w:t>
      </w:r>
      <w:r w:rsidR="003A2918" w:rsidRPr="00C11D08">
        <w:rPr>
          <w:rFonts w:ascii="Times New Roman" w:hAnsi="Times New Roman" w:cs="Times New Roman"/>
          <w:noProof/>
          <w:sz w:val="24"/>
          <w:lang w:val="en-IE"/>
        </w:rPr>
        <w:t>where</w:t>
      </w:r>
      <w:r w:rsidR="003A2918">
        <w:rPr>
          <w:rFonts w:ascii="Times New Roman" w:hAnsi="Times New Roman" w:cs="Times New Roman"/>
          <w:noProof/>
          <w:sz w:val="24"/>
          <w:szCs w:val="24"/>
        </w:rPr>
        <w:t xml:space="preserve"> </w:t>
      </w:r>
      <w:r w:rsidR="003A2918" w:rsidRPr="00BD1FD8">
        <w:rPr>
          <w:rFonts w:ascii="Times New Roman" w:hAnsi="Times New Roman" w:cs="Times New Roman"/>
          <w:noProof/>
          <w:sz w:val="24"/>
          <w:szCs w:val="24"/>
        </w:rPr>
        <w:t xml:space="preserve">costs and benefits of (to be) adopted measures </w:t>
      </w:r>
      <w:r w:rsidR="003A2918">
        <w:rPr>
          <w:rFonts w:ascii="Times New Roman" w:hAnsi="Times New Roman" w:cs="Times New Roman"/>
          <w:noProof/>
          <w:sz w:val="24"/>
          <w:szCs w:val="24"/>
        </w:rPr>
        <w:t xml:space="preserve">are considered, both in terms of their overall budgetary impact but also whether they </w:t>
      </w:r>
      <w:r w:rsidR="003A2918" w:rsidRPr="00BD1FD8">
        <w:rPr>
          <w:rFonts w:ascii="Times New Roman" w:hAnsi="Times New Roman" w:cs="Times New Roman"/>
          <w:noProof/>
          <w:sz w:val="24"/>
          <w:szCs w:val="24"/>
        </w:rPr>
        <w:t>may affect, in a disproportionate way, different groups of the population</w:t>
      </w:r>
      <w:r w:rsidR="00411E0B">
        <w:rPr>
          <w:rFonts w:ascii="Times New Roman" w:hAnsi="Times New Roman" w:cs="Times New Roman"/>
          <w:noProof/>
          <w:sz w:val="24"/>
          <w:szCs w:val="24"/>
        </w:rPr>
        <w:t>.</w:t>
      </w:r>
      <w:r w:rsidR="004933DA" w:rsidRPr="003A205A">
        <w:rPr>
          <w:rStyle w:val="FootnoteReference"/>
          <w:rFonts w:ascii="Times New Roman" w:hAnsi="Times New Roman" w:cs="Times New Roman"/>
          <w:noProof/>
          <w:sz w:val="24"/>
          <w:szCs w:val="24"/>
        </w:rPr>
        <w:footnoteReference w:id="2"/>
      </w:r>
      <w:r w:rsidR="003A2918" w:rsidRPr="00BD1FD8">
        <w:rPr>
          <w:noProof/>
        </w:rPr>
        <w:t xml:space="preserve"> </w:t>
      </w:r>
    </w:p>
    <w:p w14:paraId="63C65801" w14:textId="5AC0AA20" w:rsidR="009A2A47" w:rsidRDefault="009A2A47" w:rsidP="00C11D08">
      <w:pPr>
        <w:jc w:val="both"/>
        <w:rPr>
          <w:rFonts w:ascii="Times New Roman" w:hAnsi="Times New Roman" w:cs="Times New Roman"/>
          <w:noProof/>
          <w:sz w:val="24"/>
          <w:szCs w:val="24"/>
        </w:rPr>
      </w:pPr>
      <w:r w:rsidRPr="00186CFA">
        <w:rPr>
          <w:rFonts w:ascii="Times New Roman" w:hAnsi="Times New Roman" w:cs="Times New Roman"/>
          <w:b/>
          <w:noProof/>
          <w:sz w:val="24"/>
          <w:szCs w:val="24"/>
        </w:rPr>
        <w:t xml:space="preserve">This Staff Working Document (SWD) supports the Commission Communication </w:t>
      </w:r>
      <w:r w:rsidR="009D72D3">
        <w:rPr>
          <w:rFonts w:ascii="Times New Roman" w:hAnsi="Times New Roman" w:cs="Times New Roman"/>
          <w:b/>
          <w:noProof/>
          <w:sz w:val="24"/>
          <w:szCs w:val="24"/>
        </w:rPr>
        <w:t xml:space="preserve">on better </w:t>
      </w:r>
      <w:r w:rsidR="00AA3CF7">
        <w:rPr>
          <w:rFonts w:ascii="Times New Roman" w:hAnsi="Times New Roman" w:cs="Times New Roman"/>
          <w:b/>
          <w:noProof/>
          <w:sz w:val="24"/>
          <w:szCs w:val="24"/>
        </w:rPr>
        <w:t xml:space="preserve">assessing </w:t>
      </w:r>
      <w:r w:rsidR="009D72D3">
        <w:rPr>
          <w:rFonts w:ascii="Times New Roman" w:hAnsi="Times New Roman" w:cs="Times New Roman"/>
          <w:b/>
          <w:noProof/>
          <w:sz w:val="24"/>
          <w:szCs w:val="24"/>
        </w:rPr>
        <w:t xml:space="preserve">the distributional impact of Member States’ </w:t>
      </w:r>
      <w:r w:rsidR="00804E82">
        <w:rPr>
          <w:rFonts w:ascii="Times New Roman" w:hAnsi="Times New Roman" w:cs="Times New Roman"/>
          <w:b/>
          <w:noProof/>
          <w:sz w:val="24"/>
          <w:szCs w:val="24"/>
        </w:rPr>
        <w:t>policies</w:t>
      </w:r>
      <w:r w:rsidRPr="00186CFA">
        <w:rPr>
          <w:rFonts w:ascii="Times New Roman" w:hAnsi="Times New Roman" w:cs="Times New Roman"/>
          <w:b/>
          <w:noProof/>
          <w:sz w:val="24"/>
          <w:szCs w:val="24"/>
        </w:rPr>
        <w:t>.</w:t>
      </w:r>
      <w:r>
        <w:rPr>
          <w:rFonts w:ascii="Times New Roman" w:hAnsi="Times New Roman" w:cs="Times New Roman"/>
          <w:noProof/>
          <w:sz w:val="24"/>
          <w:szCs w:val="24"/>
        </w:rPr>
        <w:t xml:space="preserve"> As such</w:t>
      </w:r>
      <w:r w:rsidR="00AD5FC6">
        <w:rPr>
          <w:rFonts w:ascii="Times New Roman" w:hAnsi="Times New Roman" w:cs="Times New Roman"/>
          <w:noProof/>
          <w:sz w:val="24"/>
          <w:szCs w:val="24"/>
        </w:rPr>
        <w:t>,</w:t>
      </w:r>
      <w:r>
        <w:rPr>
          <w:rFonts w:ascii="Times New Roman" w:hAnsi="Times New Roman" w:cs="Times New Roman"/>
          <w:noProof/>
          <w:sz w:val="24"/>
          <w:szCs w:val="24"/>
        </w:rPr>
        <w:t xml:space="preserve"> it presents further considerations on elements of the current context that call for making more systematic use of DIA. It then </w:t>
      </w:r>
      <w:r w:rsidR="009D71DB">
        <w:rPr>
          <w:rFonts w:ascii="Times New Roman" w:hAnsi="Times New Roman" w:cs="Times New Roman"/>
          <w:noProof/>
          <w:sz w:val="24"/>
          <w:szCs w:val="24"/>
        </w:rPr>
        <w:t>gives a</w:t>
      </w:r>
      <w:r w:rsidR="00D751F6">
        <w:rPr>
          <w:rFonts w:ascii="Times New Roman" w:hAnsi="Times New Roman" w:cs="Times New Roman"/>
          <w:noProof/>
          <w:sz w:val="24"/>
          <w:szCs w:val="24"/>
        </w:rPr>
        <w:t>n over</w:t>
      </w:r>
      <w:r w:rsidR="009D71DB">
        <w:rPr>
          <w:rFonts w:ascii="Times New Roman" w:hAnsi="Times New Roman" w:cs="Times New Roman"/>
          <w:noProof/>
          <w:sz w:val="24"/>
          <w:szCs w:val="24"/>
        </w:rPr>
        <w:t>view of the</w:t>
      </w:r>
      <w:r w:rsidR="00D751F6">
        <w:rPr>
          <w:rFonts w:ascii="Times New Roman" w:hAnsi="Times New Roman" w:cs="Times New Roman"/>
          <w:noProof/>
          <w:sz w:val="24"/>
          <w:szCs w:val="24"/>
        </w:rPr>
        <w:t xml:space="preserve"> extent to which DIA is</w:t>
      </w:r>
      <w:r w:rsidR="009D71DB">
        <w:rPr>
          <w:rFonts w:ascii="Times New Roman" w:hAnsi="Times New Roman" w:cs="Times New Roman"/>
          <w:noProof/>
          <w:sz w:val="24"/>
          <w:szCs w:val="24"/>
        </w:rPr>
        <w:t xml:space="preserve"> </w:t>
      </w:r>
      <w:r w:rsidR="00D751F6">
        <w:rPr>
          <w:rFonts w:ascii="Times New Roman" w:hAnsi="Times New Roman" w:cs="Times New Roman"/>
          <w:noProof/>
          <w:sz w:val="24"/>
          <w:szCs w:val="24"/>
        </w:rPr>
        <w:t>used</w:t>
      </w:r>
      <w:r w:rsidR="009D71DB">
        <w:rPr>
          <w:rFonts w:ascii="Times New Roman" w:hAnsi="Times New Roman" w:cs="Times New Roman"/>
          <w:noProof/>
          <w:sz w:val="24"/>
          <w:szCs w:val="24"/>
        </w:rPr>
        <w:t xml:space="preserve"> in EU Member States. </w:t>
      </w:r>
      <w:r w:rsidR="00D751F6">
        <w:rPr>
          <w:rFonts w:ascii="Times New Roman" w:hAnsi="Times New Roman" w:cs="Times New Roman"/>
          <w:noProof/>
          <w:sz w:val="24"/>
          <w:szCs w:val="24"/>
        </w:rPr>
        <w:t xml:space="preserve">Finally, it provides additional information on various aspects of conducting quality DIA. </w:t>
      </w:r>
    </w:p>
    <w:p w14:paraId="6D43A1FE" w14:textId="77777777" w:rsidR="00F57CCC" w:rsidRPr="009A2A47" w:rsidRDefault="00F57CCC" w:rsidP="00C11D08">
      <w:pPr>
        <w:jc w:val="both"/>
        <w:rPr>
          <w:rFonts w:ascii="Times New Roman" w:hAnsi="Times New Roman" w:cs="Times New Roman"/>
          <w:noProof/>
          <w:sz w:val="24"/>
          <w:szCs w:val="24"/>
        </w:rPr>
      </w:pPr>
    </w:p>
    <w:p w14:paraId="62B99520" w14:textId="558C2EC9" w:rsidR="00A43E87" w:rsidRPr="004B203D" w:rsidRDefault="007E465C" w:rsidP="00F6593C">
      <w:pPr>
        <w:pStyle w:val="Heading1"/>
        <w:numPr>
          <w:ilvl w:val="0"/>
          <w:numId w:val="27"/>
        </w:numPr>
        <w:rPr>
          <w:rFonts w:ascii="Times New Roman" w:hAnsi="Times New Roman" w:cs="Times New Roman"/>
          <w:noProof/>
        </w:rPr>
      </w:pPr>
      <w:bookmarkStart w:id="3" w:name="_Toc114470583"/>
      <w:r w:rsidRPr="004B203D">
        <w:rPr>
          <w:rFonts w:ascii="Times New Roman" w:hAnsi="Times New Roman" w:cs="Times New Roman"/>
          <w:noProof/>
        </w:rPr>
        <w:t>Increasing importance of reliance on DIA</w:t>
      </w:r>
      <w:r w:rsidR="00F6593C" w:rsidRPr="004B203D">
        <w:rPr>
          <w:rFonts w:ascii="Times New Roman" w:hAnsi="Times New Roman" w:cs="Times New Roman"/>
          <w:noProof/>
        </w:rPr>
        <w:t>s</w:t>
      </w:r>
      <w:bookmarkEnd w:id="3"/>
    </w:p>
    <w:p w14:paraId="5608CE38" w14:textId="77777777" w:rsidR="00845146" w:rsidRDefault="00845146" w:rsidP="00A43E87">
      <w:pPr>
        <w:jc w:val="both"/>
        <w:rPr>
          <w:rFonts w:ascii="Times New Roman" w:hAnsi="Times New Roman" w:cs="Times New Roman"/>
          <w:b/>
          <w:noProof/>
          <w:sz w:val="24"/>
          <w:szCs w:val="24"/>
        </w:rPr>
      </w:pPr>
    </w:p>
    <w:p w14:paraId="70DBD9F3" w14:textId="2A2AE3F9" w:rsidR="00117B3F" w:rsidRPr="00B32689" w:rsidRDefault="00A43E87" w:rsidP="00A43E87">
      <w:pPr>
        <w:jc w:val="both"/>
        <w:rPr>
          <w:rFonts w:ascii="Times New Roman" w:hAnsi="Times New Roman" w:cs="Times New Roman"/>
          <w:noProof/>
          <w:sz w:val="24"/>
          <w:szCs w:val="24"/>
        </w:rPr>
      </w:pPr>
      <w:r w:rsidRPr="00B31C4A">
        <w:rPr>
          <w:rFonts w:ascii="Times New Roman" w:hAnsi="Times New Roman" w:cs="Times New Roman"/>
          <w:b/>
          <w:noProof/>
          <w:sz w:val="24"/>
          <w:szCs w:val="24"/>
        </w:rPr>
        <w:t>Recent years have seen an increase in the calls for a better understanding of the distributional impacts of policies.</w:t>
      </w:r>
      <w:r w:rsidRPr="00385348">
        <w:rPr>
          <w:rFonts w:ascii="Times New Roman" w:hAnsi="Times New Roman" w:cs="Times New Roman"/>
          <w:noProof/>
          <w:sz w:val="24"/>
          <w:szCs w:val="24"/>
        </w:rPr>
        <w:t xml:space="preserve"> </w:t>
      </w:r>
      <w:r w:rsidR="00B32689">
        <w:rPr>
          <w:rFonts w:ascii="Times New Roman" w:hAnsi="Times New Roman" w:cs="Times New Roman"/>
          <w:noProof/>
          <w:sz w:val="24"/>
          <w:szCs w:val="24"/>
        </w:rPr>
        <w:t>T</w:t>
      </w:r>
      <w:r w:rsidR="00F843FA" w:rsidRPr="00F843FA">
        <w:rPr>
          <w:rFonts w:ascii="Times New Roman" w:hAnsi="Times New Roman" w:cs="Times New Roman"/>
          <w:noProof/>
          <w:sz w:val="24"/>
          <w:szCs w:val="24"/>
        </w:rPr>
        <w:t>he 2008 financial crisis gave a strong push to the inequality and redistribution related research, including improvements and wider use of microsimulation models for redistributive analyses.</w:t>
      </w:r>
      <w:r w:rsidRPr="00385348">
        <w:rPr>
          <w:rFonts w:ascii="Times New Roman" w:hAnsi="Times New Roman" w:cs="Times New Roman"/>
          <w:noProof/>
          <w:sz w:val="24"/>
          <w:szCs w:val="24"/>
        </w:rPr>
        <w:t xml:space="preserve"> </w:t>
      </w:r>
      <w:r w:rsidR="005F19FA">
        <w:rPr>
          <w:rFonts w:ascii="Times New Roman" w:hAnsi="Times New Roman" w:cs="Times New Roman"/>
          <w:noProof/>
          <w:sz w:val="24"/>
          <w:szCs w:val="24"/>
        </w:rPr>
        <w:t>T</w:t>
      </w:r>
      <w:r w:rsidRPr="00385348">
        <w:rPr>
          <w:rFonts w:ascii="Times New Roman" w:hAnsi="Times New Roman" w:cs="Times New Roman"/>
          <w:noProof/>
          <w:sz w:val="24"/>
          <w:szCs w:val="24"/>
        </w:rPr>
        <w:t xml:space="preserve">he </w:t>
      </w:r>
      <w:r w:rsidR="00C54BFC">
        <w:rPr>
          <w:rFonts w:ascii="Times New Roman" w:hAnsi="Times New Roman" w:cs="Times New Roman"/>
          <w:noProof/>
          <w:sz w:val="24"/>
          <w:szCs w:val="24"/>
        </w:rPr>
        <w:t xml:space="preserve">challenges brought about by the green and digital transitions, and the </w:t>
      </w:r>
      <w:r w:rsidR="00B32689" w:rsidRPr="00B32689">
        <w:rPr>
          <w:rFonts w:ascii="Times New Roman" w:hAnsi="Times New Roman" w:cs="Times New Roman"/>
          <w:noProof/>
          <w:sz w:val="24"/>
          <w:szCs w:val="24"/>
        </w:rPr>
        <w:t xml:space="preserve">COVID-19 </w:t>
      </w:r>
      <w:r w:rsidR="00C54BFC">
        <w:rPr>
          <w:rFonts w:ascii="Times New Roman" w:hAnsi="Times New Roman" w:cs="Times New Roman"/>
          <w:noProof/>
          <w:sz w:val="24"/>
          <w:szCs w:val="24"/>
        </w:rPr>
        <w:t>pandemic</w:t>
      </w:r>
      <w:r w:rsidR="00B32689" w:rsidRPr="00B32689">
        <w:rPr>
          <w:rFonts w:ascii="Times New Roman" w:hAnsi="Times New Roman" w:cs="Times New Roman"/>
          <w:noProof/>
          <w:sz w:val="24"/>
          <w:szCs w:val="24"/>
        </w:rPr>
        <w:t xml:space="preserve"> contributed further to that.</w:t>
      </w:r>
    </w:p>
    <w:p w14:paraId="76724207" w14:textId="19E51A7E" w:rsidR="00117B3F" w:rsidRPr="009D7C7E" w:rsidRDefault="00117B3F" w:rsidP="00117B3F">
      <w:pPr>
        <w:jc w:val="both"/>
        <w:rPr>
          <w:rFonts w:ascii="Times New Roman" w:hAnsi="Times New Roman" w:cs="Times New Roman"/>
          <w:b/>
          <w:i/>
          <w:noProof/>
          <w:sz w:val="24"/>
          <w:szCs w:val="24"/>
        </w:rPr>
      </w:pPr>
      <w:r>
        <w:rPr>
          <w:rFonts w:ascii="Times New Roman" w:hAnsi="Times New Roman" w:cs="Times New Roman"/>
          <w:b/>
          <w:i/>
          <w:noProof/>
          <w:sz w:val="24"/>
          <w:szCs w:val="24"/>
        </w:rPr>
        <w:t>Poverty and inequality</w:t>
      </w:r>
      <w:r w:rsidR="008944E8">
        <w:rPr>
          <w:rFonts w:ascii="Times New Roman" w:hAnsi="Times New Roman" w:cs="Times New Roman"/>
          <w:b/>
          <w:i/>
          <w:noProof/>
          <w:sz w:val="24"/>
          <w:szCs w:val="24"/>
        </w:rPr>
        <w:t>-</w:t>
      </w:r>
      <w:r>
        <w:rPr>
          <w:rFonts w:ascii="Times New Roman" w:hAnsi="Times New Roman" w:cs="Times New Roman"/>
          <w:b/>
          <w:i/>
          <w:noProof/>
          <w:sz w:val="24"/>
          <w:szCs w:val="24"/>
        </w:rPr>
        <w:t xml:space="preserve">proofing of new policies in a context of growing economic inequalities </w:t>
      </w:r>
      <w:r w:rsidRPr="009D7C7E">
        <w:rPr>
          <w:rFonts w:ascii="Times New Roman" w:hAnsi="Times New Roman" w:cs="Times New Roman"/>
          <w:b/>
          <w:i/>
          <w:noProof/>
          <w:sz w:val="24"/>
          <w:szCs w:val="24"/>
        </w:rPr>
        <w:t xml:space="preserve"> </w:t>
      </w:r>
    </w:p>
    <w:p w14:paraId="1BAFB3D4" w14:textId="2F91B86B" w:rsidR="00117B3F" w:rsidRPr="009D7C7E" w:rsidRDefault="00117B3F" w:rsidP="00117B3F">
      <w:pPr>
        <w:jc w:val="both"/>
        <w:rPr>
          <w:rFonts w:ascii="Times New Roman" w:hAnsi="Times New Roman" w:cs="Times New Roman"/>
          <w:noProof/>
          <w:sz w:val="24"/>
          <w:szCs w:val="24"/>
        </w:rPr>
      </w:pPr>
      <w:r w:rsidRPr="00714B43">
        <w:rPr>
          <w:rFonts w:ascii="Times New Roman" w:hAnsi="Times New Roman" w:cs="Times New Roman"/>
          <w:b/>
          <w:noProof/>
          <w:sz w:val="24"/>
          <w:szCs w:val="24"/>
        </w:rPr>
        <w:t xml:space="preserve">Reliable assessment of the distributional impact of the planned budgetary measures </w:t>
      </w:r>
      <w:r w:rsidR="00923572">
        <w:rPr>
          <w:rFonts w:ascii="Times New Roman" w:hAnsi="Times New Roman" w:cs="Times New Roman"/>
          <w:b/>
          <w:noProof/>
          <w:sz w:val="24"/>
          <w:szCs w:val="24"/>
        </w:rPr>
        <w:t xml:space="preserve">is </w:t>
      </w:r>
      <w:r w:rsidRPr="00714B43">
        <w:rPr>
          <w:rFonts w:ascii="Times New Roman" w:hAnsi="Times New Roman" w:cs="Times New Roman"/>
          <w:b/>
          <w:noProof/>
          <w:sz w:val="24"/>
          <w:szCs w:val="24"/>
        </w:rPr>
        <w:t>particular</w:t>
      </w:r>
      <w:r w:rsidR="00923572">
        <w:rPr>
          <w:rFonts w:ascii="Times New Roman" w:hAnsi="Times New Roman" w:cs="Times New Roman"/>
          <w:b/>
          <w:noProof/>
          <w:sz w:val="24"/>
          <w:szCs w:val="24"/>
        </w:rPr>
        <w:t>ly</w:t>
      </w:r>
      <w:r w:rsidRPr="00714B43">
        <w:rPr>
          <w:rFonts w:ascii="Times New Roman" w:hAnsi="Times New Roman" w:cs="Times New Roman"/>
          <w:b/>
          <w:noProof/>
          <w:sz w:val="24"/>
          <w:szCs w:val="24"/>
        </w:rPr>
        <w:t xml:space="preserve"> important in a context of overall increasing inequalities</w:t>
      </w:r>
      <w:r w:rsidR="00FB3283">
        <w:rPr>
          <w:rFonts w:ascii="Times New Roman" w:hAnsi="Times New Roman" w:cs="Times New Roman"/>
          <w:b/>
          <w:noProof/>
          <w:sz w:val="24"/>
          <w:szCs w:val="24"/>
        </w:rPr>
        <w:t xml:space="preserve">. </w:t>
      </w:r>
      <w:r w:rsidRPr="00845146">
        <w:rPr>
          <w:rFonts w:ascii="Times New Roman" w:hAnsi="Times New Roman" w:cs="Times New Roman"/>
          <w:noProof/>
          <w:sz w:val="24"/>
          <w:szCs w:val="24"/>
        </w:rPr>
        <w:t xml:space="preserve">Europeans feel strongly about the need to address </w:t>
      </w:r>
      <w:r w:rsidR="00347A38">
        <w:rPr>
          <w:rFonts w:ascii="Times New Roman" w:hAnsi="Times New Roman" w:cs="Times New Roman"/>
          <w:noProof/>
          <w:sz w:val="24"/>
          <w:szCs w:val="24"/>
        </w:rPr>
        <w:t xml:space="preserve">income </w:t>
      </w:r>
      <w:r w:rsidRPr="00845146">
        <w:rPr>
          <w:rFonts w:ascii="Times New Roman" w:hAnsi="Times New Roman" w:cs="Times New Roman"/>
          <w:noProof/>
          <w:sz w:val="24"/>
          <w:szCs w:val="24"/>
        </w:rPr>
        <w:t>inequalities</w:t>
      </w:r>
      <w:r w:rsidRPr="00714B43">
        <w:rPr>
          <w:rFonts w:ascii="Times New Roman" w:hAnsi="Times New Roman" w:cs="Times New Roman"/>
          <w:noProof/>
          <w:sz w:val="24"/>
          <w:szCs w:val="24"/>
        </w:rPr>
        <w:t xml:space="preserve"> and for national governments to take measures in this respect as expressed in a recurrent manner in Eurobarometer surveys</w:t>
      </w:r>
      <w:r>
        <w:rPr>
          <w:rStyle w:val="FootnoteReference"/>
          <w:rFonts w:ascii="Times New Roman" w:hAnsi="Times New Roman" w:cs="Times New Roman"/>
          <w:noProof/>
          <w:sz w:val="24"/>
          <w:szCs w:val="24"/>
        </w:rPr>
        <w:footnoteReference w:id="3"/>
      </w:r>
      <w:r w:rsidRPr="00714B43">
        <w:rPr>
          <w:rFonts w:ascii="Times New Roman" w:hAnsi="Times New Roman" w:cs="Times New Roman"/>
          <w:noProof/>
          <w:sz w:val="24"/>
          <w:szCs w:val="24"/>
        </w:rPr>
        <w:t xml:space="preserve">. </w:t>
      </w:r>
      <w:r w:rsidRPr="009D7C7E">
        <w:rPr>
          <w:rFonts w:ascii="Times New Roman" w:hAnsi="Times New Roman" w:cs="Times New Roman"/>
          <w:noProof/>
          <w:sz w:val="24"/>
          <w:szCs w:val="24"/>
        </w:rPr>
        <w:t>I</w:t>
      </w:r>
      <w:r w:rsidR="00347A38">
        <w:rPr>
          <w:rFonts w:ascii="Times New Roman" w:hAnsi="Times New Roman" w:cs="Times New Roman"/>
          <w:noProof/>
          <w:sz w:val="24"/>
          <w:szCs w:val="24"/>
        </w:rPr>
        <w:t>ncome i</w:t>
      </w:r>
      <w:r w:rsidRPr="009D7C7E">
        <w:rPr>
          <w:rFonts w:ascii="Times New Roman" w:hAnsi="Times New Roman" w:cs="Times New Roman"/>
          <w:noProof/>
          <w:sz w:val="24"/>
          <w:szCs w:val="24"/>
        </w:rPr>
        <w:t>nequality has become one of the main concerns for EU citizens. Eurobarometer surveys from before the C</w:t>
      </w:r>
      <w:r w:rsidR="00923572">
        <w:rPr>
          <w:rFonts w:ascii="Times New Roman" w:hAnsi="Times New Roman" w:cs="Times New Roman"/>
          <w:noProof/>
          <w:sz w:val="24"/>
          <w:szCs w:val="24"/>
        </w:rPr>
        <w:t>OVID-19</w:t>
      </w:r>
      <w:r w:rsidRPr="009D7C7E">
        <w:rPr>
          <w:rFonts w:ascii="Times New Roman" w:hAnsi="Times New Roman" w:cs="Times New Roman"/>
          <w:noProof/>
          <w:sz w:val="24"/>
          <w:szCs w:val="24"/>
        </w:rPr>
        <w:t xml:space="preserve"> crisis (2017) show that, overall 84 % of people in Europe think that income inequality in their country is too high, with 81 % saying their governments should take measures to reduce income inequality. This highlights public perceptions of unfairness about the impact of public policies on inequalities, which may feed discontent and mistrust towards institutions and governments.</w:t>
      </w:r>
    </w:p>
    <w:p w14:paraId="31420BAE" w14:textId="66F52156" w:rsidR="008944E8" w:rsidRDefault="008944E8" w:rsidP="008944E8">
      <w:pPr>
        <w:jc w:val="both"/>
        <w:rPr>
          <w:rFonts w:ascii="Times New Roman" w:hAnsi="Times New Roman" w:cs="Times New Roman"/>
          <w:noProof/>
          <w:sz w:val="24"/>
          <w:szCs w:val="24"/>
        </w:rPr>
      </w:pPr>
      <w:r>
        <w:rPr>
          <w:rFonts w:ascii="Times New Roman" w:hAnsi="Times New Roman" w:cs="Times New Roman"/>
          <w:b/>
          <w:bCs/>
          <w:noProof/>
          <w:sz w:val="24"/>
          <w:szCs w:val="24"/>
        </w:rPr>
        <w:t>Over the last decade, overall income inequality has been quite stable in the EU</w:t>
      </w:r>
      <w:r w:rsidRPr="000D27E3">
        <w:rPr>
          <w:rFonts w:ascii="Times New Roman" w:hAnsi="Times New Roman" w:cs="Times New Roman"/>
          <w:b/>
          <w:bCs/>
          <w:noProof/>
          <w:sz w:val="24"/>
          <w:szCs w:val="24"/>
        </w:rPr>
        <w:t xml:space="preserve">.  </w:t>
      </w:r>
      <w:r w:rsidRPr="000D27E3">
        <w:rPr>
          <w:rFonts w:ascii="Times New Roman" w:hAnsi="Times New Roman" w:cs="Times New Roman"/>
          <w:noProof/>
          <w:sz w:val="24"/>
          <w:szCs w:val="24"/>
        </w:rPr>
        <w:t>The 2008 crisis had seen an increase of income inequality with different situations in EU countries.</w:t>
      </w:r>
      <w:r w:rsidR="0023485A">
        <w:rPr>
          <w:rStyle w:val="FootnoteReference"/>
          <w:rFonts w:ascii="Times New Roman" w:hAnsi="Times New Roman" w:cs="Times New Roman"/>
          <w:noProof/>
          <w:sz w:val="24"/>
          <w:szCs w:val="24"/>
        </w:rPr>
        <w:footnoteReference w:id="4"/>
      </w:r>
      <w:r w:rsidR="0023485A" w:rsidDel="0023485A">
        <w:rPr>
          <w:rStyle w:val="CommentReference"/>
          <w:noProof/>
        </w:rPr>
        <w:t xml:space="preserve"> </w:t>
      </w:r>
      <w:r w:rsidRPr="000D27E3">
        <w:rPr>
          <w:rFonts w:ascii="Times New Roman" w:hAnsi="Times New Roman" w:cs="Times New Roman"/>
          <w:noProof/>
          <w:sz w:val="24"/>
          <w:szCs w:val="24"/>
        </w:rPr>
        <w:t xml:space="preserve"> </w:t>
      </w:r>
      <w:r w:rsidR="002443A5" w:rsidRPr="000D27E3">
        <w:rPr>
          <w:rFonts w:ascii="Times New Roman" w:hAnsi="Times New Roman" w:cs="Times New Roman"/>
          <w:noProof/>
          <w:sz w:val="24"/>
          <w:szCs w:val="24"/>
        </w:rPr>
        <w:t>I</w:t>
      </w:r>
      <w:r w:rsidRPr="000D27E3">
        <w:rPr>
          <w:rFonts w:ascii="Times New Roman" w:hAnsi="Times New Roman" w:cs="Times New Roman"/>
          <w:noProof/>
          <w:sz w:val="24"/>
          <w:szCs w:val="24"/>
        </w:rPr>
        <w:t>ncome inequality</w:t>
      </w:r>
      <w:r w:rsidR="002443A5" w:rsidRPr="000D27E3">
        <w:rPr>
          <w:rFonts w:ascii="Times New Roman" w:hAnsi="Times New Roman" w:cs="Times New Roman"/>
          <w:noProof/>
          <w:sz w:val="24"/>
          <w:szCs w:val="24"/>
        </w:rPr>
        <w:t xml:space="preserve"> then</w:t>
      </w:r>
      <w:r w:rsidRPr="000D27E3">
        <w:rPr>
          <w:rFonts w:ascii="Times New Roman" w:hAnsi="Times New Roman" w:cs="Times New Roman"/>
          <w:noProof/>
          <w:sz w:val="24"/>
          <w:szCs w:val="24"/>
        </w:rPr>
        <w:t xml:space="preserve"> slightly decreased </w:t>
      </w:r>
      <w:r w:rsidR="0023485A">
        <w:rPr>
          <w:rFonts w:ascii="Times New Roman" w:hAnsi="Times New Roman" w:cs="Times New Roman"/>
          <w:noProof/>
          <w:sz w:val="24"/>
          <w:szCs w:val="24"/>
        </w:rPr>
        <w:t>in the</w:t>
      </w:r>
      <w:r w:rsidRPr="000D27E3">
        <w:rPr>
          <w:rFonts w:ascii="Times New Roman" w:hAnsi="Times New Roman" w:cs="Times New Roman"/>
          <w:noProof/>
          <w:sz w:val="24"/>
          <w:szCs w:val="24"/>
        </w:rPr>
        <w:t xml:space="preserve"> years before the COVID-19 pandemic</w:t>
      </w:r>
      <w:r w:rsidR="002443A5" w:rsidRPr="000D27E3">
        <w:rPr>
          <w:rFonts w:ascii="Times New Roman" w:hAnsi="Times New Roman" w:cs="Times New Roman"/>
          <w:noProof/>
          <w:sz w:val="24"/>
          <w:szCs w:val="24"/>
        </w:rPr>
        <w:t xml:space="preserve">. The income quintile share ratio in the EU27, which compares the share of total income received by the 20% of the population with the highest disposable income to that received by the poorest 20%, stood at 4.90 in 2020, slightly lower than in 2011 when it was 4.99. However, inequality </w:t>
      </w:r>
      <w:r w:rsidRPr="000D27E3">
        <w:rPr>
          <w:rFonts w:ascii="Times New Roman" w:hAnsi="Times New Roman" w:cs="Times New Roman"/>
          <w:noProof/>
          <w:sz w:val="24"/>
          <w:szCs w:val="24"/>
        </w:rPr>
        <w:t xml:space="preserve">increased at the lower end of the income distribution </w:t>
      </w:r>
      <w:r w:rsidR="009969BB" w:rsidRPr="000D27E3">
        <w:rPr>
          <w:rFonts w:ascii="Times New Roman" w:hAnsi="Times New Roman" w:cs="Times New Roman"/>
          <w:noProof/>
          <w:sz w:val="24"/>
          <w:szCs w:val="24"/>
        </w:rPr>
        <w:t>(</w:t>
      </w:r>
      <w:r w:rsidR="000C5323" w:rsidRPr="000D27E3">
        <w:rPr>
          <w:rFonts w:ascii="Times New Roman" w:hAnsi="Times New Roman" w:cs="Times New Roman"/>
          <w:noProof/>
          <w:sz w:val="24"/>
          <w:szCs w:val="24"/>
        </w:rPr>
        <w:t>as captured by S50/S20</w:t>
      </w:r>
      <w:r w:rsidR="001656E3">
        <w:rPr>
          <w:rStyle w:val="FootnoteReference"/>
          <w:rFonts w:ascii="Times New Roman" w:hAnsi="Times New Roman" w:cs="Times New Roman"/>
          <w:noProof/>
          <w:sz w:val="24"/>
          <w:szCs w:val="24"/>
        </w:rPr>
        <w:footnoteReference w:id="5"/>
      </w:r>
      <w:r w:rsidR="009969BB" w:rsidRPr="000D27E3">
        <w:rPr>
          <w:rFonts w:ascii="Times New Roman" w:hAnsi="Times New Roman" w:cs="Times New Roman"/>
          <w:noProof/>
          <w:sz w:val="24"/>
          <w:szCs w:val="24"/>
        </w:rPr>
        <w:t>)</w:t>
      </w:r>
      <w:r w:rsidR="0023485A">
        <w:rPr>
          <w:rFonts w:ascii="Times New Roman" w:hAnsi="Times New Roman" w:cs="Times New Roman"/>
          <w:noProof/>
          <w:sz w:val="24"/>
          <w:szCs w:val="24"/>
        </w:rPr>
        <w:t xml:space="preserve"> </w:t>
      </w:r>
      <w:r w:rsidR="0023485A" w:rsidRPr="0023485A">
        <w:rPr>
          <w:rFonts w:ascii="Times New Roman" w:hAnsi="Times New Roman" w:cs="Times New Roman"/>
          <w:noProof/>
          <w:sz w:val="24"/>
          <w:szCs w:val="24"/>
        </w:rPr>
        <w:t>in the first half of 2010s and in spite of the subsequent decrease</w:t>
      </w:r>
      <w:r w:rsidR="0023485A">
        <w:rPr>
          <w:rFonts w:ascii="Times New Roman" w:hAnsi="Times New Roman" w:cs="Times New Roman"/>
          <w:noProof/>
          <w:sz w:val="24"/>
          <w:szCs w:val="24"/>
        </w:rPr>
        <w:t xml:space="preserve"> in 2020 was still slightly higher than a decade earlier</w:t>
      </w:r>
      <w:r w:rsidRPr="000D27E3">
        <w:rPr>
          <w:rFonts w:ascii="Times New Roman" w:hAnsi="Times New Roman" w:cs="Times New Roman"/>
          <w:noProof/>
          <w:sz w:val="24"/>
          <w:szCs w:val="24"/>
        </w:rPr>
        <w:t>, raising concerns about the inclusiveness of economic growth. The income share of the bottom 40% of the population has also remained rather constant at 21.4% in 2020 compared to 21.2% in 2011</w:t>
      </w:r>
      <w:r w:rsidR="003D46C0">
        <w:rPr>
          <w:rStyle w:val="FootnoteReference"/>
          <w:rFonts w:ascii="Times New Roman" w:hAnsi="Times New Roman" w:cs="Times New Roman"/>
          <w:noProof/>
          <w:sz w:val="24"/>
          <w:szCs w:val="24"/>
        </w:rPr>
        <w:footnoteReference w:id="6"/>
      </w:r>
      <w:r w:rsidRPr="000D27E3">
        <w:rPr>
          <w:rFonts w:ascii="Times New Roman" w:hAnsi="Times New Roman" w:cs="Times New Roman"/>
          <w:noProof/>
          <w:sz w:val="24"/>
          <w:szCs w:val="24"/>
        </w:rPr>
        <w:t>. During the economic recovery preceding the COVID pandemic, labour market improvements have generally favoured high-income families, whereas levels of long-term unemployment and inactivity remained high, and in-work poverty did not decline significantly</w:t>
      </w:r>
      <w:r w:rsidR="0023485A">
        <w:rPr>
          <w:rStyle w:val="FootnoteReference"/>
          <w:rFonts w:ascii="Times New Roman" w:hAnsi="Times New Roman" w:cs="Times New Roman"/>
          <w:noProof/>
          <w:sz w:val="24"/>
          <w:szCs w:val="24"/>
        </w:rPr>
        <w:footnoteReference w:id="7"/>
      </w:r>
      <w:r w:rsidRPr="000D27E3">
        <w:rPr>
          <w:rFonts w:ascii="Times New Roman" w:hAnsi="Times New Roman" w:cs="Times New Roman"/>
          <w:noProof/>
          <w:sz w:val="24"/>
          <w:szCs w:val="24"/>
        </w:rPr>
        <w:t>.</w:t>
      </w:r>
    </w:p>
    <w:p w14:paraId="11D46D27" w14:textId="77777777" w:rsidR="00590035" w:rsidRDefault="00117B3F" w:rsidP="00423EC6">
      <w:pPr>
        <w:spacing w:before="120" w:after="120" w:line="276" w:lineRule="auto"/>
        <w:jc w:val="both"/>
        <w:rPr>
          <w:rFonts w:ascii="Times New Roman" w:hAnsi="Times New Roman" w:cs="Times New Roman"/>
          <w:noProof/>
          <w:sz w:val="24"/>
          <w:szCs w:val="24"/>
        </w:rPr>
      </w:pPr>
      <w:r>
        <w:rPr>
          <w:rFonts w:ascii="Times New Roman" w:hAnsi="Times New Roman" w:cs="Times New Roman"/>
          <w:b/>
          <w:noProof/>
          <w:sz w:val="24"/>
          <w:szCs w:val="24"/>
        </w:rPr>
        <w:t>Ad</w:t>
      </w:r>
      <w:r w:rsidR="00C11D08">
        <w:rPr>
          <w:rFonts w:ascii="Times New Roman" w:hAnsi="Times New Roman" w:cs="Times New Roman"/>
          <w:b/>
          <w:noProof/>
          <w:sz w:val="24"/>
          <w:szCs w:val="24"/>
        </w:rPr>
        <w:t>d</w:t>
      </w:r>
      <w:r>
        <w:rPr>
          <w:rFonts w:ascii="Times New Roman" w:hAnsi="Times New Roman" w:cs="Times New Roman"/>
          <w:b/>
          <w:noProof/>
          <w:sz w:val="24"/>
          <w:szCs w:val="24"/>
        </w:rPr>
        <w:t xml:space="preserve">ressing </w:t>
      </w:r>
      <w:r w:rsidRPr="00714B43">
        <w:rPr>
          <w:rFonts w:ascii="Times New Roman" w:hAnsi="Times New Roman" w:cs="Times New Roman"/>
          <w:b/>
          <w:noProof/>
          <w:sz w:val="24"/>
          <w:szCs w:val="24"/>
        </w:rPr>
        <w:t xml:space="preserve">poverty and income inequalities is important </w:t>
      </w:r>
      <w:r>
        <w:rPr>
          <w:rFonts w:ascii="Times New Roman" w:hAnsi="Times New Roman" w:cs="Times New Roman"/>
          <w:b/>
          <w:noProof/>
          <w:sz w:val="24"/>
          <w:szCs w:val="24"/>
        </w:rPr>
        <w:t xml:space="preserve">not only </w:t>
      </w:r>
      <w:r w:rsidRPr="00714B43">
        <w:rPr>
          <w:rFonts w:ascii="Times New Roman" w:hAnsi="Times New Roman" w:cs="Times New Roman"/>
          <w:b/>
          <w:noProof/>
          <w:sz w:val="24"/>
          <w:szCs w:val="24"/>
        </w:rPr>
        <w:t>for fairness</w:t>
      </w:r>
      <w:r>
        <w:rPr>
          <w:rFonts w:ascii="Times New Roman" w:hAnsi="Times New Roman" w:cs="Times New Roman"/>
          <w:b/>
          <w:noProof/>
          <w:sz w:val="24"/>
          <w:szCs w:val="24"/>
        </w:rPr>
        <w:t xml:space="preserve"> reasons but also to support </w:t>
      </w:r>
      <w:r w:rsidRPr="00714B43">
        <w:rPr>
          <w:rFonts w:ascii="Times New Roman" w:hAnsi="Times New Roman" w:cs="Times New Roman"/>
          <w:b/>
          <w:noProof/>
          <w:sz w:val="24"/>
          <w:szCs w:val="24"/>
        </w:rPr>
        <w:t>economic growth</w:t>
      </w:r>
      <w:r w:rsidRPr="00504A5F">
        <w:rPr>
          <w:rFonts w:ascii="Times New Roman" w:hAnsi="Times New Roman" w:cs="Times New Roman"/>
          <w:noProof/>
          <w:sz w:val="24"/>
          <w:szCs w:val="24"/>
        </w:rPr>
        <w:t>.</w:t>
      </w:r>
      <w:r>
        <w:rPr>
          <w:rFonts w:ascii="Times New Roman" w:hAnsi="Times New Roman" w:cs="Times New Roman"/>
          <w:noProof/>
          <w:sz w:val="24"/>
          <w:szCs w:val="24"/>
        </w:rPr>
        <w:t xml:space="preserve"> For instance, </w:t>
      </w:r>
      <w:r w:rsidR="00AD5FC6">
        <w:rPr>
          <w:rFonts w:ascii="Times New Roman" w:hAnsi="Times New Roman" w:cs="Times New Roman"/>
          <w:noProof/>
          <w:sz w:val="24"/>
          <w:szCs w:val="24"/>
        </w:rPr>
        <w:t xml:space="preserve">an </w:t>
      </w:r>
      <w:r w:rsidRPr="00385348">
        <w:rPr>
          <w:rFonts w:ascii="Times New Roman" w:hAnsi="Times New Roman" w:cs="Times New Roman"/>
          <w:noProof/>
          <w:sz w:val="24"/>
          <w:szCs w:val="24"/>
        </w:rPr>
        <w:t>OECD report (2021)</w:t>
      </w:r>
      <w:r>
        <w:rPr>
          <w:rStyle w:val="FootnoteReference"/>
          <w:rFonts w:ascii="Times New Roman" w:hAnsi="Times New Roman" w:cs="Times New Roman"/>
          <w:noProof/>
          <w:sz w:val="24"/>
          <w:szCs w:val="24"/>
        </w:rPr>
        <w:footnoteReference w:id="8"/>
      </w:r>
      <w:r w:rsidRPr="00385348">
        <w:rPr>
          <w:rFonts w:ascii="Times New Roman" w:hAnsi="Times New Roman" w:cs="Times New Roman"/>
          <w:noProof/>
          <w:sz w:val="24"/>
          <w:szCs w:val="24"/>
        </w:rPr>
        <w:t xml:space="preserve"> suggests how well</w:t>
      </w:r>
      <w:r w:rsidR="00923572">
        <w:rPr>
          <w:rFonts w:ascii="Times New Roman" w:hAnsi="Times New Roman" w:cs="Times New Roman"/>
          <w:noProof/>
          <w:sz w:val="24"/>
          <w:szCs w:val="24"/>
        </w:rPr>
        <w:t>-</w:t>
      </w:r>
      <w:r w:rsidRPr="00385348">
        <w:rPr>
          <w:rFonts w:ascii="Times New Roman" w:hAnsi="Times New Roman" w:cs="Times New Roman"/>
          <w:noProof/>
          <w:sz w:val="24"/>
          <w:szCs w:val="24"/>
        </w:rPr>
        <w:t>designed tax policies can support inclusive and sustainable growth and address the distribution of income and wealth.</w:t>
      </w:r>
      <w:r w:rsidRPr="001772AA">
        <w:rPr>
          <w:rFonts w:ascii="Times New Roman" w:hAnsi="Times New Roman" w:cs="Times New Roman"/>
          <w:noProof/>
          <w:sz w:val="24"/>
          <w:szCs w:val="24"/>
        </w:rPr>
        <w:t xml:space="preserve"> </w:t>
      </w:r>
      <w:r w:rsidRPr="00F53132">
        <w:rPr>
          <w:rFonts w:ascii="Times New Roman" w:hAnsi="Times New Roman" w:cs="Times New Roman"/>
          <w:noProof/>
          <w:sz w:val="24"/>
          <w:szCs w:val="24"/>
        </w:rPr>
        <w:t>Inclusive growth involv</w:t>
      </w:r>
      <w:r>
        <w:rPr>
          <w:rFonts w:ascii="Times New Roman" w:hAnsi="Times New Roman" w:cs="Times New Roman"/>
          <w:noProof/>
          <w:sz w:val="24"/>
          <w:szCs w:val="24"/>
        </w:rPr>
        <w:t>es</w:t>
      </w:r>
      <w:r w:rsidRPr="00F53132">
        <w:rPr>
          <w:rFonts w:ascii="Times New Roman" w:hAnsi="Times New Roman" w:cs="Times New Roman"/>
          <w:noProof/>
          <w:sz w:val="24"/>
          <w:szCs w:val="24"/>
        </w:rPr>
        <w:t xml:space="preserve"> a number of dimensions and </w:t>
      </w:r>
      <w:r>
        <w:rPr>
          <w:rFonts w:ascii="Times New Roman" w:hAnsi="Times New Roman" w:cs="Times New Roman"/>
          <w:noProof/>
          <w:sz w:val="24"/>
          <w:szCs w:val="24"/>
        </w:rPr>
        <w:t xml:space="preserve">captures </w:t>
      </w:r>
      <w:r w:rsidR="00A435AF">
        <w:rPr>
          <w:rFonts w:ascii="Times New Roman" w:hAnsi="Times New Roman" w:cs="Times New Roman"/>
          <w:noProof/>
          <w:sz w:val="24"/>
          <w:szCs w:val="24"/>
        </w:rPr>
        <w:t xml:space="preserve">whether the benefits </w:t>
      </w:r>
      <w:r w:rsidRPr="00F53132">
        <w:rPr>
          <w:rFonts w:ascii="Times New Roman" w:hAnsi="Times New Roman" w:cs="Times New Roman"/>
          <w:noProof/>
          <w:sz w:val="24"/>
          <w:szCs w:val="24"/>
        </w:rPr>
        <w:t xml:space="preserve">of economic growth are shared broadly, thereby including the distributional effects of growth, the inclusiveness of labour markets, and the improvement in the well-being of </w:t>
      </w:r>
      <w:r w:rsidR="00423EC6">
        <w:rPr>
          <w:rFonts w:ascii="Times New Roman" w:hAnsi="Times New Roman" w:cs="Times New Roman"/>
          <w:noProof/>
          <w:sz w:val="24"/>
          <w:szCs w:val="24"/>
        </w:rPr>
        <w:t>low income groups</w:t>
      </w:r>
      <w:r w:rsidR="00FF7D64">
        <w:rPr>
          <w:rFonts w:ascii="Times New Roman" w:hAnsi="Times New Roman" w:cs="Times New Roman"/>
          <w:noProof/>
          <w:sz w:val="24"/>
          <w:szCs w:val="24"/>
        </w:rPr>
        <w:t>.</w:t>
      </w:r>
      <w:r w:rsidR="00423EC6">
        <w:rPr>
          <w:rFonts w:ascii="Times New Roman" w:hAnsi="Times New Roman" w:cs="Times New Roman"/>
          <w:noProof/>
          <w:sz w:val="24"/>
          <w:szCs w:val="24"/>
        </w:rPr>
        <w:t xml:space="preserve"> </w:t>
      </w:r>
    </w:p>
    <w:p w14:paraId="08525ECC" w14:textId="7600A55A" w:rsidR="00117B3F" w:rsidRPr="009D7C7E" w:rsidRDefault="00117B3F" w:rsidP="00423EC6">
      <w:pPr>
        <w:spacing w:before="120" w:after="120" w:line="276" w:lineRule="auto"/>
        <w:jc w:val="both"/>
        <w:rPr>
          <w:rFonts w:ascii="Times New Roman" w:hAnsi="Times New Roman" w:cs="Times New Roman"/>
          <w:noProof/>
          <w:sz w:val="24"/>
          <w:lang w:val="en-IE"/>
        </w:rPr>
      </w:pPr>
      <w:r w:rsidRPr="009D7C7E">
        <w:rPr>
          <w:rFonts w:ascii="Times New Roman" w:hAnsi="Times New Roman" w:cs="Times New Roman"/>
          <w:b/>
          <w:noProof/>
          <w:sz w:val="24"/>
          <w:lang w:val="en-IE"/>
        </w:rPr>
        <w:t>Tackling income inequalities requires reforms by Member States in different policy areas,</w:t>
      </w:r>
      <w:r w:rsidRPr="009D7C7E">
        <w:rPr>
          <w:rFonts w:ascii="Times New Roman" w:hAnsi="Times New Roman" w:cs="Times New Roman"/>
          <w:noProof/>
          <w:sz w:val="24"/>
          <w:lang w:val="en-IE"/>
        </w:rPr>
        <w:t xml:space="preserve"> including the design of their tax and benefit systems, wage setting mechanisms</w:t>
      </w:r>
      <w:r w:rsidR="005B6452">
        <w:rPr>
          <w:rFonts w:ascii="Times New Roman" w:hAnsi="Times New Roman" w:cs="Times New Roman"/>
          <w:noProof/>
          <w:sz w:val="24"/>
          <w:lang w:val="en-IE"/>
        </w:rPr>
        <w:t xml:space="preserve"> and labour market incentives,</w:t>
      </w:r>
      <w:r w:rsidRPr="009D7C7E">
        <w:rPr>
          <w:rFonts w:ascii="Times New Roman" w:hAnsi="Times New Roman" w:cs="Times New Roman"/>
          <w:noProof/>
          <w:sz w:val="24"/>
          <w:lang w:val="en-IE"/>
        </w:rPr>
        <w:t xml:space="preserve"> inclusiveness and equal opportunities in education and training (starting from early age), and access to affordable and quality services for all. Redistribution systems alone may not suffice to address the challenge of increasing income inequality. Fostering growth while addressing inequality concerns requires a comprehensive approach to policy design, calling for action at the pre-market, in-market, and post-market stages. </w:t>
      </w:r>
      <w:r w:rsidR="002B5FB2">
        <w:rPr>
          <w:rFonts w:ascii="Times New Roman" w:hAnsi="Times New Roman" w:cs="Times New Roman"/>
          <w:noProof/>
          <w:sz w:val="24"/>
          <w:lang w:val="en-IE"/>
        </w:rPr>
        <w:t xml:space="preserve">At the same time, distributional impact of all reforms, whether they aim at reducing inequalities or not, should be scrutinised, so that if need be compensatory measures can be designed.  </w:t>
      </w:r>
    </w:p>
    <w:p w14:paraId="77B50448" w14:textId="2C4B769A" w:rsidR="00117B3F" w:rsidRPr="00C11D08" w:rsidRDefault="00117B3F" w:rsidP="00A43E87">
      <w:pPr>
        <w:jc w:val="both"/>
        <w:rPr>
          <w:rFonts w:ascii="Times New Roman" w:hAnsi="Times New Roman" w:cs="Times New Roman"/>
          <w:b/>
          <w:i/>
          <w:noProof/>
          <w:sz w:val="24"/>
          <w:szCs w:val="24"/>
        </w:rPr>
      </w:pPr>
      <w:r w:rsidRPr="00C11D08">
        <w:rPr>
          <w:rFonts w:ascii="Times New Roman" w:hAnsi="Times New Roman" w:cs="Times New Roman"/>
          <w:b/>
          <w:i/>
          <w:noProof/>
          <w:sz w:val="24"/>
          <w:szCs w:val="24"/>
        </w:rPr>
        <w:t xml:space="preserve">Assessing the impact of </w:t>
      </w:r>
      <w:r>
        <w:rPr>
          <w:rFonts w:ascii="Times New Roman" w:hAnsi="Times New Roman" w:cs="Times New Roman"/>
          <w:b/>
          <w:i/>
          <w:noProof/>
          <w:sz w:val="24"/>
          <w:szCs w:val="24"/>
        </w:rPr>
        <w:t xml:space="preserve">new </w:t>
      </w:r>
      <w:r w:rsidR="00AA6E2D">
        <w:rPr>
          <w:rFonts w:ascii="Times New Roman" w:hAnsi="Times New Roman" w:cs="Times New Roman"/>
          <w:b/>
          <w:i/>
          <w:noProof/>
          <w:sz w:val="24"/>
          <w:szCs w:val="24"/>
        </w:rPr>
        <w:t>policies</w:t>
      </w:r>
      <w:r w:rsidRPr="00C11D08">
        <w:rPr>
          <w:rFonts w:ascii="Times New Roman" w:hAnsi="Times New Roman" w:cs="Times New Roman"/>
          <w:b/>
          <w:i/>
          <w:noProof/>
          <w:sz w:val="24"/>
          <w:szCs w:val="24"/>
        </w:rPr>
        <w:t xml:space="preserve"> in </w:t>
      </w:r>
      <w:r w:rsidR="00923572">
        <w:rPr>
          <w:rFonts w:ascii="Times New Roman" w:hAnsi="Times New Roman" w:cs="Times New Roman"/>
          <w:b/>
          <w:i/>
          <w:noProof/>
          <w:sz w:val="24"/>
          <w:szCs w:val="24"/>
        </w:rPr>
        <w:t>the</w:t>
      </w:r>
      <w:r w:rsidRPr="00C11D08">
        <w:rPr>
          <w:rFonts w:ascii="Times New Roman" w:hAnsi="Times New Roman" w:cs="Times New Roman"/>
          <w:b/>
          <w:i/>
          <w:noProof/>
          <w:sz w:val="24"/>
          <w:szCs w:val="24"/>
        </w:rPr>
        <w:t xml:space="preserve"> face of short</w:t>
      </w:r>
      <w:r w:rsidR="00923572">
        <w:rPr>
          <w:rFonts w:ascii="Times New Roman" w:hAnsi="Times New Roman" w:cs="Times New Roman"/>
          <w:b/>
          <w:i/>
          <w:noProof/>
          <w:sz w:val="24"/>
          <w:szCs w:val="24"/>
        </w:rPr>
        <w:t>-</w:t>
      </w:r>
      <w:r w:rsidRPr="00C11D08">
        <w:rPr>
          <w:rFonts w:ascii="Times New Roman" w:hAnsi="Times New Roman" w:cs="Times New Roman"/>
          <w:b/>
          <w:i/>
          <w:noProof/>
          <w:sz w:val="24"/>
          <w:szCs w:val="24"/>
        </w:rPr>
        <w:t>term shocks and longer</w:t>
      </w:r>
      <w:r w:rsidR="00923572">
        <w:rPr>
          <w:rFonts w:ascii="Times New Roman" w:hAnsi="Times New Roman" w:cs="Times New Roman"/>
          <w:b/>
          <w:i/>
          <w:noProof/>
          <w:sz w:val="24"/>
          <w:szCs w:val="24"/>
        </w:rPr>
        <w:t>-</w:t>
      </w:r>
      <w:r w:rsidRPr="00C11D08">
        <w:rPr>
          <w:rFonts w:ascii="Times New Roman" w:hAnsi="Times New Roman" w:cs="Times New Roman"/>
          <w:b/>
          <w:i/>
          <w:noProof/>
          <w:sz w:val="24"/>
          <w:szCs w:val="24"/>
        </w:rPr>
        <w:t>term challenges</w:t>
      </w:r>
    </w:p>
    <w:p w14:paraId="049AC7F7" w14:textId="36B9490E" w:rsidR="00A43E87" w:rsidRPr="00385348" w:rsidRDefault="002B5FB2" w:rsidP="00A43E87">
      <w:pPr>
        <w:jc w:val="both"/>
        <w:rPr>
          <w:rFonts w:ascii="Times New Roman" w:hAnsi="Times New Roman" w:cs="Times New Roman"/>
          <w:noProof/>
          <w:sz w:val="24"/>
          <w:szCs w:val="24"/>
        </w:rPr>
      </w:pPr>
      <w:r w:rsidRPr="00845146">
        <w:rPr>
          <w:rFonts w:ascii="Times New Roman" w:hAnsi="Times New Roman" w:cs="Times New Roman"/>
          <w:b/>
          <w:noProof/>
          <w:sz w:val="24"/>
          <w:szCs w:val="24"/>
        </w:rPr>
        <w:t xml:space="preserve">The massive public support put in place at national and EU levels together with the strong automatic stabilisation cushioned the consequences of the COVID-19 pandemic, in particular for </w:t>
      </w:r>
      <w:r w:rsidR="00FF7D64">
        <w:rPr>
          <w:rFonts w:ascii="Times New Roman" w:hAnsi="Times New Roman" w:cs="Times New Roman"/>
          <w:b/>
          <w:noProof/>
          <w:sz w:val="24"/>
          <w:szCs w:val="24"/>
        </w:rPr>
        <w:t>low income</w:t>
      </w:r>
      <w:r w:rsidRPr="00845146">
        <w:rPr>
          <w:rFonts w:ascii="Times New Roman" w:hAnsi="Times New Roman" w:cs="Times New Roman"/>
          <w:b/>
          <w:noProof/>
          <w:sz w:val="24"/>
          <w:szCs w:val="24"/>
        </w:rPr>
        <w:t xml:space="preserve"> groups. </w:t>
      </w:r>
      <w:r w:rsidRPr="00DA07AF">
        <w:rPr>
          <w:rFonts w:ascii="Times New Roman" w:hAnsi="Times New Roman" w:cs="Times New Roman"/>
          <w:noProof/>
          <w:sz w:val="24"/>
          <w:szCs w:val="24"/>
        </w:rPr>
        <w:t>As a result</w:t>
      </w:r>
      <w:r w:rsidR="00B92A03" w:rsidRPr="00DA07AF">
        <w:rPr>
          <w:rFonts w:ascii="Times New Roman" w:hAnsi="Times New Roman" w:cs="Times New Roman"/>
          <w:noProof/>
          <w:sz w:val="24"/>
          <w:szCs w:val="24"/>
        </w:rPr>
        <w:t xml:space="preserve">, </w:t>
      </w:r>
      <w:r w:rsidRPr="00DA07AF">
        <w:rPr>
          <w:rFonts w:ascii="Times New Roman" w:hAnsi="Times New Roman" w:cs="Times New Roman"/>
          <w:noProof/>
          <w:sz w:val="24"/>
          <w:szCs w:val="24"/>
        </w:rPr>
        <w:t>a</w:t>
      </w:r>
      <w:r w:rsidR="00B92A03" w:rsidRPr="00DA07AF">
        <w:rPr>
          <w:rFonts w:ascii="Times New Roman" w:hAnsi="Times New Roman" w:cs="Times New Roman"/>
          <w:noProof/>
          <w:sz w:val="24"/>
          <w:szCs w:val="24"/>
        </w:rPr>
        <w:t>ccording to Eurostat’s flash estimates</w:t>
      </w:r>
      <w:r w:rsidR="00B92A03" w:rsidRPr="00DA07AF">
        <w:rPr>
          <w:rStyle w:val="FootnoteReference"/>
          <w:rFonts w:ascii="Times New Roman" w:hAnsi="Times New Roman" w:cs="Times New Roman"/>
          <w:noProof/>
          <w:sz w:val="24"/>
          <w:szCs w:val="24"/>
        </w:rPr>
        <w:footnoteReference w:id="9"/>
      </w:r>
      <w:r w:rsidR="00B92A03" w:rsidRPr="00DA07AF">
        <w:rPr>
          <w:rFonts w:ascii="Times New Roman" w:hAnsi="Times New Roman" w:cs="Times New Roman"/>
          <w:noProof/>
          <w:sz w:val="24"/>
          <w:szCs w:val="24"/>
        </w:rPr>
        <w:t xml:space="preserve">, the average income quintile share ratio (S80/S20) in the EU remained stable or registered a slight drop in 2020. While employment incomes are estimated to have dropped by 10% for the first income quantiles and 2% for the fifth, the overall impact on disposable incomes was largely contained across the whole income distribution, thanks to the </w:t>
      </w:r>
      <w:r w:rsidR="003B7086" w:rsidRPr="00DA07AF">
        <w:rPr>
          <w:rFonts w:ascii="Times New Roman" w:hAnsi="Times New Roman" w:cs="Times New Roman"/>
          <w:noProof/>
          <w:sz w:val="24"/>
          <w:szCs w:val="24"/>
        </w:rPr>
        <w:t xml:space="preserve">strong </w:t>
      </w:r>
      <w:r w:rsidR="00B92A03" w:rsidRPr="00DA07AF">
        <w:rPr>
          <w:rFonts w:ascii="Times New Roman" w:hAnsi="Times New Roman" w:cs="Times New Roman"/>
          <w:noProof/>
          <w:sz w:val="24"/>
          <w:szCs w:val="24"/>
        </w:rPr>
        <w:t xml:space="preserve">smoothing effect of the tax and benefit systems, </w:t>
      </w:r>
      <w:r w:rsidR="003B7086" w:rsidRPr="00DA07AF">
        <w:rPr>
          <w:rFonts w:ascii="Times New Roman" w:hAnsi="Times New Roman" w:cs="Times New Roman"/>
          <w:noProof/>
          <w:sz w:val="24"/>
          <w:szCs w:val="24"/>
        </w:rPr>
        <w:t xml:space="preserve">including </w:t>
      </w:r>
      <w:r w:rsidR="00B92A03" w:rsidRPr="00DA07AF">
        <w:rPr>
          <w:rFonts w:ascii="Times New Roman" w:hAnsi="Times New Roman" w:cs="Times New Roman"/>
          <w:noProof/>
          <w:sz w:val="24"/>
          <w:szCs w:val="24"/>
        </w:rPr>
        <w:t>the operation of short-time work and other job retention schemes.</w:t>
      </w:r>
      <w:r w:rsidR="00B92A03">
        <w:rPr>
          <w:rFonts w:ascii="Times New Roman" w:hAnsi="Times New Roman" w:cs="Times New Roman"/>
          <w:noProof/>
          <w:sz w:val="24"/>
          <w:szCs w:val="24"/>
        </w:rPr>
        <w:t xml:space="preserve"> However, it is important to pay attention to distributional considerations as Member State</w:t>
      </w:r>
      <w:r w:rsidR="00AD5FC6">
        <w:rPr>
          <w:rFonts w:ascii="Times New Roman" w:hAnsi="Times New Roman" w:cs="Times New Roman"/>
          <w:noProof/>
          <w:sz w:val="24"/>
          <w:szCs w:val="24"/>
        </w:rPr>
        <w:t>s</w:t>
      </w:r>
      <w:r w:rsidR="00B92A03">
        <w:rPr>
          <w:rFonts w:ascii="Times New Roman" w:hAnsi="Times New Roman" w:cs="Times New Roman"/>
          <w:noProof/>
          <w:sz w:val="24"/>
          <w:szCs w:val="24"/>
        </w:rPr>
        <w:t xml:space="preserve"> withdraw the emergency support measures</w:t>
      </w:r>
      <w:r w:rsidR="003B7086">
        <w:rPr>
          <w:rFonts w:ascii="Times New Roman" w:hAnsi="Times New Roman" w:cs="Times New Roman"/>
          <w:noProof/>
          <w:sz w:val="24"/>
          <w:szCs w:val="24"/>
        </w:rPr>
        <w:t xml:space="preserve"> and the current surge in prices also lead to a number of measures to protect </w:t>
      </w:r>
      <w:r w:rsidR="00FF7D64">
        <w:rPr>
          <w:rFonts w:ascii="Times New Roman" w:hAnsi="Times New Roman" w:cs="Times New Roman"/>
          <w:noProof/>
          <w:sz w:val="24"/>
          <w:szCs w:val="24"/>
        </w:rPr>
        <w:t xml:space="preserve">poorer </w:t>
      </w:r>
      <w:r w:rsidR="003B7086">
        <w:rPr>
          <w:rFonts w:ascii="Times New Roman" w:hAnsi="Times New Roman" w:cs="Times New Roman"/>
          <w:noProof/>
          <w:sz w:val="24"/>
          <w:szCs w:val="24"/>
        </w:rPr>
        <w:t>households</w:t>
      </w:r>
      <w:r w:rsidR="00B92A03">
        <w:rPr>
          <w:rFonts w:ascii="Times New Roman" w:hAnsi="Times New Roman" w:cs="Times New Roman"/>
          <w:noProof/>
          <w:sz w:val="24"/>
          <w:szCs w:val="24"/>
        </w:rPr>
        <w:t xml:space="preserve">. </w:t>
      </w:r>
    </w:p>
    <w:p w14:paraId="22B036E7" w14:textId="557E2120" w:rsidR="00A347EE" w:rsidRDefault="00A74D6F" w:rsidP="00921EB3">
      <w:pPr>
        <w:jc w:val="both"/>
        <w:rPr>
          <w:rFonts w:ascii="Times New Roman" w:hAnsi="Times New Roman" w:cs="Times New Roman"/>
          <w:noProof/>
          <w:sz w:val="24"/>
          <w:szCs w:val="24"/>
        </w:rPr>
      </w:pPr>
      <w:r w:rsidRPr="00714B43">
        <w:rPr>
          <w:rFonts w:ascii="Times New Roman" w:hAnsi="Times New Roman" w:cs="Times New Roman"/>
          <w:b/>
          <w:noProof/>
          <w:sz w:val="24"/>
          <w:szCs w:val="24"/>
        </w:rPr>
        <w:t>Such short</w:t>
      </w:r>
      <w:r w:rsidR="008B6C5F">
        <w:rPr>
          <w:rFonts w:ascii="Times New Roman" w:hAnsi="Times New Roman" w:cs="Times New Roman"/>
          <w:b/>
          <w:noProof/>
          <w:sz w:val="24"/>
          <w:szCs w:val="24"/>
        </w:rPr>
        <w:t>-</w:t>
      </w:r>
      <w:r w:rsidRPr="00714B43">
        <w:rPr>
          <w:rFonts w:ascii="Times New Roman" w:hAnsi="Times New Roman" w:cs="Times New Roman"/>
          <w:b/>
          <w:noProof/>
          <w:sz w:val="24"/>
          <w:szCs w:val="24"/>
        </w:rPr>
        <w:t>term shocks</w:t>
      </w:r>
      <w:r w:rsidR="00692B71">
        <w:rPr>
          <w:rFonts w:ascii="Times New Roman" w:hAnsi="Times New Roman" w:cs="Times New Roman"/>
          <w:b/>
          <w:noProof/>
          <w:sz w:val="24"/>
          <w:szCs w:val="24"/>
        </w:rPr>
        <w:t>, such as the war in Ukraine,</w:t>
      </w:r>
      <w:r w:rsidRPr="00714B43">
        <w:rPr>
          <w:rFonts w:ascii="Times New Roman" w:hAnsi="Times New Roman" w:cs="Times New Roman"/>
          <w:b/>
          <w:noProof/>
          <w:sz w:val="24"/>
          <w:szCs w:val="24"/>
        </w:rPr>
        <w:t xml:space="preserve"> compound with </w:t>
      </w:r>
      <w:r w:rsidR="00A43E87" w:rsidRPr="00714B43">
        <w:rPr>
          <w:rFonts w:ascii="Times New Roman" w:hAnsi="Times New Roman" w:cs="Times New Roman"/>
          <w:b/>
          <w:noProof/>
          <w:sz w:val="24"/>
          <w:szCs w:val="24"/>
        </w:rPr>
        <w:t>structural changes, such as</w:t>
      </w:r>
      <w:r w:rsidR="00D173CB">
        <w:rPr>
          <w:rFonts w:ascii="Times New Roman" w:hAnsi="Times New Roman" w:cs="Times New Roman"/>
          <w:b/>
          <w:noProof/>
          <w:sz w:val="24"/>
          <w:szCs w:val="24"/>
        </w:rPr>
        <w:t xml:space="preserve"> the twin</w:t>
      </w:r>
      <w:r w:rsidR="00A43E87" w:rsidRPr="00714B43">
        <w:rPr>
          <w:rFonts w:ascii="Times New Roman" w:hAnsi="Times New Roman" w:cs="Times New Roman"/>
          <w:b/>
          <w:noProof/>
          <w:sz w:val="24"/>
          <w:szCs w:val="24"/>
        </w:rPr>
        <w:t xml:space="preserve"> climate </w:t>
      </w:r>
      <w:r>
        <w:rPr>
          <w:rFonts w:ascii="Times New Roman" w:hAnsi="Times New Roman" w:cs="Times New Roman"/>
          <w:b/>
          <w:noProof/>
          <w:sz w:val="24"/>
          <w:szCs w:val="24"/>
        </w:rPr>
        <w:t xml:space="preserve">and digital </w:t>
      </w:r>
      <w:r w:rsidR="00387AA5">
        <w:rPr>
          <w:rFonts w:ascii="Times New Roman" w:hAnsi="Times New Roman" w:cs="Times New Roman"/>
          <w:b/>
          <w:noProof/>
          <w:sz w:val="24"/>
          <w:szCs w:val="24"/>
        </w:rPr>
        <w:t>trans</w:t>
      </w:r>
      <w:r w:rsidR="00D173CB">
        <w:rPr>
          <w:rFonts w:ascii="Times New Roman" w:hAnsi="Times New Roman" w:cs="Times New Roman"/>
          <w:b/>
          <w:noProof/>
          <w:sz w:val="24"/>
          <w:szCs w:val="24"/>
        </w:rPr>
        <w:t>i</w:t>
      </w:r>
      <w:r w:rsidR="00387AA5">
        <w:rPr>
          <w:rFonts w:ascii="Times New Roman" w:hAnsi="Times New Roman" w:cs="Times New Roman"/>
          <w:b/>
          <w:noProof/>
          <w:sz w:val="24"/>
          <w:szCs w:val="24"/>
        </w:rPr>
        <w:t>tion</w:t>
      </w:r>
      <w:r w:rsidR="00A43E87" w:rsidRPr="00714B43">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that </w:t>
      </w:r>
      <w:r w:rsidR="00A43E87" w:rsidRPr="00385348">
        <w:rPr>
          <w:rFonts w:ascii="Times New Roman" w:hAnsi="Times New Roman" w:cs="Times New Roman"/>
          <w:noProof/>
          <w:sz w:val="24"/>
          <w:szCs w:val="24"/>
        </w:rPr>
        <w:t xml:space="preserve">should be taken into account when designing tax and spending policies for a resilient and inclusive recovery. </w:t>
      </w:r>
      <w:r w:rsidR="00671C0C">
        <w:rPr>
          <w:rFonts w:ascii="Times New Roman" w:hAnsi="Times New Roman" w:cs="Times New Roman"/>
          <w:noProof/>
          <w:sz w:val="24"/>
          <w:szCs w:val="24"/>
        </w:rPr>
        <w:t xml:space="preserve"> For the digital transition </w:t>
      </w:r>
      <w:r w:rsidR="00671C0C" w:rsidRPr="00671C0C">
        <w:rPr>
          <w:rFonts w:ascii="Times New Roman" w:hAnsi="Times New Roman" w:cs="Times New Roman"/>
          <w:noProof/>
          <w:sz w:val="24"/>
          <w:szCs w:val="24"/>
        </w:rPr>
        <w:t xml:space="preserve">reskilling and upskilling </w:t>
      </w:r>
      <w:r w:rsidR="00671C0C">
        <w:rPr>
          <w:rFonts w:ascii="Times New Roman" w:hAnsi="Times New Roman" w:cs="Times New Roman"/>
          <w:noProof/>
          <w:sz w:val="24"/>
          <w:szCs w:val="24"/>
        </w:rPr>
        <w:t xml:space="preserve">is important </w:t>
      </w:r>
      <w:r w:rsidR="00671C0C" w:rsidRPr="00671C0C">
        <w:rPr>
          <w:rFonts w:ascii="Times New Roman" w:hAnsi="Times New Roman" w:cs="Times New Roman"/>
          <w:noProof/>
          <w:sz w:val="24"/>
          <w:szCs w:val="24"/>
        </w:rPr>
        <w:t>in order to prevent exacerbating the digital divide</w:t>
      </w:r>
      <w:r w:rsidR="00671C0C">
        <w:rPr>
          <w:rFonts w:ascii="Times New Roman" w:hAnsi="Times New Roman" w:cs="Times New Roman"/>
          <w:noProof/>
          <w:sz w:val="24"/>
          <w:szCs w:val="24"/>
        </w:rPr>
        <w:t>,</w:t>
      </w:r>
      <w:r w:rsidR="00671C0C" w:rsidRPr="00671C0C">
        <w:rPr>
          <w:rFonts w:ascii="Times New Roman" w:hAnsi="Times New Roman" w:cs="Times New Roman"/>
          <w:noProof/>
          <w:sz w:val="24"/>
          <w:szCs w:val="24"/>
        </w:rPr>
        <w:t xml:space="preserve"> </w:t>
      </w:r>
      <w:r w:rsidR="00671C0C">
        <w:rPr>
          <w:rFonts w:ascii="Times New Roman" w:hAnsi="Times New Roman" w:cs="Times New Roman"/>
          <w:noProof/>
          <w:sz w:val="24"/>
          <w:szCs w:val="24"/>
        </w:rPr>
        <w:t xml:space="preserve">and possible increased wage differences </w:t>
      </w:r>
      <w:r w:rsidR="00671C0C" w:rsidRPr="00671C0C">
        <w:rPr>
          <w:rFonts w:ascii="Times New Roman" w:hAnsi="Times New Roman" w:cs="Times New Roman"/>
          <w:noProof/>
          <w:sz w:val="24"/>
          <w:szCs w:val="24"/>
        </w:rPr>
        <w:t>between low- and high-skilled workers.</w:t>
      </w:r>
      <w:r w:rsidR="00671C0C">
        <w:rPr>
          <w:rFonts w:ascii="Times New Roman" w:hAnsi="Times New Roman" w:cs="Times New Roman"/>
          <w:noProof/>
          <w:sz w:val="24"/>
          <w:szCs w:val="24"/>
        </w:rPr>
        <w:t xml:space="preserve"> </w:t>
      </w:r>
      <w:r w:rsidR="00A43E87" w:rsidRPr="00714B43">
        <w:rPr>
          <w:rFonts w:ascii="Times New Roman" w:hAnsi="Times New Roman" w:cs="Times New Roman"/>
          <w:noProof/>
          <w:sz w:val="24"/>
          <w:szCs w:val="24"/>
        </w:rPr>
        <w:t xml:space="preserve">All public policies </w:t>
      </w:r>
      <w:r w:rsidRPr="00714B43">
        <w:rPr>
          <w:rFonts w:ascii="Times New Roman" w:hAnsi="Times New Roman" w:cs="Times New Roman"/>
          <w:noProof/>
          <w:sz w:val="24"/>
          <w:szCs w:val="24"/>
        </w:rPr>
        <w:t xml:space="preserve">that </w:t>
      </w:r>
      <w:r w:rsidR="00A43E87" w:rsidRPr="00714B43">
        <w:rPr>
          <w:rFonts w:ascii="Times New Roman" w:hAnsi="Times New Roman" w:cs="Times New Roman"/>
          <w:noProof/>
          <w:sz w:val="24"/>
          <w:szCs w:val="24"/>
        </w:rPr>
        <w:t>have distributional effects</w:t>
      </w:r>
      <w:r w:rsidRPr="00714B43">
        <w:rPr>
          <w:rFonts w:ascii="Times New Roman" w:hAnsi="Times New Roman" w:cs="Times New Roman"/>
          <w:noProof/>
          <w:sz w:val="24"/>
          <w:szCs w:val="24"/>
        </w:rPr>
        <w:t xml:space="preserve"> should in principle be accounted for in this respect</w:t>
      </w:r>
      <w:r w:rsidR="00A43E87" w:rsidRPr="00714B43">
        <w:rPr>
          <w:rFonts w:ascii="Times New Roman" w:hAnsi="Times New Roman" w:cs="Times New Roman"/>
          <w:noProof/>
          <w:sz w:val="24"/>
          <w:szCs w:val="24"/>
        </w:rPr>
        <w:t xml:space="preserve">, not just tax and </w:t>
      </w:r>
      <w:r>
        <w:rPr>
          <w:rFonts w:ascii="Times New Roman" w:hAnsi="Times New Roman" w:cs="Times New Roman"/>
          <w:noProof/>
          <w:sz w:val="24"/>
          <w:szCs w:val="24"/>
        </w:rPr>
        <w:t>benefit</w:t>
      </w:r>
      <w:r w:rsidRPr="00714B43">
        <w:rPr>
          <w:rFonts w:ascii="Times New Roman" w:hAnsi="Times New Roman" w:cs="Times New Roman"/>
          <w:noProof/>
          <w:sz w:val="24"/>
          <w:szCs w:val="24"/>
        </w:rPr>
        <w:t xml:space="preserve"> </w:t>
      </w:r>
      <w:r w:rsidR="00A43E87" w:rsidRPr="00714B43">
        <w:rPr>
          <w:rFonts w:ascii="Times New Roman" w:hAnsi="Times New Roman" w:cs="Times New Roman"/>
          <w:noProof/>
          <w:sz w:val="24"/>
          <w:szCs w:val="24"/>
        </w:rPr>
        <w:t>policies</w:t>
      </w:r>
      <w:r>
        <w:rPr>
          <w:rFonts w:ascii="Times New Roman" w:hAnsi="Times New Roman" w:cs="Times New Roman"/>
          <w:noProof/>
          <w:sz w:val="24"/>
          <w:szCs w:val="24"/>
        </w:rPr>
        <w:t xml:space="preserve">, such as for instance </w:t>
      </w:r>
      <w:r w:rsidR="00A43E87" w:rsidRPr="00385348">
        <w:rPr>
          <w:rFonts w:ascii="Times New Roman" w:hAnsi="Times New Roman" w:cs="Times New Roman"/>
          <w:noProof/>
          <w:sz w:val="24"/>
          <w:szCs w:val="24"/>
        </w:rPr>
        <w:t>environmental and climate policies</w:t>
      </w:r>
      <w:r w:rsidR="008356FD">
        <w:rPr>
          <w:rFonts w:ascii="Times New Roman" w:hAnsi="Times New Roman" w:cs="Times New Roman"/>
          <w:noProof/>
          <w:sz w:val="24"/>
          <w:szCs w:val="24"/>
        </w:rPr>
        <w:t>, which similarly to tax and benefit policies can be more or less progressive depending on their design (i.e. targeting, policy instrument, etc.)</w:t>
      </w:r>
      <w:r w:rsidR="002B219F">
        <w:rPr>
          <w:rStyle w:val="FootnoteReference"/>
          <w:rFonts w:ascii="Times New Roman" w:hAnsi="Times New Roman" w:cs="Times New Roman"/>
          <w:noProof/>
          <w:sz w:val="24"/>
          <w:szCs w:val="24"/>
        </w:rPr>
        <w:footnoteReference w:id="10"/>
      </w:r>
      <w:r w:rsidR="00A43E87" w:rsidRPr="00385348">
        <w:rPr>
          <w:rFonts w:ascii="Times New Roman" w:hAnsi="Times New Roman" w:cs="Times New Roman"/>
          <w:noProof/>
          <w:sz w:val="24"/>
          <w:szCs w:val="24"/>
        </w:rPr>
        <w:t xml:space="preserve">. </w:t>
      </w:r>
      <w:r w:rsidR="00921EB3">
        <w:rPr>
          <w:rFonts w:ascii="Times New Roman" w:hAnsi="Times New Roman" w:cs="Times New Roman"/>
          <w:noProof/>
          <w:sz w:val="24"/>
          <w:szCs w:val="24"/>
        </w:rPr>
        <w:t xml:space="preserve">The SWD accompanying the Commission </w:t>
      </w:r>
      <w:r w:rsidR="00921EB3" w:rsidRPr="00921EB3">
        <w:rPr>
          <w:rFonts w:ascii="Times New Roman" w:hAnsi="Times New Roman" w:cs="Times New Roman"/>
          <w:noProof/>
          <w:sz w:val="24"/>
          <w:szCs w:val="24"/>
        </w:rPr>
        <w:t xml:space="preserve">Proposal for a </w:t>
      </w:r>
      <w:r w:rsidR="00921EB3">
        <w:rPr>
          <w:rFonts w:ascii="Times New Roman" w:hAnsi="Times New Roman" w:cs="Times New Roman"/>
          <w:noProof/>
          <w:sz w:val="24"/>
          <w:szCs w:val="24"/>
        </w:rPr>
        <w:t>“</w:t>
      </w:r>
      <w:r w:rsidR="00921EB3" w:rsidRPr="00921EB3">
        <w:rPr>
          <w:rFonts w:ascii="Times New Roman" w:hAnsi="Times New Roman" w:cs="Times New Roman"/>
          <w:noProof/>
          <w:sz w:val="24"/>
          <w:szCs w:val="24"/>
        </w:rPr>
        <w:t>Council Recommendation</w:t>
      </w:r>
      <w:r w:rsidR="00921EB3">
        <w:rPr>
          <w:rFonts w:ascii="Times New Roman" w:hAnsi="Times New Roman" w:cs="Times New Roman"/>
          <w:noProof/>
          <w:sz w:val="24"/>
          <w:szCs w:val="24"/>
        </w:rPr>
        <w:t xml:space="preserve"> </w:t>
      </w:r>
      <w:r w:rsidR="00921EB3" w:rsidRPr="00921EB3">
        <w:rPr>
          <w:rFonts w:ascii="Times New Roman" w:hAnsi="Times New Roman" w:cs="Times New Roman"/>
          <w:noProof/>
          <w:sz w:val="24"/>
          <w:szCs w:val="24"/>
        </w:rPr>
        <w:t>on ensuring a fair transition towards climate neutralit</w:t>
      </w:r>
      <w:r w:rsidR="00921EB3">
        <w:rPr>
          <w:rFonts w:ascii="Times New Roman" w:hAnsi="Times New Roman" w:cs="Times New Roman"/>
          <w:noProof/>
          <w:sz w:val="24"/>
          <w:szCs w:val="24"/>
        </w:rPr>
        <w:t>y”</w:t>
      </w:r>
      <w:r w:rsidR="00921EB3">
        <w:rPr>
          <w:rStyle w:val="FootnoteReference"/>
          <w:rFonts w:ascii="Times New Roman" w:hAnsi="Times New Roman" w:cs="Times New Roman"/>
          <w:noProof/>
          <w:sz w:val="24"/>
          <w:szCs w:val="24"/>
        </w:rPr>
        <w:footnoteReference w:id="11"/>
      </w:r>
      <w:r w:rsidR="005F19FA">
        <w:rPr>
          <w:rFonts w:ascii="Times New Roman" w:hAnsi="Times New Roman" w:cs="Times New Roman"/>
          <w:noProof/>
          <w:sz w:val="24"/>
          <w:szCs w:val="24"/>
        </w:rPr>
        <w:t>,</w:t>
      </w:r>
      <w:r w:rsidR="00921EB3">
        <w:rPr>
          <w:rFonts w:ascii="Times New Roman" w:hAnsi="Times New Roman" w:cs="Times New Roman"/>
          <w:noProof/>
          <w:sz w:val="24"/>
          <w:szCs w:val="24"/>
        </w:rPr>
        <w:t xml:space="preserve"> presented on 14 December 2021, also provides modelling evidence on </w:t>
      </w:r>
      <w:r w:rsidR="00A347EE" w:rsidRPr="00A347EE">
        <w:rPr>
          <w:rFonts w:ascii="Times New Roman" w:hAnsi="Times New Roman" w:cs="Times New Roman"/>
          <w:noProof/>
          <w:sz w:val="24"/>
          <w:szCs w:val="24"/>
        </w:rPr>
        <w:t>some available tools to address potentially adverse distributional effects linked to environmental and climate policies</w:t>
      </w:r>
      <w:r w:rsidR="00A347EE" w:rsidRPr="00A347EE">
        <w:rPr>
          <w:noProof/>
        </w:rPr>
        <w:t xml:space="preserve"> </w:t>
      </w:r>
      <w:r w:rsidR="00A347EE" w:rsidRPr="00A347EE">
        <w:rPr>
          <w:rFonts w:ascii="Times New Roman" w:hAnsi="Times New Roman" w:cs="Times New Roman"/>
          <w:noProof/>
          <w:sz w:val="24"/>
          <w:szCs w:val="24"/>
        </w:rPr>
        <w:t>and to</w:t>
      </w:r>
      <w:r w:rsidR="006C75CF">
        <w:rPr>
          <w:rFonts w:ascii="Times New Roman" w:hAnsi="Times New Roman" w:cs="Times New Roman"/>
          <w:noProof/>
          <w:sz w:val="24"/>
          <w:szCs w:val="24"/>
        </w:rPr>
        <w:t xml:space="preserve"> adequately</w:t>
      </w:r>
      <w:r w:rsidR="00A347EE" w:rsidRPr="00A347EE">
        <w:rPr>
          <w:rFonts w:ascii="Times New Roman" w:hAnsi="Times New Roman" w:cs="Times New Roman"/>
          <w:noProof/>
          <w:sz w:val="24"/>
          <w:szCs w:val="24"/>
        </w:rPr>
        <w:t xml:space="preserve"> support </w:t>
      </w:r>
      <w:r w:rsidR="00D82479">
        <w:rPr>
          <w:rFonts w:ascii="Times New Roman" w:hAnsi="Times New Roman" w:cs="Times New Roman"/>
          <w:noProof/>
          <w:sz w:val="24"/>
          <w:szCs w:val="24"/>
        </w:rPr>
        <w:t xml:space="preserve">what they refer to as </w:t>
      </w:r>
      <w:r w:rsidR="00A347EE">
        <w:rPr>
          <w:rFonts w:ascii="Times New Roman" w:hAnsi="Times New Roman" w:cs="Times New Roman"/>
          <w:noProof/>
          <w:sz w:val="24"/>
          <w:szCs w:val="24"/>
        </w:rPr>
        <w:t>disadvantaged</w:t>
      </w:r>
      <w:r w:rsidR="00A347EE" w:rsidRPr="00A347EE">
        <w:rPr>
          <w:rFonts w:ascii="Times New Roman" w:hAnsi="Times New Roman" w:cs="Times New Roman"/>
          <w:noProof/>
          <w:sz w:val="24"/>
          <w:szCs w:val="24"/>
        </w:rPr>
        <w:t xml:space="preserve"> households.</w:t>
      </w:r>
    </w:p>
    <w:p w14:paraId="2F3E0C79" w14:textId="6611B7C7" w:rsidR="00117B3F" w:rsidRPr="009D7C7E" w:rsidRDefault="00117B3F" w:rsidP="00117B3F">
      <w:pPr>
        <w:jc w:val="both"/>
        <w:rPr>
          <w:rFonts w:ascii="Times New Roman" w:hAnsi="Times New Roman" w:cs="Times New Roman"/>
          <w:b/>
          <w:i/>
          <w:noProof/>
          <w:sz w:val="24"/>
          <w:szCs w:val="24"/>
        </w:rPr>
      </w:pPr>
      <w:r>
        <w:rPr>
          <w:rFonts w:ascii="Times New Roman" w:hAnsi="Times New Roman" w:cs="Times New Roman"/>
          <w:b/>
          <w:i/>
          <w:noProof/>
          <w:sz w:val="24"/>
          <w:szCs w:val="24"/>
        </w:rPr>
        <w:t xml:space="preserve">Building trust and supporting the implementation of new </w:t>
      </w:r>
      <w:r w:rsidR="00AA6E2D">
        <w:rPr>
          <w:rFonts w:ascii="Times New Roman" w:hAnsi="Times New Roman" w:cs="Times New Roman"/>
          <w:b/>
          <w:i/>
          <w:noProof/>
          <w:sz w:val="24"/>
          <w:szCs w:val="24"/>
        </w:rPr>
        <w:t>policies</w:t>
      </w:r>
    </w:p>
    <w:p w14:paraId="0E444F4E" w14:textId="225817E3" w:rsidR="00A43E87" w:rsidRPr="001970A4" w:rsidRDefault="00A94DB0" w:rsidP="00FF331E">
      <w:pPr>
        <w:jc w:val="both"/>
        <w:rPr>
          <w:rFonts w:ascii="Times New Roman" w:hAnsi="Times New Roman" w:cs="Times New Roman"/>
          <w:noProof/>
          <w:sz w:val="24"/>
          <w:szCs w:val="24"/>
        </w:rPr>
      </w:pPr>
      <w:r>
        <w:rPr>
          <w:rFonts w:ascii="Times New Roman" w:hAnsi="Times New Roman" w:cs="Times New Roman"/>
          <w:b/>
          <w:noProof/>
          <w:sz w:val="24"/>
          <w:szCs w:val="24"/>
        </w:rPr>
        <w:t>Better</w:t>
      </w:r>
      <w:r w:rsidR="00350C94">
        <w:rPr>
          <w:rFonts w:ascii="Times New Roman" w:hAnsi="Times New Roman" w:cs="Times New Roman"/>
          <w:b/>
          <w:noProof/>
          <w:sz w:val="24"/>
          <w:szCs w:val="24"/>
        </w:rPr>
        <w:t>-</w:t>
      </w:r>
      <w:r>
        <w:rPr>
          <w:rFonts w:ascii="Times New Roman" w:hAnsi="Times New Roman" w:cs="Times New Roman"/>
          <w:b/>
          <w:noProof/>
          <w:sz w:val="24"/>
          <w:szCs w:val="24"/>
        </w:rPr>
        <w:t xml:space="preserve">informed </w:t>
      </w:r>
      <w:r w:rsidR="00037642">
        <w:rPr>
          <w:rFonts w:ascii="Times New Roman" w:hAnsi="Times New Roman" w:cs="Times New Roman"/>
          <w:b/>
          <w:noProof/>
          <w:sz w:val="24"/>
          <w:szCs w:val="24"/>
        </w:rPr>
        <w:t xml:space="preserve">and transparent </w:t>
      </w:r>
      <w:r>
        <w:rPr>
          <w:rFonts w:ascii="Times New Roman" w:hAnsi="Times New Roman" w:cs="Times New Roman"/>
          <w:b/>
          <w:noProof/>
          <w:sz w:val="24"/>
          <w:szCs w:val="24"/>
        </w:rPr>
        <w:t xml:space="preserve">reforms are more likely to be better implemented. </w:t>
      </w:r>
      <w:r w:rsidR="00037642">
        <w:rPr>
          <w:rFonts w:ascii="Times New Roman" w:hAnsi="Times New Roman" w:cs="Times New Roman"/>
          <w:noProof/>
          <w:sz w:val="24"/>
          <w:szCs w:val="24"/>
        </w:rPr>
        <w:t>E</w:t>
      </w:r>
      <w:r w:rsidR="00037642" w:rsidRPr="001970A4">
        <w:rPr>
          <w:rFonts w:ascii="Times New Roman" w:hAnsi="Times New Roman" w:cs="Times New Roman"/>
          <w:noProof/>
          <w:sz w:val="24"/>
          <w:szCs w:val="24"/>
        </w:rPr>
        <w:t xml:space="preserve">vidence-based policy design is important </w:t>
      </w:r>
      <w:r w:rsidR="00923572">
        <w:rPr>
          <w:rFonts w:ascii="Times New Roman" w:hAnsi="Times New Roman" w:cs="Times New Roman"/>
          <w:noProof/>
          <w:sz w:val="24"/>
          <w:szCs w:val="24"/>
        </w:rPr>
        <w:t xml:space="preserve">for </w:t>
      </w:r>
      <w:r w:rsidR="00037642" w:rsidRPr="001970A4">
        <w:rPr>
          <w:rFonts w:ascii="Times New Roman" w:hAnsi="Times New Roman" w:cs="Times New Roman"/>
          <w:noProof/>
          <w:sz w:val="24"/>
          <w:szCs w:val="24"/>
        </w:rPr>
        <w:t>reform implementation. Trust in the decision-making process can be built by having a quality</w:t>
      </w:r>
      <w:r w:rsidR="006C75CF" w:rsidRPr="006C75CF">
        <w:rPr>
          <w:noProof/>
        </w:rPr>
        <w:t xml:space="preserve"> </w:t>
      </w:r>
      <w:r w:rsidR="006C75CF" w:rsidRPr="006C75CF">
        <w:rPr>
          <w:rFonts w:ascii="Times New Roman" w:hAnsi="Times New Roman" w:cs="Times New Roman"/>
          <w:noProof/>
          <w:sz w:val="24"/>
          <w:szCs w:val="24"/>
        </w:rPr>
        <w:t>collaborative</w:t>
      </w:r>
      <w:r w:rsidR="00037642" w:rsidRPr="001970A4">
        <w:rPr>
          <w:rFonts w:ascii="Times New Roman" w:hAnsi="Times New Roman" w:cs="Times New Roman"/>
          <w:noProof/>
          <w:sz w:val="24"/>
          <w:szCs w:val="24"/>
        </w:rPr>
        <w:t xml:space="preserve"> preparatory and implementation process in place, accompanied by </w:t>
      </w:r>
      <w:r w:rsidR="00037642">
        <w:rPr>
          <w:rFonts w:ascii="Times New Roman" w:hAnsi="Times New Roman" w:cs="Times New Roman"/>
          <w:noProof/>
          <w:sz w:val="24"/>
          <w:szCs w:val="24"/>
        </w:rPr>
        <w:t xml:space="preserve">reliable distributional </w:t>
      </w:r>
      <w:r w:rsidR="00037642" w:rsidRPr="001970A4">
        <w:rPr>
          <w:rFonts w:ascii="Times New Roman" w:hAnsi="Times New Roman" w:cs="Times New Roman"/>
          <w:noProof/>
          <w:sz w:val="24"/>
          <w:szCs w:val="24"/>
        </w:rPr>
        <w:t xml:space="preserve">assessments which increase transparency and efficiency. </w:t>
      </w:r>
      <w:r w:rsidR="009453C5" w:rsidRPr="00714B43">
        <w:rPr>
          <w:rFonts w:ascii="Times New Roman" w:hAnsi="Times New Roman" w:cs="Times New Roman"/>
          <w:noProof/>
          <w:sz w:val="24"/>
          <w:szCs w:val="24"/>
        </w:rPr>
        <w:t>I</w:t>
      </w:r>
      <w:r w:rsidR="00A43E87" w:rsidRPr="00714B43">
        <w:rPr>
          <w:rFonts w:ascii="Times New Roman" w:hAnsi="Times New Roman" w:cs="Times New Roman"/>
          <w:noProof/>
          <w:sz w:val="24"/>
          <w:szCs w:val="24"/>
        </w:rPr>
        <w:t xml:space="preserve">mplementation of complex reforms </w:t>
      </w:r>
      <w:r w:rsidR="00A74D6F" w:rsidRPr="00714B43">
        <w:rPr>
          <w:rFonts w:ascii="Times New Roman" w:hAnsi="Times New Roman" w:cs="Times New Roman"/>
          <w:noProof/>
          <w:sz w:val="24"/>
          <w:szCs w:val="24"/>
        </w:rPr>
        <w:t xml:space="preserve">also </w:t>
      </w:r>
      <w:r w:rsidR="00A43E87" w:rsidRPr="00714B43">
        <w:rPr>
          <w:rFonts w:ascii="Times New Roman" w:hAnsi="Times New Roman" w:cs="Times New Roman"/>
          <w:noProof/>
          <w:sz w:val="24"/>
          <w:szCs w:val="24"/>
        </w:rPr>
        <w:t>comes with difficulties associated with social and economic costs,</w:t>
      </w:r>
      <w:r w:rsidR="00A43E87" w:rsidRPr="001970A4">
        <w:rPr>
          <w:rFonts w:ascii="Times New Roman" w:hAnsi="Times New Roman" w:cs="Times New Roman"/>
          <w:noProof/>
          <w:sz w:val="24"/>
          <w:szCs w:val="24"/>
        </w:rPr>
        <w:t xml:space="preserve"> which often fall on specific groups while their benefits </w:t>
      </w:r>
      <w:r w:rsidR="00A74D6F">
        <w:rPr>
          <w:rFonts w:ascii="Times New Roman" w:hAnsi="Times New Roman" w:cs="Times New Roman"/>
          <w:noProof/>
          <w:sz w:val="24"/>
          <w:szCs w:val="24"/>
        </w:rPr>
        <w:t xml:space="preserve">can be more </w:t>
      </w:r>
      <w:r w:rsidR="00A43E87" w:rsidRPr="001970A4">
        <w:rPr>
          <w:rFonts w:ascii="Times New Roman" w:hAnsi="Times New Roman" w:cs="Times New Roman"/>
          <w:noProof/>
          <w:sz w:val="24"/>
          <w:szCs w:val="24"/>
        </w:rPr>
        <w:t xml:space="preserve">diffused. </w:t>
      </w:r>
      <w:r w:rsidR="00FF331E" w:rsidRPr="001970A4">
        <w:rPr>
          <w:rFonts w:ascii="Times New Roman" w:hAnsi="Times New Roman" w:cs="Times New Roman"/>
          <w:noProof/>
          <w:sz w:val="24"/>
          <w:szCs w:val="24"/>
        </w:rPr>
        <w:t xml:space="preserve">Challenges associated with the reform, alternative policy choices and likely trade-offs should be understood before implementation. This includes distributional impacts as all policies may not be win-win in terms of encouraging economic growth and reducing inequality but rather having </w:t>
      </w:r>
      <w:r w:rsidR="00A435AF" w:rsidRPr="00A435AF">
        <w:rPr>
          <w:rFonts w:ascii="Times New Roman" w:hAnsi="Times New Roman" w:cs="Times New Roman"/>
          <w:noProof/>
          <w:sz w:val="24"/>
          <w:szCs w:val="24"/>
        </w:rPr>
        <w:t>groups seeing increases in their incomes and others losing income as a result of reforms</w:t>
      </w:r>
      <w:r w:rsidR="00787C60">
        <w:rPr>
          <w:rFonts w:ascii="Times New Roman" w:hAnsi="Times New Roman" w:cs="Times New Roman"/>
          <w:noProof/>
          <w:sz w:val="24"/>
          <w:szCs w:val="24"/>
        </w:rPr>
        <w:t xml:space="preserve">, which can also </w:t>
      </w:r>
      <w:r w:rsidR="00787C60" w:rsidRPr="007D309E">
        <w:rPr>
          <w:rFonts w:ascii="Times New Roman" w:hAnsi="Times New Roman" w:cs="Times New Roman"/>
          <w:noProof/>
          <w:sz w:val="24"/>
          <w:szCs w:val="24"/>
        </w:rPr>
        <w:t xml:space="preserve">lead to the adoption of measures </w:t>
      </w:r>
      <w:r w:rsidR="00787C60">
        <w:rPr>
          <w:rFonts w:ascii="Times New Roman" w:hAnsi="Times New Roman" w:cs="Times New Roman"/>
          <w:noProof/>
          <w:sz w:val="24"/>
          <w:szCs w:val="24"/>
        </w:rPr>
        <w:t>focussed on specific groups (that</w:t>
      </w:r>
      <w:r w:rsidR="00787C60" w:rsidRPr="007D309E">
        <w:rPr>
          <w:rFonts w:ascii="Times New Roman" w:hAnsi="Times New Roman" w:cs="Times New Roman"/>
          <w:noProof/>
          <w:sz w:val="24"/>
          <w:szCs w:val="24"/>
        </w:rPr>
        <w:t xml:space="preserve"> will reduce or eliminate the negative impact on poverty or the widening of inequalities</w:t>
      </w:r>
      <w:r w:rsidR="00787C60">
        <w:rPr>
          <w:rFonts w:ascii="Times New Roman" w:hAnsi="Times New Roman" w:cs="Times New Roman"/>
          <w:noProof/>
          <w:sz w:val="24"/>
          <w:szCs w:val="24"/>
        </w:rPr>
        <w:t>)</w:t>
      </w:r>
      <w:r w:rsidR="00787C60" w:rsidRPr="007D309E">
        <w:rPr>
          <w:rFonts w:ascii="Times New Roman" w:hAnsi="Times New Roman" w:cs="Times New Roman"/>
          <w:noProof/>
          <w:sz w:val="24"/>
          <w:szCs w:val="24"/>
        </w:rPr>
        <w:t>.</w:t>
      </w:r>
      <w:r w:rsidR="00A43E87" w:rsidRPr="001970A4">
        <w:rPr>
          <w:rFonts w:ascii="Times New Roman" w:hAnsi="Times New Roman" w:cs="Times New Roman"/>
          <w:noProof/>
          <w:sz w:val="24"/>
          <w:szCs w:val="24"/>
        </w:rPr>
        <w:t xml:space="preserve">The opposition from </w:t>
      </w:r>
      <w:r w:rsidR="007C2A92">
        <w:rPr>
          <w:rFonts w:ascii="Times New Roman" w:hAnsi="Times New Roman" w:cs="Times New Roman"/>
          <w:noProof/>
          <w:sz w:val="24"/>
          <w:szCs w:val="24"/>
        </w:rPr>
        <w:t xml:space="preserve">those who might </w:t>
      </w:r>
      <w:r w:rsidR="00A43E87" w:rsidRPr="001970A4">
        <w:rPr>
          <w:rFonts w:ascii="Times New Roman" w:hAnsi="Times New Roman" w:cs="Times New Roman"/>
          <w:noProof/>
          <w:sz w:val="24"/>
          <w:szCs w:val="24"/>
        </w:rPr>
        <w:t xml:space="preserve">lose and the perceived unfair distribution of gains can result in a lack of </w:t>
      </w:r>
      <w:r>
        <w:rPr>
          <w:rFonts w:ascii="Times New Roman" w:hAnsi="Times New Roman" w:cs="Times New Roman"/>
          <w:noProof/>
          <w:sz w:val="24"/>
          <w:szCs w:val="24"/>
        </w:rPr>
        <w:t xml:space="preserve">support </w:t>
      </w:r>
      <w:r w:rsidR="00A43E87" w:rsidRPr="001970A4">
        <w:rPr>
          <w:rFonts w:ascii="Times New Roman" w:hAnsi="Times New Roman" w:cs="Times New Roman"/>
          <w:noProof/>
          <w:sz w:val="24"/>
          <w:szCs w:val="24"/>
        </w:rPr>
        <w:t xml:space="preserve">and commitment to these reforms. </w:t>
      </w:r>
      <w:r w:rsidR="00A74D6F">
        <w:rPr>
          <w:rFonts w:ascii="Times New Roman" w:hAnsi="Times New Roman" w:cs="Times New Roman"/>
          <w:noProof/>
          <w:sz w:val="24"/>
          <w:szCs w:val="24"/>
        </w:rPr>
        <w:t>R</w:t>
      </w:r>
      <w:r w:rsidR="00A43E87" w:rsidRPr="001970A4">
        <w:rPr>
          <w:rFonts w:ascii="Times New Roman" w:hAnsi="Times New Roman" w:cs="Times New Roman"/>
          <w:noProof/>
          <w:sz w:val="24"/>
          <w:szCs w:val="24"/>
        </w:rPr>
        <w:t>eform implementation can be affected by political economy factors</w:t>
      </w:r>
      <w:r w:rsidR="00816ADB">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xml:space="preserve">, which highlights the importance of the assessment of potential </w:t>
      </w:r>
      <w:r w:rsidR="00A43E87" w:rsidRPr="001970A4">
        <w:rPr>
          <w:rFonts w:ascii="Times New Roman" w:hAnsi="Times New Roman" w:cs="Times New Roman"/>
          <w:noProof/>
          <w:sz w:val="24"/>
          <w:szCs w:val="24"/>
        </w:rPr>
        <w:t>groups affected</w:t>
      </w:r>
      <w:r w:rsidR="002B5FB2">
        <w:rPr>
          <w:rFonts w:ascii="Times New Roman" w:hAnsi="Times New Roman" w:cs="Times New Roman"/>
          <w:noProof/>
          <w:sz w:val="24"/>
          <w:szCs w:val="24"/>
        </w:rPr>
        <w:t>.</w:t>
      </w:r>
      <w:r w:rsidR="00A43E87" w:rsidRPr="001970A4">
        <w:rPr>
          <w:rFonts w:ascii="Times New Roman" w:hAnsi="Times New Roman" w:cs="Times New Roman"/>
          <w:noProof/>
          <w:sz w:val="24"/>
          <w:szCs w:val="24"/>
        </w:rPr>
        <w:t xml:space="preserve"> </w:t>
      </w:r>
      <w:r w:rsidR="0067336E">
        <w:rPr>
          <w:rFonts w:ascii="Times New Roman" w:hAnsi="Times New Roman" w:cs="Times New Roman"/>
          <w:noProof/>
          <w:sz w:val="24"/>
          <w:szCs w:val="24"/>
        </w:rPr>
        <w:t>P</w:t>
      </w:r>
      <w:r w:rsidR="00A43E87" w:rsidRPr="001970A4">
        <w:rPr>
          <w:rFonts w:ascii="Times New Roman" w:hAnsi="Times New Roman" w:cs="Times New Roman"/>
          <w:noProof/>
          <w:sz w:val="24"/>
          <w:szCs w:val="24"/>
        </w:rPr>
        <w:t xml:space="preserve">ossible compensatory measures, </w:t>
      </w:r>
      <w:r>
        <w:rPr>
          <w:rFonts w:ascii="Times New Roman" w:hAnsi="Times New Roman" w:cs="Times New Roman"/>
          <w:noProof/>
          <w:sz w:val="24"/>
          <w:szCs w:val="24"/>
        </w:rPr>
        <w:t xml:space="preserve">as well as </w:t>
      </w:r>
      <w:r w:rsidRPr="001970A4">
        <w:rPr>
          <w:rFonts w:ascii="Times New Roman" w:hAnsi="Times New Roman" w:cs="Times New Roman"/>
          <w:noProof/>
          <w:sz w:val="24"/>
          <w:szCs w:val="24"/>
        </w:rPr>
        <w:t>consult</w:t>
      </w:r>
      <w:r>
        <w:rPr>
          <w:rFonts w:ascii="Times New Roman" w:hAnsi="Times New Roman" w:cs="Times New Roman"/>
          <w:noProof/>
          <w:sz w:val="24"/>
          <w:szCs w:val="24"/>
        </w:rPr>
        <w:t xml:space="preserve">ation of </w:t>
      </w:r>
      <w:r w:rsidR="00A43E87" w:rsidRPr="001970A4">
        <w:rPr>
          <w:rFonts w:ascii="Times New Roman" w:hAnsi="Times New Roman" w:cs="Times New Roman"/>
          <w:noProof/>
          <w:sz w:val="24"/>
          <w:szCs w:val="24"/>
        </w:rPr>
        <w:t>stakeholders</w:t>
      </w:r>
      <w:r w:rsidR="006C75CF">
        <w:rPr>
          <w:rFonts w:ascii="Times New Roman" w:hAnsi="Times New Roman" w:cs="Times New Roman"/>
          <w:noProof/>
          <w:sz w:val="24"/>
          <w:szCs w:val="24"/>
        </w:rPr>
        <w:t xml:space="preserve"> and general public</w:t>
      </w:r>
      <w:r>
        <w:rPr>
          <w:rFonts w:ascii="Times New Roman" w:hAnsi="Times New Roman" w:cs="Times New Roman"/>
          <w:noProof/>
          <w:sz w:val="24"/>
          <w:szCs w:val="24"/>
        </w:rPr>
        <w:t xml:space="preserve"> and </w:t>
      </w:r>
      <w:r w:rsidR="00A43E87" w:rsidRPr="001970A4">
        <w:rPr>
          <w:rFonts w:ascii="Times New Roman" w:hAnsi="Times New Roman" w:cs="Times New Roman"/>
          <w:noProof/>
          <w:sz w:val="24"/>
          <w:szCs w:val="24"/>
        </w:rPr>
        <w:t>timing of implementation</w:t>
      </w:r>
      <w:r w:rsidR="0067336E">
        <w:rPr>
          <w:rFonts w:ascii="Times New Roman" w:hAnsi="Times New Roman" w:cs="Times New Roman"/>
          <w:noProof/>
          <w:sz w:val="24"/>
          <w:szCs w:val="24"/>
        </w:rPr>
        <w:t xml:space="preserve"> </w:t>
      </w:r>
      <w:r w:rsidR="0067336E" w:rsidRPr="0067336E">
        <w:rPr>
          <w:rFonts w:ascii="Times New Roman" w:hAnsi="Times New Roman" w:cs="Times New Roman"/>
          <w:noProof/>
          <w:sz w:val="24"/>
          <w:szCs w:val="24"/>
        </w:rPr>
        <w:t>may improve the design of reform and their acceptability.</w:t>
      </w:r>
      <w:r w:rsidR="00A43E87" w:rsidRPr="001970A4">
        <w:rPr>
          <w:rFonts w:ascii="Times New Roman" w:hAnsi="Times New Roman" w:cs="Times New Roman"/>
          <w:noProof/>
          <w:sz w:val="24"/>
          <w:szCs w:val="24"/>
        </w:rPr>
        <w:t xml:space="preserve"> </w:t>
      </w:r>
    </w:p>
    <w:p w14:paraId="56AD0C4B" w14:textId="7DE77195" w:rsidR="001046B5" w:rsidRPr="004B203D" w:rsidRDefault="00EC7FCF" w:rsidP="00F6593C">
      <w:pPr>
        <w:pStyle w:val="Heading1"/>
        <w:numPr>
          <w:ilvl w:val="0"/>
          <w:numId w:val="27"/>
        </w:numPr>
        <w:rPr>
          <w:rFonts w:ascii="Times New Roman" w:hAnsi="Times New Roman" w:cs="Times New Roman"/>
          <w:noProof/>
        </w:rPr>
      </w:pPr>
      <w:bookmarkStart w:id="4" w:name="_Toc114470584"/>
      <w:r w:rsidRPr="004B203D">
        <w:rPr>
          <w:rFonts w:ascii="Times New Roman" w:hAnsi="Times New Roman" w:cs="Times New Roman"/>
          <w:noProof/>
        </w:rPr>
        <w:t>A</w:t>
      </w:r>
      <w:r w:rsidR="0067336E" w:rsidRPr="004B203D">
        <w:rPr>
          <w:rFonts w:ascii="Times New Roman" w:hAnsi="Times New Roman" w:cs="Times New Roman"/>
          <w:noProof/>
        </w:rPr>
        <w:t>n overview</w:t>
      </w:r>
      <w:r w:rsidRPr="004B203D">
        <w:rPr>
          <w:rFonts w:ascii="Times New Roman" w:hAnsi="Times New Roman" w:cs="Times New Roman"/>
          <w:noProof/>
        </w:rPr>
        <w:t xml:space="preserve"> of </w:t>
      </w:r>
      <w:r w:rsidR="004948DD" w:rsidRPr="004B203D">
        <w:rPr>
          <w:rFonts w:ascii="Times New Roman" w:hAnsi="Times New Roman" w:cs="Times New Roman"/>
          <w:noProof/>
        </w:rPr>
        <w:t xml:space="preserve">DIA </w:t>
      </w:r>
      <w:r w:rsidR="00C11D08" w:rsidRPr="004B203D">
        <w:rPr>
          <w:rFonts w:ascii="Times New Roman" w:hAnsi="Times New Roman" w:cs="Times New Roman"/>
          <w:noProof/>
        </w:rPr>
        <w:t>use</w:t>
      </w:r>
      <w:r w:rsidR="001046B5" w:rsidRPr="004B203D">
        <w:rPr>
          <w:rFonts w:ascii="Times New Roman" w:hAnsi="Times New Roman" w:cs="Times New Roman"/>
          <w:noProof/>
        </w:rPr>
        <w:t xml:space="preserve"> in the Member States</w:t>
      </w:r>
      <w:bookmarkEnd w:id="4"/>
    </w:p>
    <w:p w14:paraId="01089B5D" w14:textId="09247A08" w:rsidR="00FF3A81" w:rsidRDefault="00D566D1" w:rsidP="00B31C4A">
      <w:pPr>
        <w:spacing w:before="120" w:after="120" w:line="252" w:lineRule="auto"/>
        <w:jc w:val="both"/>
        <w:rPr>
          <w:rFonts w:ascii="Times New Roman" w:eastAsia="Arial" w:hAnsi="Times New Roman" w:cs="Times New Roman"/>
          <w:noProof/>
          <w:sz w:val="24"/>
          <w:szCs w:val="24"/>
        </w:rPr>
      </w:pPr>
      <w:r w:rsidRPr="00D566D1">
        <w:rPr>
          <w:rFonts w:ascii="Times New Roman" w:eastAsia="Arial" w:hAnsi="Times New Roman" w:cs="Times New Roman"/>
          <w:b/>
          <w:noProof/>
          <w:sz w:val="24"/>
          <w:szCs w:val="24"/>
          <w:highlight w:val="white"/>
        </w:rPr>
        <w:t>Member States differ in terms of the types and number of national budgetary documents in which DIA results are presented.</w:t>
      </w:r>
      <w:r>
        <w:rPr>
          <w:rFonts w:ascii="Times New Roman" w:eastAsia="Arial" w:hAnsi="Times New Roman" w:cs="Times New Roman"/>
          <w:noProof/>
          <w:sz w:val="24"/>
          <w:szCs w:val="24"/>
          <w:highlight w:val="white"/>
        </w:rPr>
        <w:t xml:space="preserve"> </w:t>
      </w:r>
      <w:r w:rsidR="00FF3A81" w:rsidRPr="00FF3A81">
        <w:rPr>
          <w:rFonts w:ascii="Times New Roman" w:eastAsia="Arial" w:hAnsi="Times New Roman" w:cs="Times New Roman"/>
          <w:noProof/>
          <w:sz w:val="24"/>
          <w:szCs w:val="24"/>
          <w:highlight w:val="white"/>
        </w:rPr>
        <w:t xml:space="preserve">Table </w:t>
      </w:r>
      <w:r w:rsidR="000D3E11">
        <w:rPr>
          <w:rFonts w:ascii="Times New Roman" w:eastAsia="Arial" w:hAnsi="Times New Roman" w:cs="Times New Roman"/>
          <w:noProof/>
          <w:sz w:val="24"/>
          <w:szCs w:val="24"/>
          <w:highlight w:val="white"/>
        </w:rPr>
        <w:t>1</w:t>
      </w:r>
      <w:r w:rsidR="00FF3A81" w:rsidRPr="00FF3A81">
        <w:rPr>
          <w:rFonts w:ascii="Times New Roman" w:eastAsia="Arial" w:hAnsi="Times New Roman" w:cs="Times New Roman"/>
          <w:noProof/>
          <w:sz w:val="24"/>
          <w:szCs w:val="24"/>
          <w:highlight w:val="white"/>
        </w:rPr>
        <w:t xml:space="preserve"> summarises for each M</w:t>
      </w:r>
      <w:r w:rsidR="00B31C4A">
        <w:rPr>
          <w:rFonts w:ascii="Times New Roman" w:eastAsia="Arial" w:hAnsi="Times New Roman" w:cs="Times New Roman"/>
          <w:noProof/>
          <w:sz w:val="24"/>
          <w:szCs w:val="24"/>
          <w:highlight w:val="white"/>
        </w:rPr>
        <w:t xml:space="preserve">ember </w:t>
      </w:r>
      <w:r w:rsidR="00FF3A81" w:rsidRPr="00FF3A81">
        <w:rPr>
          <w:rFonts w:ascii="Times New Roman" w:eastAsia="Arial" w:hAnsi="Times New Roman" w:cs="Times New Roman"/>
          <w:noProof/>
          <w:sz w:val="24"/>
          <w:szCs w:val="24"/>
          <w:highlight w:val="white"/>
        </w:rPr>
        <w:t>S</w:t>
      </w:r>
      <w:r w:rsidR="00B31C4A">
        <w:rPr>
          <w:rFonts w:ascii="Times New Roman" w:eastAsia="Arial" w:hAnsi="Times New Roman" w:cs="Times New Roman"/>
          <w:noProof/>
          <w:sz w:val="24"/>
          <w:szCs w:val="24"/>
          <w:highlight w:val="white"/>
        </w:rPr>
        <w:t>tate</w:t>
      </w:r>
      <w:r w:rsidR="00FF3A81" w:rsidRPr="00FF3A81">
        <w:rPr>
          <w:rFonts w:ascii="Times New Roman" w:eastAsia="Arial" w:hAnsi="Times New Roman" w:cs="Times New Roman"/>
          <w:noProof/>
          <w:sz w:val="24"/>
          <w:szCs w:val="24"/>
          <w:highlight w:val="white"/>
        </w:rPr>
        <w:t xml:space="preserve"> whether at least </w:t>
      </w:r>
      <w:r w:rsidR="000D3E11">
        <w:rPr>
          <w:rFonts w:ascii="Times New Roman" w:eastAsia="Arial" w:hAnsi="Times New Roman" w:cs="Times New Roman"/>
          <w:noProof/>
          <w:sz w:val="24"/>
          <w:szCs w:val="24"/>
          <w:highlight w:val="white"/>
        </w:rPr>
        <w:t>some</w:t>
      </w:r>
      <w:r w:rsidR="00FF3A81" w:rsidRPr="00FF3A81">
        <w:rPr>
          <w:rFonts w:ascii="Times New Roman" w:eastAsia="Arial" w:hAnsi="Times New Roman" w:cs="Times New Roman"/>
          <w:noProof/>
          <w:sz w:val="24"/>
          <w:szCs w:val="24"/>
          <w:highlight w:val="white"/>
        </w:rPr>
        <w:t xml:space="preserve"> DIA analysis was performed</w:t>
      </w:r>
      <w:r w:rsidR="000D3E11">
        <w:rPr>
          <w:rFonts w:ascii="Times New Roman" w:eastAsia="Arial" w:hAnsi="Times New Roman" w:cs="Times New Roman"/>
          <w:noProof/>
          <w:sz w:val="24"/>
          <w:szCs w:val="24"/>
          <w:highlight w:val="white"/>
        </w:rPr>
        <w:t xml:space="preserve"> during the preparation of national budgetary document</w:t>
      </w:r>
      <w:r w:rsidR="00B31C4A">
        <w:rPr>
          <w:rFonts w:ascii="Times New Roman" w:eastAsia="Arial" w:hAnsi="Times New Roman" w:cs="Times New Roman"/>
          <w:noProof/>
          <w:sz w:val="24"/>
          <w:szCs w:val="24"/>
          <w:highlight w:val="white"/>
        </w:rPr>
        <w:t>s</w:t>
      </w:r>
      <w:r w:rsidR="000D3E11">
        <w:rPr>
          <w:rFonts w:ascii="Times New Roman" w:eastAsia="Arial" w:hAnsi="Times New Roman" w:cs="Times New Roman"/>
          <w:noProof/>
          <w:sz w:val="24"/>
          <w:szCs w:val="24"/>
          <w:highlight w:val="white"/>
        </w:rPr>
        <w:t>, i.e. those not submitted to the European Commission, and whether the DIA results were then presented in them. T</w:t>
      </w:r>
      <w:r w:rsidR="00FF3A81" w:rsidRPr="00FF3A81">
        <w:rPr>
          <w:rFonts w:ascii="Times New Roman" w:eastAsia="Arial" w:hAnsi="Times New Roman" w:cs="Times New Roman"/>
          <w:noProof/>
          <w:sz w:val="24"/>
          <w:szCs w:val="24"/>
          <w:highlight w:val="white"/>
        </w:rPr>
        <w:t>he following types of budget-related documents at the national level</w:t>
      </w:r>
      <w:r w:rsidR="000D3E11">
        <w:rPr>
          <w:rFonts w:ascii="Times New Roman" w:eastAsia="Arial" w:hAnsi="Times New Roman" w:cs="Times New Roman"/>
          <w:noProof/>
          <w:sz w:val="24"/>
          <w:szCs w:val="24"/>
          <w:highlight w:val="white"/>
        </w:rPr>
        <w:t xml:space="preserve"> are considered</w:t>
      </w:r>
      <w:r w:rsidR="00FF3A81" w:rsidRPr="00FF3A81">
        <w:rPr>
          <w:rFonts w:ascii="Times New Roman" w:eastAsia="Arial" w:hAnsi="Times New Roman" w:cs="Times New Roman"/>
          <w:noProof/>
          <w:sz w:val="24"/>
          <w:szCs w:val="24"/>
          <w:highlight w:val="white"/>
        </w:rPr>
        <w:t xml:space="preserve">: National Growth Strategy, progress towards EU2020 indicators, progress in implementing </w:t>
      </w:r>
      <w:r w:rsidR="000D3E11">
        <w:rPr>
          <w:rFonts w:ascii="Times New Roman" w:eastAsia="Arial" w:hAnsi="Times New Roman" w:cs="Times New Roman"/>
          <w:noProof/>
          <w:sz w:val="24"/>
          <w:szCs w:val="24"/>
          <w:highlight w:val="white"/>
        </w:rPr>
        <w:t>C</w:t>
      </w:r>
      <w:r w:rsidR="00FF3A81" w:rsidRPr="00FF3A81">
        <w:rPr>
          <w:rFonts w:ascii="Times New Roman" w:eastAsia="Arial" w:hAnsi="Times New Roman" w:cs="Times New Roman"/>
          <w:noProof/>
          <w:sz w:val="24"/>
          <w:szCs w:val="24"/>
          <w:highlight w:val="white"/>
        </w:rPr>
        <w:t>ountry</w:t>
      </w:r>
      <w:r w:rsidR="000D3E11">
        <w:rPr>
          <w:rFonts w:ascii="Times New Roman" w:eastAsia="Arial" w:hAnsi="Times New Roman" w:cs="Times New Roman"/>
          <w:noProof/>
          <w:sz w:val="24"/>
          <w:szCs w:val="24"/>
          <w:highlight w:val="white"/>
        </w:rPr>
        <w:t xml:space="preserve"> </w:t>
      </w:r>
      <w:r w:rsidR="00FF3A81" w:rsidRPr="00FF3A81">
        <w:rPr>
          <w:rFonts w:ascii="Times New Roman" w:eastAsia="Arial" w:hAnsi="Times New Roman" w:cs="Times New Roman"/>
          <w:noProof/>
          <w:sz w:val="24"/>
          <w:szCs w:val="24"/>
          <w:highlight w:val="white"/>
        </w:rPr>
        <w:t xml:space="preserve">Specific </w:t>
      </w:r>
      <w:r w:rsidR="000D3E11">
        <w:rPr>
          <w:rFonts w:ascii="Times New Roman" w:eastAsia="Arial" w:hAnsi="Times New Roman" w:cs="Times New Roman"/>
          <w:noProof/>
          <w:sz w:val="24"/>
          <w:szCs w:val="24"/>
          <w:highlight w:val="white"/>
        </w:rPr>
        <w:t>R</w:t>
      </w:r>
      <w:r w:rsidR="00FF3A81" w:rsidRPr="00FF3A81">
        <w:rPr>
          <w:rFonts w:ascii="Times New Roman" w:eastAsia="Arial" w:hAnsi="Times New Roman" w:cs="Times New Roman"/>
          <w:noProof/>
          <w:sz w:val="24"/>
          <w:szCs w:val="24"/>
          <w:highlight w:val="white"/>
        </w:rPr>
        <w:t xml:space="preserve">ecommendations, national document introducing expenditure and revenue measures and documents with an </w:t>
      </w:r>
      <w:r w:rsidR="00FF3A81" w:rsidRPr="00E27501">
        <w:rPr>
          <w:rFonts w:ascii="Times New Roman" w:eastAsia="Arial" w:hAnsi="Times New Roman" w:cs="Times New Roman"/>
          <w:i/>
          <w:noProof/>
          <w:sz w:val="24"/>
          <w:szCs w:val="24"/>
          <w:highlight w:val="white"/>
        </w:rPr>
        <w:t>ex</w:t>
      </w:r>
      <w:r w:rsidR="00E27501">
        <w:rPr>
          <w:rFonts w:ascii="Times New Roman" w:eastAsia="Arial" w:hAnsi="Times New Roman" w:cs="Times New Roman"/>
          <w:i/>
          <w:noProof/>
          <w:sz w:val="24"/>
          <w:szCs w:val="24"/>
          <w:highlight w:val="white"/>
        </w:rPr>
        <w:t xml:space="preserve"> </w:t>
      </w:r>
      <w:r w:rsidR="00FF3A81" w:rsidRPr="00E27501">
        <w:rPr>
          <w:rFonts w:ascii="Times New Roman" w:eastAsia="Arial" w:hAnsi="Times New Roman" w:cs="Times New Roman"/>
          <w:i/>
          <w:noProof/>
          <w:sz w:val="24"/>
          <w:szCs w:val="24"/>
          <w:highlight w:val="white"/>
        </w:rPr>
        <w:t>ante</w:t>
      </w:r>
      <w:r w:rsidR="00FF3A81" w:rsidRPr="00FF3A81">
        <w:rPr>
          <w:rFonts w:ascii="Times New Roman" w:eastAsia="Arial" w:hAnsi="Times New Roman" w:cs="Times New Roman"/>
          <w:noProof/>
          <w:sz w:val="24"/>
          <w:szCs w:val="24"/>
          <w:highlight w:val="white"/>
        </w:rPr>
        <w:t xml:space="preserve"> or </w:t>
      </w:r>
      <w:r w:rsidR="00FF3A81" w:rsidRPr="00E27501">
        <w:rPr>
          <w:rFonts w:ascii="Times New Roman" w:eastAsia="Arial" w:hAnsi="Times New Roman" w:cs="Times New Roman"/>
          <w:i/>
          <w:noProof/>
          <w:sz w:val="24"/>
          <w:szCs w:val="24"/>
          <w:highlight w:val="white"/>
        </w:rPr>
        <w:t>ex</w:t>
      </w:r>
      <w:r w:rsidR="00E27501">
        <w:rPr>
          <w:rFonts w:ascii="Times New Roman" w:eastAsia="Arial" w:hAnsi="Times New Roman" w:cs="Times New Roman"/>
          <w:i/>
          <w:noProof/>
          <w:sz w:val="24"/>
          <w:szCs w:val="24"/>
          <w:highlight w:val="white"/>
        </w:rPr>
        <w:t xml:space="preserve"> </w:t>
      </w:r>
      <w:r w:rsidR="00FF3A81" w:rsidRPr="00E27501">
        <w:rPr>
          <w:rFonts w:ascii="Times New Roman" w:eastAsia="Arial" w:hAnsi="Times New Roman" w:cs="Times New Roman"/>
          <w:i/>
          <w:noProof/>
          <w:sz w:val="24"/>
          <w:szCs w:val="24"/>
          <w:highlight w:val="white"/>
        </w:rPr>
        <w:t>post</w:t>
      </w:r>
      <w:r w:rsidR="00FF3A81" w:rsidRPr="00FF3A81">
        <w:rPr>
          <w:rFonts w:ascii="Times New Roman" w:eastAsia="Arial" w:hAnsi="Times New Roman" w:cs="Times New Roman"/>
          <w:noProof/>
          <w:sz w:val="24"/>
          <w:szCs w:val="24"/>
          <w:highlight w:val="white"/>
        </w:rPr>
        <w:t xml:space="preserve"> evaluation of budgetary measures. </w:t>
      </w:r>
      <w:r w:rsidR="000D3E11">
        <w:rPr>
          <w:rFonts w:ascii="Times New Roman" w:eastAsia="Arial" w:hAnsi="Times New Roman" w:cs="Times New Roman"/>
          <w:noProof/>
          <w:sz w:val="24"/>
          <w:szCs w:val="24"/>
          <w:highlight w:val="white"/>
        </w:rPr>
        <w:t xml:space="preserve">A </w:t>
      </w:r>
      <w:r w:rsidR="00B31C4A">
        <w:rPr>
          <w:rFonts w:ascii="Times New Roman" w:eastAsia="Arial" w:hAnsi="Times New Roman" w:cs="Times New Roman"/>
          <w:noProof/>
          <w:sz w:val="24"/>
          <w:szCs w:val="24"/>
          <w:highlight w:val="white"/>
        </w:rPr>
        <w:t>significant</w:t>
      </w:r>
      <w:r w:rsidR="00FF3A81" w:rsidRPr="00FF3A81">
        <w:rPr>
          <w:rFonts w:ascii="Times New Roman" w:eastAsia="Arial" w:hAnsi="Times New Roman" w:cs="Times New Roman"/>
          <w:noProof/>
          <w:sz w:val="24"/>
          <w:szCs w:val="24"/>
          <w:highlight w:val="white"/>
        </w:rPr>
        <w:t xml:space="preserve"> heterogeneity among the M</w:t>
      </w:r>
      <w:r w:rsidR="00A4649A">
        <w:rPr>
          <w:rFonts w:ascii="Times New Roman" w:eastAsia="Arial" w:hAnsi="Times New Roman" w:cs="Times New Roman"/>
          <w:noProof/>
          <w:sz w:val="24"/>
          <w:szCs w:val="24"/>
          <w:highlight w:val="white"/>
        </w:rPr>
        <w:t xml:space="preserve">ember </w:t>
      </w:r>
      <w:r w:rsidR="00FF3A81" w:rsidRPr="00FF3A81">
        <w:rPr>
          <w:rFonts w:ascii="Times New Roman" w:eastAsia="Arial" w:hAnsi="Times New Roman" w:cs="Times New Roman"/>
          <w:noProof/>
          <w:sz w:val="24"/>
          <w:szCs w:val="24"/>
          <w:highlight w:val="white"/>
        </w:rPr>
        <w:t>S</w:t>
      </w:r>
      <w:r w:rsidR="00A4649A">
        <w:rPr>
          <w:rFonts w:ascii="Times New Roman" w:eastAsia="Arial" w:hAnsi="Times New Roman" w:cs="Times New Roman"/>
          <w:noProof/>
          <w:sz w:val="24"/>
          <w:szCs w:val="24"/>
          <w:highlight w:val="white"/>
        </w:rPr>
        <w:t>tates</w:t>
      </w:r>
      <w:r w:rsidR="00FF3A81" w:rsidRPr="00FF3A81">
        <w:rPr>
          <w:rFonts w:ascii="Times New Roman" w:eastAsia="Arial" w:hAnsi="Times New Roman" w:cs="Times New Roman"/>
          <w:noProof/>
          <w:sz w:val="24"/>
          <w:szCs w:val="24"/>
          <w:highlight w:val="white"/>
        </w:rPr>
        <w:t xml:space="preserve"> emerges</w:t>
      </w:r>
      <w:r w:rsidR="000D3E11">
        <w:rPr>
          <w:rFonts w:ascii="Times New Roman" w:eastAsia="Arial" w:hAnsi="Times New Roman" w:cs="Times New Roman"/>
          <w:noProof/>
          <w:sz w:val="24"/>
          <w:szCs w:val="24"/>
          <w:highlight w:val="white"/>
        </w:rPr>
        <w:t xml:space="preserve"> from the table</w:t>
      </w:r>
      <w:r w:rsidR="00FF3A81" w:rsidRPr="00FF3A81">
        <w:rPr>
          <w:rFonts w:ascii="Times New Roman" w:eastAsia="Arial" w:hAnsi="Times New Roman" w:cs="Times New Roman"/>
          <w:noProof/>
          <w:sz w:val="24"/>
          <w:szCs w:val="24"/>
          <w:highlight w:val="white"/>
        </w:rPr>
        <w:t>: Belgium, Cyprus, Luxemburg and Romania did not perform any DIA here. Bulgaria, Czech</w:t>
      </w:r>
      <w:r w:rsidR="000D3E11">
        <w:rPr>
          <w:rFonts w:ascii="Times New Roman" w:eastAsia="Arial" w:hAnsi="Times New Roman" w:cs="Times New Roman"/>
          <w:noProof/>
          <w:sz w:val="24"/>
          <w:szCs w:val="24"/>
          <w:highlight w:val="white"/>
        </w:rPr>
        <w:t>ia</w:t>
      </w:r>
      <w:r w:rsidR="00FF3A81" w:rsidRPr="00FF3A81">
        <w:rPr>
          <w:rFonts w:ascii="Times New Roman" w:eastAsia="Arial" w:hAnsi="Times New Roman" w:cs="Times New Roman"/>
          <w:noProof/>
          <w:sz w:val="24"/>
          <w:szCs w:val="24"/>
          <w:highlight w:val="white"/>
        </w:rPr>
        <w:t xml:space="preserve">, Germany, Italy, the Netherlands, Portugal and Slovakia </w:t>
      </w:r>
      <w:r w:rsidR="00256949">
        <w:rPr>
          <w:rFonts w:ascii="Times New Roman" w:eastAsia="Arial" w:hAnsi="Times New Roman" w:cs="Times New Roman"/>
          <w:noProof/>
          <w:sz w:val="24"/>
          <w:szCs w:val="24"/>
          <w:highlight w:val="white"/>
        </w:rPr>
        <w:t>presented some DIA results</w:t>
      </w:r>
      <w:r w:rsidR="00FF3A81" w:rsidRPr="00FF3A81">
        <w:rPr>
          <w:rFonts w:ascii="Times New Roman" w:eastAsia="Arial" w:hAnsi="Times New Roman" w:cs="Times New Roman"/>
          <w:noProof/>
          <w:sz w:val="24"/>
          <w:szCs w:val="24"/>
          <w:highlight w:val="white"/>
        </w:rPr>
        <w:t xml:space="preserve"> in no more than two of the types of budget-related documents considered. Austria, Denmark, France, Latvia, Malta, Sweden and Slovenia had at least one DIA occurrence in at least five of these types of documents. </w:t>
      </w:r>
    </w:p>
    <w:p w14:paraId="576A499D" w14:textId="7D8FDB8A" w:rsidR="00845146" w:rsidRDefault="00845146">
      <w:pPr>
        <w:rPr>
          <w:rFonts w:ascii="Times New Roman" w:eastAsia="Arial" w:hAnsi="Times New Roman" w:cs="Times New Roman"/>
          <w:noProof/>
          <w:sz w:val="24"/>
          <w:szCs w:val="24"/>
          <w:highlight w:val="white"/>
        </w:rPr>
      </w:pPr>
      <w:r>
        <w:rPr>
          <w:rFonts w:ascii="Times New Roman" w:eastAsia="Arial" w:hAnsi="Times New Roman" w:cs="Times New Roman"/>
          <w:noProof/>
          <w:sz w:val="24"/>
          <w:szCs w:val="24"/>
          <w:highlight w:val="white"/>
        </w:rPr>
        <w:br w:type="page"/>
      </w:r>
    </w:p>
    <w:p w14:paraId="423CEAB1" w14:textId="71E73413" w:rsidR="00FF3A81" w:rsidRPr="00714B43" w:rsidRDefault="00FF3A81" w:rsidP="00714B43">
      <w:pPr>
        <w:spacing w:before="120" w:after="120" w:line="240" w:lineRule="auto"/>
        <w:rPr>
          <w:rFonts w:ascii="Times New Roman" w:eastAsia="Times New Roman" w:hAnsi="Times New Roman" w:cs="Times New Roman"/>
          <w:b/>
          <w:noProof/>
          <w:sz w:val="24"/>
          <w:szCs w:val="24"/>
          <w:lang w:eastAsia="en-GB"/>
        </w:rPr>
      </w:pPr>
      <w:r w:rsidRPr="00714B43">
        <w:rPr>
          <w:rFonts w:ascii="Times New Roman" w:eastAsia="Times New Roman" w:hAnsi="Times New Roman" w:cs="Times New Roman"/>
          <w:b/>
          <w:noProof/>
          <w:sz w:val="24"/>
          <w:szCs w:val="24"/>
          <w:lang w:eastAsia="en-GB"/>
        </w:rPr>
        <w:t xml:space="preserve">Table </w:t>
      </w:r>
      <w:r w:rsidR="000D3E11" w:rsidRPr="00714B43">
        <w:rPr>
          <w:rFonts w:ascii="Times New Roman" w:eastAsia="Times New Roman" w:hAnsi="Times New Roman" w:cs="Times New Roman"/>
          <w:b/>
          <w:noProof/>
          <w:sz w:val="24"/>
          <w:szCs w:val="24"/>
          <w:lang w:eastAsia="en-GB"/>
        </w:rPr>
        <w:t>1</w:t>
      </w:r>
      <w:r w:rsidRPr="00714B43">
        <w:rPr>
          <w:rFonts w:ascii="Times New Roman" w:eastAsia="Times New Roman" w:hAnsi="Times New Roman" w:cs="Times New Roman"/>
          <w:b/>
          <w:noProof/>
          <w:sz w:val="24"/>
          <w:szCs w:val="24"/>
          <w:lang w:eastAsia="en-GB"/>
        </w:rPr>
        <w:t xml:space="preserve"> – DIA presence</w:t>
      </w:r>
      <w:r w:rsidR="000D3E11" w:rsidRPr="00714B43">
        <w:rPr>
          <w:rFonts w:ascii="Times New Roman" w:eastAsia="Times New Roman" w:hAnsi="Times New Roman" w:cs="Times New Roman"/>
          <w:b/>
          <w:noProof/>
          <w:sz w:val="24"/>
          <w:szCs w:val="24"/>
          <w:lang w:eastAsia="en-GB"/>
        </w:rPr>
        <w:t>s</w:t>
      </w:r>
      <w:r w:rsidRPr="00714B43">
        <w:rPr>
          <w:rFonts w:ascii="Times New Roman" w:eastAsia="Times New Roman" w:hAnsi="Times New Roman" w:cs="Times New Roman"/>
          <w:b/>
          <w:noProof/>
          <w:sz w:val="24"/>
          <w:szCs w:val="24"/>
          <w:lang w:eastAsia="en-GB"/>
        </w:rPr>
        <w:t xml:space="preserve"> outside DBPs, SCP and NRP, for seven different kinds of</w:t>
      </w:r>
      <w:r w:rsidR="000D3E11" w:rsidRPr="00714B43">
        <w:rPr>
          <w:rFonts w:ascii="Times New Roman" w:eastAsia="Times New Roman" w:hAnsi="Times New Roman" w:cs="Times New Roman"/>
          <w:b/>
          <w:noProof/>
          <w:sz w:val="24"/>
          <w:szCs w:val="24"/>
          <w:lang w:eastAsia="en-GB"/>
        </w:rPr>
        <w:t xml:space="preserve"> national</w:t>
      </w:r>
      <w:r w:rsidRPr="00714B43">
        <w:rPr>
          <w:rFonts w:ascii="Times New Roman" w:eastAsia="Times New Roman" w:hAnsi="Times New Roman" w:cs="Times New Roman"/>
          <w:b/>
          <w:noProof/>
          <w:sz w:val="24"/>
          <w:szCs w:val="24"/>
          <w:lang w:eastAsia="en-GB"/>
        </w:rPr>
        <w:t xml:space="preserve"> budget-related documents (2019-2020) </w:t>
      </w:r>
    </w:p>
    <w:tbl>
      <w:tblPr>
        <w:tblW w:w="3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6"/>
        <w:gridCol w:w="950"/>
        <w:gridCol w:w="1072"/>
        <w:gridCol w:w="1738"/>
        <w:gridCol w:w="1239"/>
        <w:gridCol w:w="1217"/>
        <w:gridCol w:w="1105"/>
        <w:gridCol w:w="1105"/>
      </w:tblGrid>
      <w:tr w:rsidR="00FF3A81" w:rsidRPr="00DF74F4" w14:paraId="7280149B" w14:textId="77777777" w:rsidTr="00347053">
        <w:trPr>
          <w:trHeight w:val="1315"/>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36047313" w14:textId="77777777" w:rsidR="00FF3A81" w:rsidRPr="00714B43" w:rsidRDefault="00FF3A81" w:rsidP="00714B43">
            <w:pPr>
              <w:spacing w:after="0"/>
              <w:rPr>
                <w:rFonts w:ascii="Times New Roman" w:eastAsia="Arial" w:hAnsi="Times New Roman" w:cs="Times New Roman"/>
                <w:b/>
                <w:noProof/>
                <w:sz w:val="20"/>
                <w:szCs w:val="20"/>
              </w:rPr>
            </w:pPr>
            <w:r w:rsidRPr="00714B43">
              <w:rPr>
                <w:rFonts w:ascii="Times New Roman" w:eastAsia="Arial" w:hAnsi="Times New Roman" w:cs="Times New Roman"/>
                <w:b/>
                <w:noProof/>
                <w:sz w:val="20"/>
                <w:szCs w:val="20"/>
              </w:rPr>
              <w:t>MS</w:t>
            </w:r>
          </w:p>
        </w:tc>
        <w:tc>
          <w:tcPr>
            <w:tcW w:w="502" w:type="pct"/>
            <w:tcBorders>
              <w:top w:val="single" w:sz="4" w:space="0" w:color="000000"/>
              <w:left w:val="single" w:sz="4" w:space="0" w:color="000000"/>
              <w:bottom w:val="single" w:sz="4" w:space="0" w:color="000000"/>
              <w:right w:val="single" w:sz="4" w:space="0" w:color="000000"/>
            </w:tcBorders>
            <w:vAlign w:val="center"/>
            <w:hideMark/>
          </w:tcPr>
          <w:p w14:paraId="63BF7EFC" w14:textId="77777777" w:rsidR="00FF3A81" w:rsidRPr="00714B43" w:rsidRDefault="00FF3A81" w:rsidP="00714B43">
            <w:pPr>
              <w:spacing w:after="0"/>
              <w:jc w:val="center"/>
              <w:rPr>
                <w:rFonts w:ascii="Times New Roman" w:eastAsia="Arial" w:hAnsi="Times New Roman" w:cs="Times New Roman"/>
                <w:b/>
                <w:noProof/>
                <w:sz w:val="20"/>
                <w:szCs w:val="20"/>
              </w:rPr>
            </w:pPr>
            <w:r w:rsidRPr="00714B43">
              <w:rPr>
                <w:rFonts w:ascii="Times New Roman" w:eastAsia="Arial" w:hAnsi="Times New Roman" w:cs="Times New Roman"/>
                <w:b/>
                <w:noProof/>
                <w:sz w:val="20"/>
                <w:szCs w:val="20"/>
              </w:rPr>
              <w:t>National Growth Strategy</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447776A4" w14:textId="77777777" w:rsidR="00FF3A81" w:rsidRPr="00714B43" w:rsidRDefault="00FF3A81" w:rsidP="00714B43">
            <w:pPr>
              <w:spacing w:after="0"/>
              <w:jc w:val="center"/>
              <w:rPr>
                <w:rFonts w:ascii="Times New Roman" w:eastAsia="Arial" w:hAnsi="Times New Roman" w:cs="Times New Roman"/>
                <w:b/>
                <w:noProof/>
                <w:sz w:val="20"/>
                <w:szCs w:val="20"/>
              </w:rPr>
            </w:pPr>
            <w:r w:rsidRPr="00714B43">
              <w:rPr>
                <w:rFonts w:ascii="Times New Roman" w:eastAsia="Arial" w:hAnsi="Times New Roman" w:cs="Times New Roman"/>
                <w:b/>
                <w:noProof/>
                <w:sz w:val="20"/>
                <w:szCs w:val="20"/>
              </w:rPr>
              <w:t>Progress towards EU2020 indicators</w:t>
            </w:r>
          </w:p>
        </w:tc>
        <w:tc>
          <w:tcPr>
            <w:tcW w:w="832" w:type="pct"/>
            <w:tcBorders>
              <w:top w:val="single" w:sz="4" w:space="0" w:color="000000"/>
              <w:left w:val="single" w:sz="4" w:space="0" w:color="000000"/>
              <w:bottom w:val="single" w:sz="4" w:space="0" w:color="000000"/>
              <w:right w:val="single" w:sz="4" w:space="0" w:color="000000"/>
            </w:tcBorders>
            <w:vAlign w:val="center"/>
            <w:hideMark/>
          </w:tcPr>
          <w:p w14:paraId="360F5D67" w14:textId="77777777" w:rsidR="00FF3A81" w:rsidRPr="00714B43" w:rsidRDefault="00FF3A81" w:rsidP="00714B43">
            <w:pPr>
              <w:spacing w:after="0"/>
              <w:jc w:val="center"/>
              <w:rPr>
                <w:rFonts w:ascii="Times New Roman" w:eastAsia="Arial" w:hAnsi="Times New Roman" w:cs="Times New Roman"/>
                <w:b/>
                <w:noProof/>
                <w:sz w:val="20"/>
                <w:szCs w:val="20"/>
              </w:rPr>
            </w:pPr>
            <w:r w:rsidRPr="00714B43">
              <w:rPr>
                <w:rFonts w:ascii="Times New Roman" w:eastAsia="Arial" w:hAnsi="Times New Roman" w:cs="Times New Roman"/>
                <w:b/>
                <w:noProof/>
                <w:sz w:val="20"/>
                <w:szCs w:val="20"/>
              </w:rPr>
              <w:t>Progress in implementing country-Specific recommendations</w:t>
            </w:r>
          </w:p>
        </w:tc>
        <w:tc>
          <w:tcPr>
            <w:tcW w:w="650" w:type="pct"/>
            <w:tcBorders>
              <w:top w:val="single" w:sz="4" w:space="0" w:color="000000"/>
              <w:left w:val="single" w:sz="4" w:space="0" w:color="000000"/>
              <w:bottom w:val="single" w:sz="4" w:space="0" w:color="000000"/>
              <w:right w:val="single" w:sz="4" w:space="0" w:color="000000"/>
            </w:tcBorders>
            <w:vAlign w:val="center"/>
            <w:hideMark/>
          </w:tcPr>
          <w:p w14:paraId="067EFA82" w14:textId="77777777" w:rsidR="00FF3A81" w:rsidRPr="00714B43" w:rsidRDefault="00FF3A81" w:rsidP="00714B43">
            <w:pPr>
              <w:spacing w:after="0"/>
              <w:jc w:val="center"/>
              <w:rPr>
                <w:rFonts w:ascii="Times New Roman" w:eastAsia="Arial" w:hAnsi="Times New Roman" w:cs="Times New Roman"/>
                <w:b/>
                <w:noProof/>
                <w:sz w:val="20"/>
                <w:szCs w:val="20"/>
              </w:rPr>
            </w:pPr>
            <w:r w:rsidRPr="00714B43">
              <w:rPr>
                <w:rFonts w:ascii="Times New Roman" w:eastAsia="Arial" w:hAnsi="Times New Roman" w:cs="Times New Roman"/>
                <w:b/>
                <w:noProof/>
                <w:sz w:val="20"/>
                <w:szCs w:val="20"/>
              </w:rPr>
              <w:t>National document introducing expenditure measures</w:t>
            </w:r>
          </w:p>
        </w:tc>
        <w:tc>
          <w:tcPr>
            <w:tcW w:w="651" w:type="pct"/>
            <w:tcBorders>
              <w:top w:val="single" w:sz="4" w:space="0" w:color="000000"/>
              <w:left w:val="single" w:sz="4" w:space="0" w:color="000000"/>
              <w:bottom w:val="single" w:sz="4" w:space="0" w:color="000000"/>
              <w:right w:val="single" w:sz="4" w:space="0" w:color="000000"/>
            </w:tcBorders>
            <w:vAlign w:val="center"/>
            <w:hideMark/>
          </w:tcPr>
          <w:p w14:paraId="505D08A5" w14:textId="77777777" w:rsidR="00FF3A81" w:rsidRPr="00714B43" w:rsidRDefault="00FF3A81" w:rsidP="00714B43">
            <w:pPr>
              <w:spacing w:after="0"/>
              <w:jc w:val="center"/>
              <w:rPr>
                <w:rFonts w:ascii="Times New Roman" w:eastAsia="Arial" w:hAnsi="Times New Roman" w:cs="Times New Roman"/>
                <w:b/>
                <w:noProof/>
                <w:sz w:val="20"/>
                <w:szCs w:val="20"/>
              </w:rPr>
            </w:pPr>
            <w:r w:rsidRPr="00714B43">
              <w:rPr>
                <w:rFonts w:ascii="Times New Roman" w:eastAsia="Arial" w:hAnsi="Times New Roman" w:cs="Times New Roman"/>
                <w:b/>
                <w:noProof/>
                <w:sz w:val="20"/>
                <w:szCs w:val="20"/>
              </w:rPr>
              <w:t>National document introducing revenue measures</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1C217D5B" w14:textId="3071DC8D" w:rsidR="00FF3A81" w:rsidRPr="00714B43" w:rsidRDefault="00FF3A81" w:rsidP="00E27501">
            <w:pPr>
              <w:spacing w:after="0"/>
              <w:jc w:val="center"/>
              <w:rPr>
                <w:rFonts w:ascii="Times New Roman" w:eastAsia="Arial" w:hAnsi="Times New Roman" w:cs="Times New Roman"/>
                <w:b/>
                <w:noProof/>
                <w:sz w:val="20"/>
                <w:szCs w:val="20"/>
              </w:rPr>
            </w:pPr>
            <w:r w:rsidRPr="00714B43">
              <w:rPr>
                <w:rFonts w:ascii="Times New Roman" w:eastAsia="Arial" w:hAnsi="Times New Roman" w:cs="Times New Roman"/>
                <w:b/>
                <w:noProof/>
                <w:sz w:val="20"/>
                <w:szCs w:val="20"/>
              </w:rPr>
              <w:t xml:space="preserve">Document with an </w:t>
            </w:r>
            <w:r w:rsidRPr="00E27501">
              <w:rPr>
                <w:rFonts w:ascii="Times New Roman" w:eastAsia="Arial" w:hAnsi="Times New Roman" w:cs="Times New Roman"/>
                <w:b/>
                <w:i/>
                <w:noProof/>
                <w:sz w:val="20"/>
                <w:szCs w:val="20"/>
              </w:rPr>
              <w:t>ex</w:t>
            </w:r>
            <w:r w:rsidR="00E27501">
              <w:rPr>
                <w:rFonts w:ascii="Times New Roman" w:eastAsia="Arial" w:hAnsi="Times New Roman" w:cs="Times New Roman"/>
                <w:b/>
                <w:i/>
                <w:noProof/>
                <w:sz w:val="20"/>
                <w:szCs w:val="20"/>
              </w:rPr>
              <w:t xml:space="preserve"> </w:t>
            </w:r>
            <w:r w:rsidRPr="00E27501">
              <w:rPr>
                <w:rFonts w:ascii="Times New Roman" w:eastAsia="Arial" w:hAnsi="Times New Roman" w:cs="Times New Roman"/>
                <w:b/>
                <w:i/>
                <w:noProof/>
                <w:sz w:val="20"/>
                <w:szCs w:val="20"/>
              </w:rPr>
              <w:t>ante</w:t>
            </w:r>
            <w:r w:rsidRPr="00714B43">
              <w:rPr>
                <w:rFonts w:ascii="Times New Roman" w:eastAsia="Arial" w:hAnsi="Times New Roman" w:cs="Times New Roman"/>
                <w:b/>
                <w:noProof/>
                <w:sz w:val="20"/>
                <w:szCs w:val="20"/>
              </w:rPr>
              <w:t xml:space="preserve"> evaluation of an adopted budgetary measure</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4BD2D69D" w14:textId="3DA0AC50" w:rsidR="00FF3A81" w:rsidRPr="00714B43" w:rsidRDefault="00FF3A81" w:rsidP="00E27501">
            <w:pPr>
              <w:spacing w:after="0"/>
              <w:jc w:val="center"/>
              <w:rPr>
                <w:rFonts w:ascii="Times New Roman" w:eastAsia="Arial" w:hAnsi="Times New Roman" w:cs="Times New Roman"/>
                <w:b/>
                <w:noProof/>
                <w:sz w:val="20"/>
                <w:szCs w:val="20"/>
              </w:rPr>
            </w:pPr>
            <w:r w:rsidRPr="00714B43">
              <w:rPr>
                <w:rFonts w:ascii="Times New Roman" w:eastAsia="Arial" w:hAnsi="Times New Roman" w:cs="Times New Roman"/>
                <w:b/>
                <w:noProof/>
                <w:sz w:val="20"/>
                <w:szCs w:val="20"/>
              </w:rPr>
              <w:t xml:space="preserve">Document with an </w:t>
            </w:r>
            <w:r w:rsidRPr="00E27501">
              <w:rPr>
                <w:rFonts w:ascii="Times New Roman" w:eastAsia="Arial" w:hAnsi="Times New Roman" w:cs="Times New Roman"/>
                <w:b/>
                <w:i/>
                <w:noProof/>
                <w:sz w:val="20"/>
                <w:szCs w:val="20"/>
              </w:rPr>
              <w:t>ex</w:t>
            </w:r>
            <w:r w:rsidR="00E27501" w:rsidRPr="00E27501">
              <w:rPr>
                <w:rFonts w:ascii="Times New Roman" w:eastAsia="Arial" w:hAnsi="Times New Roman" w:cs="Times New Roman"/>
                <w:b/>
                <w:i/>
                <w:noProof/>
                <w:sz w:val="20"/>
                <w:szCs w:val="20"/>
              </w:rPr>
              <w:t xml:space="preserve"> </w:t>
            </w:r>
            <w:r w:rsidRPr="00E27501">
              <w:rPr>
                <w:rFonts w:ascii="Times New Roman" w:eastAsia="Arial" w:hAnsi="Times New Roman" w:cs="Times New Roman"/>
                <w:b/>
                <w:i/>
                <w:noProof/>
                <w:sz w:val="20"/>
                <w:szCs w:val="20"/>
              </w:rPr>
              <w:t xml:space="preserve">post </w:t>
            </w:r>
            <w:r w:rsidRPr="00714B43">
              <w:rPr>
                <w:rFonts w:ascii="Times New Roman" w:eastAsia="Arial" w:hAnsi="Times New Roman" w:cs="Times New Roman"/>
                <w:b/>
                <w:noProof/>
                <w:sz w:val="20"/>
                <w:szCs w:val="20"/>
              </w:rPr>
              <w:t>evaluation of past adopted budgetary measures</w:t>
            </w:r>
          </w:p>
        </w:tc>
      </w:tr>
      <w:tr w:rsidR="00FF3A81" w:rsidRPr="00DF74F4" w14:paraId="1F11A7D8"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36A37AC4"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AT</w:t>
            </w:r>
          </w:p>
        </w:tc>
        <w:tc>
          <w:tcPr>
            <w:tcW w:w="502"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38A97FCE"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5998CA11"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558CCBE9"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15778C67"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26520E55"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34FC8E39"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57E8F526"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6EF5988D"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0360D8AC"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BE</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564F1BC"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7C9A9C6C"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526FE759"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2A0B34F3"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AFB0C2C" w14:textId="77777777" w:rsidR="00FF3A81" w:rsidRPr="00CC3BB1" w:rsidRDefault="00FF3A81" w:rsidP="00714B43">
            <w:pPr>
              <w:spacing w:after="0"/>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5C0EA8CF"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96EE936"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0B54BAC8"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5EEA548E"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BG</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5EBAA4D3"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952194E"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1DA19955"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5B841D1B"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765D7CBB"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7B870FA9"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770BECF"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773F9E6D"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4C8E4B3E"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CY</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9E97965"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5CE2D26F"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4AFD5C1"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68A7F007"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DB02F1D"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B0C1499"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597EF9BD"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5410F4FA"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5EADA279"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CZ</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463EE4EE"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75E16AA8"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63C593F5"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2DCA119F"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3C12BEA7"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628E7DB"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5A539892"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680FE1D9"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2992EFCA"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DK</w:t>
            </w:r>
          </w:p>
        </w:tc>
        <w:tc>
          <w:tcPr>
            <w:tcW w:w="502"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0505F17A"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500D87AC" w14:textId="77777777" w:rsidR="00FF3A81" w:rsidRPr="00CC3BB1" w:rsidRDefault="00FF3A81" w:rsidP="00714B43">
            <w:pPr>
              <w:spacing w:after="0"/>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321AADB9"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44875CB0"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17FB948C"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297E72B6"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73037E44"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3EF4DDE9"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44583872"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DE</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77A3580"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766318EF"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52C073D2"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C2827D1"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6B8C3F4F"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7E65B75A"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1F37E910"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379C3F6F"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52F1F7FA"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EE</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27C324D6"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468F89E"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4A1674D4"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5A8CC207"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64FC7EA7"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4593AD07"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4D61AFA6"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3727FAC8"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003A4DC9"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EL</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57C6BDEF"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7E715037"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5C1F46C3"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36EA9F8D"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61F7AF99"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76187671"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2384C28A"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6CD975B1"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13CC8B8C"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ES</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291238E0"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3B1CBA00"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5818568F"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38BD8D82"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5AEA7ABC"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70735536"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1398ED6F"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71156B3F"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6D84F43E"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FI</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209AF2ED"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73662012"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2FE958A9"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25FB2AA1"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2F9F3729"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0A13DD1D"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716645F"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4083A22C"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5DC04ED0"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FR</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59C7660"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4E762188"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24F14463"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56D9459B"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68503BA0"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690C4DAD"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180CDCE9"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2C8B926C"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14F14F6C"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HR</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880A91F"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4AE4B74B"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43589874"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38DD7CAC"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2404A6DB"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6181E743"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4F91EF06"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0853A85B"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017CF987"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HU</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27D5DAD"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E7F8115"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4C87A954"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B77E189" w14:textId="77777777" w:rsidR="00FF3A81" w:rsidRPr="00CC3BB1" w:rsidRDefault="00FF3A81" w:rsidP="00714B43">
            <w:pPr>
              <w:spacing w:after="0"/>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1113F0AE"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4505079F"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6D023261"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04BBA87D"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0C6E5AF1"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IE</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0A385A7"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1C4B10B1"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6CC128C"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5DF04555"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65A0C679"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63EB0A63"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4AFA7086"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58CE3F0C"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2E3B74CA"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IT</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9FC37C2"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1BF3E72B"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76F8205A"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27FE24B1"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5BD267DA"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1E6EFF6"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03907B13"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00398ECC"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7B55A392"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LT</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1F710DAE"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4F268694"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1405C8B7"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3CF1CC01"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232C0CB2"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6BEFC355"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68257655"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039FD9B7"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3B27DB83"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LU</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31CFB4D"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9E15825"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24FF4C80"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712698CA" w14:textId="77777777" w:rsidR="00FF3A81" w:rsidRPr="00CC3BB1" w:rsidRDefault="00FF3A81" w:rsidP="00714B43">
            <w:pPr>
              <w:spacing w:after="0"/>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70C06737"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2044ABE2"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582BD2B"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0A6C9CBA"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266FF2B6"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LV</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2FBEF08F"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4B1F5984"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0CBA064E"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5790A0A5"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626FD0A0"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76A37F89"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79609CCF"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59978E8E"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03C531DD"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MT</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F1697CB"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60CA1C8A"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44B5B326" w14:textId="77777777" w:rsidR="00FF3A81" w:rsidRPr="00CC3BB1" w:rsidRDefault="00FF3A81" w:rsidP="00714B43">
            <w:pPr>
              <w:spacing w:after="0"/>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09A68A8E"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551E2394"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047D53D"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5ECC2AEC" w14:textId="77777777" w:rsidR="00FF3A81" w:rsidRPr="00CC3BB1" w:rsidRDefault="00FF3A81" w:rsidP="00714B43">
            <w:pPr>
              <w:spacing w:after="0"/>
              <w:rPr>
                <w:rFonts w:ascii="Times New Roman" w:eastAsia="Arial" w:hAnsi="Times New Roman" w:cs="Times New Roman"/>
                <w:noProof/>
                <w:sz w:val="20"/>
                <w:szCs w:val="20"/>
              </w:rPr>
            </w:pPr>
          </w:p>
        </w:tc>
      </w:tr>
      <w:tr w:rsidR="00FF3A81" w:rsidRPr="00DF74F4" w14:paraId="7DE8F7BF"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2644B840"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NL</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55D40D9"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558D9741"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3F06AF6"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29442ABF" w14:textId="77777777" w:rsidR="00FF3A81" w:rsidRPr="00CC3BB1" w:rsidRDefault="00FF3A81" w:rsidP="00714B43">
            <w:pPr>
              <w:spacing w:after="0"/>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3728B0E3"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2F16C397"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175A4A81"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7ECDCF54"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6D756620"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PL</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4BDBD0B0"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4AE1BB8A"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50E48189"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694A4DE4"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629B1DF6"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73D9430D"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70EE3E02"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3F6CB64F"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3897CC6B"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PT</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289E4F0"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6F208A46"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4E659D62"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2B539F7B"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4219F438"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78BAED92"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638E317"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0D17F253"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489ABD14"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RO</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735493EF"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EBC38B4"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65D8150D"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2DAC6E63" w14:textId="77777777" w:rsidR="00FF3A81" w:rsidRPr="00CC3BB1" w:rsidRDefault="00FF3A81" w:rsidP="00714B43">
            <w:pPr>
              <w:spacing w:after="0"/>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4B139D90"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4A906FBC"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221B51A5"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71332E72" w14:textId="77777777" w:rsidTr="00347053">
        <w:trPr>
          <w:trHeight w:val="288"/>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6AB80349"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SE</w:t>
            </w:r>
          </w:p>
        </w:tc>
        <w:tc>
          <w:tcPr>
            <w:tcW w:w="502"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3062FD02"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6091085F"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6FB0BC4"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57FF1D37"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7110BDF7"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2A5497A8"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3DE48"/>
            <w:vAlign w:val="center"/>
          </w:tcPr>
          <w:p w14:paraId="0A4AC34E"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6EA8D89B"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5389C492"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SI</w:t>
            </w:r>
          </w:p>
        </w:tc>
        <w:tc>
          <w:tcPr>
            <w:tcW w:w="502"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67470A4D"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2B631014"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126C9C85"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6BBD5834"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59EDC471"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A8C8F4"/>
            <w:vAlign w:val="center"/>
          </w:tcPr>
          <w:p w14:paraId="1195FF24"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4269C49F" w14:textId="77777777" w:rsidR="00FF3A81" w:rsidRPr="00CC3BB1" w:rsidRDefault="00FF3A81" w:rsidP="00714B43">
            <w:pPr>
              <w:spacing w:after="0"/>
              <w:jc w:val="center"/>
              <w:rPr>
                <w:rFonts w:ascii="Times New Roman" w:eastAsia="Arial" w:hAnsi="Times New Roman" w:cs="Times New Roman"/>
                <w:noProof/>
                <w:sz w:val="20"/>
                <w:szCs w:val="20"/>
              </w:rPr>
            </w:pPr>
          </w:p>
        </w:tc>
      </w:tr>
      <w:tr w:rsidR="00FF3A81" w:rsidRPr="00DF74F4" w14:paraId="72C32D68" w14:textId="77777777" w:rsidTr="00347053">
        <w:trPr>
          <w:trHeight w:val="192"/>
        </w:trPr>
        <w:tc>
          <w:tcPr>
            <w:tcW w:w="571" w:type="pct"/>
            <w:tcBorders>
              <w:top w:val="single" w:sz="4" w:space="0" w:color="000000"/>
              <w:left w:val="single" w:sz="4" w:space="0" w:color="000000"/>
              <w:bottom w:val="single" w:sz="4" w:space="0" w:color="000000"/>
              <w:right w:val="single" w:sz="4" w:space="0" w:color="000000"/>
            </w:tcBorders>
            <w:vAlign w:val="center"/>
            <w:hideMark/>
          </w:tcPr>
          <w:p w14:paraId="5E8AB222" w14:textId="77777777" w:rsidR="00FF3A81" w:rsidRPr="00CC3BB1" w:rsidRDefault="00FF3A81" w:rsidP="00714B43">
            <w:pPr>
              <w:spacing w:after="0"/>
              <w:rPr>
                <w:rFonts w:ascii="Times New Roman" w:eastAsia="Arial" w:hAnsi="Times New Roman" w:cs="Times New Roman"/>
                <w:noProof/>
                <w:sz w:val="20"/>
                <w:szCs w:val="20"/>
              </w:rPr>
            </w:pPr>
            <w:r w:rsidRPr="00CC3BB1">
              <w:rPr>
                <w:rFonts w:ascii="Times New Roman" w:eastAsia="Arial" w:hAnsi="Times New Roman" w:cs="Times New Roman"/>
                <w:noProof/>
                <w:sz w:val="20"/>
                <w:szCs w:val="20"/>
              </w:rPr>
              <w:t>SK</w:t>
            </w:r>
          </w:p>
        </w:tc>
        <w:tc>
          <w:tcPr>
            <w:tcW w:w="50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9E0BE10"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0DE81B05"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832"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1C6152EE"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0"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5CB72C35"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51"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7A27CC7C"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63DCAC14" w14:textId="77777777" w:rsidR="00FF3A81" w:rsidRPr="00CC3BB1" w:rsidRDefault="00FF3A81" w:rsidP="00714B43">
            <w:pPr>
              <w:spacing w:after="0"/>
              <w:jc w:val="center"/>
              <w:rPr>
                <w:rFonts w:ascii="Times New Roman" w:eastAsia="Arial" w:hAnsi="Times New Roman" w:cs="Times New Roman"/>
                <w:noProof/>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3C25EFF" w14:textId="77777777" w:rsidR="00FF3A81" w:rsidRPr="00CC3BB1" w:rsidRDefault="00FF3A81" w:rsidP="00714B43">
            <w:pPr>
              <w:spacing w:after="0"/>
              <w:jc w:val="center"/>
              <w:rPr>
                <w:rFonts w:ascii="Times New Roman" w:eastAsia="Arial" w:hAnsi="Times New Roman" w:cs="Times New Roman"/>
                <w:noProof/>
                <w:sz w:val="20"/>
                <w:szCs w:val="20"/>
              </w:rPr>
            </w:pPr>
          </w:p>
        </w:tc>
      </w:tr>
    </w:tbl>
    <w:p w14:paraId="44B1E7A4" w14:textId="77777777" w:rsidR="00FF3A81" w:rsidRPr="000D3E11" w:rsidRDefault="00FF3A81" w:rsidP="00FF3A81">
      <w:pPr>
        <w:pStyle w:val="ListParagraph"/>
        <w:spacing w:line="240" w:lineRule="auto"/>
        <w:ind w:left="360"/>
        <w:jc w:val="both"/>
        <w:rPr>
          <w:rFonts w:ascii="Times New Roman" w:eastAsia="Arial" w:hAnsi="Times New Roman" w:cs="Times New Roman"/>
          <w:noProof/>
          <w:sz w:val="18"/>
          <w:szCs w:val="18"/>
          <w:lang w:eastAsia="it-IT"/>
        </w:rPr>
      </w:pPr>
      <w:r w:rsidRPr="000D3E11">
        <w:rPr>
          <w:rFonts w:ascii="Times New Roman" w:eastAsia="Arial" w:hAnsi="Times New Roman" w:cs="Times New Roman"/>
          <w:noProof/>
          <w:sz w:val="18"/>
          <w:szCs w:val="18"/>
        </w:rPr>
        <w:t>Legend: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1"/>
        <w:gridCol w:w="8875"/>
      </w:tblGrid>
      <w:tr w:rsidR="00FF3A81" w:rsidRPr="000D3E11" w14:paraId="251F7C8B" w14:textId="77777777" w:rsidTr="00C020AE">
        <w:tc>
          <w:tcPr>
            <w:tcW w:w="366" w:type="pct"/>
            <w:tcBorders>
              <w:top w:val="single" w:sz="4" w:space="0" w:color="000000"/>
              <w:left w:val="single" w:sz="4" w:space="0" w:color="000000"/>
              <w:bottom w:val="single" w:sz="4" w:space="0" w:color="000000"/>
              <w:right w:val="single" w:sz="4" w:space="0" w:color="000000"/>
            </w:tcBorders>
            <w:shd w:val="clear" w:color="auto" w:fill="EEECE1"/>
          </w:tcPr>
          <w:p w14:paraId="781057F7" w14:textId="77777777" w:rsidR="00FF3A81" w:rsidRPr="000D3E11" w:rsidRDefault="00FF3A81" w:rsidP="00C020AE">
            <w:pPr>
              <w:jc w:val="both"/>
              <w:rPr>
                <w:rFonts w:ascii="Times New Roman" w:eastAsia="Arial" w:hAnsi="Times New Roman" w:cs="Times New Roman"/>
                <w:noProof/>
                <w:sz w:val="16"/>
                <w:szCs w:val="16"/>
              </w:rPr>
            </w:pPr>
          </w:p>
        </w:tc>
        <w:tc>
          <w:tcPr>
            <w:tcW w:w="4634" w:type="pct"/>
            <w:tcBorders>
              <w:top w:val="nil"/>
              <w:left w:val="single" w:sz="4" w:space="0" w:color="000000"/>
              <w:bottom w:val="nil"/>
              <w:right w:val="nil"/>
            </w:tcBorders>
            <w:hideMark/>
          </w:tcPr>
          <w:p w14:paraId="260B9352" w14:textId="62D11E61" w:rsidR="00FF3A81" w:rsidRPr="000D3E11" w:rsidRDefault="00A4649A" w:rsidP="00A4649A">
            <w:pPr>
              <w:jc w:val="both"/>
              <w:rPr>
                <w:rFonts w:ascii="Times New Roman" w:eastAsia="Arial" w:hAnsi="Times New Roman" w:cs="Times New Roman"/>
                <w:noProof/>
                <w:sz w:val="16"/>
                <w:szCs w:val="16"/>
              </w:rPr>
            </w:pPr>
            <w:r>
              <w:rPr>
                <w:rFonts w:ascii="Times New Roman" w:eastAsia="Arial" w:hAnsi="Times New Roman" w:cs="Times New Roman"/>
                <w:noProof/>
                <w:sz w:val="16"/>
                <w:szCs w:val="16"/>
              </w:rPr>
              <w:t>No DIA performed</w:t>
            </w:r>
          </w:p>
        </w:tc>
      </w:tr>
      <w:tr w:rsidR="00FF3A81" w:rsidRPr="000D3E11" w14:paraId="16C0D2A1" w14:textId="77777777" w:rsidTr="00C020AE">
        <w:tc>
          <w:tcPr>
            <w:tcW w:w="366" w:type="pct"/>
            <w:tcBorders>
              <w:top w:val="single" w:sz="4" w:space="0" w:color="000000"/>
              <w:left w:val="single" w:sz="4" w:space="0" w:color="000000"/>
              <w:bottom w:val="single" w:sz="4" w:space="0" w:color="000000"/>
              <w:right w:val="single" w:sz="4" w:space="0" w:color="000000"/>
            </w:tcBorders>
            <w:shd w:val="clear" w:color="auto" w:fill="E3DE48"/>
          </w:tcPr>
          <w:p w14:paraId="43F9AC79" w14:textId="77777777" w:rsidR="00FF3A81" w:rsidRPr="000D3E11" w:rsidRDefault="00FF3A81" w:rsidP="00C020AE">
            <w:pPr>
              <w:jc w:val="both"/>
              <w:rPr>
                <w:rFonts w:ascii="Times New Roman" w:eastAsia="Arial" w:hAnsi="Times New Roman" w:cs="Times New Roman"/>
                <w:noProof/>
                <w:sz w:val="16"/>
                <w:szCs w:val="16"/>
              </w:rPr>
            </w:pPr>
          </w:p>
        </w:tc>
        <w:tc>
          <w:tcPr>
            <w:tcW w:w="4634" w:type="pct"/>
            <w:tcBorders>
              <w:top w:val="nil"/>
              <w:left w:val="single" w:sz="4" w:space="0" w:color="000000"/>
              <w:bottom w:val="nil"/>
              <w:right w:val="nil"/>
            </w:tcBorders>
            <w:hideMark/>
          </w:tcPr>
          <w:p w14:paraId="5C5A7ED7" w14:textId="760C4399" w:rsidR="00FF3A81" w:rsidRPr="000D3E11" w:rsidRDefault="00FF3A81" w:rsidP="004034E8">
            <w:pPr>
              <w:jc w:val="both"/>
              <w:rPr>
                <w:rFonts w:ascii="Times New Roman" w:eastAsia="Arial" w:hAnsi="Times New Roman" w:cs="Times New Roman"/>
                <w:noProof/>
                <w:sz w:val="16"/>
                <w:szCs w:val="16"/>
              </w:rPr>
            </w:pPr>
            <w:r w:rsidRPr="000D3E11">
              <w:rPr>
                <w:rFonts w:ascii="Times New Roman" w:eastAsia="Arial" w:hAnsi="Times New Roman" w:cs="Times New Roman"/>
                <w:noProof/>
                <w:sz w:val="16"/>
                <w:szCs w:val="16"/>
              </w:rPr>
              <w:t>DIA details included in the document</w:t>
            </w:r>
          </w:p>
        </w:tc>
      </w:tr>
      <w:tr w:rsidR="00FF3A81" w:rsidRPr="000D3E11" w14:paraId="5AF24514" w14:textId="77777777" w:rsidTr="00C020AE">
        <w:tc>
          <w:tcPr>
            <w:tcW w:w="366" w:type="pct"/>
            <w:tcBorders>
              <w:top w:val="single" w:sz="4" w:space="0" w:color="000000"/>
              <w:left w:val="single" w:sz="4" w:space="0" w:color="000000"/>
              <w:bottom w:val="single" w:sz="4" w:space="0" w:color="000000"/>
              <w:right w:val="single" w:sz="4" w:space="0" w:color="000000"/>
            </w:tcBorders>
            <w:shd w:val="clear" w:color="auto" w:fill="A8C8F4"/>
          </w:tcPr>
          <w:p w14:paraId="7E5D19C4" w14:textId="77777777" w:rsidR="00FF3A81" w:rsidRPr="000D3E11" w:rsidRDefault="00FF3A81" w:rsidP="00C020AE">
            <w:pPr>
              <w:jc w:val="both"/>
              <w:rPr>
                <w:rFonts w:ascii="Times New Roman" w:eastAsia="Arial" w:hAnsi="Times New Roman" w:cs="Times New Roman"/>
                <w:noProof/>
                <w:sz w:val="16"/>
                <w:szCs w:val="16"/>
              </w:rPr>
            </w:pPr>
          </w:p>
        </w:tc>
        <w:tc>
          <w:tcPr>
            <w:tcW w:w="4634" w:type="pct"/>
            <w:tcBorders>
              <w:top w:val="nil"/>
              <w:left w:val="single" w:sz="4" w:space="0" w:color="000000"/>
              <w:bottom w:val="nil"/>
              <w:right w:val="nil"/>
            </w:tcBorders>
            <w:hideMark/>
          </w:tcPr>
          <w:p w14:paraId="54B265A5" w14:textId="1EB9A8FF" w:rsidR="00FF3A81" w:rsidRPr="000D3E11" w:rsidRDefault="00FF3A81" w:rsidP="004034E8">
            <w:pPr>
              <w:jc w:val="both"/>
              <w:rPr>
                <w:rFonts w:ascii="Times New Roman" w:eastAsia="Arial" w:hAnsi="Times New Roman" w:cs="Times New Roman"/>
                <w:noProof/>
                <w:sz w:val="16"/>
                <w:szCs w:val="16"/>
              </w:rPr>
            </w:pPr>
            <w:r w:rsidRPr="000D3E11">
              <w:rPr>
                <w:rFonts w:ascii="Times New Roman" w:eastAsia="Arial" w:hAnsi="Times New Roman" w:cs="Times New Roman"/>
                <w:noProof/>
                <w:sz w:val="16"/>
                <w:szCs w:val="16"/>
              </w:rPr>
              <w:t>DIA analysis commented but without presenting details of the analysis.</w:t>
            </w:r>
          </w:p>
        </w:tc>
      </w:tr>
    </w:tbl>
    <w:p w14:paraId="23295F84" w14:textId="675E1802" w:rsidR="00632FA5" w:rsidRDefault="00DB3191" w:rsidP="00632FA5">
      <w:pPr>
        <w:ind w:left="708"/>
        <w:rPr>
          <w:rFonts w:cs="Times New Roman"/>
          <w:noProof/>
        </w:rPr>
      </w:pPr>
      <w:r w:rsidRPr="005215C0">
        <w:rPr>
          <w:rFonts w:ascii="Times New Roman" w:hAnsi="Times New Roman" w:cs="Times New Roman"/>
          <w:i/>
          <w:noProof/>
          <w:sz w:val="20"/>
          <w:szCs w:val="24"/>
          <w:lang w:val="en-IE"/>
        </w:rPr>
        <w:t>Source: Study on Distribution Impact Assessment by the University of Milan, financed by the C</w:t>
      </w:r>
      <w:r w:rsidR="002F77FC">
        <w:rPr>
          <w:rFonts w:ascii="Times New Roman" w:hAnsi="Times New Roman" w:cs="Times New Roman"/>
          <w:i/>
          <w:noProof/>
          <w:sz w:val="20"/>
          <w:szCs w:val="24"/>
          <w:lang w:val="en-IE"/>
        </w:rPr>
        <w:t xml:space="preserve">ommission (DG EMPL): </w:t>
      </w:r>
      <w:hyperlink r:id="rId15" w:tgtFrame="_blank" w:history="1">
        <w:r w:rsidR="00632FA5" w:rsidRPr="003414D9">
          <w:rPr>
            <w:rStyle w:val="Hyperlink"/>
            <w:rFonts w:ascii="Times New Roman" w:hAnsi="Times New Roman" w:cs="Times New Roman"/>
            <w:bCs/>
            <w:i/>
            <w:noProof/>
            <w:color w:val="000000"/>
            <w:sz w:val="20"/>
            <w:szCs w:val="20"/>
            <w:shd w:val="clear" w:color="auto" w:fill="FFFFFF"/>
          </w:rPr>
          <w:t>https://data.europa.eu/doi/10.2767/511644</w:t>
        </w:r>
      </w:hyperlink>
      <w:r w:rsidR="00632FA5" w:rsidRPr="003414D9">
        <w:rPr>
          <w:rFonts w:ascii="Times New Roman" w:hAnsi="Times New Roman" w:cs="Times New Roman"/>
          <w:i/>
          <w:noProof/>
        </w:rPr>
        <w:t xml:space="preserve"> </w:t>
      </w:r>
    </w:p>
    <w:p w14:paraId="0E120731" w14:textId="4D155E8C" w:rsidR="00DB3191" w:rsidRDefault="00DB3191" w:rsidP="00DB3191">
      <w:pPr>
        <w:spacing w:after="120"/>
        <w:jc w:val="both"/>
        <w:rPr>
          <w:noProof/>
        </w:rPr>
      </w:pPr>
    </w:p>
    <w:p w14:paraId="17F6543C" w14:textId="135592BC" w:rsidR="00CC0780" w:rsidRDefault="00CC0780" w:rsidP="00DB3191">
      <w:pPr>
        <w:spacing w:after="120"/>
        <w:jc w:val="both"/>
        <w:rPr>
          <w:noProof/>
        </w:rPr>
      </w:pPr>
    </w:p>
    <w:p w14:paraId="54EAE43A" w14:textId="77777777" w:rsidR="00CC0780" w:rsidRPr="005215C0" w:rsidRDefault="00CC0780" w:rsidP="00DB3191">
      <w:pPr>
        <w:spacing w:after="120"/>
        <w:jc w:val="both"/>
        <w:rPr>
          <w:rFonts w:ascii="Times New Roman" w:hAnsi="Times New Roman" w:cs="Times New Roman"/>
          <w:i/>
          <w:noProof/>
          <w:sz w:val="20"/>
          <w:szCs w:val="24"/>
          <w:lang w:val="en-IE"/>
        </w:rPr>
      </w:pPr>
    </w:p>
    <w:p w14:paraId="092A7B3F" w14:textId="36ACEB88" w:rsidR="00347053" w:rsidRDefault="00347053" w:rsidP="00347053">
      <w:pPr>
        <w:spacing w:before="120" w:after="120" w:line="240" w:lineRule="auto"/>
        <w:jc w:val="both"/>
        <w:rPr>
          <w:rFonts w:ascii="Times New Roman" w:eastAsia="Arial" w:hAnsi="Times New Roman" w:cs="Times New Roman"/>
          <w:noProof/>
          <w:sz w:val="24"/>
          <w:szCs w:val="24"/>
          <w:highlight w:val="white"/>
        </w:rPr>
      </w:pPr>
      <w:r w:rsidRPr="00347053">
        <w:rPr>
          <w:rFonts w:ascii="Times New Roman" w:eastAsia="Arial" w:hAnsi="Times New Roman" w:cs="Times New Roman"/>
          <w:b/>
          <w:noProof/>
          <w:sz w:val="24"/>
          <w:szCs w:val="24"/>
        </w:rPr>
        <w:t xml:space="preserve">Figure 1 shows </w:t>
      </w:r>
      <w:r w:rsidRPr="00347053">
        <w:rPr>
          <w:rFonts w:ascii="Times New Roman" w:eastAsia="Arial" w:hAnsi="Times New Roman" w:cs="Times New Roman"/>
          <w:b/>
          <w:noProof/>
          <w:sz w:val="24"/>
          <w:szCs w:val="24"/>
          <w:highlight w:val="white"/>
        </w:rPr>
        <w:t xml:space="preserve">how many Member States had </w:t>
      </w:r>
      <w:r w:rsidR="00313399">
        <w:rPr>
          <w:rFonts w:ascii="Times New Roman" w:eastAsia="Arial" w:hAnsi="Times New Roman" w:cs="Times New Roman"/>
          <w:b/>
          <w:noProof/>
          <w:sz w:val="24"/>
          <w:szCs w:val="24"/>
          <w:highlight w:val="white"/>
        </w:rPr>
        <w:t>some</w:t>
      </w:r>
      <w:r w:rsidRPr="00347053">
        <w:rPr>
          <w:rFonts w:ascii="Times New Roman" w:eastAsia="Arial" w:hAnsi="Times New Roman" w:cs="Times New Roman"/>
          <w:b/>
          <w:noProof/>
          <w:sz w:val="24"/>
          <w:szCs w:val="24"/>
          <w:highlight w:val="white"/>
        </w:rPr>
        <w:t xml:space="preserve"> DIA </w:t>
      </w:r>
      <w:r w:rsidR="00313399">
        <w:rPr>
          <w:rFonts w:ascii="Times New Roman" w:eastAsia="Arial" w:hAnsi="Times New Roman" w:cs="Times New Roman"/>
          <w:b/>
          <w:noProof/>
          <w:sz w:val="24"/>
          <w:szCs w:val="24"/>
          <w:highlight w:val="white"/>
        </w:rPr>
        <w:t>analysis</w:t>
      </w:r>
      <w:r w:rsidRPr="00347053">
        <w:rPr>
          <w:b/>
          <w:noProof/>
          <w:highlight w:val="white"/>
          <w:vertAlign w:val="superscript"/>
        </w:rPr>
        <w:footnoteReference w:id="13"/>
      </w:r>
      <w:r w:rsidRPr="00347053">
        <w:rPr>
          <w:rFonts w:ascii="Times New Roman" w:eastAsia="Arial" w:hAnsi="Times New Roman" w:cs="Times New Roman"/>
          <w:b/>
          <w:noProof/>
          <w:sz w:val="24"/>
          <w:szCs w:val="24"/>
          <w:highlight w:val="white"/>
        </w:rPr>
        <w:t xml:space="preserve"> for each of the seven types of budget-related documents at the national level considered.</w:t>
      </w:r>
      <w:r w:rsidRPr="00FF3A81">
        <w:rPr>
          <w:rFonts w:ascii="Times New Roman" w:eastAsia="Arial" w:hAnsi="Times New Roman" w:cs="Times New Roman"/>
          <w:noProof/>
          <w:sz w:val="24"/>
          <w:szCs w:val="24"/>
          <w:highlight w:val="white"/>
        </w:rPr>
        <w:t xml:space="preserve"> More than half of the M</w:t>
      </w:r>
      <w:r>
        <w:rPr>
          <w:rFonts w:ascii="Times New Roman" w:eastAsia="Arial" w:hAnsi="Times New Roman" w:cs="Times New Roman"/>
          <w:noProof/>
          <w:sz w:val="24"/>
          <w:szCs w:val="24"/>
          <w:highlight w:val="white"/>
        </w:rPr>
        <w:t xml:space="preserve">ember </w:t>
      </w:r>
      <w:r w:rsidRPr="00FF3A81">
        <w:rPr>
          <w:rFonts w:ascii="Times New Roman" w:eastAsia="Arial" w:hAnsi="Times New Roman" w:cs="Times New Roman"/>
          <w:noProof/>
          <w:sz w:val="24"/>
          <w:szCs w:val="24"/>
          <w:highlight w:val="white"/>
        </w:rPr>
        <w:t>S</w:t>
      </w:r>
      <w:r>
        <w:rPr>
          <w:rFonts w:ascii="Times New Roman" w:eastAsia="Arial" w:hAnsi="Times New Roman" w:cs="Times New Roman"/>
          <w:noProof/>
          <w:sz w:val="24"/>
          <w:szCs w:val="24"/>
          <w:highlight w:val="white"/>
        </w:rPr>
        <w:t>tates</w:t>
      </w:r>
      <w:r w:rsidRPr="00FF3A81">
        <w:rPr>
          <w:rFonts w:ascii="Times New Roman" w:eastAsia="Arial" w:hAnsi="Times New Roman" w:cs="Times New Roman"/>
          <w:noProof/>
          <w:sz w:val="24"/>
          <w:szCs w:val="24"/>
          <w:highlight w:val="white"/>
        </w:rPr>
        <w:t xml:space="preserve"> declared to have had at least one DIA occurrence in national documents that introduce either revenue (20 out of 27) or expenditure (18 out of 27) measures. About half of M</w:t>
      </w:r>
      <w:r>
        <w:rPr>
          <w:rFonts w:ascii="Times New Roman" w:eastAsia="Arial" w:hAnsi="Times New Roman" w:cs="Times New Roman"/>
          <w:noProof/>
          <w:sz w:val="24"/>
          <w:szCs w:val="24"/>
          <w:highlight w:val="white"/>
        </w:rPr>
        <w:t xml:space="preserve">ember </w:t>
      </w:r>
      <w:r w:rsidRPr="00FF3A81">
        <w:rPr>
          <w:rFonts w:ascii="Times New Roman" w:eastAsia="Arial" w:hAnsi="Times New Roman" w:cs="Times New Roman"/>
          <w:noProof/>
          <w:sz w:val="24"/>
          <w:szCs w:val="24"/>
          <w:highlight w:val="white"/>
        </w:rPr>
        <w:t>S</w:t>
      </w:r>
      <w:r>
        <w:rPr>
          <w:rFonts w:ascii="Times New Roman" w:eastAsia="Arial" w:hAnsi="Times New Roman" w:cs="Times New Roman"/>
          <w:noProof/>
          <w:sz w:val="24"/>
          <w:szCs w:val="24"/>
          <w:highlight w:val="white"/>
        </w:rPr>
        <w:t>tates</w:t>
      </w:r>
      <w:r w:rsidRPr="00FF3A81">
        <w:rPr>
          <w:rFonts w:ascii="Times New Roman" w:eastAsia="Arial" w:hAnsi="Times New Roman" w:cs="Times New Roman"/>
          <w:noProof/>
          <w:sz w:val="24"/>
          <w:szCs w:val="24"/>
          <w:highlight w:val="white"/>
        </w:rPr>
        <w:t xml:space="preserve"> had at least one DIA occurrence in national documents with an </w:t>
      </w:r>
      <w:r w:rsidRPr="00E27501">
        <w:rPr>
          <w:rFonts w:ascii="Times New Roman" w:eastAsia="Arial" w:hAnsi="Times New Roman" w:cs="Times New Roman"/>
          <w:i/>
          <w:noProof/>
          <w:sz w:val="24"/>
          <w:szCs w:val="24"/>
          <w:highlight w:val="white"/>
        </w:rPr>
        <w:t>ex</w:t>
      </w:r>
      <w:r w:rsidR="00E27501">
        <w:rPr>
          <w:rFonts w:ascii="Times New Roman" w:eastAsia="Arial" w:hAnsi="Times New Roman" w:cs="Times New Roman"/>
          <w:i/>
          <w:noProof/>
          <w:sz w:val="24"/>
          <w:szCs w:val="24"/>
          <w:highlight w:val="white"/>
        </w:rPr>
        <w:t xml:space="preserve"> </w:t>
      </w:r>
      <w:r w:rsidRPr="00E27501">
        <w:rPr>
          <w:rFonts w:ascii="Times New Roman" w:eastAsia="Arial" w:hAnsi="Times New Roman" w:cs="Times New Roman"/>
          <w:i/>
          <w:noProof/>
          <w:sz w:val="24"/>
          <w:szCs w:val="24"/>
          <w:highlight w:val="white"/>
        </w:rPr>
        <w:t>ante</w:t>
      </w:r>
      <w:r w:rsidRPr="00FF3A81">
        <w:rPr>
          <w:rFonts w:ascii="Times New Roman" w:eastAsia="Arial" w:hAnsi="Times New Roman" w:cs="Times New Roman"/>
          <w:noProof/>
          <w:sz w:val="24"/>
          <w:szCs w:val="24"/>
          <w:highlight w:val="white"/>
        </w:rPr>
        <w:t xml:space="preserve"> (13 out of 27) and an </w:t>
      </w:r>
      <w:r w:rsidRPr="006A56FD">
        <w:rPr>
          <w:rFonts w:ascii="Times New Roman" w:eastAsia="Arial" w:hAnsi="Times New Roman" w:cs="Times New Roman"/>
          <w:i/>
          <w:noProof/>
          <w:sz w:val="24"/>
          <w:szCs w:val="24"/>
          <w:highlight w:val="white"/>
        </w:rPr>
        <w:t>ex</w:t>
      </w:r>
      <w:r w:rsidR="006A56FD">
        <w:rPr>
          <w:rFonts w:ascii="Times New Roman" w:eastAsia="Arial" w:hAnsi="Times New Roman" w:cs="Times New Roman"/>
          <w:i/>
          <w:noProof/>
          <w:sz w:val="24"/>
          <w:szCs w:val="24"/>
          <w:highlight w:val="white"/>
        </w:rPr>
        <w:t xml:space="preserve"> </w:t>
      </w:r>
      <w:r w:rsidRPr="006A56FD">
        <w:rPr>
          <w:rFonts w:ascii="Times New Roman" w:eastAsia="Arial" w:hAnsi="Times New Roman" w:cs="Times New Roman"/>
          <w:i/>
          <w:noProof/>
          <w:sz w:val="24"/>
          <w:szCs w:val="24"/>
          <w:highlight w:val="white"/>
        </w:rPr>
        <w:t>post</w:t>
      </w:r>
      <w:r w:rsidRPr="00FF3A81">
        <w:rPr>
          <w:rFonts w:ascii="Times New Roman" w:eastAsia="Arial" w:hAnsi="Times New Roman" w:cs="Times New Roman"/>
          <w:noProof/>
          <w:sz w:val="24"/>
          <w:szCs w:val="24"/>
          <w:highlight w:val="white"/>
        </w:rPr>
        <w:t xml:space="preserve"> (12 out of 27) evaluation of an adopted budgetary measure. Having at least one DIA occurrence </w:t>
      </w:r>
      <w:r w:rsidR="006A56FD">
        <w:rPr>
          <w:rFonts w:ascii="Times New Roman" w:eastAsia="Arial" w:hAnsi="Times New Roman" w:cs="Times New Roman"/>
          <w:noProof/>
          <w:sz w:val="24"/>
          <w:szCs w:val="24"/>
          <w:highlight w:val="white"/>
        </w:rPr>
        <w:t>wa</w:t>
      </w:r>
      <w:r w:rsidRPr="00FF3A81">
        <w:rPr>
          <w:rFonts w:ascii="Times New Roman" w:eastAsia="Arial" w:hAnsi="Times New Roman" w:cs="Times New Roman"/>
          <w:noProof/>
          <w:sz w:val="24"/>
          <w:szCs w:val="24"/>
          <w:highlight w:val="white"/>
        </w:rPr>
        <w:t>s less frequent in progress towards EU2020 indicators</w:t>
      </w:r>
      <w:r w:rsidRPr="00FF3A81">
        <w:rPr>
          <w:noProof/>
          <w:highlight w:val="white"/>
          <w:vertAlign w:val="superscript"/>
        </w:rPr>
        <w:footnoteReference w:id="14"/>
      </w:r>
      <w:r w:rsidRPr="00FF3A81">
        <w:rPr>
          <w:rFonts w:ascii="Times New Roman" w:eastAsia="Arial" w:hAnsi="Times New Roman" w:cs="Times New Roman"/>
          <w:noProof/>
          <w:sz w:val="24"/>
          <w:szCs w:val="24"/>
          <w:highlight w:val="white"/>
        </w:rPr>
        <w:t xml:space="preserve"> (8 out of 27) and in progress in implementing country-specific recommendations (6 out of 27) documents. Finally, only four countries (Austria, Denmark, Slovenia and Sweden) declared to have had at least one DIA occurrence in the National Growth Strategy document. </w:t>
      </w:r>
    </w:p>
    <w:p w14:paraId="0D25DD79" w14:textId="53B7E01C" w:rsidR="00FF3A81" w:rsidRPr="00347053" w:rsidRDefault="00FF3A81" w:rsidP="006B0E44">
      <w:pPr>
        <w:spacing w:line="240" w:lineRule="auto"/>
        <w:jc w:val="both"/>
        <w:rPr>
          <w:rFonts w:ascii="Times New Roman" w:eastAsia="Times New Roman" w:hAnsi="Times New Roman" w:cs="Times New Roman"/>
          <w:b/>
          <w:noProof/>
          <w:sz w:val="24"/>
          <w:szCs w:val="24"/>
          <w:lang w:eastAsia="en-GB"/>
        </w:rPr>
      </w:pPr>
      <w:r w:rsidRPr="00347053">
        <w:rPr>
          <w:rFonts w:ascii="Times New Roman" w:eastAsia="Times New Roman" w:hAnsi="Times New Roman" w:cs="Times New Roman"/>
          <w:b/>
          <w:noProof/>
          <w:sz w:val="24"/>
          <w:szCs w:val="24"/>
          <w:lang w:eastAsia="en-GB"/>
        </w:rPr>
        <w:t xml:space="preserve">Figure </w:t>
      </w:r>
      <w:r w:rsidR="00347053" w:rsidRPr="00347053">
        <w:rPr>
          <w:rFonts w:ascii="Times New Roman" w:eastAsia="Times New Roman" w:hAnsi="Times New Roman" w:cs="Times New Roman"/>
          <w:b/>
          <w:noProof/>
          <w:sz w:val="24"/>
          <w:szCs w:val="24"/>
          <w:lang w:eastAsia="en-GB"/>
        </w:rPr>
        <w:t>1</w:t>
      </w:r>
      <w:r w:rsidRPr="00347053">
        <w:rPr>
          <w:rFonts w:ascii="Times New Roman" w:eastAsia="Times New Roman" w:hAnsi="Times New Roman" w:cs="Times New Roman"/>
          <w:b/>
          <w:noProof/>
          <w:sz w:val="24"/>
          <w:szCs w:val="24"/>
          <w:lang w:eastAsia="en-GB"/>
        </w:rPr>
        <w:t xml:space="preserve"> – Number of EU Member States with at least one DIA occurrence outside DBPs, SCP and NRP, for seven different kinds </w:t>
      </w:r>
      <w:r w:rsidR="001F544D" w:rsidRPr="00347053">
        <w:rPr>
          <w:rFonts w:ascii="Times New Roman" w:eastAsia="Times New Roman" w:hAnsi="Times New Roman" w:cs="Times New Roman"/>
          <w:b/>
          <w:noProof/>
          <w:sz w:val="24"/>
          <w:szCs w:val="24"/>
          <w:lang w:eastAsia="en-GB"/>
        </w:rPr>
        <w:t xml:space="preserve">of documents (2019-2020) </w:t>
      </w:r>
      <w:r w:rsidRPr="00347053">
        <w:rPr>
          <w:rFonts w:ascii="Times New Roman" w:eastAsia="Times New Roman" w:hAnsi="Times New Roman" w:cs="Times New Roman"/>
          <w:b/>
          <w:noProof/>
          <w:sz w:val="24"/>
          <w:szCs w:val="24"/>
          <w:lang w:eastAsia="en-GB"/>
        </w:rPr>
        <w:t>(N=27)</w:t>
      </w:r>
    </w:p>
    <w:p w14:paraId="00AE1452" w14:textId="77777777" w:rsidR="00FF3A81" w:rsidRPr="00D947EF" w:rsidRDefault="00FF3A81" w:rsidP="00FF3A81">
      <w:pPr>
        <w:pStyle w:val="ListParagraph"/>
        <w:spacing w:before="120" w:after="120" w:line="240" w:lineRule="auto"/>
        <w:ind w:left="360"/>
        <w:rPr>
          <w:rFonts w:ascii="Arial" w:eastAsia="Arial" w:hAnsi="Arial" w:cs="Arial"/>
          <w:noProof/>
          <w:sz w:val="18"/>
          <w:szCs w:val="18"/>
          <w:lang w:eastAsia="it-IT"/>
        </w:rPr>
      </w:pPr>
      <w:r>
        <w:rPr>
          <w:noProof/>
          <w:lang w:eastAsia="en-GB"/>
        </w:rPr>
        <w:drawing>
          <wp:inline distT="0" distB="0" distL="0" distR="0" wp14:anchorId="5EE63939" wp14:editId="3BED524A">
            <wp:extent cx="5702225" cy="3562350"/>
            <wp:effectExtent l="0" t="0" r="0" b="0"/>
            <wp:docPr id="8" name="Picture 8" descr="Stacked bar graph displaying DIA occurrences for seven different documents (National documents introducing revenue and expenditure measures, Documents with an ex-post evaluation of past budgetary measures, Documents with an ex-ante evaluation of an adopted budgetary measures, Progress towards EU2020 indicators, Progress in implementing Country-Specific Recommendations and National Growth Strategy) outside DBPs, SCP and NRP across Member States. For each kind of document the bars indicate how many Member States perform at least one DIA analysis including in the documents (yellow bar), at least one DIA analysis but not including in the documents (light-blue bar) and no DIA occurrences (purple bar). The National documents introducing revenue and expenditure measures are the documents in which more than half MS had at least one DIA occur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descr="Stacked bar graph displaying DIA occurrences for seven different documents (National documents introducing revenue and expenditure measures, Documents with an ex-post evaluation of past budgetary measures, Documents with an ex-ante evaluation of an adopted budgetary measures, Progress towards EU2020 indicators, Progress in implementing Country-Specific Recommendations and National Growth Strategy) outside DBPs, SCP and NRP across Member States. For each kind of document the bars indicate how many Member States perform at least one DIA analysis including in the documents (yellow bar), at least one DIA analysis but not including in the documents (light-blue bar) and no DIA occurrences (purple bar). The National documents introducing revenue and expenditure measures are the documents in which more than half MS had at least one DIA occurr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0794" cy="3573950"/>
                    </a:xfrm>
                    <a:prstGeom prst="rect">
                      <a:avLst/>
                    </a:prstGeom>
                    <a:noFill/>
                    <a:ln>
                      <a:noFill/>
                    </a:ln>
                  </pic:spPr>
                </pic:pic>
              </a:graphicData>
            </a:graphic>
          </wp:inline>
        </w:drawing>
      </w:r>
    </w:p>
    <w:p w14:paraId="56AFC14F" w14:textId="27E21A1E" w:rsidR="00DB3191" w:rsidRPr="008F1389" w:rsidRDefault="00DB3191" w:rsidP="00DB3191">
      <w:pPr>
        <w:spacing w:after="120"/>
        <w:jc w:val="both"/>
        <w:rPr>
          <w:rFonts w:ascii="Times New Roman" w:hAnsi="Times New Roman" w:cs="Times New Roman"/>
          <w:i/>
          <w:noProof/>
          <w:sz w:val="20"/>
          <w:szCs w:val="20"/>
          <w:lang w:val="en-IE"/>
        </w:rPr>
      </w:pPr>
      <w:r w:rsidRPr="008F1389">
        <w:rPr>
          <w:rFonts w:ascii="Times New Roman" w:hAnsi="Times New Roman" w:cs="Times New Roman"/>
          <w:i/>
          <w:noProof/>
          <w:sz w:val="20"/>
          <w:szCs w:val="20"/>
          <w:lang w:val="en-IE"/>
        </w:rPr>
        <w:t>Source: Study on Distribution Impact Assessment by the University of Milan, financ</w:t>
      </w:r>
      <w:r w:rsidR="00632FA5" w:rsidRPr="008F1389">
        <w:rPr>
          <w:rFonts w:ascii="Times New Roman" w:hAnsi="Times New Roman" w:cs="Times New Roman"/>
          <w:i/>
          <w:noProof/>
          <w:sz w:val="20"/>
          <w:szCs w:val="20"/>
          <w:lang w:val="en-IE"/>
        </w:rPr>
        <w:t xml:space="preserve">ed by the Commission (DG EMPL): </w:t>
      </w:r>
      <w:hyperlink r:id="rId17" w:history="1">
        <w:r w:rsidR="009D72D3" w:rsidRPr="008F1389">
          <w:rPr>
            <w:rFonts w:ascii="Times New Roman" w:hAnsi="Times New Roman" w:cs="Times New Roman"/>
            <w:noProof/>
            <w:color w:val="0000FF"/>
            <w:sz w:val="20"/>
            <w:szCs w:val="20"/>
            <w:u w:val="single"/>
          </w:rPr>
          <w:t>Study on distributional impact assessment - Publications Office of the EU (europa.eu)</w:t>
        </w:r>
      </w:hyperlink>
    </w:p>
    <w:p w14:paraId="7AD1E775" w14:textId="682AF0AC" w:rsidR="003B7086" w:rsidRPr="004948DD" w:rsidRDefault="001F544D" w:rsidP="001F544D">
      <w:pPr>
        <w:spacing w:before="120" w:after="120" w:line="240" w:lineRule="auto"/>
        <w:jc w:val="both"/>
        <w:rPr>
          <w:rFonts w:ascii="Times New Roman" w:eastAsia="Arial" w:hAnsi="Times New Roman" w:cs="Times New Roman"/>
          <w:noProof/>
          <w:sz w:val="24"/>
          <w:szCs w:val="24"/>
        </w:rPr>
      </w:pPr>
      <w:r w:rsidRPr="000D3E11">
        <w:rPr>
          <w:rFonts w:ascii="Times New Roman" w:eastAsia="Arial" w:hAnsi="Times New Roman" w:cs="Times New Roman"/>
          <w:b/>
          <w:noProof/>
          <w:sz w:val="24"/>
          <w:szCs w:val="24"/>
        </w:rPr>
        <w:t>Very few Member States use DIA for analysing the impact of reforms that might not have a direct bearing on the state budget.</w:t>
      </w:r>
      <w:r w:rsidRPr="004948DD">
        <w:rPr>
          <w:rFonts w:ascii="Times New Roman" w:eastAsia="Arial" w:hAnsi="Times New Roman" w:cs="Times New Roman"/>
          <w:noProof/>
          <w:sz w:val="24"/>
          <w:szCs w:val="24"/>
        </w:rPr>
        <w:t xml:space="preserve"> </w:t>
      </w:r>
      <w:r w:rsidR="00CD1E43" w:rsidRPr="00CD1E43">
        <w:rPr>
          <w:rFonts w:ascii="Times New Roman" w:eastAsia="Arial" w:hAnsi="Times New Roman" w:cs="Times New Roman"/>
          <w:noProof/>
          <w:sz w:val="24"/>
          <w:szCs w:val="24"/>
        </w:rPr>
        <w:t>Only the Netherlands explicitly reports analysing with DIA</w:t>
      </w:r>
      <w:r w:rsidR="00CD1E43">
        <w:rPr>
          <w:rFonts w:ascii="Times New Roman" w:eastAsia="Arial" w:hAnsi="Times New Roman" w:cs="Times New Roman"/>
          <w:noProof/>
          <w:sz w:val="24"/>
          <w:szCs w:val="24"/>
        </w:rPr>
        <w:t xml:space="preserve"> </w:t>
      </w:r>
      <w:r w:rsidR="00CD1E43" w:rsidRPr="00CD1E43">
        <w:rPr>
          <w:rFonts w:ascii="Times New Roman" w:eastAsia="Arial" w:hAnsi="Times New Roman" w:cs="Times New Roman"/>
          <w:noProof/>
          <w:sz w:val="24"/>
          <w:szCs w:val="24"/>
        </w:rPr>
        <w:t>reforms that result in transferring benefits from one group to another without having a direct bearing on the state budget</w:t>
      </w:r>
      <w:r w:rsidRPr="004948DD">
        <w:rPr>
          <w:rFonts w:ascii="Times New Roman" w:eastAsia="Arial" w:hAnsi="Times New Roman" w:cs="Times New Roman"/>
          <w:noProof/>
          <w:sz w:val="24"/>
          <w:szCs w:val="24"/>
        </w:rPr>
        <w:t>.</w:t>
      </w:r>
      <w:r w:rsidR="006B7542">
        <w:rPr>
          <w:rFonts w:ascii="Times New Roman" w:eastAsia="Arial" w:hAnsi="Times New Roman" w:cs="Times New Roman"/>
          <w:noProof/>
          <w:sz w:val="24"/>
          <w:szCs w:val="24"/>
        </w:rPr>
        <w:t xml:space="preserve"> </w:t>
      </w:r>
      <w:r w:rsidR="006B7542" w:rsidRPr="006B7542">
        <w:rPr>
          <w:rFonts w:ascii="Times New Roman" w:eastAsia="Arial" w:hAnsi="Times New Roman" w:cs="Times New Roman"/>
          <w:noProof/>
          <w:sz w:val="24"/>
          <w:szCs w:val="24"/>
        </w:rPr>
        <w:t xml:space="preserve">In Czechia and Poland, regulatory impact assessments of new legislation </w:t>
      </w:r>
      <w:r w:rsidR="00C54BFC">
        <w:rPr>
          <w:rFonts w:ascii="Times New Roman" w:eastAsia="Arial" w:hAnsi="Times New Roman" w:cs="Times New Roman"/>
          <w:noProof/>
          <w:sz w:val="24"/>
          <w:szCs w:val="24"/>
        </w:rPr>
        <w:t>are</w:t>
      </w:r>
      <w:r w:rsidR="006B7542" w:rsidRPr="006B7542">
        <w:rPr>
          <w:rFonts w:ascii="Times New Roman" w:eastAsia="Arial" w:hAnsi="Times New Roman" w:cs="Times New Roman"/>
          <w:noProof/>
          <w:sz w:val="24"/>
          <w:szCs w:val="24"/>
        </w:rPr>
        <w:t xml:space="preserve"> required by law and sometimes (but not always) include DIA analysis.</w:t>
      </w:r>
    </w:p>
    <w:p w14:paraId="0B0C358D" w14:textId="6DB2A139" w:rsidR="006A56FD" w:rsidRDefault="006A56FD" w:rsidP="006A56FD">
      <w:pPr>
        <w:jc w:val="both"/>
        <w:rPr>
          <w:rFonts w:ascii="Times New Roman" w:hAnsi="Times New Roman" w:cs="Times New Roman"/>
          <w:noProof/>
          <w:sz w:val="24"/>
          <w:szCs w:val="24"/>
        </w:rPr>
      </w:pPr>
      <w:r w:rsidRPr="00AE78A7">
        <w:rPr>
          <w:rFonts w:ascii="Times New Roman" w:hAnsi="Times New Roman" w:cs="Times New Roman"/>
          <w:b/>
          <w:noProof/>
          <w:sz w:val="24"/>
          <w:szCs w:val="24"/>
        </w:rPr>
        <w:t>The presentation of DIA results in D</w:t>
      </w:r>
      <w:r>
        <w:rPr>
          <w:rFonts w:ascii="Times New Roman" w:hAnsi="Times New Roman" w:cs="Times New Roman"/>
          <w:b/>
          <w:noProof/>
          <w:sz w:val="24"/>
          <w:szCs w:val="24"/>
        </w:rPr>
        <w:t xml:space="preserve">raft </w:t>
      </w:r>
      <w:r w:rsidRPr="00AE78A7">
        <w:rPr>
          <w:rFonts w:ascii="Times New Roman" w:hAnsi="Times New Roman" w:cs="Times New Roman"/>
          <w:b/>
          <w:noProof/>
          <w:sz w:val="24"/>
          <w:szCs w:val="24"/>
        </w:rPr>
        <w:t>B</w:t>
      </w:r>
      <w:r>
        <w:rPr>
          <w:rFonts w:ascii="Times New Roman" w:hAnsi="Times New Roman" w:cs="Times New Roman"/>
          <w:b/>
          <w:noProof/>
          <w:sz w:val="24"/>
          <w:szCs w:val="24"/>
        </w:rPr>
        <w:t xml:space="preserve">udgetary </w:t>
      </w:r>
      <w:r w:rsidRPr="00AE78A7">
        <w:rPr>
          <w:rFonts w:ascii="Times New Roman" w:hAnsi="Times New Roman" w:cs="Times New Roman"/>
          <w:b/>
          <w:noProof/>
          <w:sz w:val="24"/>
          <w:szCs w:val="24"/>
        </w:rPr>
        <w:t>P</w:t>
      </w:r>
      <w:r>
        <w:rPr>
          <w:rFonts w:ascii="Times New Roman" w:hAnsi="Times New Roman" w:cs="Times New Roman"/>
          <w:b/>
          <w:noProof/>
          <w:sz w:val="24"/>
          <w:szCs w:val="24"/>
        </w:rPr>
        <w:t>lan</w:t>
      </w:r>
      <w:r w:rsidRPr="00AE78A7">
        <w:rPr>
          <w:rFonts w:ascii="Times New Roman" w:hAnsi="Times New Roman" w:cs="Times New Roman"/>
          <w:b/>
          <w:noProof/>
          <w:sz w:val="24"/>
          <w:szCs w:val="24"/>
        </w:rPr>
        <w:t xml:space="preserve">s </w:t>
      </w:r>
      <w:r>
        <w:rPr>
          <w:rFonts w:ascii="Times New Roman" w:hAnsi="Times New Roman" w:cs="Times New Roman"/>
          <w:b/>
          <w:noProof/>
          <w:sz w:val="24"/>
          <w:szCs w:val="24"/>
        </w:rPr>
        <w:t xml:space="preserve">submitted to the Commission by euro area Member States </w:t>
      </w:r>
      <w:r w:rsidRPr="00AE78A7">
        <w:rPr>
          <w:rFonts w:ascii="Times New Roman" w:hAnsi="Times New Roman" w:cs="Times New Roman"/>
          <w:b/>
          <w:noProof/>
          <w:sz w:val="24"/>
          <w:szCs w:val="24"/>
        </w:rPr>
        <w:t>remain</w:t>
      </w:r>
      <w:r>
        <w:rPr>
          <w:rFonts w:ascii="Times New Roman" w:hAnsi="Times New Roman" w:cs="Times New Roman"/>
          <w:b/>
          <w:noProof/>
          <w:sz w:val="24"/>
          <w:szCs w:val="24"/>
        </w:rPr>
        <w:t>s</w:t>
      </w:r>
      <w:r w:rsidRPr="00AE78A7">
        <w:rPr>
          <w:rFonts w:ascii="Times New Roman" w:hAnsi="Times New Roman" w:cs="Times New Roman"/>
          <w:b/>
          <w:noProof/>
          <w:sz w:val="24"/>
          <w:szCs w:val="24"/>
        </w:rPr>
        <w:t xml:space="preserve"> infrequent</w:t>
      </w:r>
      <w:r w:rsidRPr="00AE78A7">
        <w:rPr>
          <w:rFonts w:ascii="Times New Roman" w:hAnsi="Times New Roman" w:cs="Times New Roman"/>
          <w:b/>
          <w:noProof/>
          <w:sz w:val="24"/>
          <w:szCs w:val="24"/>
          <w:vertAlign w:val="superscript"/>
        </w:rPr>
        <w:footnoteReference w:id="15"/>
      </w:r>
      <w:r w:rsidRPr="00956785">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in spite of Regulation </w:t>
      </w:r>
      <w:r w:rsidR="005F19FA">
        <w:rPr>
          <w:rFonts w:ascii="Times New Roman" w:hAnsi="Times New Roman" w:cs="Times New Roman"/>
          <w:b/>
          <w:noProof/>
          <w:sz w:val="24"/>
          <w:szCs w:val="24"/>
        </w:rPr>
        <w:t xml:space="preserve">(EU) </w:t>
      </w:r>
      <w:r w:rsidRPr="00956785">
        <w:rPr>
          <w:rFonts w:ascii="Times New Roman" w:hAnsi="Times New Roman" w:cs="Times New Roman"/>
          <w:b/>
          <w:noProof/>
          <w:sz w:val="24"/>
          <w:szCs w:val="24"/>
        </w:rPr>
        <w:t>473/2013</w:t>
      </w:r>
      <w:r>
        <w:rPr>
          <w:rFonts w:ascii="Times New Roman" w:hAnsi="Times New Roman" w:cs="Times New Roman"/>
          <w:b/>
          <w:noProof/>
          <w:sz w:val="24"/>
          <w:szCs w:val="24"/>
        </w:rPr>
        <w:t xml:space="preserve"> calling for it where possible.</w:t>
      </w:r>
      <w:r w:rsidRPr="00956785">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 </w:t>
      </w:r>
      <w:r w:rsidRPr="00144EFD">
        <w:rPr>
          <w:rFonts w:ascii="Times New Roman" w:hAnsi="Times New Roman" w:cs="Times New Roman"/>
          <w:noProof/>
          <w:sz w:val="24"/>
          <w:szCs w:val="24"/>
        </w:rPr>
        <w:t>For any given budget year in the 2015-2020 period, at most 6 out of 19 euro area Member States inc</w:t>
      </w:r>
      <w:r>
        <w:rPr>
          <w:rFonts w:ascii="Times New Roman" w:hAnsi="Times New Roman" w:cs="Times New Roman"/>
          <w:noProof/>
          <w:sz w:val="24"/>
          <w:szCs w:val="24"/>
        </w:rPr>
        <w:t>luded DIA analysis in their DBP</w:t>
      </w:r>
      <w:r w:rsidRPr="00144EFD">
        <w:rPr>
          <w:rFonts w:ascii="Times New Roman" w:hAnsi="Times New Roman" w:cs="Times New Roman"/>
          <w:noProof/>
          <w:sz w:val="24"/>
          <w:szCs w:val="24"/>
          <w:vertAlign w:val="superscript"/>
        </w:rPr>
        <w:footnoteReference w:id="16"/>
      </w:r>
      <w:r>
        <w:rPr>
          <w:rFonts w:ascii="Times New Roman" w:hAnsi="Times New Roman" w:cs="Times New Roman"/>
          <w:noProof/>
          <w:sz w:val="24"/>
          <w:szCs w:val="24"/>
        </w:rPr>
        <w:t>.</w:t>
      </w:r>
      <w:r w:rsidRPr="00144EFD">
        <w:rPr>
          <w:rFonts w:ascii="Times New Roman" w:hAnsi="Times New Roman" w:cs="Times New Roman"/>
          <w:noProof/>
          <w:sz w:val="24"/>
          <w:szCs w:val="24"/>
        </w:rPr>
        <w:t xml:space="preserve"> Only two included DIA on a regular basis (IE and NL) and eight included DIA occasionally (AT, EE, FI, FR, EL, LT, LV and MT). 9 euro area Member States did not present any DIA in their DBPs in that period. In general, euro area Member States do not perform separate DIAs for each budgetary measure. In most cases, all or most of the budgetary measures are analysed simultaneously in a single joint DIA, irrespective of budgetary measure type (revenue/expenditure) and area. Their aggregated impact is reported by income level or by specific socio-demographic groups. Revenue and expenditure measures are, on average, included in roughly equal numbers, even though some differences between the euro area Member States and across time do exist. Finally, the most frequent policy areas considered are those regarding welfare and social inclusion.</w:t>
      </w:r>
    </w:p>
    <w:p w14:paraId="0A9B71A6" w14:textId="53F723FF" w:rsidR="00795ED8" w:rsidRPr="00795ED8" w:rsidRDefault="00795ED8" w:rsidP="00795ED8">
      <w:pPr>
        <w:pBdr>
          <w:top w:val="single" w:sz="4" w:space="1" w:color="auto"/>
          <w:left w:val="single" w:sz="4" w:space="4" w:color="auto"/>
          <w:bottom w:val="single" w:sz="4" w:space="1" w:color="auto"/>
          <w:right w:val="single" w:sz="4" w:space="4" w:color="auto"/>
        </w:pBdr>
        <w:spacing w:before="160" w:after="0"/>
        <w:jc w:val="both"/>
        <w:rPr>
          <w:rFonts w:ascii="Times New Roman" w:hAnsi="Times New Roman" w:cs="Times New Roman"/>
          <w:b/>
          <w:noProof/>
          <w:sz w:val="20"/>
          <w:szCs w:val="20"/>
        </w:rPr>
      </w:pPr>
      <w:r w:rsidRPr="00795ED8">
        <w:rPr>
          <w:rFonts w:ascii="Times New Roman" w:hAnsi="Times New Roman" w:cs="Times New Roman"/>
          <w:b/>
          <w:noProof/>
          <w:sz w:val="20"/>
          <w:szCs w:val="20"/>
        </w:rPr>
        <w:t>Box</w:t>
      </w:r>
      <w:r w:rsidR="00C37617">
        <w:rPr>
          <w:rFonts w:ascii="Times New Roman" w:hAnsi="Times New Roman" w:cs="Times New Roman"/>
          <w:b/>
          <w:noProof/>
          <w:sz w:val="20"/>
          <w:szCs w:val="20"/>
        </w:rPr>
        <w:t xml:space="preserve"> 1</w:t>
      </w:r>
      <w:r w:rsidRPr="00795ED8">
        <w:rPr>
          <w:rFonts w:ascii="Times New Roman" w:hAnsi="Times New Roman" w:cs="Times New Roman"/>
          <w:b/>
          <w:noProof/>
          <w:sz w:val="20"/>
          <w:szCs w:val="20"/>
        </w:rPr>
        <w:t xml:space="preserve">: Presentation of DIA results in the 2022 Draft Budgetary Plans (DBPs) by Ireland </w:t>
      </w:r>
    </w:p>
    <w:p w14:paraId="08639F96" w14:textId="77777777" w:rsidR="00795ED8" w:rsidRPr="00795ED8" w:rsidRDefault="00795ED8" w:rsidP="00795ED8">
      <w:pPr>
        <w:pBdr>
          <w:top w:val="single" w:sz="4" w:space="1" w:color="auto"/>
          <w:left w:val="single" w:sz="4" w:space="4" w:color="auto"/>
          <w:bottom w:val="single" w:sz="4" w:space="1" w:color="auto"/>
          <w:right w:val="single" w:sz="4" w:space="4" w:color="auto"/>
        </w:pBdr>
        <w:spacing w:before="160" w:after="0" w:line="276" w:lineRule="auto"/>
        <w:jc w:val="both"/>
        <w:rPr>
          <w:rFonts w:ascii="Times New Roman" w:hAnsi="Times New Roman" w:cs="Times New Roman"/>
          <w:noProof/>
          <w:sz w:val="20"/>
          <w:szCs w:val="20"/>
        </w:rPr>
      </w:pPr>
      <w:r w:rsidRPr="00795ED8">
        <w:rPr>
          <w:rFonts w:ascii="Times New Roman" w:hAnsi="Times New Roman" w:cs="Times New Roman"/>
          <w:noProof/>
          <w:sz w:val="20"/>
          <w:szCs w:val="20"/>
        </w:rPr>
        <w:t xml:space="preserve">The DIA results of the main budgetary measures in </w:t>
      </w:r>
      <w:r w:rsidRPr="00795ED8">
        <w:rPr>
          <w:rFonts w:ascii="Times New Roman" w:hAnsi="Times New Roman" w:cs="Times New Roman"/>
          <w:b/>
          <w:noProof/>
          <w:sz w:val="20"/>
          <w:szCs w:val="20"/>
        </w:rPr>
        <w:t>Ireland’s</w:t>
      </w:r>
      <w:r w:rsidRPr="00795ED8">
        <w:rPr>
          <w:rFonts w:ascii="Times New Roman" w:hAnsi="Times New Roman" w:cs="Times New Roman"/>
          <w:noProof/>
          <w:sz w:val="20"/>
          <w:szCs w:val="20"/>
        </w:rPr>
        <w:t xml:space="preserve"> 2022 DBP are presented in a form of a short text and two charts</w:t>
      </w:r>
      <w:r w:rsidRPr="00795ED8">
        <w:rPr>
          <w:rFonts w:ascii="Times New Roman" w:hAnsi="Times New Roman" w:cs="Times New Roman"/>
          <w:noProof/>
          <w:sz w:val="20"/>
          <w:szCs w:val="20"/>
          <w:vertAlign w:val="superscript"/>
        </w:rPr>
        <w:footnoteReference w:id="17"/>
      </w:r>
      <w:r w:rsidRPr="00795ED8">
        <w:rPr>
          <w:rFonts w:ascii="Times New Roman" w:hAnsi="Times New Roman" w:cs="Times New Roman"/>
          <w:noProof/>
          <w:sz w:val="20"/>
          <w:szCs w:val="20"/>
        </w:rPr>
        <w:t xml:space="preserve">. One chart shows the distributional effects of budgetary measures in 2022 in terms of percentage change in equivalised disposable income by decile. Both the total effect and the separate effects are presented (for carbon tax, excise, direct taxes and changes in benefits). Another chart shows the impact by family type. </w:t>
      </w:r>
    </w:p>
    <w:p w14:paraId="608371FD" w14:textId="2327C1A2" w:rsidR="00490190" w:rsidRPr="0036791A" w:rsidRDefault="00490190" w:rsidP="006A56FD">
      <w:pPr>
        <w:jc w:val="both"/>
        <w:rPr>
          <w:rFonts w:ascii="Times New Roman" w:hAnsi="Times New Roman" w:cs="Times New Roman"/>
          <w:b/>
          <w:noProof/>
          <w:sz w:val="12"/>
          <w:szCs w:val="24"/>
        </w:rPr>
      </w:pPr>
    </w:p>
    <w:p w14:paraId="6E6F243B" w14:textId="0047E0B0" w:rsidR="006A56FD" w:rsidRDefault="006A56FD" w:rsidP="0036791A">
      <w:pPr>
        <w:widowControl w:val="0"/>
        <w:spacing w:before="120"/>
        <w:jc w:val="both"/>
        <w:rPr>
          <w:rFonts w:ascii="Times New Roman" w:hAnsi="Times New Roman" w:cs="Times New Roman"/>
          <w:noProof/>
          <w:sz w:val="24"/>
          <w:szCs w:val="24"/>
        </w:rPr>
      </w:pPr>
      <w:r>
        <w:rPr>
          <w:rFonts w:ascii="Times New Roman" w:hAnsi="Times New Roman" w:cs="Times New Roman"/>
          <w:b/>
          <w:noProof/>
          <w:sz w:val="24"/>
          <w:szCs w:val="24"/>
        </w:rPr>
        <w:t>A</w:t>
      </w:r>
      <w:r w:rsidRPr="00C02E4E">
        <w:rPr>
          <w:rFonts w:ascii="Times New Roman" w:hAnsi="Times New Roman" w:cs="Times New Roman"/>
          <w:b/>
          <w:noProof/>
          <w:sz w:val="24"/>
          <w:szCs w:val="24"/>
        </w:rPr>
        <w:t xml:space="preserve"> few Member States include</w:t>
      </w:r>
      <w:r>
        <w:rPr>
          <w:rFonts w:ascii="Times New Roman" w:hAnsi="Times New Roman" w:cs="Times New Roman"/>
          <w:b/>
          <w:noProof/>
          <w:sz w:val="24"/>
          <w:szCs w:val="24"/>
        </w:rPr>
        <w:t>d</w:t>
      </w:r>
      <w:r w:rsidRPr="00C02E4E">
        <w:rPr>
          <w:rFonts w:ascii="Times New Roman" w:hAnsi="Times New Roman" w:cs="Times New Roman"/>
          <w:b/>
          <w:noProof/>
          <w:sz w:val="24"/>
          <w:szCs w:val="24"/>
        </w:rPr>
        <w:t xml:space="preserve"> DIA</w:t>
      </w:r>
      <w:r>
        <w:rPr>
          <w:rFonts w:ascii="Times New Roman" w:hAnsi="Times New Roman" w:cs="Times New Roman"/>
          <w:b/>
          <w:noProof/>
          <w:sz w:val="24"/>
          <w:szCs w:val="24"/>
        </w:rPr>
        <w:t xml:space="preserve"> analysis either </w:t>
      </w:r>
      <w:r w:rsidRPr="00C02E4E">
        <w:rPr>
          <w:rFonts w:ascii="Times New Roman" w:hAnsi="Times New Roman" w:cs="Times New Roman"/>
          <w:b/>
          <w:noProof/>
          <w:sz w:val="24"/>
          <w:szCs w:val="24"/>
        </w:rPr>
        <w:t>in the</w:t>
      </w:r>
      <w:r w:rsidR="005F19FA">
        <w:rPr>
          <w:rFonts w:ascii="Times New Roman" w:hAnsi="Times New Roman" w:cs="Times New Roman"/>
          <w:b/>
          <w:noProof/>
          <w:sz w:val="24"/>
          <w:szCs w:val="24"/>
        </w:rPr>
        <w:t>ir</w:t>
      </w:r>
      <w:r w:rsidRPr="00C02E4E">
        <w:rPr>
          <w:rFonts w:ascii="Times New Roman" w:hAnsi="Times New Roman" w:cs="Times New Roman"/>
          <w:b/>
          <w:noProof/>
          <w:sz w:val="24"/>
          <w:szCs w:val="24"/>
        </w:rPr>
        <w:t xml:space="preserve"> Stability or Convergence Programme (SCP</w:t>
      </w:r>
      <w:r>
        <w:rPr>
          <w:rFonts w:ascii="Times New Roman" w:hAnsi="Times New Roman" w:cs="Times New Roman"/>
          <w:b/>
          <w:noProof/>
          <w:sz w:val="24"/>
          <w:szCs w:val="24"/>
        </w:rPr>
        <w:t>s</w:t>
      </w:r>
      <w:r w:rsidRPr="00C02E4E">
        <w:rPr>
          <w:rFonts w:ascii="Times New Roman" w:hAnsi="Times New Roman" w:cs="Times New Roman"/>
          <w:b/>
          <w:noProof/>
          <w:sz w:val="24"/>
          <w:szCs w:val="24"/>
        </w:rPr>
        <w:t>) and</w:t>
      </w:r>
      <w:r>
        <w:rPr>
          <w:rFonts w:ascii="Times New Roman" w:hAnsi="Times New Roman" w:cs="Times New Roman"/>
          <w:b/>
          <w:noProof/>
          <w:sz w:val="24"/>
          <w:szCs w:val="24"/>
        </w:rPr>
        <w:t>/or</w:t>
      </w:r>
      <w:r w:rsidRPr="00C02E4E">
        <w:rPr>
          <w:rFonts w:ascii="Times New Roman" w:hAnsi="Times New Roman" w:cs="Times New Roman"/>
          <w:b/>
          <w:noProof/>
          <w:sz w:val="24"/>
          <w:szCs w:val="24"/>
        </w:rPr>
        <w:t xml:space="preserve"> the National Reform Programme (NRP</w:t>
      </w:r>
      <w:r>
        <w:rPr>
          <w:rFonts w:ascii="Times New Roman" w:hAnsi="Times New Roman" w:cs="Times New Roman"/>
          <w:b/>
          <w:noProof/>
          <w:sz w:val="24"/>
          <w:szCs w:val="24"/>
        </w:rPr>
        <w:t>s</w:t>
      </w:r>
      <w:r w:rsidRPr="00C02E4E">
        <w:rPr>
          <w:rFonts w:ascii="Times New Roman" w:hAnsi="Times New Roman" w:cs="Times New Roman"/>
          <w:b/>
          <w:noProof/>
          <w:sz w:val="24"/>
          <w:szCs w:val="24"/>
        </w:rPr>
        <w:t>)</w:t>
      </w:r>
      <w:r>
        <w:rPr>
          <w:rFonts w:ascii="Times New Roman" w:hAnsi="Times New Roman" w:cs="Times New Roman"/>
          <w:b/>
          <w:noProof/>
          <w:sz w:val="24"/>
          <w:szCs w:val="24"/>
        </w:rPr>
        <w:t xml:space="preserve"> in the recent past</w:t>
      </w:r>
      <w:r w:rsidRPr="00C02E4E">
        <w:rPr>
          <w:rFonts w:ascii="Times New Roman" w:hAnsi="Times New Roman" w:cs="Times New Roman"/>
          <w:b/>
          <w:noProof/>
          <w:sz w:val="24"/>
          <w:szCs w:val="24"/>
        </w:rPr>
        <w:t>.</w:t>
      </w:r>
      <w:r w:rsidRPr="0011686A">
        <w:rPr>
          <w:rFonts w:ascii="Times New Roman" w:hAnsi="Times New Roman" w:cs="Times New Roman"/>
          <w:noProof/>
          <w:sz w:val="24"/>
          <w:szCs w:val="24"/>
        </w:rPr>
        <w:t xml:space="preserve"> In </w:t>
      </w:r>
      <w:r>
        <w:rPr>
          <w:rFonts w:ascii="Times New Roman" w:hAnsi="Times New Roman" w:cs="Times New Roman"/>
          <w:noProof/>
          <w:sz w:val="24"/>
          <w:szCs w:val="24"/>
        </w:rPr>
        <w:t xml:space="preserve">terms of the </w:t>
      </w:r>
      <w:r w:rsidRPr="0011686A">
        <w:rPr>
          <w:rFonts w:ascii="Times New Roman" w:hAnsi="Times New Roman" w:cs="Times New Roman"/>
          <w:noProof/>
          <w:sz w:val="24"/>
          <w:szCs w:val="24"/>
        </w:rPr>
        <w:t>SCP</w:t>
      </w:r>
      <w:r>
        <w:rPr>
          <w:rFonts w:ascii="Times New Roman" w:hAnsi="Times New Roman" w:cs="Times New Roman"/>
          <w:noProof/>
          <w:sz w:val="24"/>
          <w:szCs w:val="24"/>
        </w:rPr>
        <w:t>s</w:t>
      </w:r>
      <w:r w:rsidRPr="0011686A">
        <w:rPr>
          <w:rFonts w:ascii="Times New Roman" w:hAnsi="Times New Roman" w:cs="Times New Roman"/>
          <w:noProof/>
          <w:sz w:val="24"/>
          <w:szCs w:val="24"/>
        </w:rPr>
        <w:t xml:space="preserve">, only Croatia </w:t>
      </w:r>
      <w:r>
        <w:rPr>
          <w:rFonts w:ascii="Times New Roman" w:hAnsi="Times New Roman" w:cs="Times New Roman"/>
          <w:noProof/>
          <w:sz w:val="24"/>
          <w:szCs w:val="24"/>
        </w:rPr>
        <w:t>included</w:t>
      </w:r>
      <w:r w:rsidRPr="0011686A">
        <w:rPr>
          <w:rFonts w:ascii="Times New Roman" w:hAnsi="Times New Roman" w:cs="Times New Roman"/>
          <w:noProof/>
          <w:sz w:val="24"/>
          <w:szCs w:val="24"/>
        </w:rPr>
        <w:t xml:space="preserve"> DIA</w:t>
      </w:r>
      <w:r>
        <w:rPr>
          <w:rFonts w:ascii="Times New Roman" w:hAnsi="Times New Roman" w:cs="Times New Roman"/>
          <w:noProof/>
          <w:sz w:val="24"/>
          <w:szCs w:val="24"/>
        </w:rPr>
        <w:t xml:space="preserve"> results</w:t>
      </w:r>
      <w:r w:rsidRPr="0011686A">
        <w:rPr>
          <w:rFonts w:ascii="Times New Roman" w:hAnsi="Times New Roman" w:cs="Times New Roman"/>
          <w:noProof/>
          <w:sz w:val="24"/>
          <w:szCs w:val="24"/>
        </w:rPr>
        <w:t xml:space="preserve"> in 2019, and no country </w:t>
      </w:r>
      <w:r>
        <w:rPr>
          <w:rFonts w:ascii="Times New Roman" w:hAnsi="Times New Roman" w:cs="Times New Roman"/>
          <w:noProof/>
          <w:sz w:val="24"/>
          <w:szCs w:val="24"/>
        </w:rPr>
        <w:t>included it in 2020. Regarding the</w:t>
      </w:r>
      <w:r w:rsidRPr="0011686A">
        <w:rPr>
          <w:rFonts w:ascii="Times New Roman" w:hAnsi="Times New Roman" w:cs="Times New Roman"/>
          <w:noProof/>
          <w:sz w:val="24"/>
          <w:szCs w:val="24"/>
        </w:rPr>
        <w:t xml:space="preserve"> NRP</w:t>
      </w:r>
      <w:r>
        <w:rPr>
          <w:rFonts w:ascii="Times New Roman" w:hAnsi="Times New Roman" w:cs="Times New Roman"/>
          <w:noProof/>
          <w:sz w:val="24"/>
          <w:szCs w:val="24"/>
        </w:rPr>
        <w:t>s,</w:t>
      </w:r>
      <w:r w:rsidRPr="0011686A">
        <w:rPr>
          <w:rFonts w:ascii="Times New Roman" w:hAnsi="Times New Roman" w:cs="Times New Roman"/>
          <w:noProof/>
          <w:sz w:val="24"/>
          <w:szCs w:val="24"/>
        </w:rPr>
        <w:t xml:space="preserve"> four countries </w:t>
      </w:r>
      <w:r>
        <w:rPr>
          <w:rFonts w:ascii="Times New Roman" w:hAnsi="Times New Roman" w:cs="Times New Roman"/>
          <w:noProof/>
          <w:sz w:val="24"/>
          <w:szCs w:val="24"/>
        </w:rPr>
        <w:t>presented</w:t>
      </w:r>
      <w:r w:rsidRPr="0011686A">
        <w:rPr>
          <w:rFonts w:ascii="Times New Roman" w:hAnsi="Times New Roman" w:cs="Times New Roman"/>
          <w:noProof/>
          <w:sz w:val="24"/>
          <w:szCs w:val="24"/>
        </w:rPr>
        <w:t xml:space="preserve"> DIA</w:t>
      </w:r>
      <w:r>
        <w:rPr>
          <w:rFonts w:ascii="Times New Roman" w:hAnsi="Times New Roman" w:cs="Times New Roman"/>
          <w:noProof/>
          <w:sz w:val="24"/>
          <w:szCs w:val="24"/>
        </w:rPr>
        <w:t xml:space="preserve"> analysis</w:t>
      </w:r>
      <w:r w:rsidRPr="0011686A">
        <w:rPr>
          <w:rFonts w:ascii="Times New Roman" w:hAnsi="Times New Roman" w:cs="Times New Roman"/>
          <w:noProof/>
          <w:sz w:val="24"/>
          <w:szCs w:val="24"/>
        </w:rPr>
        <w:t xml:space="preserve"> in 2019 (B</w:t>
      </w:r>
      <w:r>
        <w:rPr>
          <w:rFonts w:ascii="Times New Roman" w:hAnsi="Times New Roman" w:cs="Times New Roman"/>
          <w:noProof/>
          <w:sz w:val="24"/>
          <w:szCs w:val="24"/>
        </w:rPr>
        <w:t>E</w:t>
      </w:r>
      <w:r w:rsidRPr="0011686A">
        <w:rPr>
          <w:rFonts w:ascii="Times New Roman" w:hAnsi="Times New Roman" w:cs="Times New Roman"/>
          <w:noProof/>
          <w:sz w:val="24"/>
          <w:szCs w:val="24"/>
        </w:rPr>
        <w:t xml:space="preserve">, </w:t>
      </w:r>
      <w:r>
        <w:rPr>
          <w:rFonts w:ascii="Times New Roman" w:hAnsi="Times New Roman" w:cs="Times New Roman"/>
          <w:noProof/>
          <w:sz w:val="24"/>
          <w:szCs w:val="24"/>
        </w:rPr>
        <w:t>HR</w:t>
      </w:r>
      <w:r w:rsidRPr="0011686A">
        <w:rPr>
          <w:rFonts w:ascii="Times New Roman" w:hAnsi="Times New Roman" w:cs="Times New Roman"/>
          <w:noProof/>
          <w:sz w:val="24"/>
          <w:szCs w:val="24"/>
        </w:rPr>
        <w:t>, M</w:t>
      </w:r>
      <w:r>
        <w:rPr>
          <w:rFonts w:ascii="Times New Roman" w:hAnsi="Times New Roman" w:cs="Times New Roman"/>
          <w:noProof/>
          <w:sz w:val="24"/>
          <w:szCs w:val="24"/>
        </w:rPr>
        <w:t>T</w:t>
      </w:r>
      <w:r w:rsidRPr="0011686A">
        <w:rPr>
          <w:rFonts w:ascii="Times New Roman" w:hAnsi="Times New Roman" w:cs="Times New Roman"/>
          <w:noProof/>
          <w:sz w:val="24"/>
          <w:szCs w:val="24"/>
        </w:rPr>
        <w:t xml:space="preserve"> and P</w:t>
      </w:r>
      <w:r>
        <w:rPr>
          <w:rFonts w:ascii="Times New Roman" w:hAnsi="Times New Roman" w:cs="Times New Roman"/>
          <w:noProof/>
          <w:sz w:val="24"/>
          <w:szCs w:val="24"/>
        </w:rPr>
        <w:t>T</w:t>
      </w:r>
      <w:r w:rsidRPr="0011686A">
        <w:rPr>
          <w:rFonts w:ascii="Times New Roman" w:hAnsi="Times New Roman" w:cs="Times New Roman"/>
          <w:noProof/>
          <w:sz w:val="24"/>
          <w:szCs w:val="24"/>
        </w:rPr>
        <w:t>), and four countries used DIA in 2020 (</w:t>
      </w:r>
      <w:r>
        <w:rPr>
          <w:rFonts w:ascii="Times New Roman" w:hAnsi="Times New Roman" w:cs="Times New Roman"/>
          <w:noProof/>
          <w:sz w:val="24"/>
          <w:szCs w:val="24"/>
        </w:rPr>
        <w:t>HR</w:t>
      </w:r>
      <w:r w:rsidRPr="0011686A">
        <w:rPr>
          <w:rFonts w:ascii="Times New Roman" w:hAnsi="Times New Roman" w:cs="Times New Roman"/>
          <w:noProof/>
          <w:sz w:val="24"/>
          <w:szCs w:val="24"/>
        </w:rPr>
        <w:t>, I</w:t>
      </w:r>
      <w:r>
        <w:rPr>
          <w:rFonts w:ascii="Times New Roman" w:hAnsi="Times New Roman" w:cs="Times New Roman"/>
          <w:noProof/>
          <w:sz w:val="24"/>
          <w:szCs w:val="24"/>
        </w:rPr>
        <w:t>T</w:t>
      </w:r>
      <w:r w:rsidRPr="0011686A">
        <w:rPr>
          <w:rFonts w:ascii="Times New Roman" w:hAnsi="Times New Roman" w:cs="Times New Roman"/>
          <w:noProof/>
          <w:sz w:val="24"/>
          <w:szCs w:val="24"/>
        </w:rPr>
        <w:t>, M</w:t>
      </w:r>
      <w:r>
        <w:rPr>
          <w:rFonts w:ascii="Times New Roman" w:hAnsi="Times New Roman" w:cs="Times New Roman"/>
          <w:noProof/>
          <w:sz w:val="24"/>
          <w:szCs w:val="24"/>
        </w:rPr>
        <w:t>T</w:t>
      </w:r>
      <w:r w:rsidRPr="0011686A">
        <w:rPr>
          <w:rFonts w:ascii="Times New Roman" w:hAnsi="Times New Roman" w:cs="Times New Roman"/>
          <w:noProof/>
          <w:sz w:val="24"/>
          <w:szCs w:val="24"/>
        </w:rPr>
        <w:t xml:space="preserve"> and P</w:t>
      </w:r>
      <w:r>
        <w:rPr>
          <w:rFonts w:ascii="Times New Roman" w:hAnsi="Times New Roman" w:cs="Times New Roman"/>
          <w:noProof/>
          <w:sz w:val="24"/>
          <w:szCs w:val="24"/>
        </w:rPr>
        <w:t>T</w:t>
      </w:r>
      <w:r w:rsidRPr="0011686A">
        <w:rPr>
          <w:rFonts w:ascii="Times New Roman" w:hAnsi="Times New Roman" w:cs="Times New Roman"/>
          <w:noProof/>
          <w:sz w:val="24"/>
          <w:szCs w:val="24"/>
        </w:rPr>
        <w:t xml:space="preserve">). </w:t>
      </w:r>
      <w:r w:rsidR="002432A2" w:rsidRPr="002432A2">
        <w:rPr>
          <w:rFonts w:ascii="Times New Roman" w:hAnsi="Times New Roman" w:cs="Times New Roman"/>
          <w:noProof/>
          <w:sz w:val="24"/>
          <w:szCs w:val="24"/>
        </w:rPr>
        <w:t>Member States also made only limited use of DIA in their National Energy and Climate Plans (NECPs) submitted to the Commission. In its assessment, in September 2020 the Commission concluded that there was little information on energy poverty and distributional impacts.</w:t>
      </w:r>
    </w:p>
    <w:p w14:paraId="49E95DF4" w14:textId="3BBCBE3C" w:rsidR="006A56FD" w:rsidRDefault="006C26BE" w:rsidP="0036791A">
      <w:pPr>
        <w:keepNext/>
        <w:keepLines/>
        <w:spacing w:before="120" w:after="120" w:line="240" w:lineRule="auto"/>
        <w:jc w:val="both"/>
        <w:rPr>
          <w:rFonts w:ascii="Times New Roman" w:hAnsi="Times New Roman" w:cs="Times New Roman"/>
          <w:b/>
          <w:noProof/>
          <w:sz w:val="24"/>
          <w:szCs w:val="24"/>
        </w:rPr>
      </w:pPr>
      <w:r w:rsidRPr="006C26BE">
        <w:rPr>
          <w:rFonts w:ascii="Times New Roman" w:hAnsi="Times New Roman" w:cs="Times New Roman"/>
          <w:b/>
          <w:noProof/>
          <w:sz w:val="24"/>
          <w:szCs w:val="24"/>
        </w:rPr>
        <w:t xml:space="preserve">Figure </w:t>
      </w:r>
      <w:r w:rsidR="005C7789">
        <w:rPr>
          <w:rFonts w:ascii="Times New Roman" w:hAnsi="Times New Roman" w:cs="Times New Roman"/>
          <w:b/>
          <w:noProof/>
          <w:sz w:val="24"/>
          <w:szCs w:val="24"/>
        </w:rPr>
        <w:t>2</w:t>
      </w:r>
      <w:r w:rsidRPr="006C26BE">
        <w:rPr>
          <w:rFonts w:ascii="Times New Roman" w:hAnsi="Times New Roman" w:cs="Times New Roman"/>
          <w:b/>
          <w:noProof/>
          <w:sz w:val="24"/>
          <w:szCs w:val="24"/>
        </w:rPr>
        <w:t>:  DIA use by Member States (in their DBPs and other budgetary national documents)</w:t>
      </w:r>
    </w:p>
    <w:p w14:paraId="22702F70" w14:textId="1163DB4D" w:rsidR="006C26BE" w:rsidRDefault="006C26BE" w:rsidP="0036791A">
      <w:pPr>
        <w:keepNext/>
        <w:keepLines/>
        <w:spacing w:before="120" w:after="120" w:line="240" w:lineRule="auto"/>
        <w:jc w:val="both"/>
        <w:rPr>
          <w:rFonts w:ascii="Times New Roman" w:hAnsi="Times New Roman" w:cs="Times New Roman"/>
          <w:b/>
          <w:noProof/>
          <w:sz w:val="24"/>
          <w:szCs w:val="24"/>
        </w:rPr>
      </w:pPr>
      <w:r>
        <w:rPr>
          <w:rFonts w:ascii="Arial" w:eastAsia="Arial" w:hAnsi="Arial" w:cs="Arial"/>
          <w:noProof/>
          <w:lang w:eastAsia="en-GB"/>
        </w:rPr>
        <w:drawing>
          <wp:inline distT="114300" distB="114300" distL="114300" distR="114300" wp14:anchorId="3EE0E51A" wp14:editId="5CB7CFE0">
            <wp:extent cx="5892800" cy="3206750"/>
            <wp:effectExtent l="0" t="0" r="0" b="0"/>
            <wp:docPr id="439" name="image8.png" descr="Stacked bar graph displaying countries according to the intensity of DIA use. The X-axis shows the countries and the Y-axis shows the number of documents ranging from 0 to 12 at an interval of 2.  Segments in the bar represent different kinds of documents: DBPs, Budgeting Documents, other documents for which DIA has been performed but has not been included.  The highest bar was found in Austria while Cyprus, Luxembourg and Romania have no bars (meaning 0 documents). Three levels of intensity of DIA used have been identified according to the number of documents. "/>
            <wp:cNvGraphicFramePr/>
            <a:graphic xmlns:a="http://schemas.openxmlformats.org/drawingml/2006/main">
              <a:graphicData uri="http://schemas.openxmlformats.org/drawingml/2006/picture">
                <pic:pic xmlns:pic="http://schemas.openxmlformats.org/drawingml/2006/picture">
                  <pic:nvPicPr>
                    <pic:cNvPr id="439" name="image8.png" descr="Stacked bar graph displaying countries according to the intensity of DIA use. The X-axis shows the countries and the Y-axis shows the number of documents ranging from 0 to 12 at an interval of 2.  Segments in the bar represent different kinds of documents: DBPs, Budgeting Documents, other documents for which DIA has been performed but has not been included.  The highest bar was found in Austria while Cyprus, Luxembourg and Romania have no bars (meaning 0 documents). Three levels of intensity of DIA used have been identified according to the number of documents. "/>
                    <pic:cNvPicPr preferRelativeResize="0"/>
                  </pic:nvPicPr>
                  <pic:blipFill>
                    <a:blip r:embed="rId18"/>
                    <a:srcRect/>
                    <a:stretch>
                      <a:fillRect/>
                    </a:stretch>
                  </pic:blipFill>
                  <pic:spPr>
                    <a:xfrm>
                      <a:off x="0" y="0"/>
                      <a:ext cx="5893149" cy="3206940"/>
                    </a:xfrm>
                    <a:prstGeom prst="rect">
                      <a:avLst/>
                    </a:prstGeom>
                    <a:ln/>
                  </pic:spPr>
                </pic:pic>
              </a:graphicData>
            </a:graphic>
          </wp:inline>
        </w:drawing>
      </w:r>
    </w:p>
    <w:p w14:paraId="20F712D3" w14:textId="69B8ED45" w:rsidR="006C26BE" w:rsidRPr="008F1389" w:rsidRDefault="006C26BE" w:rsidP="0036791A">
      <w:pPr>
        <w:keepNext/>
        <w:keepLines/>
        <w:spacing w:before="120" w:after="120" w:line="240" w:lineRule="auto"/>
        <w:jc w:val="both"/>
        <w:rPr>
          <w:rFonts w:ascii="Times New Roman" w:hAnsi="Times New Roman" w:cs="Times New Roman"/>
          <w:noProof/>
          <w:sz w:val="20"/>
          <w:szCs w:val="20"/>
        </w:rPr>
      </w:pPr>
      <w:r w:rsidRPr="008F1389">
        <w:rPr>
          <w:rFonts w:ascii="Times New Roman" w:hAnsi="Times New Roman" w:cs="Times New Roman"/>
          <w:noProof/>
          <w:sz w:val="20"/>
          <w:szCs w:val="20"/>
        </w:rPr>
        <w:t xml:space="preserve">Source: Study on Distribution Impact Assessment by the University of Milan, financed by the Commission (DG EMPL), </w:t>
      </w:r>
      <w:hyperlink r:id="rId19" w:history="1">
        <w:r w:rsidR="004E1045">
          <w:rPr>
            <w:rStyle w:val="Hyperlink"/>
            <w:rFonts w:ascii="Times New Roman" w:hAnsi="Times New Roman" w:cs="Times New Roman"/>
            <w:noProof/>
            <w:sz w:val="20"/>
            <w:szCs w:val="20"/>
          </w:rPr>
          <w:t>link</w:t>
        </w:r>
      </w:hyperlink>
      <w:r w:rsidR="004E1045">
        <w:rPr>
          <w:rStyle w:val="Hyperlink"/>
          <w:rFonts w:ascii="Times New Roman" w:hAnsi="Times New Roman" w:cs="Times New Roman"/>
          <w:noProof/>
          <w:sz w:val="20"/>
          <w:szCs w:val="20"/>
        </w:rPr>
        <w:t xml:space="preserve">. </w:t>
      </w:r>
      <w:r w:rsidRPr="008F1389">
        <w:rPr>
          <w:rFonts w:ascii="Times New Roman" w:hAnsi="Times New Roman" w:cs="Times New Roman"/>
          <w:noProof/>
          <w:sz w:val="20"/>
          <w:szCs w:val="20"/>
        </w:rPr>
        <w:t>Note: use in DBPs relates to budget years 2018-19 and use in other national documents relates to budget years 2019-2020.</w:t>
      </w:r>
    </w:p>
    <w:p w14:paraId="53F8934A" w14:textId="4ABB54A4" w:rsidR="002432A2" w:rsidRDefault="002432A2" w:rsidP="002432A2">
      <w:pPr>
        <w:jc w:val="both"/>
        <w:rPr>
          <w:noProof/>
        </w:rPr>
      </w:pPr>
      <w:r w:rsidRPr="0013262A">
        <w:rPr>
          <w:rFonts w:ascii="Times New Roman" w:hAnsi="Times New Roman" w:cs="Times New Roman"/>
          <w:b/>
          <w:noProof/>
          <w:sz w:val="24"/>
          <w:szCs w:val="24"/>
          <w:lang w:val="en-IE"/>
        </w:rPr>
        <w:t xml:space="preserve">The Figure </w:t>
      </w:r>
      <w:r w:rsidR="005C7789" w:rsidRPr="0013262A">
        <w:rPr>
          <w:rFonts w:ascii="Times New Roman" w:hAnsi="Times New Roman" w:cs="Times New Roman"/>
          <w:b/>
          <w:noProof/>
          <w:sz w:val="24"/>
          <w:szCs w:val="24"/>
          <w:lang w:val="en-IE"/>
        </w:rPr>
        <w:t>2</w:t>
      </w:r>
      <w:r w:rsidRPr="0013262A">
        <w:rPr>
          <w:rFonts w:ascii="Times New Roman" w:hAnsi="Times New Roman" w:cs="Times New Roman"/>
          <w:b/>
          <w:noProof/>
          <w:sz w:val="24"/>
          <w:szCs w:val="24"/>
          <w:lang w:val="en-IE"/>
        </w:rPr>
        <w:t xml:space="preserve"> depicts the fact that reliance on DIA varies significantly across Member States, but </w:t>
      </w:r>
      <w:r w:rsidRPr="0013262A">
        <w:rPr>
          <w:rFonts w:ascii="Times New Roman" w:hAnsi="Times New Roman" w:cs="Times New Roman"/>
          <w:b/>
          <w:noProof/>
          <w:sz w:val="24"/>
          <w:szCs w:val="24"/>
        </w:rPr>
        <w:t>most use DIAs in their national budgeting processes, though to varying extent</w:t>
      </w:r>
      <w:r w:rsidRPr="0013262A">
        <w:rPr>
          <w:rFonts w:ascii="Times New Roman" w:hAnsi="Times New Roman" w:cs="Times New Roman"/>
          <w:noProof/>
          <w:sz w:val="24"/>
          <w:szCs w:val="24"/>
          <w:vertAlign w:val="superscript"/>
        </w:rPr>
        <w:footnoteReference w:id="18"/>
      </w:r>
      <w:r w:rsidRPr="0013262A">
        <w:rPr>
          <w:rFonts w:ascii="Times New Roman" w:hAnsi="Times New Roman" w:cs="Times New Roman"/>
          <w:noProof/>
          <w:sz w:val="24"/>
          <w:szCs w:val="24"/>
          <w:lang w:val="en-IE"/>
        </w:rPr>
        <w:t>. Only a few Member States appear not to be conducting such analysis at all</w:t>
      </w:r>
      <w:r w:rsidRPr="0013262A">
        <w:rPr>
          <w:rFonts w:ascii="Times New Roman" w:hAnsi="Times New Roman" w:cs="Times New Roman"/>
          <w:noProof/>
          <w:sz w:val="24"/>
          <w:szCs w:val="24"/>
          <w:vertAlign w:val="superscript"/>
          <w:lang w:val="en-IE"/>
        </w:rPr>
        <w:footnoteReference w:id="19"/>
      </w:r>
      <w:r w:rsidRPr="0013262A">
        <w:rPr>
          <w:rFonts w:ascii="Times New Roman" w:hAnsi="Times New Roman" w:cs="Times New Roman"/>
          <w:noProof/>
          <w:sz w:val="24"/>
          <w:szCs w:val="24"/>
          <w:lang w:val="en-IE"/>
        </w:rPr>
        <w:t>.</w:t>
      </w:r>
      <w:r w:rsidRPr="0013262A">
        <w:rPr>
          <w:rFonts w:ascii="Times New Roman" w:hAnsi="Times New Roman" w:cs="Times New Roman"/>
          <w:noProof/>
          <w:sz w:val="24"/>
          <w:szCs w:val="24"/>
        </w:rPr>
        <w:t xml:space="preserve"> It is also noteworthy that many countries perform DIA analysis that is not included in publicly available documents.</w:t>
      </w:r>
      <w:r w:rsidRPr="002432A2">
        <w:rPr>
          <w:noProof/>
        </w:rPr>
        <w:t xml:space="preserve"> </w:t>
      </w:r>
    </w:p>
    <w:p w14:paraId="0FAAEF53" w14:textId="3E3C3FD3" w:rsidR="00590429" w:rsidRPr="00F70E03" w:rsidRDefault="00475B88" w:rsidP="002432A2">
      <w:pPr>
        <w:jc w:val="both"/>
        <w:rPr>
          <w:rFonts w:ascii="Times New Roman" w:hAnsi="Times New Roman" w:cs="Times New Roman"/>
          <w:noProof/>
          <w:sz w:val="24"/>
          <w:szCs w:val="24"/>
          <w:lang w:val="en-IE"/>
        </w:rPr>
      </w:pPr>
      <w:r w:rsidRPr="00F70E03">
        <w:rPr>
          <w:rFonts w:ascii="Times New Roman" w:hAnsi="Times New Roman"/>
          <w:b/>
          <w:noProof/>
          <w:sz w:val="24"/>
          <w:szCs w:val="24"/>
        </w:rPr>
        <w:t>DIA can also be used for other reforms/investments,</w:t>
      </w:r>
      <w:r>
        <w:rPr>
          <w:rFonts w:ascii="Times New Roman" w:hAnsi="Times New Roman"/>
          <w:noProof/>
          <w:sz w:val="24"/>
          <w:szCs w:val="24"/>
        </w:rPr>
        <w:t xml:space="preserve"> but the literature reviewed does not provide </w:t>
      </w:r>
      <w:r w:rsidR="00417823">
        <w:rPr>
          <w:rFonts w:ascii="Times New Roman" w:hAnsi="Times New Roman"/>
          <w:noProof/>
          <w:sz w:val="24"/>
          <w:szCs w:val="24"/>
        </w:rPr>
        <w:t xml:space="preserve">a </w:t>
      </w:r>
      <w:r>
        <w:rPr>
          <w:rFonts w:ascii="Times New Roman" w:hAnsi="Times New Roman"/>
          <w:noProof/>
          <w:sz w:val="24"/>
          <w:szCs w:val="24"/>
        </w:rPr>
        <w:t>synthetic view in that respect</w:t>
      </w:r>
      <w:r w:rsidR="00590429" w:rsidRPr="00F70E03">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 xml:space="preserve">This </w:t>
      </w:r>
      <w:r w:rsidR="00417823">
        <w:rPr>
          <w:rFonts w:ascii="Times New Roman" w:hAnsi="Times New Roman" w:cs="Times New Roman"/>
          <w:noProof/>
          <w:sz w:val="24"/>
          <w:szCs w:val="24"/>
          <w:lang w:val="en-IE"/>
        </w:rPr>
        <w:t xml:space="preserve">typically </w:t>
      </w:r>
      <w:r>
        <w:rPr>
          <w:rFonts w:ascii="Times New Roman" w:hAnsi="Times New Roman" w:cs="Times New Roman"/>
          <w:noProof/>
          <w:sz w:val="24"/>
          <w:szCs w:val="24"/>
          <w:lang w:val="en-IE"/>
        </w:rPr>
        <w:t>relate</w:t>
      </w:r>
      <w:r w:rsidR="00417823">
        <w:rPr>
          <w:rFonts w:ascii="Times New Roman" w:hAnsi="Times New Roman" w:cs="Times New Roman"/>
          <w:noProof/>
          <w:sz w:val="24"/>
          <w:szCs w:val="24"/>
          <w:lang w:val="en-IE"/>
        </w:rPr>
        <w:t>s</w:t>
      </w:r>
      <w:r>
        <w:rPr>
          <w:rFonts w:ascii="Times New Roman" w:hAnsi="Times New Roman" w:cs="Times New Roman"/>
          <w:noProof/>
          <w:sz w:val="24"/>
          <w:szCs w:val="24"/>
          <w:lang w:val="en-IE"/>
        </w:rPr>
        <w:t xml:space="preserve"> to </w:t>
      </w:r>
      <w:r w:rsidR="00590429" w:rsidRPr="00F70E03">
        <w:rPr>
          <w:rFonts w:ascii="Times New Roman" w:hAnsi="Times New Roman" w:cs="Times New Roman"/>
          <w:noProof/>
          <w:sz w:val="24"/>
          <w:szCs w:val="24"/>
          <w:lang w:val="en-IE"/>
        </w:rPr>
        <w:t xml:space="preserve">the design of reforms that </w:t>
      </w:r>
      <w:r>
        <w:rPr>
          <w:rFonts w:ascii="Times New Roman" w:hAnsi="Times New Roman" w:cs="Times New Roman"/>
          <w:noProof/>
          <w:sz w:val="24"/>
          <w:szCs w:val="24"/>
          <w:lang w:val="en-IE"/>
        </w:rPr>
        <w:t xml:space="preserve">may </w:t>
      </w:r>
      <w:r w:rsidR="00590429" w:rsidRPr="00F70E03">
        <w:rPr>
          <w:rFonts w:ascii="Times New Roman" w:hAnsi="Times New Roman" w:cs="Times New Roman"/>
          <w:noProof/>
          <w:sz w:val="24"/>
          <w:szCs w:val="24"/>
          <w:lang w:val="en-IE"/>
        </w:rPr>
        <w:t xml:space="preserve">not have a (direct) impact on public budgets, but </w:t>
      </w:r>
      <w:r>
        <w:rPr>
          <w:rFonts w:ascii="Times New Roman" w:hAnsi="Times New Roman" w:cs="Times New Roman"/>
          <w:noProof/>
          <w:sz w:val="24"/>
          <w:szCs w:val="24"/>
          <w:lang w:val="en-IE"/>
        </w:rPr>
        <w:t xml:space="preserve">can </w:t>
      </w:r>
      <w:r w:rsidR="00590429" w:rsidRPr="00F70E03">
        <w:rPr>
          <w:rFonts w:ascii="Times New Roman" w:hAnsi="Times New Roman" w:cs="Times New Roman"/>
          <w:noProof/>
          <w:sz w:val="24"/>
          <w:szCs w:val="24"/>
          <w:lang w:val="en-IE"/>
        </w:rPr>
        <w:t xml:space="preserve">have an impact on </w:t>
      </w:r>
      <w:r>
        <w:rPr>
          <w:rFonts w:ascii="Times New Roman" w:hAnsi="Times New Roman" w:cs="Times New Roman"/>
          <w:noProof/>
          <w:sz w:val="24"/>
          <w:szCs w:val="24"/>
          <w:lang w:val="en-IE"/>
        </w:rPr>
        <w:t xml:space="preserve">households’ incomes and </w:t>
      </w:r>
      <w:r w:rsidR="00590429" w:rsidRPr="00F70E03">
        <w:rPr>
          <w:rFonts w:ascii="Times New Roman" w:hAnsi="Times New Roman" w:cs="Times New Roman"/>
          <w:noProof/>
          <w:sz w:val="24"/>
          <w:szCs w:val="24"/>
          <w:lang w:val="en-IE"/>
        </w:rPr>
        <w:t xml:space="preserve">certain groups. </w:t>
      </w:r>
      <w:r w:rsidR="00417823">
        <w:rPr>
          <w:rFonts w:ascii="Times New Roman" w:hAnsi="Times New Roman" w:cs="Times New Roman"/>
          <w:noProof/>
          <w:sz w:val="24"/>
          <w:szCs w:val="24"/>
          <w:lang w:val="en-IE"/>
        </w:rPr>
        <w:t>For instance, this can relate to reforms of minimum wages</w:t>
      </w:r>
      <w:r w:rsidR="00417823">
        <w:rPr>
          <w:rStyle w:val="FootnoteReference"/>
          <w:rFonts w:ascii="Times New Roman" w:hAnsi="Times New Roman" w:cs="Times New Roman"/>
          <w:noProof/>
          <w:sz w:val="24"/>
          <w:szCs w:val="24"/>
          <w:lang w:val="en-IE"/>
        </w:rPr>
        <w:footnoteReference w:id="20"/>
      </w:r>
      <w:r w:rsidR="00417823">
        <w:rPr>
          <w:rFonts w:ascii="Times New Roman" w:hAnsi="Times New Roman" w:cs="Times New Roman"/>
          <w:noProof/>
          <w:sz w:val="24"/>
          <w:szCs w:val="24"/>
          <w:lang w:val="en-IE"/>
        </w:rPr>
        <w:t xml:space="preserve"> or of co-payment features for healthcare.</w:t>
      </w:r>
      <w:r w:rsidR="00417823">
        <w:rPr>
          <w:rStyle w:val="FootnoteReference"/>
          <w:rFonts w:ascii="Times New Roman" w:hAnsi="Times New Roman" w:cs="Times New Roman"/>
          <w:noProof/>
          <w:sz w:val="24"/>
          <w:szCs w:val="24"/>
          <w:lang w:val="en-IE"/>
        </w:rPr>
        <w:footnoteReference w:id="21"/>
      </w:r>
      <w:r w:rsidR="00417823">
        <w:rPr>
          <w:rFonts w:ascii="Times New Roman" w:hAnsi="Times New Roman" w:cs="Times New Roman"/>
          <w:noProof/>
          <w:sz w:val="24"/>
          <w:szCs w:val="24"/>
          <w:lang w:val="en-IE"/>
        </w:rPr>
        <w:t xml:space="preserve"> </w:t>
      </w:r>
      <w:r w:rsidR="00590429" w:rsidRPr="00F70E03">
        <w:rPr>
          <w:rFonts w:ascii="Times New Roman" w:hAnsi="Times New Roman" w:cs="Times New Roman"/>
          <w:noProof/>
          <w:sz w:val="24"/>
          <w:szCs w:val="24"/>
          <w:lang w:val="en-IE"/>
        </w:rPr>
        <w:t>However</w:t>
      </w:r>
      <w:r w:rsidR="00417823">
        <w:rPr>
          <w:rFonts w:ascii="Times New Roman" w:hAnsi="Times New Roman" w:cs="Times New Roman"/>
          <w:noProof/>
          <w:sz w:val="24"/>
          <w:szCs w:val="24"/>
          <w:lang w:val="en-IE"/>
        </w:rPr>
        <w:t>,</w:t>
      </w:r>
      <w:r w:rsidR="00590429" w:rsidRPr="00F70E03">
        <w:rPr>
          <w:rFonts w:ascii="Times New Roman" w:hAnsi="Times New Roman" w:cs="Times New Roman"/>
          <w:noProof/>
          <w:sz w:val="24"/>
          <w:szCs w:val="24"/>
          <w:lang w:val="en-IE"/>
        </w:rPr>
        <w:t xml:space="preserve"> </w:t>
      </w:r>
      <w:r w:rsidR="00417823">
        <w:rPr>
          <w:rFonts w:ascii="Times New Roman" w:hAnsi="Times New Roman" w:cs="Times New Roman"/>
          <w:noProof/>
          <w:sz w:val="24"/>
          <w:szCs w:val="24"/>
          <w:lang w:val="en-IE"/>
        </w:rPr>
        <w:t>estimating the distributional impact of such reforms or investments beyond the tax and benefit systems can also be made more difficult due to the</w:t>
      </w:r>
      <w:r w:rsidR="00590429" w:rsidRPr="00F70E03">
        <w:rPr>
          <w:rFonts w:ascii="Times New Roman" w:hAnsi="Times New Roman" w:cs="Times New Roman"/>
          <w:noProof/>
          <w:sz w:val="24"/>
          <w:szCs w:val="24"/>
          <w:lang w:val="en-IE"/>
        </w:rPr>
        <w:t xml:space="preserve"> lack of appropriate data </w:t>
      </w:r>
      <w:r w:rsidR="00417823">
        <w:rPr>
          <w:rFonts w:ascii="Times New Roman" w:hAnsi="Times New Roman" w:cs="Times New Roman"/>
          <w:noProof/>
          <w:sz w:val="24"/>
          <w:szCs w:val="24"/>
          <w:lang w:val="en-IE"/>
        </w:rPr>
        <w:t>and simulation tools</w:t>
      </w:r>
      <w:r w:rsidR="00590429" w:rsidRPr="00F70E03">
        <w:rPr>
          <w:rFonts w:ascii="Times New Roman" w:hAnsi="Times New Roman" w:cs="Times New Roman"/>
          <w:noProof/>
          <w:sz w:val="24"/>
          <w:szCs w:val="24"/>
          <w:lang w:val="en-IE"/>
        </w:rPr>
        <w:t xml:space="preserve">. </w:t>
      </w:r>
    </w:p>
    <w:p w14:paraId="29D9513B" w14:textId="6E7A3056" w:rsidR="00D56E53" w:rsidRPr="004B203D" w:rsidRDefault="00D22840" w:rsidP="0029445F">
      <w:pPr>
        <w:pStyle w:val="Heading1"/>
        <w:numPr>
          <w:ilvl w:val="0"/>
          <w:numId w:val="27"/>
        </w:numPr>
        <w:rPr>
          <w:rFonts w:ascii="Times New Roman" w:hAnsi="Times New Roman" w:cs="Times New Roman"/>
          <w:noProof/>
        </w:rPr>
      </w:pPr>
      <w:bookmarkStart w:id="5" w:name="_Toc114470585"/>
      <w:r>
        <w:rPr>
          <w:rFonts w:ascii="Times New Roman" w:hAnsi="Times New Roman" w:cs="Times New Roman"/>
          <w:noProof/>
        </w:rPr>
        <w:t>Key components of a good quality DIA</w:t>
      </w:r>
      <w:bookmarkEnd w:id="5"/>
    </w:p>
    <w:p w14:paraId="26781B22" w14:textId="489BF4E6" w:rsidR="005516B0" w:rsidRPr="004B203D" w:rsidRDefault="00D22840" w:rsidP="008F1389">
      <w:pPr>
        <w:pStyle w:val="Heading2"/>
        <w:numPr>
          <w:ilvl w:val="0"/>
          <w:numId w:val="28"/>
        </w:numPr>
        <w:spacing w:before="120" w:after="120"/>
        <w:ind w:left="714" w:hanging="357"/>
        <w:rPr>
          <w:rFonts w:ascii="Times New Roman" w:hAnsi="Times New Roman" w:cs="Times New Roman"/>
          <w:noProof/>
        </w:rPr>
      </w:pPr>
      <w:r>
        <w:rPr>
          <w:rFonts w:ascii="Times New Roman" w:hAnsi="Times New Roman" w:cs="Times New Roman"/>
          <w:noProof/>
        </w:rPr>
        <w:t xml:space="preserve"> </w:t>
      </w:r>
      <w:bookmarkStart w:id="6" w:name="_Toc114470586"/>
      <w:r>
        <w:rPr>
          <w:rFonts w:ascii="Times New Roman" w:hAnsi="Times New Roman" w:cs="Times New Roman"/>
          <w:noProof/>
        </w:rPr>
        <w:t>Who and when should do a DIA and at what level of granularity</w:t>
      </w:r>
      <w:r w:rsidR="00EC6EB8">
        <w:rPr>
          <w:rFonts w:ascii="Times New Roman" w:hAnsi="Times New Roman" w:cs="Times New Roman"/>
          <w:noProof/>
        </w:rPr>
        <w:t>?</w:t>
      </w:r>
      <w:bookmarkEnd w:id="6"/>
    </w:p>
    <w:p w14:paraId="12E01345" w14:textId="76737210" w:rsidR="00EF6B6F" w:rsidRPr="008F1389" w:rsidRDefault="00EF6B6F" w:rsidP="0021427D">
      <w:pPr>
        <w:jc w:val="both"/>
        <w:rPr>
          <w:rFonts w:ascii="Times New Roman" w:hAnsi="Times New Roman" w:cs="Times New Roman"/>
          <w:b/>
          <w:i/>
          <w:noProof/>
          <w:sz w:val="24"/>
          <w:szCs w:val="24"/>
          <w:lang w:val="fr-BE"/>
        </w:rPr>
      </w:pPr>
      <w:r w:rsidRPr="008F1389">
        <w:rPr>
          <w:rFonts w:ascii="Times New Roman" w:hAnsi="Times New Roman" w:cs="Times New Roman"/>
          <w:b/>
          <w:i/>
          <w:noProof/>
          <w:sz w:val="24"/>
          <w:szCs w:val="24"/>
          <w:lang w:val="fr-BE"/>
        </w:rPr>
        <w:t>Ex</w:t>
      </w:r>
      <w:r w:rsidR="00E27501" w:rsidRPr="008F1389">
        <w:rPr>
          <w:rFonts w:ascii="Times New Roman" w:hAnsi="Times New Roman" w:cs="Times New Roman"/>
          <w:b/>
          <w:i/>
          <w:noProof/>
          <w:sz w:val="24"/>
          <w:szCs w:val="24"/>
          <w:lang w:val="fr-BE"/>
        </w:rPr>
        <w:t xml:space="preserve"> </w:t>
      </w:r>
      <w:r w:rsidRPr="008F1389">
        <w:rPr>
          <w:rFonts w:ascii="Times New Roman" w:hAnsi="Times New Roman" w:cs="Times New Roman"/>
          <w:b/>
          <w:i/>
          <w:noProof/>
          <w:sz w:val="24"/>
          <w:szCs w:val="24"/>
          <w:lang w:val="fr-BE"/>
        </w:rPr>
        <w:t xml:space="preserve">ante </w:t>
      </w:r>
      <w:r w:rsidR="00180EC4" w:rsidRPr="008F1389">
        <w:rPr>
          <w:rFonts w:ascii="Times New Roman" w:hAnsi="Times New Roman" w:cs="Times New Roman"/>
          <w:b/>
          <w:i/>
          <w:noProof/>
          <w:sz w:val="24"/>
          <w:szCs w:val="24"/>
          <w:lang w:val="fr-BE"/>
        </w:rPr>
        <w:t xml:space="preserve">and </w:t>
      </w:r>
      <w:r w:rsidR="00DE6379" w:rsidRPr="008F1389">
        <w:rPr>
          <w:rFonts w:ascii="Times New Roman" w:hAnsi="Times New Roman" w:cs="Times New Roman"/>
          <w:b/>
          <w:i/>
          <w:noProof/>
          <w:sz w:val="24"/>
          <w:szCs w:val="24"/>
          <w:lang w:val="fr-BE"/>
        </w:rPr>
        <w:t>e</w:t>
      </w:r>
      <w:r w:rsidRPr="008F1389">
        <w:rPr>
          <w:rFonts w:ascii="Times New Roman" w:hAnsi="Times New Roman" w:cs="Times New Roman"/>
          <w:b/>
          <w:i/>
          <w:noProof/>
          <w:sz w:val="24"/>
          <w:szCs w:val="24"/>
          <w:lang w:val="fr-BE"/>
        </w:rPr>
        <w:t>x</w:t>
      </w:r>
      <w:r w:rsidR="00E27501" w:rsidRPr="008F1389">
        <w:rPr>
          <w:rFonts w:ascii="Times New Roman" w:hAnsi="Times New Roman" w:cs="Times New Roman"/>
          <w:b/>
          <w:i/>
          <w:noProof/>
          <w:sz w:val="24"/>
          <w:szCs w:val="24"/>
          <w:lang w:val="fr-BE"/>
        </w:rPr>
        <w:t xml:space="preserve"> </w:t>
      </w:r>
      <w:r w:rsidRPr="008F1389">
        <w:rPr>
          <w:rFonts w:ascii="Times New Roman" w:hAnsi="Times New Roman" w:cs="Times New Roman"/>
          <w:b/>
          <w:i/>
          <w:noProof/>
          <w:sz w:val="24"/>
          <w:szCs w:val="24"/>
          <w:lang w:val="fr-BE"/>
        </w:rPr>
        <w:t>post evaluations</w:t>
      </w:r>
    </w:p>
    <w:p w14:paraId="7F5B6BA3" w14:textId="3F449946" w:rsidR="00BC5B32" w:rsidRDefault="00BC5B32" w:rsidP="0021427D">
      <w:pPr>
        <w:jc w:val="both"/>
        <w:rPr>
          <w:rFonts w:ascii="Times New Roman" w:hAnsi="Times New Roman" w:cs="Times New Roman"/>
          <w:b/>
          <w:noProof/>
          <w:sz w:val="24"/>
          <w:szCs w:val="24"/>
        </w:rPr>
      </w:pPr>
      <w:r>
        <w:rPr>
          <w:rFonts w:ascii="Times New Roman" w:hAnsi="Times New Roman" w:cs="Times New Roman"/>
          <w:b/>
          <w:noProof/>
          <w:sz w:val="24"/>
          <w:szCs w:val="24"/>
        </w:rPr>
        <w:t>DIA analyses can be undertaken before a proposed policy change have taken place (</w:t>
      </w:r>
      <w:r w:rsidRPr="00EC6EB8">
        <w:rPr>
          <w:rFonts w:ascii="Times New Roman" w:hAnsi="Times New Roman" w:cs="Times New Roman"/>
          <w:b/>
          <w:i/>
          <w:noProof/>
          <w:sz w:val="24"/>
          <w:szCs w:val="24"/>
        </w:rPr>
        <w:t>ex ante</w:t>
      </w:r>
      <w:r>
        <w:rPr>
          <w:rFonts w:ascii="Times New Roman" w:hAnsi="Times New Roman" w:cs="Times New Roman"/>
          <w:b/>
          <w:noProof/>
          <w:sz w:val="24"/>
          <w:szCs w:val="24"/>
        </w:rPr>
        <w:t xml:space="preserve"> evaluation) or after the policy change (</w:t>
      </w:r>
      <w:r w:rsidRPr="00EC6EB8">
        <w:rPr>
          <w:rFonts w:ascii="Times New Roman" w:hAnsi="Times New Roman" w:cs="Times New Roman"/>
          <w:b/>
          <w:i/>
          <w:noProof/>
          <w:sz w:val="24"/>
          <w:szCs w:val="24"/>
        </w:rPr>
        <w:t>ex post</w:t>
      </w:r>
      <w:r>
        <w:rPr>
          <w:rFonts w:ascii="Times New Roman" w:hAnsi="Times New Roman" w:cs="Times New Roman"/>
          <w:b/>
          <w:noProof/>
          <w:sz w:val="24"/>
          <w:szCs w:val="24"/>
        </w:rPr>
        <w:t xml:space="preserve"> evaluation)</w:t>
      </w:r>
      <w:r w:rsidR="00D05780">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 </w:t>
      </w:r>
    </w:p>
    <w:p w14:paraId="4D19F733" w14:textId="6B9FD996" w:rsidR="00186CFA" w:rsidRPr="00845146" w:rsidRDefault="00186CFA" w:rsidP="0021427D">
      <w:pPr>
        <w:jc w:val="both"/>
        <w:rPr>
          <w:rFonts w:ascii="Times New Roman" w:hAnsi="Times New Roman" w:cs="Times New Roman"/>
          <w:noProof/>
          <w:sz w:val="24"/>
          <w:szCs w:val="24"/>
        </w:rPr>
      </w:pPr>
      <w:r w:rsidRPr="00845146">
        <w:rPr>
          <w:rFonts w:ascii="Times New Roman" w:hAnsi="Times New Roman" w:cs="Times New Roman"/>
          <w:b/>
          <w:noProof/>
          <w:sz w:val="24"/>
          <w:szCs w:val="24"/>
        </w:rPr>
        <w:t>Whereas DIA</w:t>
      </w:r>
      <w:r w:rsidR="006A6D07" w:rsidRPr="00845146">
        <w:rPr>
          <w:rFonts w:ascii="Times New Roman" w:hAnsi="Times New Roman" w:cs="Times New Roman"/>
          <w:b/>
          <w:noProof/>
          <w:sz w:val="24"/>
          <w:szCs w:val="24"/>
        </w:rPr>
        <w:t>s</w:t>
      </w:r>
      <w:r w:rsidRPr="00845146">
        <w:rPr>
          <w:rFonts w:ascii="Times New Roman" w:hAnsi="Times New Roman" w:cs="Times New Roman"/>
          <w:b/>
          <w:noProof/>
          <w:sz w:val="24"/>
          <w:szCs w:val="24"/>
        </w:rPr>
        <w:t xml:space="preserve"> can be conducted at various stages of policy design and implementation of policy reforms</w:t>
      </w:r>
      <w:r w:rsidR="006A6D07" w:rsidRPr="00845146">
        <w:rPr>
          <w:rFonts w:ascii="Times New Roman" w:hAnsi="Times New Roman" w:cs="Times New Roman"/>
          <w:b/>
          <w:noProof/>
          <w:sz w:val="24"/>
          <w:szCs w:val="24"/>
        </w:rPr>
        <w:t>,</w:t>
      </w:r>
      <w:r w:rsidRPr="00845146">
        <w:rPr>
          <w:rFonts w:ascii="Times New Roman" w:hAnsi="Times New Roman" w:cs="Times New Roman"/>
          <w:b/>
          <w:noProof/>
          <w:sz w:val="24"/>
          <w:szCs w:val="24"/>
        </w:rPr>
        <w:t xml:space="preserve"> carrying out such assessments </w:t>
      </w:r>
      <w:r w:rsidRPr="00845146">
        <w:rPr>
          <w:rFonts w:ascii="Times New Roman" w:hAnsi="Times New Roman" w:cs="Times New Roman"/>
          <w:b/>
          <w:i/>
          <w:noProof/>
          <w:sz w:val="24"/>
          <w:szCs w:val="24"/>
        </w:rPr>
        <w:t>ex ante</w:t>
      </w:r>
      <w:r w:rsidRPr="00845146">
        <w:rPr>
          <w:rFonts w:ascii="Times New Roman" w:hAnsi="Times New Roman" w:cs="Times New Roman"/>
          <w:b/>
          <w:noProof/>
          <w:sz w:val="24"/>
          <w:szCs w:val="24"/>
        </w:rPr>
        <w:t xml:space="preserve"> is particular</w:t>
      </w:r>
      <w:r w:rsidR="006A6D07" w:rsidRPr="00845146">
        <w:rPr>
          <w:rFonts w:ascii="Times New Roman" w:hAnsi="Times New Roman" w:cs="Times New Roman"/>
          <w:b/>
          <w:noProof/>
          <w:sz w:val="24"/>
          <w:szCs w:val="24"/>
        </w:rPr>
        <w:t>ly</w:t>
      </w:r>
      <w:r w:rsidRPr="00845146">
        <w:rPr>
          <w:rFonts w:ascii="Times New Roman" w:hAnsi="Times New Roman" w:cs="Times New Roman"/>
          <w:b/>
          <w:noProof/>
          <w:sz w:val="24"/>
          <w:szCs w:val="24"/>
        </w:rPr>
        <w:t xml:space="preserve"> </w:t>
      </w:r>
      <w:r w:rsidR="006A6D07" w:rsidRPr="00845146">
        <w:rPr>
          <w:rFonts w:ascii="Times New Roman" w:hAnsi="Times New Roman" w:cs="Times New Roman"/>
          <w:b/>
          <w:noProof/>
          <w:sz w:val="24"/>
          <w:szCs w:val="24"/>
        </w:rPr>
        <w:t>useful for policy making</w:t>
      </w:r>
      <w:r w:rsidRPr="00845146">
        <w:rPr>
          <w:rFonts w:ascii="Times New Roman" w:hAnsi="Times New Roman" w:cs="Times New Roman"/>
          <w:b/>
          <w:noProof/>
          <w:sz w:val="24"/>
          <w:szCs w:val="24"/>
        </w:rPr>
        <w:t>.</w:t>
      </w:r>
      <w:r w:rsidRPr="00845146">
        <w:rPr>
          <w:rFonts w:ascii="Times New Roman" w:hAnsi="Times New Roman" w:cs="Times New Roman"/>
          <w:noProof/>
          <w:sz w:val="24"/>
          <w:szCs w:val="24"/>
        </w:rPr>
        <w:t xml:space="preserve"> </w:t>
      </w:r>
      <w:r w:rsidR="006A6D07" w:rsidRPr="00845146">
        <w:rPr>
          <w:rFonts w:ascii="Times New Roman" w:hAnsi="Times New Roman" w:cs="Times New Roman"/>
          <w:i/>
          <w:noProof/>
          <w:sz w:val="24"/>
          <w:szCs w:val="24"/>
        </w:rPr>
        <w:t>Ex ante</w:t>
      </w:r>
      <w:r w:rsidR="006A6D07" w:rsidRPr="00845146">
        <w:rPr>
          <w:rFonts w:ascii="Times New Roman" w:hAnsi="Times New Roman" w:cs="Times New Roman"/>
          <w:noProof/>
          <w:sz w:val="24"/>
          <w:szCs w:val="24"/>
        </w:rPr>
        <w:t xml:space="preserve"> DIAs allow capturing the expected effects of policies on income of various groups. They </w:t>
      </w:r>
      <w:r w:rsidRPr="00845146">
        <w:rPr>
          <w:rFonts w:ascii="Times New Roman" w:hAnsi="Times New Roman" w:cs="Times New Roman"/>
          <w:noProof/>
          <w:sz w:val="24"/>
          <w:szCs w:val="24"/>
        </w:rPr>
        <w:t xml:space="preserve">are typically carried out using lagged survey or administrative data. Uprating of monetary variables and nowcasting techniques can be used to help make this lagged data more representative of the current (or targeted) fiscal year. As such, the distributive impact of the policy reforms are estimated in an analysis, where all changes are induced by the policy reforms. </w:t>
      </w:r>
    </w:p>
    <w:p w14:paraId="5B997057" w14:textId="1C6F4455" w:rsidR="006A6D07" w:rsidRPr="00845146" w:rsidRDefault="00A64E5E" w:rsidP="006A6D07">
      <w:pPr>
        <w:jc w:val="both"/>
        <w:rPr>
          <w:rFonts w:ascii="Times New Roman" w:hAnsi="Times New Roman" w:cs="Times New Roman"/>
          <w:noProof/>
          <w:sz w:val="24"/>
          <w:szCs w:val="24"/>
        </w:rPr>
      </w:pPr>
      <w:r w:rsidRPr="00FD297A">
        <w:rPr>
          <w:rFonts w:ascii="Times New Roman" w:hAnsi="Times New Roman" w:cs="Times New Roman"/>
          <w:b/>
          <w:noProof/>
          <w:sz w:val="24"/>
          <w:szCs w:val="24"/>
        </w:rPr>
        <w:t xml:space="preserve">Running </w:t>
      </w:r>
      <w:r w:rsidRPr="00FD297A">
        <w:rPr>
          <w:rFonts w:ascii="Times New Roman" w:hAnsi="Times New Roman" w:cs="Times New Roman"/>
          <w:b/>
          <w:i/>
          <w:noProof/>
          <w:sz w:val="24"/>
          <w:szCs w:val="24"/>
        </w:rPr>
        <w:t>ex post</w:t>
      </w:r>
      <w:r w:rsidRPr="00FD297A">
        <w:rPr>
          <w:rFonts w:ascii="Times New Roman" w:hAnsi="Times New Roman" w:cs="Times New Roman"/>
          <w:b/>
          <w:noProof/>
          <w:sz w:val="24"/>
          <w:szCs w:val="24"/>
        </w:rPr>
        <w:t xml:space="preserve"> DIA is important in that it allows understanding the actual impact of implemented policy reforms.</w:t>
      </w:r>
      <w:r w:rsidRPr="00845146">
        <w:rPr>
          <w:rFonts w:ascii="Times New Roman" w:hAnsi="Times New Roman" w:cs="Times New Roman"/>
          <w:i/>
          <w:noProof/>
          <w:sz w:val="24"/>
          <w:szCs w:val="24"/>
        </w:rPr>
        <w:t xml:space="preserve"> </w:t>
      </w:r>
      <w:r w:rsidR="006A6D07" w:rsidRPr="00845146">
        <w:rPr>
          <w:rFonts w:ascii="Times New Roman" w:hAnsi="Times New Roman" w:cs="Times New Roman"/>
          <w:noProof/>
          <w:sz w:val="24"/>
          <w:szCs w:val="24"/>
        </w:rPr>
        <w:t xml:space="preserve">These </w:t>
      </w:r>
      <w:r w:rsidR="006A6D07" w:rsidRPr="00845146">
        <w:rPr>
          <w:rFonts w:ascii="Times New Roman" w:hAnsi="Times New Roman" w:cs="Times New Roman"/>
          <w:i/>
          <w:noProof/>
          <w:sz w:val="24"/>
          <w:szCs w:val="24"/>
        </w:rPr>
        <w:t>ex post</w:t>
      </w:r>
      <w:r w:rsidR="006A6D07" w:rsidRPr="00845146">
        <w:rPr>
          <w:rFonts w:ascii="Times New Roman" w:hAnsi="Times New Roman" w:cs="Times New Roman"/>
          <w:noProof/>
          <w:sz w:val="24"/>
          <w:szCs w:val="24"/>
        </w:rPr>
        <w:t xml:space="preserve"> analyses typically make use of data from before and after the policy reform to evaluate its effect and this reduces the need for a microsimulation model to create counterfactual income distributions.</w:t>
      </w:r>
    </w:p>
    <w:p w14:paraId="49084034" w14:textId="53448448" w:rsidR="00992B05" w:rsidRDefault="0021427D" w:rsidP="0021427D">
      <w:pPr>
        <w:jc w:val="both"/>
        <w:rPr>
          <w:rFonts w:ascii="Times New Roman" w:hAnsi="Times New Roman" w:cs="Times New Roman"/>
          <w:noProof/>
          <w:sz w:val="24"/>
          <w:szCs w:val="24"/>
        </w:rPr>
      </w:pPr>
      <w:r w:rsidRPr="0021427D">
        <w:rPr>
          <w:rFonts w:ascii="Times New Roman" w:hAnsi="Times New Roman" w:cs="Times New Roman"/>
          <w:b/>
          <w:noProof/>
          <w:sz w:val="24"/>
          <w:szCs w:val="24"/>
        </w:rPr>
        <w:t xml:space="preserve">The result of an </w:t>
      </w:r>
      <w:r w:rsidRPr="00992B05">
        <w:rPr>
          <w:rFonts w:ascii="Times New Roman" w:hAnsi="Times New Roman" w:cs="Times New Roman"/>
          <w:b/>
          <w:i/>
          <w:noProof/>
          <w:sz w:val="24"/>
          <w:szCs w:val="24"/>
        </w:rPr>
        <w:t>ex</w:t>
      </w:r>
      <w:r w:rsidR="00992B05" w:rsidRPr="00992B05">
        <w:rPr>
          <w:rFonts w:ascii="Times New Roman" w:hAnsi="Times New Roman" w:cs="Times New Roman"/>
          <w:b/>
          <w:i/>
          <w:noProof/>
          <w:sz w:val="24"/>
          <w:szCs w:val="24"/>
        </w:rPr>
        <w:t xml:space="preserve"> </w:t>
      </w:r>
      <w:r w:rsidRPr="00992B05">
        <w:rPr>
          <w:rFonts w:ascii="Times New Roman" w:hAnsi="Times New Roman" w:cs="Times New Roman"/>
          <w:b/>
          <w:i/>
          <w:noProof/>
          <w:sz w:val="24"/>
          <w:szCs w:val="24"/>
        </w:rPr>
        <w:t>post</w:t>
      </w:r>
      <w:r w:rsidRPr="0021427D">
        <w:rPr>
          <w:rFonts w:ascii="Times New Roman" w:hAnsi="Times New Roman" w:cs="Times New Roman"/>
          <w:b/>
          <w:noProof/>
          <w:sz w:val="24"/>
          <w:szCs w:val="24"/>
        </w:rPr>
        <w:t xml:space="preserve"> analysis are often contaminated by other changes that occurred – to incomes, demographics or policies other than the one studied – around the same time.</w:t>
      </w:r>
      <w:r w:rsidRPr="0021427D">
        <w:rPr>
          <w:rFonts w:ascii="Times New Roman" w:hAnsi="Times New Roman" w:cs="Times New Roman"/>
          <w:noProof/>
          <w:sz w:val="24"/>
          <w:szCs w:val="24"/>
        </w:rPr>
        <w:t xml:space="preserve"> To estimate an </w:t>
      </w:r>
      <w:r w:rsidRPr="00992B05">
        <w:rPr>
          <w:rFonts w:ascii="Times New Roman" w:hAnsi="Times New Roman" w:cs="Times New Roman"/>
          <w:i/>
          <w:noProof/>
          <w:sz w:val="24"/>
          <w:szCs w:val="24"/>
        </w:rPr>
        <w:t>ex</w:t>
      </w:r>
      <w:r w:rsidR="00992B05" w:rsidRPr="00992B05">
        <w:rPr>
          <w:rFonts w:ascii="Times New Roman" w:hAnsi="Times New Roman" w:cs="Times New Roman"/>
          <w:i/>
          <w:noProof/>
          <w:sz w:val="24"/>
          <w:szCs w:val="24"/>
        </w:rPr>
        <w:t xml:space="preserve"> </w:t>
      </w:r>
      <w:r w:rsidRPr="00992B05">
        <w:rPr>
          <w:rFonts w:ascii="Times New Roman" w:hAnsi="Times New Roman" w:cs="Times New Roman"/>
          <w:i/>
          <w:noProof/>
          <w:sz w:val="24"/>
          <w:szCs w:val="24"/>
        </w:rPr>
        <w:t>post</w:t>
      </w:r>
      <w:r w:rsidRPr="0021427D">
        <w:rPr>
          <w:rFonts w:ascii="Times New Roman" w:hAnsi="Times New Roman" w:cs="Times New Roman"/>
          <w:noProof/>
          <w:sz w:val="24"/>
          <w:szCs w:val="24"/>
        </w:rPr>
        <w:t xml:space="preserve"> effect, sufficient time needs to pass such that the effect of the policy reforms on the population will have passed through to survey/administrative data sources. To conduct </w:t>
      </w:r>
      <w:r w:rsidRPr="00992B05">
        <w:rPr>
          <w:rFonts w:ascii="Times New Roman" w:hAnsi="Times New Roman" w:cs="Times New Roman"/>
          <w:i/>
          <w:noProof/>
          <w:sz w:val="24"/>
          <w:szCs w:val="24"/>
        </w:rPr>
        <w:t>ex</w:t>
      </w:r>
      <w:r w:rsidR="00992B05" w:rsidRPr="00992B05">
        <w:rPr>
          <w:rFonts w:ascii="Times New Roman" w:hAnsi="Times New Roman" w:cs="Times New Roman"/>
          <w:i/>
          <w:noProof/>
          <w:sz w:val="24"/>
          <w:szCs w:val="24"/>
        </w:rPr>
        <w:t xml:space="preserve"> </w:t>
      </w:r>
      <w:r w:rsidRPr="00992B05">
        <w:rPr>
          <w:rFonts w:ascii="Times New Roman" w:hAnsi="Times New Roman" w:cs="Times New Roman"/>
          <w:i/>
          <w:noProof/>
          <w:sz w:val="24"/>
          <w:szCs w:val="24"/>
        </w:rPr>
        <w:t>post</w:t>
      </w:r>
      <w:r w:rsidRPr="0021427D">
        <w:rPr>
          <w:rFonts w:ascii="Times New Roman" w:hAnsi="Times New Roman" w:cs="Times New Roman"/>
          <w:noProof/>
          <w:sz w:val="24"/>
          <w:szCs w:val="24"/>
        </w:rPr>
        <w:t xml:space="preserve"> DIA analysis with microsimulation models, practitioners can use decomposition methods to separately identify the effect of </w:t>
      </w:r>
      <w:r w:rsidRPr="00F02260">
        <w:rPr>
          <w:rFonts w:ascii="Times New Roman" w:hAnsi="Times New Roman" w:cs="Times New Roman"/>
          <w:noProof/>
          <w:sz w:val="24"/>
          <w:szCs w:val="24"/>
        </w:rPr>
        <w:t>policy reform(s) from general changes to market incomes</w:t>
      </w:r>
      <w:r w:rsidR="003B7086" w:rsidRPr="00F02260">
        <w:rPr>
          <w:rFonts w:ascii="Times New Roman" w:hAnsi="Times New Roman" w:cs="Times New Roman"/>
          <w:noProof/>
          <w:sz w:val="24"/>
          <w:szCs w:val="24"/>
        </w:rPr>
        <w:t xml:space="preserve"> (see for instance Bargain and Callan, 2010</w:t>
      </w:r>
      <w:r w:rsidR="00F02260" w:rsidRPr="00F02260">
        <w:rPr>
          <w:rStyle w:val="FootnoteReference"/>
          <w:rFonts w:ascii="Times New Roman" w:hAnsi="Times New Roman" w:cs="Times New Roman"/>
          <w:noProof/>
          <w:sz w:val="24"/>
          <w:szCs w:val="24"/>
        </w:rPr>
        <w:footnoteReference w:id="22"/>
      </w:r>
      <w:r w:rsidR="003B7086" w:rsidRPr="00F02260">
        <w:rPr>
          <w:rFonts w:ascii="Times New Roman" w:hAnsi="Times New Roman" w:cs="Times New Roman"/>
          <w:noProof/>
          <w:sz w:val="24"/>
          <w:szCs w:val="24"/>
        </w:rPr>
        <w:t>; Paulus and Tasseva, 2020</w:t>
      </w:r>
      <w:r w:rsidR="00F02260" w:rsidRPr="00F02260">
        <w:rPr>
          <w:rStyle w:val="FootnoteReference"/>
          <w:rFonts w:ascii="Times New Roman" w:hAnsi="Times New Roman" w:cs="Times New Roman"/>
          <w:noProof/>
          <w:sz w:val="24"/>
          <w:szCs w:val="24"/>
        </w:rPr>
        <w:footnoteReference w:id="23"/>
      </w:r>
      <w:r w:rsidR="003B7086" w:rsidRPr="00F02260">
        <w:rPr>
          <w:rFonts w:ascii="Times New Roman" w:hAnsi="Times New Roman" w:cs="Times New Roman"/>
          <w:noProof/>
          <w:sz w:val="24"/>
          <w:szCs w:val="24"/>
        </w:rPr>
        <w:t>; Doorley et al, 2021</w:t>
      </w:r>
      <w:r w:rsidR="00F02260" w:rsidRPr="00F02260">
        <w:rPr>
          <w:rStyle w:val="FootnoteReference"/>
          <w:rFonts w:ascii="Times New Roman" w:hAnsi="Times New Roman" w:cs="Times New Roman"/>
          <w:noProof/>
          <w:sz w:val="24"/>
          <w:szCs w:val="24"/>
        </w:rPr>
        <w:footnoteReference w:id="24"/>
      </w:r>
      <w:r w:rsidR="003B7086" w:rsidRPr="00F02260">
        <w:rPr>
          <w:rFonts w:ascii="Times New Roman" w:hAnsi="Times New Roman" w:cs="Times New Roman"/>
          <w:noProof/>
          <w:sz w:val="24"/>
          <w:szCs w:val="24"/>
        </w:rPr>
        <w:t>)</w:t>
      </w:r>
      <w:r w:rsidRPr="00F02260">
        <w:rPr>
          <w:rFonts w:ascii="Times New Roman" w:hAnsi="Times New Roman" w:cs="Times New Roman"/>
          <w:noProof/>
          <w:sz w:val="24"/>
          <w:szCs w:val="24"/>
        </w:rPr>
        <w:t>.</w:t>
      </w:r>
      <w:r w:rsidRPr="0021427D">
        <w:rPr>
          <w:rFonts w:ascii="Times New Roman" w:hAnsi="Times New Roman" w:cs="Times New Roman"/>
          <w:noProof/>
          <w:sz w:val="24"/>
          <w:szCs w:val="24"/>
        </w:rPr>
        <w:t xml:space="preserve"> Other techniques used for policy analysis, such as the difference-in-difference estimator, may also be appropriate for </w:t>
      </w:r>
      <w:r w:rsidRPr="00992B05">
        <w:rPr>
          <w:rFonts w:ascii="Times New Roman" w:hAnsi="Times New Roman" w:cs="Times New Roman"/>
          <w:i/>
          <w:noProof/>
          <w:sz w:val="24"/>
          <w:szCs w:val="24"/>
        </w:rPr>
        <w:t>ex</w:t>
      </w:r>
      <w:r w:rsidR="00992B05" w:rsidRPr="00992B05">
        <w:rPr>
          <w:rFonts w:ascii="Times New Roman" w:hAnsi="Times New Roman" w:cs="Times New Roman"/>
          <w:i/>
          <w:noProof/>
          <w:sz w:val="24"/>
          <w:szCs w:val="24"/>
        </w:rPr>
        <w:t xml:space="preserve"> </w:t>
      </w:r>
      <w:r w:rsidRPr="00992B05">
        <w:rPr>
          <w:rFonts w:ascii="Times New Roman" w:hAnsi="Times New Roman" w:cs="Times New Roman"/>
          <w:i/>
          <w:noProof/>
          <w:sz w:val="24"/>
          <w:szCs w:val="24"/>
        </w:rPr>
        <w:t>post</w:t>
      </w:r>
      <w:r w:rsidRPr="0021427D">
        <w:rPr>
          <w:rFonts w:ascii="Times New Roman" w:hAnsi="Times New Roman" w:cs="Times New Roman"/>
          <w:noProof/>
          <w:sz w:val="24"/>
          <w:szCs w:val="24"/>
        </w:rPr>
        <w:t xml:space="preserve"> policy analysis. </w:t>
      </w:r>
    </w:p>
    <w:p w14:paraId="539681BE" w14:textId="7F9454BA" w:rsidR="00163173" w:rsidRDefault="003B7086" w:rsidP="0021427D">
      <w:pPr>
        <w:jc w:val="both"/>
        <w:rPr>
          <w:rFonts w:ascii="Times New Roman" w:hAnsi="Times New Roman" w:cs="Times New Roman"/>
          <w:noProof/>
          <w:sz w:val="24"/>
          <w:szCs w:val="24"/>
        </w:rPr>
      </w:pPr>
      <w:r w:rsidRPr="00AE78A7">
        <w:rPr>
          <w:rFonts w:ascii="Times New Roman" w:hAnsi="Times New Roman" w:cs="Times New Roman"/>
          <w:b/>
          <w:i/>
          <w:noProof/>
          <w:sz w:val="24"/>
          <w:szCs w:val="24"/>
        </w:rPr>
        <w:t>Ex</w:t>
      </w:r>
      <w:r w:rsidR="00992B05" w:rsidRPr="00AE78A7">
        <w:rPr>
          <w:rFonts w:ascii="Times New Roman" w:hAnsi="Times New Roman" w:cs="Times New Roman"/>
          <w:b/>
          <w:i/>
          <w:noProof/>
          <w:sz w:val="24"/>
          <w:szCs w:val="24"/>
        </w:rPr>
        <w:t xml:space="preserve"> </w:t>
      </w:r>
      <w:r w:rsidRPr="00AE78A7">
        <w:rPr>
          <w:rFonts w:ascii="Times New Roman" w:hAnsi="Times New Roman" w:cs="Times New Roman"/>
          <w:b/>
          <w:i/>
          <w:noProof/>
          <w:sz w:val="24"/>
          <w:szCs w:val="24"/>
        </w:rPr>
        <w:t>post</w:t>
      </w:r>
      <w:r w:rsidRPr="00AE78A7">
        <w:rPr>
          <w:rFonts w:ascii="Times New Roman" w:hAnsi="Times New Roman" w:cs="Times New Roman"/>
          <w:b/>
          <w:noProof/>
          <w:sz w:val="24"/>
          <w:szCs w:val="24"/>
        </w:rPr>
        <w:t xml:space="preserve"> evaluation of the </w:t>
      </w:r>
      <w:r w:rsidRPr="00AE78A7">
        <w:rPr>
          <w:rFonts w:ascii="Times New Roman" w:hAnsi="Times New Roman" w:cs="Times New Roman"/>
          <w:b/>
          <w:i/>
          <w:noProof/>
          <w:sz w:val="24"/>
          <w:szCs w:val="24"/>
        </w:rPr>
        <w:t>ex</w:t>
      </w:r>
      <w:r w:rsidR="00E27501" w:rsidRPr="00AE78A7">
        <w:rPr>
          <w:rFonts w:ascii="Times New Roman" w:hAnsi="Times New Roman" w:cs="Times New Roman"/>
          <w:b/>
          <w:i/>
          <w:noProof/>
          <w:sz w:val="24"/>
          <w:szCs w:val="24"/>
        </w:rPr>
        <w:t xml:space="preserve"> </w:t>
      </w:r>
      <w:r w:rsidRPr="00AE78A7">
        <w:rPr>
          <w:rFonts w:ascii="Times New Roman" w:hAnsi="Times New Roman" w:cs="Times New Roman"/>
          <w:b/>
          <w:i/>
          <w:noProof/>
          <w:sz w:val="24"/>
          <w:szCs w:val="24"/>
        </w:rPr>
        <w:t>ante</w:t>
      </w:r>
      <w:r w:rsidRPr="00AE78A7">
        <w:rPr>
          <w:rFonts w:ascii="Times New Roman" w:hAnsi="Times New Roman" w:cs="Times New Roman"/>
          <w:b/>
          <w:noProof/>
          <w:sz w:val="24"/>
          <w:szCs w:val="24"/>
        </w:rPr>
        <w:t xml:space="preserve"> </w:t>
      </w:r>
      <w:r w:rsidR="00D95960">
        <w:rPr>
          <w:rFonts w:ascii="Times New Roman" w:hAnsi="Times New Roman" w:cs="Times New Roman"/>
          <w:b/>
          <w:noProof/>
          <w:sz w:val="24"/>
          <w:szCs w:val="24"/>
        </w:rPr>
        <w:t xml:space="preserve">DIA </w:t>
      </w:r>
      <w:r w:rsidRPr="00AE78A7">
        <w:rPr>
          <w:rFonts w:ascii="Times New Roman" w:hAnsi="Times New Roman" w:cs="Times New Roman"/>
          <w:b/>
          <w:noProof/>
          <w:sz w:val="24"/>
          <w:szCs w:val="24"/>
        </w:rPr>
        <w:t>is also useful</w:t>
      </w:r>
      <w:r w:rsidR="00FC08E6">
        <w:rPr>
          <w:rFonts w:ascii="Times New Roman" w:hAnsi="Times New Roman" w:cs="Times New Roman"/>
          <w:b/>
          <w:noProof/>
          <w:sz w:val="24"/>
          <w:szCs w:val="24"/>
        </w:rPr>
        <w:t>, depending on</w:t>
      </w:r>
      <w:r w:rsidR="00B32689" w:rsidRPr="00AE78A7">
        <w:rPr>
          <w:rFonts w:ascii="Times New Roman" w:hAnsi="Times New Roman" w:cs="Times New Roman"/>
          <w:b/>
          <w:noProof/>
          <w:sz w:val="24"/>
          <w:szCs w:val="24"/>
        </w:rPr>
        <w:t xml:space="preserve"> the type of policy and its implementation framework</w:t>
      </w:r>
      <w:r w:rsidRPr="00AE78A7">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For instance, </w:t>
      </w:r>
      <w:r w:rsidR="0021427D" w:rsidRPr="00F02260">
        <w:rPr>
          <w:rFonts w:ascii="Times New Roman" w:hAnsi="Times New Roman" w:cs="Times New Roman"/>
          <w:noProof/>
          <w:sz w:val="24"/>
          <w:szCs w:val="24"/>
        </w:rPr>
        <w:t>Fioramanti et al. (2016)</w:t>
      </w:r>
      <w:r w:rsidR="00F02260" w:rsidRPr="00F02260">
        <w:rPr>
          <w:rStyle w:val="FootnoteReference"/>
          <w:rFonts w:ascii="Times New Roman" w:hAnsi="Times New Roman" w:cs="Times New Roman"/>
          <w:noProof/>
          <w:sz w:val="24"/>
          <w:szCs w:val="24"/>
        </w:rPr>
        <w:footnoteReference w:id="25"/>
      </w:r>
      <w:r w:rsidR="0021427D" w:rsidRPr="00F02260">
        <w:rPr>
          <w:rFonts w:ascii="Times New Roman" w:hAnsi="Times New Roman" w:cs="Times New Roman"/>
          <w:noProof/>
          <w:sz w:val="24"/>
          <w:szCs w:val="24"/>
        </w:rPr>
        <w:t xml:space="preserve"> assess</w:t>
      </w:r>
      <w:r w:rsidR="0021427D" w:rsidRPr="0021427D">
        <w:rPr>
          <w:rFonts w:ascii="Times New Roman" w:hAnsi="Times New Roman" w:cs="Times New Roman"/>
          <w:noProof/>
          <w:sz w:val="24"/>
          <w:szCs w:val="24"/>
        </w:rPr>
        <w:t xml:space="preserve"> the accuracy of the European Commission’s </w:t>
      </w:r>
      <w:r w:rsidR="0021427D" w:rsidRPr="00E27501">
        <w:rPr>
          <w:rFonts w:ascii="Times New Roman" w:hAnsi="Times New Roman" w:cs="Times New Roman"/>
          <w:i/>
          <w:noProof/>
          <w:sz w:val="24"/>
          <w:szCs w:val="24"/>
        </w:rPr>
        <w:t>ex</w:t>
      </w:r>
      <w:r w:rsidR="00E27501">
        <w:rPr>
          <w:rFonts w:ascii="Times New Roman" w:hAnsi="Times New Roman" w:cs="Times New Roman"/>
          <w:i/>
          <w:noProof/>
          <w:sz w:val="24"/>
          <w:szCs w:val="24"/>
        </w:rPr>
        <w:t xml:space="preserve"> </w:t>
      </w:r>
      <w:r w:rsidR="0021427D" w:rsidRPr="00E27501">
        <w:rPr>
          <w:rFonts w:ascii="Times New Roman" w:hAnsi="Times New Roman" w:cs="Times New Roman"/>
          <w:i/>
          <w:noProof/>
          <w:sz w:val="24"/>
          <w:szCs w:val="24"/>
        </w:rPr>
        <w:t>ante</w:t>
      </w:r>
      <w:r w:rsidR="0021427D" w:rsidRPr="0021427D">
        <w:rPr>
          <w:rFonts w:ascii="Times New Roman" w:hAnsi="Times New Roman" w:cs="Times New Roman"/>
          <w:noProof/>
          <w:sz w:val="24"/>
          <w:szCs w:val="24"/>
        </w:rPr>
        <w:t xml:space="preserve"> forecast of real GDP growth, inflation and general government balance (as a % of GDP)</w:t>
      </w:r>
      <w:r>
        <w:rPr>
          <w:rFonts w:ascii="Times New Roman" w:hAnsi="Times New Roman" w:cs="Times New Roman"/>
          <w:noProof/>
          <w:sz w:val="24"/>
          <w:szCs w:val="24"/>
        </w:rPr>
        <w:t xml:space="preserve"> by </w:t>
      </w:r>
      <w:r w:rsidR="0021427D" w:rsidRPr="0021427D">
        <w:rPr>
          <w:rFonts w:ascii="Times New Roman" w:hAnsi="Times New Roman" w:cs="Times New Roman"/>
          <w:noProof/>
          <w:sz w:val="24"/>
          <w:szCs w:val="24"/>
        </w:rPr>
        <w:t>compar</w:t>
      </w:r>
      <w:r>
        <w:rPr>
          <w:rFonts w:ascii="Times New Roman" w:hAnsi="Times New Roman" w:cs="Times New Roman"/>
          <w:noProof/>
          <w:sz w:val="24"/>
          <w:szCs w:val="24"/>
        </w:rPr>
        <w:t>ing</w:t>
      </w:r>
      <w:r w:rsidR="0021427D" w:rsidRPr="0021427D">
        <w:rPr>
          <w:rFonts w:ascii="Times New Roman" w:hAnsi="Times New Roman" w:cs="Times New Roman"/>
          <w:noProof/>
          <w:sz w:val="24"/>
          <w:szCs w:val="24"/>
        </w:rPr>
        <w:t xml:space="preserve"> </w:t>
      </w:r>
      <w:r w:rsidR="0021427D" w:rsidRPr="00E27501">
        <w:rPr>
          <w:rFonts w:ascii="Times New Roman" w:hAnsi="Times New Roman" w:cs="Times New Roman"/>
          <w:i/>
          <w:noProof/>
          <w:sz w:val="24"/>
          <w:szCs w:val="24"/>
        </w:rPr>
        <w:t>ex</w:t>
      </w:r>
      <w:r w:rsidR="00A64E5E">
        <w:rPr>
          <w:rFonts w:ascii="Times New Roman" w:hAnsi="Times New Roman" w:cs="Times New Roman"/>
          <w:i/>
          <w:noProof/>
          <w:sz w:val="24"/>
          <w:szCs w:val="24"/>
        </w:rPr>
        <w:t xml:space="preserve"> </w:t>
      </w:r>
      <w:r w:rsidR="0021427D" w:rsidRPr="00E27501">
        <w:rPr>
          <w:rFonts w:ascii="Times New Roman" w:hAnsi="Times New Roman" w:cs="Times New Roman"/>
          <w:i/>
          <w:noProof/>
          <w:sz w:val="24"/>
          <w:szCs w:val="24"/>
        </w:rPr>
        <w:t>ante</w:t>
      </w:r>
      <w:r w:rsidR="0021427D" w:rsidRPr="0021427D">
        <w:rPr>
          <w:rFonts w:ascii="Times New Roman" w:hAnsi="Times New Roman" w:cs="Times New Roman"/>
          <w:noProof/>
          <w:sz w:val="24"/>
          <w:szCs w:val="24"/>
        </w:rPr>
        <w:t xml:space="preserve"> forecasts of these variables with </w:t>
      </w:r>
      <w:r w:rsidR="0021427D" w:rsidRPr="00E27501">
        <w:rPr>
          <w:rFonts w:ascii="Times New Roman" w:hAnsi="Times New Roman" w:cs="Times New Roman"/>
          <w:i/>
          <w:noProof/>
          <w:sz w:val="24"/>
          <w:szCs w:val="24"/>
        </w:rPr>
        <w:t>ex</w:t>
      </w:r>
      <w:r w:rsidR="00255680">
        <w:rPr>
          <w:rFonts w:ascii="Times New Roman" w:hAnsi="Times New Roman" w:cs="Times New Roman"/>
          <w:i/>
          <w:noProof/>
          <w:sz w:val="24"/>
          <w:szCs w:val="24"/>
        </w:rPr>
        <w:t xml:space="preserve"> </w:t>
      </w:r>
      <w:r w:rsidR="0021427D" w:rsidRPr="00E27501">
        <w:rPr>
          <w:rFonts w:ascii="Times New Roman" w:hAnsi="Times New Roman" w:cs="Times New Roman"/>
          <w:i/>
          <w:noProof/>
          <w:sz w:val="24"/>
          <w:szCs w:val="24"/>
        </w:rPr>
        <w:t>post</w:t>
      </w:r>
      <w:r w:rsidR="0021427D" w:rsidRPr="0021427D">
        <w:rPr>
          <w:rFonts w:ascii="Times New Roman" w:hAnsi="Times New Roman" w:cs="Times New Roman"/>
          <w:noProof/>
          <w:sz w:val="24"/>
          <w:szCs w:val="24"/>
        </w:rPr>
        <w:t xml:space="preserve"> </w:t>
      </w:r>
      <w:r w:rsidR="00D85D1E" w:rsidRPr="0021427D">
        <w:rPr>
          <w:rFonts w:ascii="Times New Roman" w:hAnsi="Times New Roman" w:cs="Times New Roman"/>
          <w:noProof/>
          <w:sz w:val="24"/>
          <w:szCs w:val="24"/>
        </w:rPr>
        <w:t>reali</w:t>
      </w:r>
      <w:r w:rsidR="00D85D1E">
        <w:rPr>
          <w:rFonts w:ascii="Times New Roman" w:hAnsi="Times New Roman" w:cs="Times New Roman"/>
          <w:noProof/>
          <w:sz w:val="24"/>
          <w:szCs w:val="24"/>
        </w:rPr>
        <w:t>s</w:t>
      </w:r>
      <w:r w:rsidR="00D85D1E" w:rsidRPr="0021427D">
        <w:rPr>
          <w:rFonts w:ascii="Times New Roman" w:hAnsi="Times New Roman" w:cs="Times New Roman"/>
          <w:noProof/>
          <w:sz w:val="24"/>
          <w:szCs w:val="24"/>
        </w:rPr>
        <w:t>ations</w:t>
      </w:r>
      <w:r w:rsidR="0021427D" w:rsidRPr="0021427D">
        <w:rPr>
          <w:rFonts w:ascii="Times New Roman" w:hAnsi="Times New Roman" w:cs="Times New Roman"/>
          <w:noProof/>
          <w:sz w:val="24"/>
          <w:szCs w:val="24"/>
        </w:rPr>
        <w:t>.</w:t>
      </w:r>
      <w:r w:rsidR="005B627E">
        <w:rPr>
          <w:rFonts w:ascii="Times New Roman" w:hAnsi="Times New Roman" w:cs="Times New Roman"/>
          <w:noProof/>
          <w:sz w:val="24"/>
          <w:szCs w:val="24"/>
        </w:rPr>
        <w:t xml:space="preserve"> </w:t>
      </w:r>
      <w:r w:rsidR="0021427D" w:rsidRPr="0021427D">
        <w:rPr>
          <w:rFonts w:ascii="Times New Roman" w:hAnsi="Times New Roman" w:cs="Times New Roman"/>
          <w:noProof/>
          <w:sz w:val="24"/>
          <w:szCs w:val="24"/>
        </w:rPr>
        <w:t xml:space="preserve">This </w:t>
      </w:r>
      <w:r w:rsidR="00A64E5E">
        <w:rPr>
          <w:rFonts w:ascii="Times New Roman" w:hAnsi="Times New Roman" w:cs="Times New Roman"/>
          <w:noProof/>
          <w:sz w:val="24"/>
          <w:szCs w:val="24"/>
        </w:rPr>
        <w:t xml:space="preserve">is </w:t>
      </w:r>
      <w:r w:rsidR="0021427D" w:rsidRPr="0021427D">
        <w:rPr>
          <w:rFonts w:ascii="Times New Roman" w:hAnsi="Times New Roman" w:cs="Times New Roman"/>
          <w:noProof/>
          <w:sz w:val="24"/>
          <w:szCs w:val="24"/>
        </w:rPr>
        <w:t xml:space="preserve">a valuable exercise as it can help diagnose the accuracy of </w:t>
      </w:r>
      <w:r w:rsidRPr="00E27501">
        <w:rPr>
          <w:rFonts w:ascii="Times New Roman" w:hAnsi="Times New Roman" w:cs="Times New Roman"/>
          <w:i/>
          <w:noProof/>
          <w:sz w:val="24"/>
          <w:szCs w:val="24"/>
        </w:rPr>
        <w:t>ex</w:t>
      </w:r>
      <w:r w:rsidR="00E27501">
        <w:rPr>
          <w:rFonts w:ascii="Times New Roman" w:hAnsi="Times New Roman" w:cs="Times New Roman"/>
          <w:i/>
          <w:noProof/>
          <w:sz w:val="24"/>
          <w:szCs w:val="24"/>
        </w:rPr>
        <w:t xml:space="preserve"> </w:t>
      </w:r>
      <w:r w:rsidRPr="00E27501">
        <w:rPr>
          <w:rFonts w:ascii="Times New Roman" w:hAnsi="Times New Roman" w:cs="Times New Roman"/>
          <w:i/>
          <w:noProof/>
          <w:sz w:val="24"/>
          <w:szCs w:val="24"/>
        </w:rPr>
        <w:t>ante</w:t>
      </w:r>
      <w:r>
        <w:rPr>
          <w:rFonts w:ascii="Times New Roman" w:hAnsi="Times New Roman" w:cs="Times New Roman"/>
          <w:noProof/>
          <w:sz w:val="24"/>
          <w:szCs w:val="24"/>
        </w:rPr>
        <w:t xml:space="preserve"> assessments</w:t>
      </w:r>
      <w:r w:rsidRPr="0021427D">
        <w:rPr>
          <w:rFonts w:ascii="Times New Roman" w:hAnsi="Times New Roman" w:cs="Times New Roman"/>
          <w:noProof/>
          <w:sz w:val="24"/>
          <w:szCs w:val="24"/>
        </w:rPr>
        <w:t xml:space="preserve"> </w:t>
      </w:r>
      <w:r w:rsidR="0021427D" w:rsidRPr="0021427D">
        <w:rPr>
          <w:rFonts w:ascii="Times New Roman" w:hAnsi="Times New Roman" w:cs="Times New Roman"/>
          <w:noProof/>
          <w:sz w:val="24"/>
          <w:szCs w:val="24"/>
        </w:rPr>
        <w:t xml:space="preserve">and aid model development. Comparing </w:t>
      </w:r>
      <w:r w:rsidR="0021427D" w:rsidRPr="00E27501">
        <w:rPr>
          <w:rFonts w:ascii="Times New Roman" w:hAnsi="Times New Roman" w:cs="Times New Roman"/>
          <w:i/>
          <w:noProof/>
          <w:sz w:val="24"/>
          <w:szCs w:val="24"/>
        </w:rPr>
        <w:t>ex</w:t>
      </w:r>
      <w:r w:rsidR="00E27501">
        <w:rPr>
          <w:rFonts w:ascii="Times New Roman" w:hAnsi="Times New Roman" w:cs="Times New Roman"/>
          <w:i/>
          <w:noProof/>
          <w:sz w:val="24"/>
          <w:szCs w:val="24"/>
        </w:rPr>
        <w:t xml:space="preserve"> </w:t>
      </w:r>
      <w:r w:rsidR="0021427D" w:rsidRPr="00E27501">
        <w:rPr>
          <w:rFonts w:ascii="Times New Roman" w:hAnsi="Times New Roman" w:cs="Times New Roman"/>
          <w:i/>
          <w:noProof/>
          <w:sz w:val="24"/>
          <w:szCs w:val="24"/>
        </w:rPr>
        <w:t>ante</w:t>
      </w:r>
      <w:r w:rsidR="0021427D" w:rsidRPr="0021427D">
        <w:rPr>
          <w:rFonts w:ascii="Times New Roman" w:hAnsi="Times New Roman" w:cs="Times New Roman"/>
          <w:noProof/>
          <w:sz w:val="24"/>
          <w:szCs w:val="24"/>
        </w:rPr>
        <w:t xml:space="preserve"> and </w:t>
      </w:r>
      <w:r w:rsidR="0021427D" w:rsidRPr="00992B05">
        <w:rPr>
          <w:rFonts w:ascii="Times New Roman" w:hAnsi="Times New Roman" w:cs="Times New Roman"/>
          <w:i/>
          <w:noProof/>
          <w:sz w:val="24"/>
          <w:szCs w:val="24"/>
        </w:rPr>
        <w:t>ex</w:t>
      </w:r>
      <w:r w:rsidR="00992B05" w:rsidRPr="00992B05">
        <w:rPr>
          <w:rFonts w:ascii="Times New Roman" w:hAnsi="Times New Roman" w:cs="Times New Roman"/>
          <w:i/>
          <w:noProof/>
          <w:sz w:val="24"/>
          <w:szCs w:val="24"/>
        </w:rPr>
        <w:t xml:space="preserve"> </w:t>
      </w:r>
      <w:r w:rsidR="0021427D" w:rsidRPr="00992B05">
        <w:rPr>
          <w:rFonts w:ascii="Times New Roman" w:hAnsi="Times New Roman" w:cs="Times New Roman"/>
          <w:i/>
          <w:noProof/>
          <w:sz w:val="24"/>
          <w:szCs w:val="24"/>
        </w:rPr>
        <w:t>post</w:t>
      </w:r>
      <w:r w:rsidR="0021427D" w:rsidRPr="0021427D">
        <w:rPr>
          <w:rFonts w:ascii="Times New Roman" w:hAnsi="Times New Roman" w:cs="Times New Roman"/>
          <w:noProof/>
          <w:sz w:val="24"/>
          <w:szCs w:val="24"/>
        </w:rPr>
        <w:t xml:space="preserve"> analyses of policy reforms in DIA may be more difficult than similar comparisons using aggregates such as GDP. The main barrier is that the </w:t>
      </w:r>
      <w:r w:rsidR="0021427D" w:rsidRPr="00992B05">
        <w:rPr>
          <w:rFonts w:ascii="Times New Roman" w:hAnsi="Times New Roman" w:cs="Times New Roman"/>
          <w:i/>
          <w:noProof/>
          <w:sz w:val="24"/>
          <w:szCs w:val="24"/>
        </w:rPr>
        <w:t>ex</w:t>
      </w:r>
      <w:r w:rsidR="00992B05" w:rsidRPr="00992B05">
        <w:rPr>
          <w:rFonts w:ascii="Times New Roman" w:hAnsi="Times New Roman" w:cs="Times New Roman"/>
          <w:i/>
          <w:noProof/>
          <w:sz w:val="24"/>
          <w:szCs w:val="24"/>
        </w:rPr>
        <w:t xml:space="preserve"> </w:t>
      </w:r>
      <w:r w:rsidR="0021427D" w:rsidRPr="00992B05">
        <w:rPr>
          <w:rFonts w:ascii="Times New Roman" w:hAnsi="Times New Roman" w:cs="Times New Roman"/>
          <w:i/>
          <w:noProof/>
          <w:sz w:val="24"/>
          <w:szCs w:val="24"/>
        </w:rPr>
        <w:t>post</w:t>
      </w:r>
      <w:r w:rsidR="0021427D" w:rsidRPr="0021427D">
        <w:rPr>
          <w:rFonts w:ascii="Times New Roman" w:hAnsi="Times New Roman" w:cs="Times New Roman"/>
          <w:noProof/>
          <w:sz w:val="24"/>
          <w:szCs w:val="24"/>
        </w:rPr>
        <w:t xml:space="preserve"> effect of policy changes on income distribution is more difficult to estimate than an aggregate such as GDP, which is measured in an accounting framework by statistical bodies and is easily available to researchers. Some academic research has tried to use </w:t>
      </w:r>
      <w:r w:rsidR="0021427D" w:rsidRPr="00975949">
        <w:rPr>
          <w:rFonts w:ascii="Times New Roman" w:hAnsi="Times New Roman" w:cs="Times New Roman"/>
          <w:i/>
          <w:noProof/>
          <w:sz w:val="24"/>
          <w:szCs w:val="24"/>
        </w:rPr>
        <w:t>ex</w:t>
      </w:r>
      <w:r w:rsidR="00975949" w:rsidRPr="00975949">
        <w:rPr>
          <w:rFonts w:ascii="Times New Roman" w:hAnsi="Times New Roman" w:cs="Times New Roman"/>
          <w:i/>
          <w:noProof/>
          <w:sz w:val="24"/>
          <w:szCs w:val="24"/>
        </w:rPr>
        <w:t xml:space="preserve"> </w:t>
      </w:r>
      <w:r w:rsidR="0021427D" w:rsidRPr="00975949">
        <w:rPr>
          <w:rFonts w:ascii="Times New Roman" w:hAnsi="Times New Roman" w:cs="Times New Roman"/>
          <w:i/>
          <w:noProof/>
          <w:sz w:val="24"/>
          <w:szCs w:val="24"/>
        </w:rPr>
        <w:t>post</w:t>
      </w:r>
      <w:r w:rsidR="0021427D" w:rsidRPr="0021427D">
        <w:rPr>
          <w:rFonts w:ascii="Times New Roman" w:hAnsi="Times New Roman" w:cs="Times New Roman"/>
          <w:noProof/>
          <w:sz w:val="24"/>
          <w:szCs w:val="24"/>
        </w:rPr>
        <w:t xml:space="preserve"> analysis to validate the findings of </w:t>
      </w:r>
      <w:r w:rsidR="00D85D1E" w:rsidRPr="00E27501">
        <w:rPr>
          <w:rFonts w:ascii="Times New Roman" w:hAnsi="Times New Roman" w:cs="Times New Roman"/>
          <w:i/>
          <w:noProof/>
          <w:sz w:val="24"/>
          <w:szCs w:val="24"/>
        </w:rPr>
        <w:t>ex</w:t>
      </w:r>
      <w:r w:rsidR="00E27501">
        <w:rPr>
          <w:rFonts w:ascii="Times New Roman" w:hAnsi="Times New Roman" w:cs="Times New Roman"/>
          <w:i/>
          <w:noProof/>
          <w:sz w:val="24"/>
          <w:szCs w:val="24"/>
        </w:rPr>
        <w:t xml:space="preserve"> </w:t>
      </w:r>
      <w:r w:rsidR="0021427D" w:rsidRPr="00E27501">
        <w:rPr>
          <w:rFonts w:ascii="Times New Roman" w:hAnsi="Times New Roman" w:cs="Times New Roman"/>
          <w:i/>
          <w:noProof/>
          <w:sz w:val="24"/>
          <w:szCs w:val="24"/>
        </w:rPr>
        <w:t>ante</w:t>
      </w:r>
      <w:r w:rsidR="0021427D" w:rsidRPr="0021427D">
        <w:rPr>
          <w:rFonts w:ascii="Times New Roman" w:hAnsi="Times New Roman" w:cs="Times New Roman"/>
          <w:noProof/>
          <w:sz w:val="24"/>
          <w:szCs w:val="24"/>
        </w:rPr>
        <w:t xml:space="preserve"> analysis using microsimulation </w:t>
      </w:r>
      <w:r w:rsidR="0021427D" w:rsidRPr="00FB6755">
        <w:rPr>
          <w:rFonts w:ascii="Times New Roman" w:hAnsi="Times New Roman" w:cs="Times New Roman"/>
          <w:noProof/>
          <w:sz w:val="24"/>
          <w:szCs w:val="24"/>
        </w:rPr>
        <w:t>(Bargain and Doorley, 2017)</w:t>
      </w:r>
      <w:r w:rsidR="00FB6755" w:rsidRPr="00FB6755">
        <w:rPr>
          <w:rStyle w:val="FootnoteReference"/>
          <w:rFonts w:ascii="Times New Roman" w:hAnsi="Times New Roman" w:cs="Times New Roman"/>
          <w:noProof/>
          <w:sz w:val="24"/>
          <w:szCs w:val="24"/>
        </w:rPr>
        <w:footnoteReference w:id="26"/>
      </w:r>
      <w:r w:rsidR="0021427D" w:rsidRPr="00FB6755">
        <w:rPr>
          <w:rFonts w:ascii="Times New Roman" w:hAnsi="Times New Roman" w:cs="Times New Roman"/>
          <w:noProof/>
          <w:sz w:val="24"/>
          <w:szCs w:val="24"/>
        </w:rPr>
        <w:t>. However</w:t>
      </w:r>
      <w:r w:rsidR="0021427D" w:rsidRPr="0021427D">
        <w:rPr>
          <w:rFonts w:ascii="Times New Roman" w:hAnsi="Times New Roman" w:cs="Times New Roman"/>
          <w:noProof/>
          <w:sz w:val="24"/>
          <w:szCs w:val="24"/>
        </w:rPr>
        <w:t xml:space="preserve">, this type of validation is not usually carried out. </w:t>
      </w:r>
    </w:p>
    <w:p w14:paraId="53DC2F02" w14:textId="34DA3EFE" w:rsidR="0063681E" w:rsidRDefault="0063681E" w:rsidP="00262840">
      <w:pPr>
        <w:jc w:val="both"/>
        <w:rPr>
          <w:rFonts w:ascii="Times New Roman" w:hAnsi="Times New Roman" w:cs="Times New Roman"/>
          <w:noProof/>
          <w:sz w:val="24"/>
          <w:szCs w:val="24"/>
        </w:rPr>
      </w:pPr>
      <w:r w:rsidRPr="0021427D">
        <w:rPr>
          <w:rFonts w:ascii="Times New Roman" w:hAnsi="Times New Roman" w:cs="Times New Roman"/>
          <w:b/>
          <w:noProof/>
          <w:sz w:val="24"/>
          <w:szCs w:val="24"/>
        </w:rPr>
        <w:t>The euro area Member States typically perform DIA at different stages in the policy process</w:t>
      </w:r>
      <w:r w:rsidR="00975949">
        <w:rPr>
          <w:rStyle w:val="FootnoteReference"/>
          <w:rFonts w:ascii="Times New Roman" w:hAnsi="Times New Roman" w:cs="Times New Roman"/>
          <w:b/>
          <w:noProof/>
          <w:sz w:val="24"/>
          <w:szCs w:val="24"/>
        </w:rPr>
        <w:footnoteReference w:id="27"/>
      </w:r>
      <w:r w:rsidRPr="0021427D">
        <w:rPr>
          <w:rFonts w:ascii="Times New Roman" w:hAnsi="Times New Roman" w:cs="Times New Roman"/>
          <w:b/>
          <w:noProof/>
          <w:sz w:val="24"/>
          <w:szCs w:val="24"/>
        </w:rPr>
        <w:t>.</w:t>
      </w:r>
      <w:r w:rsidRPr="0063681E">
        <w:rPr>
          <w:rFonts w:ascii="Times New Roman" w:hAnsi="Times New Roman" w:cs="Times New Roman"/>
          <w:noProof/>
          <w:sz w:val="24"/>
          <w:szCs w:val="24"/>
        </w:rPr>
        <w:t xml:space="preserve"> </w:t>
      </w:r>
      <w:r w:rsidR="00CD0833">
        <w:rPr>
          <w:rFonts w:ascii="Times New Roman" w:hAnsi="Times New Roman" w:cs="Times New Roman"/>
          <w:noProof/>
          <w:sz w:val="24"/>
          <w:szCs w:val="24"/>
        </w:rPr>
        <w:t>For instance, i</w:t>
      </w:r>
      <w:r w:rsidR="00CD0833" w:rsidRPr="0063681E">
        <w:rPr>
          <w:rFonts w:ascii="Times New Roman" w:hAnsi="Times New Roman" w:cs="Times New Roman"/>
          <w:noProof/>
          <w:sz w:val="24"/>
          <w:szCs w:val="24"/>
        </w:rPr>
        <w:t xml:space="preserve">t </w:t>
      </w:r>
      <w:r w:rsidRPr="0063681E">
        <w:rPr>
          <w:rFonts w:ascii="Times New Roman" w:hAnsi="Times New Roman" w:cs="Times New Roman"/>
          <w:noProof/>
          <w:sz w:val="24"/>
          <w:szCs w:val="24"/>
        </w:rPr>
        <w:t xml:space="preserve">appears that </w:t>
      </w:r>
      <w:r w:rsidR="005B627E">
        <w:rPr>
          <w:rFonts w:ascii="Times New Roman" w:hAnsi="Times New Roman" w:cs="Times New Roman"/>
          <w:noProof/>
          <w:sz w:val="24"/>
          <w:szCs w:val="24"/>
        </w:rPr>
        <w:t>most (</w:t>
      </w:r>
      <w:r>
        <w:rPr>
          <w:rFonts w:ascii="Times New Roman" w:hAnsi="Times New Roman" w:cs="Times New Roman"/>
          <w:noProof/>
          <w:sz w:val="24"/>
          <w:szCs w:val="24"/>
        </w:rPr>
        <w:t>14</w:t>
      </w:r>
      <w:r w:rsidR="005B627E">
        <w:rPr>
          <w:rFonts w:ascii="Times New Roman" w:hAnsi="Times New Roman" w:cs="Times New Roman"/>
          <w:noProof/>
          <w:sz w:val="24"/>
          <w:szCs w:val="24"/>
        </w:rPr>
        <w:t>)</w:t>
      </w:r>
      <w:r w:rsidRPr="0063681E">
        <w:rPr>
          <w:rFonts w:ascii="Times New Roman" w:hAnsi="Times New Roman" w:cs="Times New Roman"/>
          <w:noProof/>
          <w:sz w:val="24"/>
          <w:szCs w:val="24"/>
        </w:rPr>
        <w:t xml:space="preserve"> </w:t>
      </w:r>
      <w:r>
        <w:rPr>
          <w:rFonts w:ascii="Times New Roman" w:hAnsi="Times New Roman" w:cs="Times New Roman"/>
          <w:noProof/>
          <w:sz w:val="24"/>
          <w:szCs w:val="24"/>
        </w:rPr>
        <w:t>e</w:t>
      </w:r>
      <w:r w:rsidRPr="0063681E">
        <w:rPr>
          <w:rFonts w:ascii="Times New Roman" w:hAnsi="Times New Roman" w:cs="Times New Roman"/>
          <w:noProof/>
          <w:sz w:val="24"/>
          <w:szCs w:val="24"/>
        </w:rPr>
        <w:t xml:space="preserve">uro </w:t>
      </w:r>
      <w:r>
        <w:rPr>
          <w:rFonts w:ascii="Times New Roman" w:hAnsi="Times New Roman" w:cs="Times New Roman"/>
          <w:noProof/>
          <w:sz w:val="24"/>
          <w:szCs w:val="24"/>
        </w:rPr>
        <w:t>a</w:t>
      </w:r>
      <w:r w:rsidRPr="0063681E">
        <w:rPr>
          <w:rFonts w:ascii="Times New Roman" w:hAnsi="Times New Roman" w:cs="Times New Roman"/>
          <w:noProof/>
          <w:sz w:val="24"/>
          <w:szCs w:val="24"/>
        </w:rPr>
        <w:t>rea Member States conduct a</w:t>
      </w:r>
      <w:r>
        <w:rPr>
          <w:rFonts w:ascii="Times New Roman" w:hAnsi="Times New Roman" w:cs="Times New Roman"/>
          <w:noProof/>
          <w:sz w:val="24"/>
          <w:szCs w:val="24"/>
        </w:rPr>
        <w:t xml:space="preserve"> DIA before the budget approval</w:t>
      </w:r>
      <w:r w:rsidRPr="0063681E">
        <w:rPr>
          <w:rFonts w:ascii="Times New Roman" w:hAnsi="Times New Roman" w:cs="Times New Roman"/>
          <w:noProof/>
          <w:sz w:val="24"/>
          <w:szCs w:val="24"/>
        </w:rPr>
        <w:t xml:space="preserve">. </w:t>
      </w:r>
      <w:r>
        <w:rPr>
          <w:rFonts w:ascii="Times New Roman" w:hAnsi="Times New Roman" w:cs="Times New Roman"/>
          <w:noProof/>
          <w:sz w:val="24"/>
          <w:szCs w:val="24"/>
        </w:rPr>
        <w:t>T</w:t>
      </w:r>
      <w:r w:rsidRPr="0063681E">
        <w:rPr>
          <w:rFonts w:ascii="Times New Roman" w:hAnsi="Times New Roman" w:cs="Times New Roman"/>
          <w:noProof/>
          <w:sz w:val="24"/>
          <w:szCs w:val="24"/>
        </w:rPr>
        <w:t xml:space="preserve">here are 6 of them </w:t>
      </w:r>
      <w:r>
        <w:rPr>
          <w:rFonts w:ascii="Times New Roman" w:hAnsi="Times New Roman" w:cs="Times New Roman"/>
          <w:noProof/>
          <w:sz w:val="24"/>
          <w:szCs w:val="24"/>
        </w:rPr>
        <w:t>that</w:t>
      </w:r>
      <w:r w:rsidRPr="0063681E">
        <w:rPr>
          <w:rFonts w:ascii="Times New Roman" w:hAnsi="Times New Roman" w:cs="Times New Roman"/>
          <w:noProof/>
          <w:sz w:val="24"/>
          <w:szCs w:val="24"/>
        </w:rPr>
        <w:t xml:space="preserve"> also conduct a DIA before the implementation of the policy but after the budget approval. It also appears that 10 </w:t>
      </w:r>
      <w:r>
        <w:rPr>
          <w:rFonts w:ascii="Times New Roman" w:hAnsi="Times New Roman" w:cs="Times New Roman"/>
          <w:noProof/>
          <w:sz w:val="24"/>
          <w:szCs w:val="24"/>
        </w:rPr>
        <w:t>e</w:t>
      </w:r>
      <w:r w:rsidRPr="0063681E">
        <w:rPr>
          <w:rFonts w:ascii="Times New Roman" w:hAnsi="Times New Roman" w:cs="Times New Roman"/>
          <w:noProof/>
          <w:sz w:val="24"/>
          <w:szCs w:val="24"/>
        </w:rPr>
        <w:t xml:space="preserve">uro </w:t>
      </w:r>
      <w:r>
        <w:rPr>
          <w:rFonts w:ascii="Times New Roman" w:hAnsi="Times New Roman" w:cs="Times New Roman"/>
          <w:noProof/>
          <w:sz w:val="24"/>
          <w:szCs w:val="24"/>
        </w:rPr>
        <w:t>a</w:t>
      </w:r>
      <w:r w:rsidRPr="0063681E">
        <w:rPr>
          <w:rFonts w:ascii="Times New Roman" w:hAnsi="Times New Roman" w:cs="Times New Roman"/>
          <w:noProof/>
          <w:sz w:val="24"/>
          <w:szCs w:val="24"/>
        </w:rPr>
        <w:t xml:space="preserve">rea Member States conduct a DIA after the implementation of the policy (i.e., </w:t>
      </w:r>
      <w:r w:rsidRPr="00975949">
        <w:rPr>
          <w:rFonts w:ascii="Times New Roman" w:hAnsi="Times New Roman" w:cs="Times New Roman"/>
          <w:i/>
          <w:noProof/>
          <w:sz w:val="24"/>
          <w:szCs w:val="24"/>
        </w:rPr>
        <w:t>ex</w:t>
      </w:r>
      <w:r w:rsidR="00975949" w:rsidRPr="00975949">
        <w:rPr>
          <w:rFonts w:ascii="Times New Roman" w:hAnsi="Times New Roman" w:cs="Times New Roman"/>
          <w:i/>
          <w:noProof/>
          <w:sz w:val="24"/>
          <w:szCs w:val="24"/>
        </w:rPr>
        <w:t xml:space="preserve"> </w:t>
      </w:r>
      <w:r w:rsidRPr="00975949">
        <w:rPr>
          <w:rFonts w:ascii="Times New Roman" w:hAnsi="Times New Roman" w:cs="Times New Roman"/>
          <w:i/>
          <w:noProof/>
          <w:sz w:val="24"/>
          <w:szCs w:val="24"/>
        </w:rPr>
        <w:t>post</w:t>
      </w:r>
      <w:r w:rsidRPr="0063681E">
        <w:rPr>
          <w:rFonts w:ascii="Times New Roman" w:hAnsi="Times New Roman" w:cs="Times New Roman"/>
          <w:noProof/>
          <w:sz w:val="24"/>
          <w:szCs w:val="24"/>
        </w:rPr>
        <w:t xml:space="preserve"> evaluation). In this respect, there are 8 </w:t>
      </w:r>
      <w:r w:rsidR="0090355E">
        <w:rPr>
          <w:rFonts w:ascii="Times New Roman" w:hAnsi="Times New Roman" w:cs="Times New Roman"/>
          <w:noProof/>
          <w:sz w:val="24"/>
          <w:szCs w:val="24"/>
        </w:rPr>
        <w:t>e</w:t>
      </w:r>
      <w:r w:rsidRPr="0063681E">
        <w:rPr>
          <w:rFonts w:ascii="Times New Roman" w:hAnsi="Times New Roman" w:cs="Times New Roman"/>
          <w:noProof/>
          <w:sz w:val="24"/>
          <w:szCs w:val="24"/>
        </w:rPr>
        <w:t xml:space="preserve">uro </w:t>
      </w:r>
      <w:r w:rsidR="0090355E">
        <w:rPr>
          <w:rFonts w:ascii="Times New Roman" w:hAnsi="Times New Roman" w:cs="Times New Roman"/>
          <w:noProof/>
          <w:sz w:val="24"/>
          <w:szCs w:val="24"/>
        </w:rPr>
        <w:t>a</w:t>
      </w:r>
      <w:r w:rsidRPr="0063681E">
        <w:rPr>
          <w:rFonts w:ascii="Times New Roman" w:hAnsi="Times New Roman" w:cs="Times New Roman"/>
          <w:noProof/>
          <w:sz w:val="24"/>
          <w:szCs w:val="24"/>
        </w:rPr>
        <w:t xml:space="preserve">rea Member States in which DIA is typically performed both </w:t>
      </w:r>
      <w:r w:rsidRPr="00E27501">
        <w:rPr>
          <w:rFonts w:ascii="Times New Roman" w:hAnsi="Times New Roman" w:cs="Times New Roman"/>
          <w:i/>
          <w:noProof/>
          <w:sz w:val="24"/>
          <w:szCs w:val="24"/>
        </w:rPr>
        <w:t>ex</w:t>
      </w:r>
      <w:r w:rsidR="00E27501">
        <w:rPr>
          <w:rFonts w:ascii="Times New Roman" w:hAnsi="Times New Roman" w:cs="Times New Roman"/>
          <w:i/>
          <w:noProof/>
          <w:sz w:val="24"/>
          <w:szCs w:val="24"/>
        </w:rPr>
        <w:t xml:space="preserve"> </w:t>
      </w:r>
      <w:r w:rsidRPr="00E27501">
        <w:rPr>
          <w:rFonts w:ascii="Times New Roman" w:hAnsi="Times New Roman" w:cs="Times New Roman"/>
          <w:i/>
          <w:noProof/>
          <w:sz w:val="24"/>
          <w:szCs w:val="24"/>
        </w:rPr>
        <w:t>ante</w:t>
      </w:r>
      <w:r w:rsidRPr="0063681E">
        <w:rPr>
          <w:rFonts w:ascii="Times New Roman" w:hAnsi="Times New Roman" w:cs="Times New Roman"/>
          <w:noProof/>
          <w:sz w:val="24"/>
          <w:szCs w:val="24"/>
        </w:rPr>
        <w:t xml:space="preserve"> (before the budget’s approval and/or the implementation of the policy) and </w:t>
      </w:r>
      <w:r w:rsidRPr="002A3A39">
        <w:rPr>
          <w:rFonts w:ascii="Times New Roman" w:hAnsi="Times New Roman" w:cs="Times New Roman"/>
          <w:i/>
          <w:noProof/>
          <w:sz w:val="24"/>
          <w:szCs w:val="24"/>
        </w:rPr>
        <w:t>ex</w:t>
      </w:r>
      <w:r w:rsidR="002A3A39" w:rsidRPr="002A3A39">
        <w:rPr>
          <w:rFonts w:ascii="Times New Roman" w:hAnsi="Times New Roman" w:cs="Times New Roman"/>
          <w:i/>
          <w:noProof/>
          <w:sz w:val="24"/>
          <w:szCs w:val="24"/>
        </w:rPr>
        <w:t xml:space="preserve"> </w:t>
      </w:r>
      <w:r w:rsidRPr="002A3A39">
        <w:rPr>
          <w:rFonts w:ascii="Times New Roman" w:hAnsi="Times New Roman" w:cs="Times New Roman"/>
          <w:i/>
          <w:noProof/>
          <w:sz w:val="24"/>
          <w:szCs w:val="24"/>
        </w:rPr>
        <w:t>post</w:t>
      </w:r>
      <w:r w:rsidRPr="0063681E">
        <w:rPr>
          <w:rFonts w:ascii="Times New Roman" w:hAnsi="Times New Roman" w:cs="Times New Roman"/>
          <w:noProof/>
          <w:sz w:val="24"/>
          <w:szCs w:val="24"/>
        </w:rPr>
        <w:t xml:space="preserve"> (I</w:t>
      </w:r>
      <w:r w:rsidR="006866E4">
        <w:rPr>
          <w:rFonts w:ascii="Times New Roman" w:hAnsi="Times New Roman" w:cs="Times New Roman"/>
          <w:noProof/>
          <w:sz w:val="24"/>
          <w:szCs w:val="24"/>
        </w:rPr>
        <w:t>E</w:t>
      </w:r>
      <w:r w:rsidRPr="0063681E">
        <w:rPr>
          <w:rFonts w:ascii="Times New Roman" w:hAnsi="Times New Roman" w:cs="Times New Roman"/>
          <w:noProof/>
          <w:sz w:val="24"/>
          <w:szCs w:val="24"/>
        </w:rPr>
        <w:t>, I</w:t>
      </w:r>
      <w:r w:rsidR="006866E4">
        <w:rPr>
          <w:rFonts w:ascii="Times New Roman" w:hAnsi="Times New Roman" w:cs="Times New Roman"/>
          <w:noProof/>
          <w:sz w:val="24"/>
          <w:szCs w:val="24"/>
        </w:rPr>
        <w:t>T</w:t>
      </w:r>
      <w:r w:rsidRPr="0063681E">
        <w:rPr>
          <w:rFonts w:ascii="Times New Roman" w:hAnsi="Times New Roman" w:cs="Times New Roman"/>
          <w:noProof/>
          <w:sz w:val="24"/>
          <w:szCs w:val="24"/>
        </w:rPr>
        <w:t>, M</w:t>
      </w:r>
      <w:r w:rsidR="006866E4">
        <w:rPr>
          <w:rFonts w:ascii="Times New Roman" w:hAnsi="Times New Roman" w:cs="Times New Roman"/>
          <w:noProof/>
          <w:sz w:val="24"/>
          <w:szCs w:val="24"/>
        </w:rPr>
        <w:t>T</w:t>
      </w:r>
      <w:r w:rsidRPr="0063681E">
        <w:rPr>
          <w:rFonts w:ascii="Times New Roman" w:hAnsi="Times New Roman" w:cs="Times New Roman"/>
          <w:noProof/>
          <w:sz w:val="24"/>
          <w:szCs w:val="24"/>
        </w:rPr>
        <w:t>, L</w:t>
      </w:r>
      <w:r w:rsidR="006866E4">
        <w:rPr>
          <w:rFonts w:ascii="Times New Roman" w:hAnsi="Times New Roman" w:cs="Times New Roman"/>
          <w:noProof/>
          <w:sz w:val="24"/>
          <w:szCs w:val="24"/>
        </w:rPr>
        <w:t>V</w:t>
      </w:r>
      <w:r w:rsidRPr="0063681E">
        <w:rPr>
          <w:rFonts w:ascii="Times New Roman" w:hAnsi="Times New Roman" w:cs="Times New Roman"/>
          <w:noProof/>
          <w:sz w:val="24"/>
          <w:szCs w:val="24"/>
        </w:rPr>
        <w:t>, N</w:t>
      </w:r>
      <w:r w:rsidR="006866E4">
        <w:rPr>
          <w:rFonts w:ascii="Times New Roman" w:hAnsi="Times New Roman" w:cs="Times New Roman"/>
          <w:noProof/>
          <w:sz w:val="24"/>
          <w:szCs w:val="24"/>
        </w:rPr>
        <w:t>L</w:t>
      </w:r>
      <w:r w:rsidRPr="0063681E">
        <w:rPr>
          <w:rFonts w:ascii="Times New Roman" w:hAnsi="Times New Roman" w:cs="Times New Roman"/>
          <w:noProof/>
          <w:sz w:val="24"/>
          <w:szCs w:val="24"/>
        </w:rPr>
        <w:t xml:space="preserve">, </w:t>
      </w:r>
      <w:r w:rsidR="006866E4">
        <w:rPr>
          <w:rFonts w:ascii="Times New Roman" w:hAnsi="Times New Roman" w:cs="Times New Roman"/>
          <w:noProof/>
          <w:sz w:val="24"/>
          <w:szCs w:val="24"/>
        </w:rPr>
        <w:t>DE</w:t>
      </w:r>
      <w:r w:rsidRPr="0063681E">
        <w:rPr>
          <w:rFonts w:ascii="Times New Roman" w:hAnsi="Times New Roman" w:cs="Times New Roman"/>
          <w:noProof/>
          <w:sz w:val="24"/>
          <w:szCs w:val="24"/>
        </w:rPr>
        <w:t>, F</w:t>
      </w:r>
      <w:r w:rsidR="006866E4">
        <w:rPr>
          <w:rFonts w:ascii="Times New Roman" w:hAnsi="Times New Roman" w:cs="Times New Roman"/>
          <w:noProof/>
          <w:sz w:val="24"/>
          <w:szCs w:val="24"/>
        </w:rPr>
        <w:t>R</w:t>
      </w:r>
      <w:r w:rsidRPr="0063681E">
        <w:rPr>
          <w:rFonts w:ascii="Times New Roman" w:hAnsi="Times New Roman" w:cs="Times New Roman"/>
          <w:noProof/>
          <w:sz w:val="24"/>
          <w:szCs w:val="24"/>
        </w:rPr>
        <w:t>, B</w:t>
      </w:r>
      <w:r w:rsidR="006866E4">
        <w:rPr>
          <w:rFonts w:ascii="Times New Roman" w:hAnsi="Times New Roman" w:cs="Times New Roman"/>
          <w:noProof/>
          <w:sz w:val="24"/>
          <w:szCs w:val="24"/>
        </w:rPr>
        <w:t>E</w:t>
      </w:r>
      <w:r w:rsidRPr="0063681E">
        <w:rPr>
          <w:rFonts w:ascii="Times New Roman" w:hAnsi="Times New Roman" w:cs="Times New Roman"/>
          <w:noProof/>
          <w:sz w:val="24"/>
          <w:szCs w:val="24"/>
        </w:rPr>
        <w:t>).</w:t>
      </w:r>
    </w:p>
    <w:p w14:paraId="669F42FB" w14:textId="08AF8A07" w:rsidR="00FB7AB5" w:rsidRPr="008D0FF3" w:rsidRDefault="00FB7AB5" w:rsidP="00FB7AB5">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0"/>
          <w:szCs w:val="20"/>
        </w:rPr>
      </w:pPr>
      <w:r w:rsidRPr="008D0FF3">
        <w:rPr>
          <w:rFonts w:ascii="Times New Roman" w:hAnsi="Times New Roman" w:cs="Times New Roman"/>
          <w:b/>
          <w:noProof/>
          <w:sz w:val="20"/>
          <w:szCs w:val="20"/>
        </w:rPr>
        <w:t>Box</w:t>
      </w:r>
      <w:r w:rsidR="00C37617">
        <w:rPr>
          <w:rFonts w:ascii="Times New Roman" w:hAnsi="Times New Roman" w:cs="Times New Roman"/>
          <w:b/>
          <w:noProof/>
          <w:sz w:val="20"/>
          <w:szCs w:val="20"/>
        </w:rPr>
        <w:t xml:space="preserve"> 2</w:t>
      </w:r>
      <w:r w:rsidRPr="008D0FF3">
        <w:rPr>
          <w:rFonts w:ascii="Times New Roman" w:hAnsi="Times New Roman" w:cs="Times New Roman"/>
          <w:b/>
          <w:noProof/>
          <w:sz w:val="20"/>
          <w:szCs w:val="20"/>
        </w:rPr>
        <w:t>: Timing of conducting DIA in the Netherlands</w:t>
      </w:r>
    </w:p>
    <w:p w14:paraId="06D98256" w14:textId="77777777" w:rsidR="00FB7AB5" w:rsidRPr="00321D1B" w:rsidRDefault="00FB7AB5" w:rsidP="00FB7AB5">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Pr>
          <w:rFonts w:ascii="Times New Roman" w:hAnsi="Times New Roman" w:cs="Times New Roman"/>
          <w:noProof/>
          <w:sz w:val="20"/>
          <w:szCs w:val="20"/>
        </w:rPr>
        <w:t>In</w:t>
      </w:r>
      <w:r w:rsidRPr="00321D1B">
        <w:rPr>
          <w:rFonts w:ascii="Times New Roman" w:hAnsi="Times New Roman" w:cs="Times New Roman"/>
          <w:noProof/>
          <w:sz w:val="20"/>
          <w:szCs w:val="20"/>
        </w:rPr>
        <w:t xml:space="preserve"> </w:t>
      </w:r>
      <w:r w:rsidRPr="00321D1B">
        <w:rPr>
          <w:rFonts w:ascii="Times New Roman" w:hAnsi="Times New Roman" w:cs="Times New Roman"/>
          <w:b/>
          <w:noProof/>
          <w:sz w:val="20"/>
          <w:szCs w:val="20"/>
        </w:rPr>
        <w:t>the Netherlands</w:t>
      </w:r>
      <w:r w:rsidRPr="00321D1B">
        <w:rPr>
          <w:rFonts w:ascii="Times New Roman" w:hAnsi="Times New Roman" w:cs="Times New Roman"/>
          <w:noProof/>
          <w:sz w:val="20"/>
          <w:szCs w:val="20"/>
        </w:rPr>
        <w:t xml:space="preserve"> DIA is conducted before, during and after the budget decision-making process. DIA is performed before the approval of the budget to predict the policies’ effects, but also during and after the implementation of the budget to monitor the policies’ implementation and to assess their actual distributional effects.</w:t>
      </w:r>
    </w:p>
    <w:p w14:paraId="06168DF2" w14:textId="77777777" w:rsidR="00F57CCC" w:rsidRDefault="00262840" w:rsidP="00870C25">
      <w:pPr>
        <w:jc w:val="both"/>
        <w:rPr>
          <w:rFonts w:ascii="Times New Roman" w:hAnsi="Times New Roman" w:cs="Times New Roman"/>
          <w:noProof/>
          <w:sz w:val="24"/>
          <w:szCs w:val="24"/>
        </w:rPr>
      </w:pPr>
      <w:r w:rsidRPr="0021427D">
        <w:rPr>
          <w:rFonts w:ascii="Times New Roman" w:hAnsi="Times New Roman" w:cs="Times New Roman"/>
          <w:b/>
          <w:noProof/>
          <w:sz w:val="24"/>
          <w:szCs w:val="24"/>
        </w:rPr>
        <w:t xml:space="preserve">In </w:t>
      </w:r>
      <w:r w:rsidR="005B627E">
        <w:rPr>
          <w:rFonts w:ascii="Times New Roman" w:hAnsi="Times New Roman" w:cs="Times New Roman"/>
          <w:b/>
          <w:noProof/>
          <w:sz w:val="24"/>
          <w:szCs w:val="24"/>
        </w:rPr>
        <w:t>some Member States (</w:t>
      </w:r>
      <w:r w:rsidR="002A3A39">
        <w:rPr>
          <w:rFonts w:ascii="Times New Roman" w:hAnsi="Times New Roman" w:cs="Times New Roman"/>
          <w:b/>
          <w:noProof/>
          <w:sz w:val="24"/>
          <w:szCs w:val="24"/>
        </w:rPr>
        <w:t xml:space="preserve">e.g. </w:t>
      </w:r>
      <w:r w:rsidRPr="0021427D">
        <w:rPr>
          <w:rFonts w:ascii="Times New Roman" w:hAnsi="Times New Roman" w:cs="Times New Roman"/>
          <w:b/>
          <w:noProof/>
          <w:sz w:val="24"/>
          <w:szCs w:val="24"/>
        </w:rPr>
        <w:t>F</w:t>
      </w:r>
      <w:r w:rsidR="002A3A39">
        <w:rPr>
          <w:rFonts w:ascii="Times New Roman" w:hAnsi="Times New Roman" w:cs="Times New Roman"/>
          <w:b/>
          <w:noProof/>
          <w:sz w:val="24"/>
          <w:szCs w:val="24"/>
        </w:rPr>
        <w:t>I, EL, IE</w:t>
      </w:r>
      <w:r w:rsidR="005B627E">
        <w:rPr>
          <w:rFonts w:ascii="Times New Roman" w:hAnsi="Times New Roman" w:cs="Times New Roman"/>
          <w:b/>
          <w:noProof/>
          <w:sz w:val="24"/>
          <w:szCs w:val="24"/>
        </w:rPr>
        <w:t>)</w:t>
      </w:r>
      <w:r w:rsidRPr="0021427D">
        <w:rPr>
          <w:rFonts w:ascii="Times New Roman" w:hAnsi="Times New Roman" w:cs="Times New Roman"/>
          <w:b/>
          <w:noProof/>
          <w:sz w:val="24"/>
          <w:szCs w:val="24"/>
        </w:rPr>
        <w:t xml:space="preserve">, DIA is usually conducted near the adoption of the budget, while </w:t>
      </w:r>
      <w:r w:rsidR="005B627E">
        <w:rPr>
          <w:rFonts w:ascii="Times New Roman" w:hAnsi="Times New Roman" w:cs="Times New Roman"/>
          <w:b/>
          <w:noProof/>
          <w:sz w:val="24"/>
          <w:szCs w:val="24"/>
        </w:rPr>
        <w:t>others (</w:t>
      </w:r>
      <w:r w:rsidR="002A3A39">
        <w:rPr>
          <w:rFonts w:ascii="Times New Roman" w:hAnsi="Times New Roman" w:cs="Times New Roman"/>
          <w:b/>
          <w:noProof/>
          <w:sz w:val="24"/>
          <w:szCs w:val="24"/>
        </w:rPr>
        <w:t xml:space="preserve">e.g. </w:t>
      </w:r>
      <w:r w:rsidRPr="0021427D">
        <w:rPr>
          <w:rFonts w:ascii="Times New Roman" w:hAnsi="Times New Roman" w:cs="Times New Roman"/>
          <w:b/>
          <w:noProof/>
          <w:sz w:val="24"/>
          <w:szCs w:val="24"/>
        </w:rPr>
        <w:t>M</w:t>
      </w:r>
      <w:r w:rsidR="002A3A39">
        <w:rPr>
          <w:rFonts w:ascii="Times New Roman" w:hAnsi="Times New Roman" w:cs="Times New Roman"/>
          <w:b/>
          <w:noProof/>
          <w:sz w:val="24"/>
          <w:szCs w:val="24"/>
        </w:rPr>
        <w:t>T, LV</w:t>
      </w:r>
      <w:r w:rsidR="005B627E">
        <w:rPr>
          <w:rFonts w:ascii="Times New Roman" w:hAnsi="Times New Roman" w:cs="Times New Roman"/>
          <w:b/>
          <w:noProof/>
          <w:sz w:val="24"/>
          <w:szCs w:val="24"/>
        </w:rPr>
        <w:t>)</w:t>
      </w:r>
      <w:r w:rsidRPr="0021427D">
        <w:rPr>
          <w:rFonts w:ascii="Times New Roman" w:hAnsi="Times New Roman" w:cs="Times New Roman"/>
          <w:b/>
          <w:noProof/>
          <w:sz w:val="24"/>
          <w:szCs w:val="24"/>
        </w:rPr>
        <w:t xml:space="preserve"> start the DIA analysis earlier and thus have a longer period to conduct DIA.</w:t>
      </w:r>
      <w:r w:rsidRPr="00064A2C">
        <w:rPr>
          <w:rFonts w:ascii="Times New Roman" w:hAnsi="Times New Roman" w:cs="Times New Roman"/>
          <w:noProof/>
          <w:sz w:val="24"/>
          <w:szCs w:val="24"/>
        </w:rPr>
        <w:t xml:space="preserve"> The difference between the two approaches is mirrored in the size of the staff</w:t>
      </w:r>
      <w:r w:rsidR="005B627E">
        <w:rPr>
          <w:rFonts w:ascii="Times New Roman" w:hAnsi="Times New Roman" w:cs="Times New Roman"/>
          <w:noProof/>
          <w:sz w:val="24"/>
          <w:szCs w:val="24"/>
        </w:rPr>
        <w:t xml:space="preserve"> involved</w:t>
      </w:r>
      <w:r w:rsidRPr="00064A2C">
        <w:rPr>
          <w:rFonts w:ascii="Times New Roman" w:hAnsi="Times New Roman" w:cs="Times New Roman"/>
          <w:noProof/>
          <w:sz w:val="24"/>
          <w:szCs w:val="24"/>
        </w:rPr>
        <w:t>, which is small</w:t>
      </w:r>
      <w:r w:rsidR="005B627E">
        <w:rPr>
          <w:rFonts w:ascii="Times New Roman" w:hAnsi="Times New Roman" w:cs="Times New Roman"/>
          <w:noProof/>
          <w:sz w:val="24"/>
          <w:szCs w:val="24"/>
        </w:rPr>
        <w:t>er</w:t>
      </w:r>
      <w:r w:rsidRPr="00064A2C">
        <w:rPr>
          <w:rFonts w:ascii="Times New Roman" w:hAnsi="Times New Roman" w:cs="Times New Roman"/>
          <w:noProof/>
          <w:sz w:val="24"/>
          <w:szCs w:val="24"/>
        </w:rPr>
        <w:t xml:space="preserve"> in Latvia and Malta. Moreover, it should be noted that Malta and Latvia performed DIA in the DBP only once over the period 2018-2020 (in 2018) for specific measures and this fact could also explain</w:t>
      </w:r>
      <w:r w:rsidR="003B7871">
        <w:rPr>
          <w:rFonts w:ascii="Times New Roman" w:hAnsi="Times New Roman" w:cs="Times New Roman"/>
          <w:noProof/>
          <w:sz w:val="24"/>
          <w:szCs w:val="24"/>
        </w:rPr>
        <w:t xml:space="preserve"> the aforementioned differences</w:t>
      </w:r>
      <w:r w:rsidRPr="00064A2C">
        <w:rPr>
          <w:rFonts w:ascii="Times New Roman" w:hAnsi="Times New Roman" w:cs="Times New Roman"/>
          <w:noProof/>
          <w:sz w:val="24"/>
          <w:szCs w:val="24"/>
        </w:rPr>
        <w:t xml:space="preserve">. </w:t>
      </w:r>
      <w:r w:rsidR="005B627E">
        <w:rPr>
          <w:rFonts w:ascii="Times New Roman" w:hAnsi="Times New Roman" w:cs="Times New Roman"/>
          <w:noProof/>
          <w:sz w:val="24"/>
          <w:szCs w:val="24"/>
        </w:rPr>
        <w:t>In some other Member States (</w:t>
      </w:r>
      <w:r w:rsidR="002A3A39">
        <w:rPr>
          <w:rFonts w:ascii="Times New Roman" w:hAnsi="Times New Roman" w:cs="Times New Roman"/>
          <w:noProof/>
          <w:sz w:val="24"/>
          <w:szCs w:val="24"/>
        </w:rPr>
        <w:t>e.g. LT and FR</w:t>
      </w:r>
      <w:r w:rsidR="005B627E">
        <w:rPr>
          <w:rFonts w:ascii="Times New Roman" w:hAnsi="Times New Roman" w:cs="Times New Roman"/>
          <w:noProof/>
          <w:sz w:val="24"/>
          <w:szCs w:val="24"/>
        </w:rPr>
        <w:t>),</w:t>
      </w:r>
      <w:r w:rsidRPr="00064A2C">
        <w:rPr>
          <w:rFonts w:ascii="Times New Roman" w:hAnsi="Times New Roman" w:cs="Times New Roman"/>
          <w:noProof/>
          <w:sz w:val="24"/>
          <w:szCs w:val="24"/>
        </w:rPr>
        <w:t xml:space="preserve"> DIA is carried out throughout the year when it is requested by policymaker</w:t>
      </w:r>
      <w:r w:rsidR="003B7871">
        <w:rPr>
          <w:rFonts w:ascii="Times New Roman" w:hAnsi="Times New Roman" w:cs="Times New Roman"/>
          <w:noProof/>
          <w:sz w:val="24"/>
          <w:szCs w:val="24"/>
        </w:rPr>
        <w:t>s</w:t>
      </w:r>
      <w:r w:rsidRPr="00064A2C">
        <w:rPr>
          <w:rFonts w:ascii="Times New Roman" w:hAnsi="Times New Roman" w:cs="Times New Roman"/>
          <w:noProof/>
          <w:sz w:val="24"/>
          <w:szCs w:val="24"/>
        </w:rPr>
        <w:t xml:space="preserve">. </w:t>
      </w:r>
    </w:p>
    <w:p w14:paraId="0ECA33AD" w14:textId="77777777" w:rsidR="004763BA" w:rsidRDefault="004763BA" w:rsidP="00870C25">
      <w:pPr>
        <w:jc w:val="both"/>
        <w:rPr>
          <w:rFonts w:ascii="Times New Roman" w:hAnsi="Times New Roman" w:cs="Times New Roman"/>
          <w:b/>
          <w:i/>
          <w:noProof/>
          <w:sz w:val="24"/>
          <w:szCs w:val="24"/>
          <w:lang w:val="en-IE"/>
        </w:rPr>
      </w:pPr>
    </w:p>
    <w:p w14:paraId="70731878" w14:textId="77777777" w:rsidR="004763BA" w:rsidRDefault="004763BA">
      <w:pPr>
        <w:rPr>
          <w:rFonts w:ascii="Times New Roman" w:hAnsi="Times New Roman" w:cs="Times New Roman"/>
          <w:b/>
          <w:i/>
          <w:noProof/>
          <w:sz w:val="24"/>
          <w:szCs w:val="24"/>
          <w:lang w:val="en-IE"/>
        </w:rPr>
      </w:pPr>
      <w:r>
        <w:rPr>
          <w:rFonts w:ascii="Times New Roman" w:hAnsi="Times New Roman" w:cs="Times New Roman"/>
          <w:b/>
          <w:i/>
          <w:noProof/>
          <w:sz w:val="24"/>
          <w:szCs w:val="24"/>
          <w:lang w:val="en-IE"/>
        </w:rPr>
        <w:br w:type="page"/>
      </w:r>
    </w:p>
    <w:p w14:paraId="1456A747" w14:textId="24D3E7DF" w:rsidR="00870C25" w:rsidRPr="008F1389" w:rsidRDefault="00870C25" w:rsidP="00870C25">
      <w:pPr>
        <w:jc w:val="both"/>
        <w:rPr>
          <w:rFonts w:ascii="Times New Roman" w:hAnsi="Times New Roman" w:cs="Times New Roman"/>
          <w:b/>
          <w:i/>
          <w:noProof/>
          <w:sz w:val="24"/>
          <w:szCs w:val="24"/>
          <w:lang w:val="en-IE"/>
        </w:rPr>
      </w:pPr>
      <w:r w:rsidRPr="008F1389">
        <w:rPr>
          <w:rFonts w:ascii="Times New Roman" w:hAnsi="Times New Roman" w:cs="Times New Roman"/>
          <w:b/>
          <w:i/>
          <w:noProof/>
          <w:sz w:val="24"/>
          <w:szCs w:val="24"/>
          <w:lang w:val="en-IE"/>
        </w:rPr>
        <w:t>Granularity of DIA analysis</w:t>
      </w:r>
    </w:p>
    <w:p w14:paraId="5DED6ED5" w14:textId="77777777" w:rsidR="001917CB" w:rsidRPr="00D56E53" w:rsidRDefault="001917CB" w:rsidP="001917CB">
      <w:pPr>
        <w:jc w:val="both"/>
        <w:rPr>
          <w:rFonts w:ascii="Times New Roman" w:hAnsi="Times New Roman" w:cs="Times New Roman"/>
          <w:noProof/>
          <w:sz w:val="24"/>
          <w:szCs w:val="24"/>
        </w:rPr>
      </w:pPr>
      <w:r>
        <w:rPr>
          <w:rFonts w:ascii="Times New Roman" w:hAnsi="Times New Roman" w:cs="Times New Roman"/>
          <w:b/>
          <w:noProof/>
          <w:sz w:val="24"/>
          <w:szCs w:val="24"/>
        </w:rPr>
        <w:t xml:space="preserve">An important decision to make while running DIA is whether to assess the impact of policy reforms separately or jointly. </w:t>
      </w:r>
      <w:r w:rsidRPr="00D56E53">
        <w:rPr>
          <w:rFonts w:ascii="Times New Roman" w:hAnsi="Times New Roman" w:cs="Times New Roman"/>
          <w:b/>
          <w:noProof/>
          <w:sz w:val="24"/>
          <w:szCs w:val="24"/>
        </w:rPr>
        <w:t xml:space="preserve"> </w:t>
      </w:r>
      <w:r w:rsidRPr="0085545B">
        <w:rPr>
          <w:rFonts w:ascii="Times New Roman" w:hAnsi="Times New Roman" w:cs="Times New Roman"/>
          <w:noProof/>
          <w:sz w:val="24"/>
          <w:szCs w:val="24"/>
        </w:rPr>
        <w:t>In general, it is good practice to present the effect of the bundle of changes.</w:t>
      </w:r>
      <w:r w:rsidRPr="003D27EE">
        <w:rPr>
          <w:rFonts w:ascii="Times New Roman" w:hAnsi="Times New Roman" w:cs="Times New Roman"/>
          <w:noProof/>
          <w:sz w:val="24"/>
          <w:szCs w:val="24"/>
        </w:rPr>
        <w:t xml:space="preserve"> </w:t>
      </w:r>
      <w:r>
        <w:rPr>
          <w:rFonts w:ascii="Times New Roman" w:hAnsi="Times New Roman" w:cs="Times New Roman"/>
          <w:noProof/>
          <w:sz w:val="24"/>
          <w:szCs w:val="24"/>
        </w:rPr>
        <w:t>The impact of a whole</w:t>
      </w:r>
      <w:r w:rsidRPr="00D56E53">
        <w:rPr>
          <w:rFonts w:ascii="Times New Roman" w:hAnsi="Times New Roman" w:cs="Times New Roman"/>
          <w:noProof/>
          <w:sz w:val="24"/>
          <w:szCs w:val="24"/>
        </w:rPr>
        <w:t xml:space="preserve"> package of policy </w:t>
      </w:r>
      <w:r>
        <w:rPr>
          <w:rFonts w:ascii="Times New Roman" w:hAnsi="Times New Roman" w:cs="Times New Roman"/>
          <w:noProof/>
          <w:sz w:val="24"/>
          <w:szCs w:val="24"/>
        </w:rPr>
        <w:t>reforms</w:t>
      </w:r>
      <w:r w:rsidRPr="00D56E53">
        <w:rPr>
          <w:rFonts w:ascii="Times New Roman" w:hAnsi="Times New Roman" w:cs="Times New Roman"/>
          <w:noProof/>
          <w:sz w:val="24"/>
          <w:szCs w:val="24"/>
        </w:rPr>
        <w:t xml:space="preserve"> is of interest</w:t>
      </w:r>
      <w:r>
        <w:rPr>
          <w:rFonts w:ascii="Times New Roman" w:hAnsi="Times New Roman" w:cs="Times New Roman"/>
          <w:noProof/>
          <w:sz w:val="24"/>
          <w:szCs w:val="24"/>
        </w:rPr>
        <w:t xml:space="preserve"> to the members of national Parliaments and the public. Also the assessed impact</w:t>
      </w:r>
      <w:r w:rsidRPr="00D56E53">
        <w:rPr>
          <w:rFonts w:ascii="Times New Roman" w:hAnsi="Times New Roman" w:cs="Times New Roman"/>
          <w:noProof/>
          <w:sz w:val="24"/>
          <w:szCs w:val="24"/>
        </w:rPr>
        <w:t xml:space="preserve"> </w:t>
      </w:r>
      <w:r>
        <w:rPr>
          <w:rFonts w:ascii="Times New Roman" w:hAnsi="Times New Roman" w:cs="Times New Roman"/>
          <w:noProof/>
          <w:sz w:val="24"/>
          <w:szCs w:val="24"/>
        </w:rPr>
        <w:t>should take</w:t>
      </w:r>
      <w:r w:rsidRPr="00D56E53">
        <w:rPr>
          <w:rFonts w:ascii="Times New Roman" w:hAnsi="Times New Roman" w:cs="Times New Roman"/>
          <w:noProof/>
          <w:sz w:val="24"/>
          <w:szCs w:val="24"/>
        </w:rPr>
        <w:t xml:space="preserve"> </w:t>
      </w:r>
      <w:r>
        <w:rPr>
          <w:rFonts w:ascii="Times New Roman" w:hAnsi="Times New Roman" w:cs="Times New Roman"/>
          <w:noProof/>
          <w:sz w:val="24"/>
          <w:szCs w:val="24"/>
        </w:rPr>
        <w:t>in</w:t>
      </w:r>
      <w:r w:rsidRPr="00D56E53">
        <w:rPr>
          <w:rFonts w:ascii="Times New Roman" w:hAnsi="Times New Roman" w:cs="Times New Roman"/>
          <w:noProof/>
          <w:sz w:val="24"/>
          <w:szCs w:val="24"/>
        </w:rPr>
        <w:t xml:space="preserve">to account changes both in taxes and benefits. Moreover, budgetary changes are often decided as a package with some measures designed to compensate for others. </w:t>
      </w:r>
      <w:r>
        <w:rPr>
          <w:rFonts w:ascii="Times New Roman" w:hAnsi="Times New Roman" w:cs="Times New Roman"/>
          <w:noProof/>
          <w:sz w:val="24"/>
          <w:szCs w:val="24"/>
        </w:rPr>
        <w:t>Last but not least,</w:t>
      </w:r>
      <w:r w:rsidRPr="003D27EE">
        <w:rPr>
          <w:rFonts w:ascii="Times New Roman" w:hAnsi="Times New Roman" w:cs="Times New Roman"/>
          <w:noProof/>
          <w:sz w:val="24"/>
          <w:szCs w:val="24"/>
        </w:rPr>
        <w:t xml:space="preserve"> there may</w:t>
      </w:r>
      <w:r>
        <w:rPr>
          <w:rFonts w:ascii="Times New Roman" w:hAnsi="Times New Roman" w:cs="Times New Roman"/>
          <w:noProof/>
          <w:sz w:val="24"/>
          <w:szCs w:val="24"/>
        </w:rPr>
        <w:t xml:space="preserve"> also</w:t>
      </w:r>
      <w:r w:rsidRPr="003D27EE">
        <w:rPr>
          <w:rFonts w:ascii="Times New Roman" w:hAnsi="Times New Roman" w:cs="Times New Roman"/>
          <w:noProof/>
          <w:sz w:val="24"/>
          <w:szCs w:val="24"/>
        </w:rPr>
        <w:t xml:space="preserve"> be interactions between </w:t>
      </w:r>
      <w:r>
        <w:rPr>
          <w:rFonts w:ascii="Times New Roman" w:hAnsi="Times New Roman" w:cs="Times New Roman"/>
          <w:noProof/>
          <w:sz w:val="24"/>
          <w:szCs w:val="24"/>
        </w:rPr>
        <w:t xml:space="preserve">the proposed </w:t>
      </w:r>
      <w:r w:rsidRPr="003D27EE">
        <w:rPr>
          <w:rFonts w:ascii="Times New Roman" w:hAnsi="Times New Roman" w:cs="Times New Roman"/>
          <w:noProof/>
          <w:sz w:val="24"/>
          <w:szCs w:val="24"/>
        </w:rPr>
        <w:t xml:space="preserve">policy </w:t>
      </w:r>
      <w:r>
        <w:rPr>
          <w:rFonts w:ascii="Times New Roman" w:hAnsi="Times New Roman" w:cs="Times New Roman"/>
          <w:noProof/>
          <w:sz w:val="24"/>
          <w:szCs w:val="24"/>
        </w:rPr>
        <w:t>reforms</w:t>
      </w:r>
      <w:r w:rsidRPr="003D27EE">
        <w:rPr>
          <w:rFonts w:ascii="Times New Roman" w:hAnsi="Times New Roman" w:cs="Times New Roman"/>
          <w:noProof/>
          <w:sz w:val="24"/>
          <w:szCs w:val="24"/>
        </w:rPr>
        <w:t xml:space="preserve"> </w:t>
      </w:r>
      <w:r>
        <w:rPr>
          <w:rFonts w:ascii="Times New Roman" w:hAnsi="Times New Roman" w:cs="Times New Roman"/>
          <w:noProof/>
          <w:sz w:val="24"/>
          <w:szCs w:val="24"/>
        </w:rPr>
        <w:t>and therefore it is more useful to present their combined</w:t>
      </w:r>
      <w:r w:rsidRPr="003D27EE">
        <w:rPr>
          <w:rFonts w:ascii="Times New Roman" w:hAnsi="Times New Roman" w:cs="Times New Roman"/>
          <w:noProof/>
          <w:sz w:val="24"/>
          <w:szCs w:val="24"/>
        </w:rPr>
        <w:t xml:space="preserve"> effect. </w:t>
      </w:r>
    </w:p>
    <w:p w14:paraId="78C1BCF0" w14:textId="036F9194" w:rsidR="001917CB" w:rsidRDefault="001917CB" w:rsidP="001917CB">
      <w:pPr>
        <w:jc w:val="both"/>
        <w:rPr>
          <w:rFonts w:ascii="Times New Roman" w:hAnsi="Times New Roman" w:cs="Times New Roman"/>
          <w:noProof/>
          <w:sz w:val="24"/>
          <w:szCs w:val="24"/>
        </w:rPr>
      </w:pPr>
      <w:r w:rsidRPr="00CF04CD">
        <w:rPr>
          <w:rFonts w:ascii="Times New Roman" w:hAnsi="Times New Roman" w:cs="Times New Roman"/>
          <w:b/>
          <w:noProof/>
          <w:sz w:val="24"/>
          <w:szCs w:val="24"/>
        </w:rPr>
        <w:t>On top of this, it is preferable to</w:t>
      </w:r>
      <w:r w:rsidRPr="00D56E53">
        <w:rPr>
          <w:rFonts w:ascii="Times New Roman" w:hAnsi="Times New Roman" w:cs="Times New Roman"/>
          <w:noProof/>
          <w:sz w:val="24"/>
          <w:szCs w:val="24"/>
        </w:rPr>
        <w:t xml:space="preserve"> </w:t>
      </w:r>
      <w:r w:rsidRPr="00D56E53">
        <w:rPr>
          <w:rFonts w:ascii="Times New Roman" w:hAnsi="Times New Roman" w:cs="Times New Roman"/>
          <w:b/>
          <w:noProof/>
          <w:sz w:val="24"/>
          <w:szCs w:val="24"/>
        </w:rPr>
        <w:t xml:space="preserve">account separately for all </w:t>
      </w:r>
      <w:r w:rsidR="00AA6E2D">
        <w:rPr>
          <w:rFonts w:ascii="Times New Roman" w:hAnsi="Times New Roman" w:cs="Times New Roman"/>
          <w:b/>
          <w:noProof/>
          <w:sz w:val="24"/>
          <w:szCs w:val="24"/>
        </w:rPr>
        <w:t>policies</w:t>
      </w:r>
      <w:r w:rsidRPr="00D56E53">
        <w:rPr>
          <w:rFonts w:ascii="Times New Roman" w:hAnsi="Times New Roman" w:cs="Times New Roman"/>
          <w:b/>
          <w:noProof/>
          <w:sz w:val="24"/>
          <w:szCs w:val="24"/>
        </w:rPr>
        <w:t xml:space="preserve"> that have a si</w:t>
      </w:r>
      <w:r>
        <w:rPr>
          <w:rFonts w:ascii="Times New Roman" w:hAnsi="Times New Roman" w:cs="Times New Roman"/>
          <w:b/>
          <w:noProof/>
          <w:sz w:val="24"/>
          <w:szCs w:val="24"/>
        </w:rPr>
        <w:t>gnificant</w:t>
      </w:r>
      <w:r w:rsidRPr="00D56E53">
        <w:rPr>
          <w:rFonts w:ascii="Times New Roman" w:hAnsi="Times New Roman" w:cs="Times New Roman"/>
          <w:b/>
          <w:noProof/>
          <w:sz w:val="24"/>
          <w:szCs w:val="24"/>
        </w:rPr>
        <w:t xml:space="preserve"> impact on households</w:t>
      </w:r>
      <w:r>
        <w:rPr>
          <w:rFonts w:ascii="Times New Roman" w:hAnsi="Times New Roman" w:cs="Times New Roman"/>
          <w:b/>
          <w:noProof/>
          <w:sz w:val="24"/>
          <w:szCs w:val="24"/>
        </w:rPr>
        <w:t>’</w:t>
      </w:r>
      <w:r w:rsidRPr="00D56E53">
        <w:rPr>
          <w:rFonts w:ascii="Times New Roman" w:hAnsi="Times New Roman" w:cs="Times New Roman"/>
          <w:b/>
          <w:noProof/>
          <w:sz w:val="24"/>
          <w:szCs w:val="24"/>
        </w:rPr>
        <w:t xml:space="preserve"> incomes</w:t>
      </w:r>
      <w:r w:rsidRPr="00D56E53">
        <w:rPr>
          <w:rFonts w:ascii="Times New Roman" w:hAnsi="Times New Roman" w:cs="Times New Roman"/>
          <w:noProof/>
          <w:sz w:val="24"/>
          <w:szCs w:val="24"/>
        </w:rPr>
        <w:t xml:space="preserve">. </w:t>
      </w:r>
      <w:r>
        <w:rPr>
          <w:rFonts w:ascii="Times New Roman" w:hAnsi="Times New Roman" w:cs="Times New Roman"/>
          <w:noProof/>
          <w:sz w:val="24"/>
          <w:szCs w:val="24"/>
        </w:rPr>
        <w:t>A useful yardstick</w:t>
      </w:r>
      <w:r w:rsidRPr="00D56E53">
        <w:rPr>
          <w:rFonts w:ascii="Times New Roman" w:hAnsi="Times New Roman" w:cs="Times New Roman"/>
          <w:noProof/>
          <w:sz w:val="24"/>
          <w:szCs w:val="24"/>
        </w:rPr>
        <w:t xml:space="preserve"> for </w:t>
      </w:r>
      <w:r>
        <w:rPr>
          <w:rFonts w:ascii="Times New Roman" w:hAnsi="Times New Roman" w:cs="Times New Roman"/>
          <w:noProof/>
          <w:sz w:val="24"/>
          <w:szCs w:val="24"/>
        </w:rPr>
        <w:t>decid</w:t>
      </w:r>
      <w:r w:rsidRPr="00D56E53">
        <w:rPr>
          <w:rFonts w:ascii="Times New Roman" w:hAnsi="Times New Roman" w:cs="Times New Roman"/>
          <w:noProof/>
          <w:sz w:val="24"/>
          <w:szCs w:val="24"/>
        </w:rPr>
        <w:t xml:space="preserve">ing whether the </w:t>
      </w:r>
      <w:r w:rsidR="00AA6E2D">
        <w:rPr>
          <w:rFonts w:ascii="Times New Roman" w:hAnsi="Times New Roman" w:cs="Times New Roman"/>
          <w:noProof/>
          <w:sz w:val="24"/>
          <w:szCs w:val="24"/>
        </w:rPr>
        <w:t>policy</w:t>
      </w:r>
      <w:r w:rsidRPr="00D56E53">
        <w:rPr>
          <w:rFonts w:ascii="Times New Roman" w:hAnsi="Times New Roman" w:cs="Times New Roman"/>
          <w:noProof/>
          <w:sz w:val="24"/>
          <w:szCs w:val="24"/>
        </w:rPr>
        <w:t xml:space="preserve"> has a sizeable effect is </w:t>
      </w:r>
      <w:r>
        <w:rPr>
          <w:rFonts w:ascii="Times New Roman" w:hAnsi="Times New Roman" w:cs="Times New Roman"/>
          <w:noProof/>
          <w:sz w:val="24"/>
          <w:szCs w:val="24"/>
        </w:rPr>
        <w:t xml:space="preserve">to consider </w:t>
      </w:r>
      <w:r w:rsidRPr="00D56E53">
        <w:rPr>
          <w:rFonts w:ascii="Times New Roman" w:hAnsi="Times New Roman" w:cs="Times New Roman"/>
          <w:noProof/>
          <w:sz w:val="24"/>
          <w:szCs w:val="24"/>
        </w:rPr>
        <w:t>whether it corresponds to a change higher than 0.1% of GDP</w:t>
      </w:r>
      <w:r>
        <w:rPr>
          <w:rFonts w:ascii="Times New Roman" w:hAnsi="Times New Roman" w:cs="Times New Roman"/>
          <w:noProof/>
          <w:sz w:val="24"/>
          <w:szCs w:val="24"/>
        </w:rPr>
        <w:t>.</w:t>
      </w:r>
      <w:r w:rsidRPr="00D56E53">
        <w:rPr>
          <w:rFonts w:ascii="Times New Roman" w:hAnsi="Times New Roman" w:cs="Times New Roman"/>
          <w:noProof/>
          <w:sz w:val="24"/>
          <w:szCs w:val="24"/>
        </w:rPr>
        <w:t xml:space="preserve"> </w:t>
      </w:r>
      <w:r w:rsidRPr="008767ED">
        <w:rPr>
          <w:rFonts w:ascii="Times New Roman" w:hAnsi="Times New Roman" w:cs="Times New Roman"/>
          <w:noProof/>
          <w:sz w:val="24"/>
          <w:szCs w:val="24"/>
        </w:rPr>
        <w:t>Beyond measures with a large budgetary impact, it also suggested that DIA be performed for those measures that have the potential to redistribute more than 0.1% of GDP in disposable income between different population groups (even though those measures may have a net overall budgetary impact of less than 0.1% of GDP). The population groups to consider here are whichever groups are most relevant for the policy at hand. This will often refer to income deciles, but could equally refer to different age groups, urban-rural groups, wealth quantiles or indeed other categorisations</w:t>
      </w:r>
      <w:r>
        <w:rPr>
          <w:rFonts w:ascii="Times New Roman" w:hAnsi="Times New Roman" w:cs="Times New Roman"/>
          <w:noProof/>
          <w:sz w:val="24"/>
          <w:szCs w:val="24"/>
        </w:rPr>
        <w:t xml:space="preserve"> (e.g. tax brackets)</w:t>
      </w:r>
      <w:r w:rsidRPr="008767ED">
        <w:rPr>
          <w:rFonts w:ascii="Times New Roman" w:hAnsi="Times New Roman" w:cs="Times New Roman"/>
          <w:noProof/>
          <w:sz w:val="24"/>
          <w:szCs w:val="24"/>
        </w:rPr>
        <w:t>.</w:t>
      </w:r>
      <w:r>
        <w:rPr>
          <w:rFonts w:ascii="Times New Roman" w:hAnsi="Times New Roman" w:cs="Times New Roman"/>
          <w:noProof/>
          <w:sz w:val="24"/>
          <w:szCs w:val="24"/>
        </w:rPr>
        <w:t xml:space="preserve"> A qualitative judgement in terms of which measures to submit to DIA should complement the more quantitative considerations. </w:t>
      </w:r>
    </w:p>
    <w:p w14:paraId="3B7A420B" w14:textId="6A30998E" w:rsidR="001917CB" w:rsidRDefault="001917CB" w:rsidP="001917CB">
      <w:pPr>
        <w:spacing w:after="200" w:line="276" w:lineRule="auto"/>
        <w:jc w:val="both"/>
        <w:rPr>
          <w:rFonts w:ascii="Times New Roman" w:hAnsi="Times New Roman" w:cs="Times New Roman"/>
          <w:noProof/>
          <w:sz w:val="24"/>
          <w:szCs w:val="24"/>
        </w:rPr>
      </w:pPr>
      <w:r w:rsidRPr="00CF04CD">
        <w:rPr>
          <w:rFonts w:ascii="Times New Roman" w:hAnsi="Times New Roman" w:cs="Times New Roman"/>
          <w:b/>
          <w:noProof/>
          <w:sz w:val="24"/>
          <w:szCs w:val="24"/>
        </w:rPr>
        <w:t xml:space="preserve">Many </w:t>
      </w:r>
      <w:r>
        <w:rPr>
          <w:rFonts w:ascii="Times New Roman" w:hAnsi="Times New Roman" w:cs="Times New Roman"/>
          <w:b/>
          <w:noProof/>
          <w:sz w:val="24"/>
          <w:szCs w:val="24"/>
        </w:rPr>
        <w:t>M</w:t>
      </w:r>
      <w:r w:rsidRPr="00CF04CD">
        <w:rPr>
          <w:rFonts w:ascii="Times New Roman" w:hAnsi="Times New Roman" w:cs="Times New Roman"/>
          <w:b/>
          <w:noProof/>
          <w:sz w:val="24"/>
          <w:szCs w:val="24"/>
        </w:rPr>
        <w:t xml:space="preserve">ember </w:t>
      </w:r>
      <w:r>
        <w:rPr>
          <w:rFonts w:ascii="Times New Roman" w:hAnsi="Times New Roman" w:cs="Times New Roman"/>
          <w:b/>
          <w:noProof/>
          <w:sz w:val="24"/>
          <w:szCs w:val="24"/>
        </w:rPr>
        <w:t>S</w:t>
      </w:r>
      <w:r w:rsidRPr="00CF04CD">
        <w:rPr>
          <w:rFonts w:ascii="Times New Roman" w:hAnsi="Times New Roman" w:cs="Times New Roman"/>
          <w:b/>
          <w:noProof/>
          <w:sz w:val="24"/>
          <w:szCs w:val="24"/>
        </w:rPr>
        <w:t>tates analyse</w:t>
      </w:r>
      <w:r>
        <w:rPr>
          <w:rFonts w:ascii="Times New Roman" w:hAnsi="Times New Roman" w:cs="Times New Roman"/>
          <w:b/>
          <w:noProof/>
          <w:sz w:val="24"/>
          <w:szCs w:val="24"/>
        </w:rPr>
        <w:t xml:space="preserve"> the impact of</w:t>
      </w:r>
      <w:r w:rsidRPr="00CF04CD">
        <w:rPr>
          <w:rFonts w:ascii="Times New Roman" w:hAnsi="Times New Roman" w:cs="Times New Roman"/>
          <w:b/>
          <w:noProof/>
          <w:sz w:val="24"/>
          <w:szCs w:val="24"/>
        </w:rPr>
        <w:t xml:space="preserve"> </w:t>
      </w:r>
      <w:r w:rsidR="00AA6E2D">
        <w:rPr>
          <w:rFonts w:ascii="Times New Roman" w:hAnsi="Times New Roman" w:cs="Times New Roman"/>
          <w:b/>
          <w:noProof/>
          <w:sz w:val="24"/>
          <w:szCs w:val="24"/>
        </w:rPr>
        <w:t>policies</w:t>
      </w:r>
      <w:r w:rsidRPr="00CF04CD">
        <w:rPr>
          <w:rFonts w:ascii="Times New Roman" w:hAnsi="Times New Roman" w:cs="Times New Roman"/>
          <w:b/>
          <w:noProof/>
          <w:sz w:val="24"/>
          <w:szCs w:val="24"/>
        </w:rPr>
        <w:t xml:space="preserve"> both separately and jointly</w:t>
      </w:r>
      <w:r w:rsidRPr="00DC0AEA">
        <w:rPr>
          <w:rFonts w:ascii="Times New Roman" w:hAnsi="Times New Roman" w:cs="Times New Roman"/>
          <w:noProof/>
          <w:sz w:val="24"/>
          <w:szCs w:val="24"/>
        </w:rPr>
        <w:t xml:space="preserve"> (BE, CZ, DK, EE most of the time, EL, FR, HR, HU, IE, IT, LV most of the time, MT, NL, RO, FI, SE)</w:t>
      </w:r>
      <w:r>
        <w:rPr>
          <w:rFonts w:ascii="Times New Roman" w:hAnsi="Times New Roman" w:cs="Times New Roman"/>
          <w:noProof/>
          <w:sz w:val="24"/>
          <w:szCs w:val="24"/>
        </w:rPr>
        <w:t xml:space="preserve">. </w:t>
      </w:r>
      <w:r w:rsidRPr="00DC0AEA">
        <w:rPr>
          <w:rFonts w:ascii="Times New Roman" w:hAnsi="Times New Roman" w:cs="Times New Roman"/>
          <w:noProof/>
          <w:sz w:val="24"/>
          <w:szCs w:val="24"/>
        </w:rPr>
        <w:t xml:space="preserve"> </w:t>
      </w:r>
      <w:r>
        <w:rPr>
          <w:rFonts w:ascii="Times New Roman" w:hAnsi="Times New Roman" w:cs="Times New Roman"/>
          <w:noProof/>
          <w:sz w:val="24"/>
          <w:szCs w:val="24"/>
        </w:rPr>
        <w:t xml:space="preserve">In </w:t>
      </w:r>
      <w:r w:rsidRPr="00DC0AEA">
        <w:rPr>
          <w:rFonts w:ascii="Times New Roman" w:hAnsi="Times New Roman" w:cs="Times New Roman"/>
          <w:noProof/>
          <w:sz w:val="24"/>
          <w:szCs w:val="24"/>
        </w:rPr>
        <w:t>P</w:t>
      </w:r>
      <w:r>
        <w:rPr>
          <w:rFonts w:ascii="Times New Roman" w:hAnsi="Times New Roman" w:cs="Times New Roman"/>
          <w:noProof/>
          <w:sz w:val="24"/>
          <w:szCs w:val="24"/>
        </w:rPr>
        <w:t xml:space="preserve">ortugal and Slovakia, the measures are considered separately. </w:t>
      </w:r>
      <w:r w:rsidRPr="00DC0AEA">
        <w:rPr>
          <w:rFonts w:ascii="Times New Roman" w:hAnsi="Times New Roman" w:cs="Times New Roman"/>
          <w:noProof/>
          <w:sz w:val="24"/>
          <w:szCs w:val="24"/>
        </w:rPr>
        <w:t xml:space="preserve">When measures are analysed jointly, separate effects might also be shown (CZ). </w:t>
      </w:r>
      <w:r w:rsidRPr="00C57DFB">
        <w:rPr>
          <w:rFonts w:ascii="Times New Roman" w:hAnsi="Times New Roman" w:cs="Times New Roman"/>
          <w:noProof/>
          <w:sz w:val="24"/>
          <w:szCs w:val="24"/>
        </w:rPr>
        <w:t>In the Netherlands, all the policies are combined and a single joint DIA is performed on their total impact.</w:t>
      </w:r>
    </w:p>
    <w:p w14:paraId="17386D28" w14:textId="402D05A9" w:rsidR="001917CB" w:rsidRPr="004B203D" w:rsidRDefault="00870C25" w:rsidP="008F1389">
      <w:pPr>
        <w:pStyle w:val="Heading2"/>
        <w:numPr>
          <w:ilvl w:val="0"/>
          <w:numId w:val="28"/>
        </w:numPr>
        <w:spacing w:before="120" w:after="120"/>
        <w:ind w:left="714" w:hanging="357"/>
        <w:rPr>
          <w:rFonts w:ascii="Times New Roman" w:hAnsi="Times New Roman" w:cs="Times New Roman"/>
          <w:noProof/>
        </w:rPr>
      </w:pPr>
      <w:bookmarkStart w:id="7" w:name="_Toc114470587"/>
      <w:r>
        <w:rPr>
          <w:rFonts w:ascii="Times New Roman" w:hAnsi="Times New Roman" w:cs="Times New Roman"/>
          <w:noProof/>
        </w:rPr>
        <w:t xml:space="preserve">What policy areas to choose for DIAs and what length of time </w:t>
      </w:r>
      <w:r w:rsidR="00EC6EB8">
        <w:rPr>
          <w:rFonts w:ascii="Times New Roman" w:hAnsi="Times New Roman" w:cs="Times New Roman"/>
          <w:noProof/>
        </w:rPr>
        <w:t>to consider?</w:t>
      </w:r>
      <w:bookmarkEnd w:id="7"/>
    </w:p>
    <w:p w14:paraId="6E77987B" w14:textId="77777777" w:rsidR="001917CB" w:rsidRPr="00D56E53" w:rsidRDefault="001917CB" w:rsidP="001917CB">
      <w:pPr>
        <w:jc w:val="both"/>
        <w:rPr>
          <w:rFonts w:ascii="Times New Roman" w:hAnsi="Times New Roman" w:cs="Times New Roman"/>
          <w:noProof/>
          <w:sz w:val="24"/>
          <w:szCs w:val="24"/>
        </w:rPr>
      </w:pPr>
      <w:r w:rsidRPr="00D56E53">
        <w:rPr>
          <w:rFonts w:ascii="Times New Roman" w:hAnsi="Times New Roman" w:cs="Times New Roman"/>
          <w:b/>
          <w:noProof/>
          <w:sz w:val="24"/>
          <w:szCs w:val="24"/>
        </w:rPr>
        <w:t>Conducting DIA based on a microsimulation model enables estimating the effect of a number of types of polic</w:t>
      </w:r>
      <w:r>
        <w:rPr>
          <w:rFonts w:ascii="Times New Roman" w:hAnsi="Times New Roman" w:cs="Times New Roman"/>
          <w:b/>
          <w:noProof/>
          <w:sz w:val="24"/>
          <w:szCs w:val="24"/>
        </w:rPr>
        <w:t xml:space="preserve">ies, </w:t>
      </w:r>
      <w:r w:rsidRPr="00C11D08">
        <w:rPr>
          <w:rFonts w:ascii="Times New Roman" w:hAnsi="Times New Roman" w:cs="Times New Roman"/>
          <w:noProof/>
          <w:sz w:val="24"/>
          <w:szCs w:val="24"/>
        </w:rPr>
        <w:t>in particular d</w:t>
      </w:r>
      <w:r w:rsidRPr="00D56E53">
        <w:rPr>
          <w:rFonts w:ascii="Times New Roman" w:hAnsi="Times New Roman" w:cs="Times New Roman"/>
          <w:noProof/>
          <w:sz w:val="24"/>
          <w:szCs w:val="24"/>
        </w:rPr>
        <w:t>irect taxation</w:t>
      </w:r>
      <w:r>
        <w:rPr>
          <w:rFonts w:ascii="Times New Roman" w:hAnsi="Times New Roman" w:cs="Times New Roman"/>
          <w:noProof/>
          <w:sz w:val="24"/>
          <w:szCs w:val="24"/>
        </w:rPr>
        <w:t xml:space="preserve"> and various benefits, but also </w:t>
      </w:r>
      <w:r w:rsidRPr="00D56E53">
        <w:rPr>
          <w:rFonts w:ascii="Times New Roman" w:hAnsi="Times New Roman" w:cs="Times New Roman"/>
          <w:noProof/>
          <w:sz w:val="24"/>
          <w:szCs w:val="24"/>
        </w:rPr>
        <w:t xml:space="preserve">indirect taxation, non-cash benefits and wealth </w:t>
      </w:r>
      <w:r>
        <w:rPr>
          <w:rFonts w:ascii="Times New Roman" w:hAnsi="Times New Roman" w:cs="Times New Roman"/>
          <w:noProof/>
          <w:sz w:val="24"/>
          <w:szCs w:val="24"/>
        </w:rPr>
        <w:t>taxes</w:t>
      </w:r>
      <w:r w:rsidRPr="00D56E53">
        <w:rPr>
          <w:rFonts w:ascii="Times New Roman" w:hAnsi="Times New Roman" w:cs="Times New Roman"/>
          <w:noProof/>
          <w:sz w:val="24"/>
          <w:szCs w:val="24"/>
        </w:rPr>
        <w:t xml:space="preserve">, depending on the model </w:t>
      </w:r>
      <w:r>
        <w:rPr>
          <w:rFonts w:ascii="Times New Roman" w:hAnsi="Times New Roman" w:cs="Times New Roman"/>
          <w:noProof/>
          <w:sz w:val="24"/>
          <w:szCs w:val="24"/>
        </w:rPr>
        <w:t xml:space="preserve">and data </w:t>
      </w:r>
      <w:r w:rsidRPr="00D56E53">
        <w:rPr>
          <w:rFonts w:ascii="Times New Roman" w:hAnsi="Times New Roman" w:cs="Times New Roman"/>
          <w:noProof/>
          <w:sz w:val="24"/>
          <w:szCs w:val="24"/>
        </w:rPr>
        <w:t xml:space="preserve">in question. </w:t>
      </w:r>
    </w:p>
    <w:p w14:paraId="7D21A349" w14:textId="77777777" w:rsidR="001917CB" w:rsidRPr="00D56E53" w:rsidRDefault="001917CB" w:rsidP="001917CB">
      <w:pPr>
        <w:jc w:val="both"/>
        <w:rPr>
          <w:rFonts w:ascii="Times New Roman" w:hAnsi="Times New Roman" w:cs="Times New Roman"/>
          <w:noProof/>
          <w:sz w:val="24"/>
          <w:szCs w:val="24"/>
        </w:rPr>
      </w:pPr>
      <w:r w:rsidRPr="00D56E53">
        <w:rPr>
          <w:rFonts w:ascii="Times New Roman" w:hAnsi="Times New Roman" w:cs="Times New Roman"/>
          <w:b/>
          <w:noProof/>
          <w:sz w:val="24"/>
          <w:szCs w:val="24"/>
        </w:rPr>
        <w:t xml:space="preserve">Standard microsimulation models </w:t>
      </w:r>
      <w:r>
        <w:rPr>
          <w:rFonts w:ascii="Times New Roman" w:hAnsi="Times New Roman" w:cs="Times New Roman"/>
          <w:b/>
          <w:noProof/>
          <w:sz w:val="24"/>
          <w:szCs w:val="24"/>
        </w:rPr>
        <w:t>allow first and foremost simulating the impact of changes to</w:t>
      </w:r>
      <w:r w:rsidRPr="00D56E53">
        <w:rPr>
          <w:rFonts w:ascii="Times New Roman" w:hAnsi="Times New Roman" w:cs="Times New Roman"/>
          <w:b/>
          <w:noProof/>
          <w:sz w:val="24"/>
          <w:szCs w:val="24"/>
        </w:rPr>
        <w:t xml:space="preserve"> direct personal taxes (as well as social security contributions) and social benefits.</w:t>
      </w:r>
      <w:r w:rsidRPr="00D56E53">
        <w:rPr>
          <w:rFonts w:ascii="Times New Roman" w:hAnsi="Times New Roman" w:cs="Times New Roman"/>
          <w:noProof/>
          <w:sz w:val="24"/>
          <w:szCs w:val="24"/>
        </w:rPr>
        <w:t xml:space="preserve"> </w:t>
      </w:r>
      <w:r>
        <w:rPr>
          <w:rFonts w:ascii="Times New Roman" w:hAnsi="Times New Roman" w:cs="Times New Roman"/>
          <w:noProof/>
          <w:sz w:val="24"/>
          <w:szCs w:val="24"/>
        </w:rPr>
        <w:t>Almost all Member S</w:t>
      </w:r>
      <w:r w:rsidRPr="00EF5AFE">
        <w:rPr>
          <w:rFonts w:ascii="Times New Roman" w:hAnsi="Times New Roman" w:cs="Times New Roman"/>
          <w:noProof/>
          <w:sz w:val="24"/>
          <w:szCs w:val="24"/>
        </w:rPr>
        <w:t xml:space="preserve">tates </w:t>
      </w:r>
      <w:r>
        <w:rPr>
          <w:rFonts w:ascii="Times New Roman" w:hAnsi="Times New Roman" w:cs="Times New Roman"/>
          <w:noProof/>
          <w:sz w:val="24"/>
          <w:szCs w:val="24"/>
        </w:rPr>
        <w:t>run DIA on changes in direct taxes and social benefits</w:t>
      </w:r>
      <w:r w:rsidRPr="00EF5AFE">
        <w:rPr>
          <w:rFonts w:ascii="Times New Roman" w:hAnsi="Times New Roman" w:cs="Times New Roman"/>
          <w:noProof/>
          <w:sz w:val="24"/>
          <w:szCs w:val="24"/>
        </w:rPr>
        <w:t xml:space="preserve">. Examples of specific benefits analysed include support for the elderly (BE, SE), minimum state old age pension (LV) support for </w:t>
      </w:r>
      <w:r>
        <w:rPr>
          <w:rFonts w:ascii="Times New Roman" w:hAnsi="Times New Roman" w:cs="Times New Roman"/>
          <w:noProof/>
          <w:sz w:val="24"/>
          <w:szCs w:val="24"/>
        </w:rPr>
        <w:t>persons with disabilities</w:t>
      </w:r>
      <w:r w:rsidRPr="00EF5AFE">
        <w:rPr>
          <w:rFonts w:ascii="Times New Roman" w:hAnsi="Times New Roman" w:cs="Times New Roman"/>
          <w:noProof/>
          <w:sz w:val="24"/>
          <w:szCs w:val="24"/>
        </w:rPr>
        <w:t xml:space="preserve"> (BE), disability insurance benefits (BE), minimum state disability pension (LV), child benefits (BE, HR), unemployment insurance benefits (BE, SE), sickness benefits (BE, SE), maternity and parental benefits (HR, SE), minimum income reform (LV), in-work benefit (MT), social assistance </w:t>
      </w:r>
      <w:r>
        <w:rPr>
          <w:rFonts w:ascii="Times New Roman" w:hAnsi="Times New Roman" w:cs="Times New Roman"/>
          <w:noProof/>
          <w:sz w:val="24"/>
          <w:szCs w:val="24"/>
        </w:rPr>
        <w:t xml:space="preserve">(MT), housing benefits (SE). </w:t>
      </w:r>
      <w:r w:rsidRPr="00EF5AFE">
        <w:rPr>
          <w:rFonts w:ascii="Times New Roman" w:hAnsi="Times New Roman" w:cs="Times New Roman"/>
          <w:noProof/>
          <w:sz w:val="24"/>
          <w:szCs w:val="24"/>
        </w:rPr>
        <w:t xml:space="preserve">   </w:t>
      </w:r>
    </w:p>
    <w:p w14:paraId="0E822A6C" w14:textId="7DBD54B0" w:rsidR="001917CB" w:rsidRPr="00D56E53" w:rsidRDefault="001917CB" w:rsidP="001917CB">
      <w:pPr>
        <w:jc w:val="both"/>
        <w:rPr>
          <w:rFonts w:ascii="Times New Roman" w:hAnsi="Times New Roman" w:cs="Times New Roman"/>
          <w:noProof/>
          <w:sz w:val="24"/>
          <w:szCs w:val="24"/>
        </w:rPr>
      </w:pPr>
      <w:r w:rsidRPr="00D56E53">
        <w:rPr>
          <w:rFonts w:ascii="Times New Roman" w:hAnsi="Times New Roman" w:cs="Times New Roman"/>
          <w:b/>
          <w:noProof/>
          <w:sz w:val="24"/>
          <w:szCs w:val="24"/>
        </w:rPr>
        <w:t>Another major category of household taxation is consumption taxes (mostly value-added tax and excise).</w:t>
      </w:r>
      <w:r w:rsidRPr="00D56E53">
        <w:rPr>
          <w:rFonts w:ascii="Times New Roman" w:hAnsi="Times New Roman" w:cs="Times New Roman"/>
          <w:noProof/>
          <w:sz w:val="24"/>
          <w:szCs w:val="24"/>
        </w:rPr>
        <w:t xml:space="preserve"> Estimating their distributional effect requires a model integrating consumption data. In general, expenditure data can be imputed, or is available alongside detailed income data in a household budget survey, which is usually collected separately from the income and living conditions surveys. The effect of changes to indirect tax</w:t>
      </w:r>
      <w:r>
        <w:rPr>
          <w:rFonts w:ascii="Times New Roman" w:hAnsi="Times New Roman" w:cs="Times New Roman"/>
          <w:noProof/>
          <w:sz w:val="24"/>
          <w:szCs w:val="24"/>
        </w:rPr>
        <w:t>es</w:t>
      </w:r>
      <w:r w:rsidRPr="00D56E53">
        <w:rPr>
          <w:rFonts w:ascii="Times New Roman" w:hAnsi="Times New Roman" w:cs="Times New Roman"/>
          <w:noProof/>
          <w:sz w:val="24"/>
          <w:szCs w:val="24"/>
        </w:rPr>
        <w:t xml:space="preserve"> can be estimated across the income distribution and added to the effect of changes to direct tax</w:t>
      </w:r>
      <w:r>
        <w:rPr>
          <w:rFonts w:ascii="Times New Roman" w:hAnsi="Times New Roman" w:cs="Times New Roman"/>
          <w:noProof/>
          <w:sz w:val="24"/>
          <w:szCs w:val="24"/>
        </w:rPr>
        <w:t>es</w:t>
      </w:r>
      <w:r w:rsidRPr="00D56E53">
        <w:rPr>
          <w:rFonts w:ascii="Times New Roman" w:hAnsi="Times New Roman" w:cs="Times New Roman"/>
          <w:noProof/>
          <w:sz w:val="24"/>
          <w:szCs w:val="24"/>
        </w:rPr>
        <w:t xml:space="preserve"> and </w:t>
      </w:r>
      <w:r>
        <w:rPr>
          <w:rFonts w:ascii="Times New Roman" w:hAnsi="Times New Roman" w:cs="Times New Roman"/>
          <w:noProof/>
          <w:sz w:val="24"/>
          <w:szCs w:val="24"/>
        </w:rPr>
        <w:t xml:space="preserve">benefits </w:t>
      </w:r>
      <w:r w:rsidRPr="00D56E53">
        <w:rPr>
          <w:rFonts w:ascii="Times New Roman" w:hAnsi="Times New Roman" w:cs="Times New Roman"/>
          <w:noProof/>
          <w:sz w:val="24"/>
          <w:szCs w:val="24"/>
        </w:rPr>
        <w:t xml:space="preserve">in order to give the distributional effect of the package of reforms. This functionality is for instance available in </w:t>
      </w:r>
      <w:r>
        <w:rPr>
          <w:rFonts w:ascii="Times New Roman" w:hAnsi="Times New Roman" w:cs="Times New Roman"/>
          <w:noProof/>
          <w:sz w:val="24"/>
          <w:szCs w:val="24"/>
        </w:rPr>
        <w:t xml:space="preserve">the </w:t>
      </w:r>
      <w:r w:rsidRPr="00D56E53">
        <w:rPr>
          <w:rFonts w:ascii="Times New Roman" w:hAnsi="Times New Roman" w:cs="Times New Roman"/>
          <w:noProof/>
          <w:sz w:val="24"/>
          <w:szCs w:val="24"/>
        </w:rPr>
        <w:t>EUROMOD</w:t>
      </w:r>
      <w:r>
        <w:rPr>
          <w:rFonts w:ascii="Times New Roman" w:hAnsi="Times New Roman" w:cs="Times New Roman"/>
          <w:noProof/>
          <w:sz w:val="24"/>
          <w:szCs w:val="24"/>
        </w:rPr>
        <w:t xml:space="preserve"> Indirect Tax Tool (</w:t>
      </w:r>
      <w:r w:rsidRPr="00FE679C">
        <w:rPr>
          <w:rFonts w:ascii="Times New Roman" w:hAnsi="Times New Roman" w:cs="Times New Roman"/>
          <w:noProof/>
          <w:sz w:val="24"/>
          <w:szCs w:val="24"/>
        </w:rPr>
        <w:t xml:space="preserve">see Box </w:t>
      </w:r>
      <w:r w:rsidR="00FE679C">
        <w:rPr>
          <w:rFonts w:ascii="Times New Roman" w:hAnsi="Times New Roman" w:cs="Times New Roman"/>
          <w:noProof/>
          <w:sz w:val="24"/>
          <w:szCs w:val="24"/>
        </w:rPr>
        <w:t>6</w:t>
      </w:r>
      <w:r>
        <w:rPr>
          <w:rFonts w:ascii="Times New Roman" w:hAnsi="Times New Roman" w:cs="Times New Roman"/>
          <w:noProof/>
          <w:sz w:val="24"/>
          <w:szCs w:val="24"/>
        </w:rPr>
        <w:t>)</w:t>
      </w:r>
      <w:r w:rsidRPr="00D56E53">
        <w:rPr>
          <w:rFonts w:ascii="Times New Roman" w:hAnsi="Times New Roman" w:cs="Times New Roman"/>
          <w:noProof/>
          <w:sz w:val="24"/>
          <w:szCs w:val="24"/>
        </w:rPr>
        <w:t xml:space="preserve">. </w:t>
      </w:r>
      <w:r>
        <w:rPr>
          <w:rFonts w:ascii="Times New Roman" w:hAnsi="Times New Roman" w:cs="Times New Roman"/>
          <w:noProof/>
          <w:sz w:val="24"/>
          <w:szCs w:val="24"/>
        </w:rPr>
        <w:t>Consumption taxes are an</w:t>
      </w:r>
      <w:r w:rsidRPr="00D56E53">
        <w:rPr>
          <w:rFonts w:ascii="Times New Roman" w:hAnsi="Times New Roman" w:cs="Times New Roman"/>
          <w:noProof/>
          <w:sz w:val="24"/>
          <w:szCs w:val="24"/>
        </w:rPr>
        <w:t xml:space="preserve"> important policy area as distributional impact of changes to </w:t>
      </w:r>
      <w:r>
        <w:rPr>
          <w:rFonts w:ascii="Times New Roman" w:hAnsi="Times New Roman" w:cs="Times New Roman"/>
          <w:noProof/>
          <w:sz w:val="24"/>
          <w:szCs w:val="24"/>
        </w:rPr>
        <w:t>them</w:t>
      </w:r>
      <w:r w:rsidRPr="00D56E53">
        <w:rPr>
          <w:rFonts w:ascii="Times New Roman" w:hAnsi="Times New Roman" w:cs="Times New Roman"/>
          <w:noProof/>
          <w:sz w:val="24"/>
          <w:szCs w:val="24"/>
        </w:rPr>
        <w:t xml:space="preserve"> tend</w:t>
      </w:r>
      <w:r>
        <w:rPr>
          <w:rFonts w:ascii="Times New Roman" w:hAnsi="Times New Roman" w:cs="Times New Roman"/>
          <w:noProof/>
          <w:sz w:val="24"/>
          <w:szCs w:val="24"/>
        </w:rPr>
        <w:t>s</w:t>
      </w:r>
      <w:r w:rsidRPr="00D56E53">
        <w:rPr>
          <w:rFonts w:ascii="Times New Roman" w:hAnsi="Times New Roman" w:cs="Times New Roman"/>
          <w:noProof/>
          <w:sz w:val="24"/>
          <w:szCs w:val="24"/>
        </w:rPr>
        <w:t xml:space="preserve"> to be large and often regressive as lower income households spend a larger portion of their income on goods and services (</w:t>
      </w:r>
      <w:r w:rsidRPr="00560057">
        <w:rPr>
          <w:rFonts w:ascii="Times New Roman" w:hAnsi="Times New Roman" w:cs="Times New Roman"/>
          <w:noProof/>
          <w:sz w:val="24"/>
          <w:szCs w:val="24"/>
        </w:rPr>
        <w:t>see for instance Savage, 2017)</w:t>
      </w:r>
      <w:r w:rsidRPr="00560057">
        <w:rPr>
          <w:rStyle w:val="FootnoteReference"/>
          <w:rFonts w:ascii="Times New Roman" w:hAnsi="Times New Roman" w:cs="Times New Roman"/>
          <w:noProof/>
          <w:sz w:val="24"/>
          <w:szCs w:val="24"/>
        </w:rPr>
        <w:footnoteReference w:id="28"/>
      </w:r>
      <w:r w:rsidRPr="00560057">
        <w:rPr>
          <w:rFonts w:ascii="Times New Roman" w:hAnsi="Times New Roman" w:cs="Times New Roman"/>
          <w:noProof/>
          <w:sz w:val="24"/>
          <w:szCs w:val="24"/>
        </w:rPr>
        <w:t>.</w:t>
      </w:r>
      <w:r w:rsidRPr="00D56E53">
        <w:rPr>
          <w:rFonts w:ascii="Times New Roman" w:hAnsi="Times New Roman" w:cs="Times New Roman"/>
          <w:noProof/>
          <w:sz w:val="24"/>
          <w:szCs w:val="24"/>
        </w:rPr>
        <w:t xml:space="preserve"> The importance of integrated direct tax-benefit and indirect tax modelling </w:t>
      </w:r>
      <w:r>
        <w:rPr>
          <w:rFonts w:ascii="Times New Roman" w:hAnsi="Times New Roman" w:cs="Times New Roman"/>
          <w:noProof/>
          <w:sz w:val="24"/>
          <w:szCs w:val="24"/>
        </w:rPr>
        <w:t>has grown in the context of the green transition</w:t>
      </w:r>
      <w:r w:rsidRPr="00D56E53">
        <w:rPr>
          <w:rFonts w:ascii="Times New Roman" w:hAnsi="Times New Roman" w:cs="Times New Roman"/>
          <w:noProof/>
          <w:sz w:val="24"/>
          <w:szCs w:val="24"/>
        </w:rPr>
        <w:t>. Research has shown that the disproportionate effect of carbon tax increases on low-income households can be offset by recycling the revenue generated from the carbon tax into tax cuts and increases in social welfare rates</w:t>
      </w:r>
      <w:r>
        <w:rPr>
          <w:rStyle w:val="FootnoteReference"/>
          <w:rFonts w:ascii="Times New Roman" w:hAnsi="Times New Roman" w:cs="Times New Roman"/>
          <w:noProof/>
          <w:sz w:val="24"/>
          <w:szCs w:val="24"/>
        </w:rPr>
        <w:footnoteReference w:id="29"/>
      </w:r>
      <w:r w:rsidRPr="00D56E53">
        <w:rPr>
          <w:rFonts w:ascii="Times New Roman" w:hAnsi="Times New Roman" w:cs="Times New Roman"/>
          <w:noProof/>
          <w:sz w:val="24"/>
          <w:szCs w:val="24"/>
        </w:rPr>
        <w:t>.</w:t>
      </w:r>
      <w:r>
        <w:rPr>
          <w:rFonts w:ascii="Times New Roman" w:hAnsi="Times New Roman" w:cs="Times New Roman"/>
          <w:noProof/>
          <w:sz w:val="24"/>
          <w:szCs w:val="24"/>
        </w:rPr>
        <w:t xml:space="preserve"> This also concerns the </w:t>
      </w:r>
      <w:r w:rsidRPr="006C75CF">
        <w:rPr>
          <w:rFonts w:ascii="Times New Roman" w:hAnsi="Times New Roman" w:cs="Times New Roman"/>
          <w:noProof/>
          <w:sz w:val="24"/>
          <w:szCs w:val="24"/>
        </w:rPr>
        <w:t>Social Climate Fund using revenues from the E</w:t>
      </w:r>
      <w:r>
        <w:rPr>
          <w:rFonts w:ascii="Times New Roman" w:hAnsi="Times New Roman" w:cs="Times New Roman"/>
          <w:noProof/>
          <w:sz w:val="24"/>
          <w:szCs w:val="24"/>
        </w:rPr>
        <w:t xml:space="preserve">missions </w:t>
      </w:r>
      <w:r w:rsidRPr="006C75CF">
        <w:rPr>
          <w:rFonts w:ascii="Times New Roman" w:hAnsi="Times New Roman" w:cs="Times New Roman"/>
          <w:noProof/>
          <w:sz w:val="24"/>
          <w:szCs w:val="24"/>
        </w:rPr>
        <w:t>T</w:t>
      </w:r>
      <w:r>
        <w:rPr>
          <w:rFonts w:ascii="Times New Roman" w:hAnsi="Times New Roman" w:cs="Times New Roman"/>
          <w:noProof/>
          <w:sz w:val="24"/>
          <w:szCs w:val="24"/>
        </w:rPr>
        <w:t xml:space="preserve">rading </w:t>
      </w:r>
      <w:r w:rsidRPr="006C75CF">
        <w:rPr>
          <w:rFonts w:ascii="Times New Roman" w:hAnsi="Times New Roman" w:cs="Times New Roman"/>
          <w:noProof/>
          <w:sz w:val="24"/>
          <w:szCs w:val="24"/>
        </w:rPr>
        <w:t>Scheme</w:t>
      </w:r>
      <w:r>
        <w:rPr>
          <w:rFonts w:ascii="Times New Roman" w:hAnsi="Times New Roman" w:cs="Times New Roman"/>
          <w:noProof/>
          <w:sz w:val="24"/>
          <w:szCs w:val="24"/>
        </w:rPr>
        <w:t xml:space="preserve">. At the moment, only few Member States seem to be analysing </w:t>
      </w:r>
      <w:r w:rsidRPr="00EF5AFE">
        <w:rPr>
          <w:rFonts w:ascii="Times New Roman" w:hAnsi="Times New Roman" w:cs="Times New Roman"/>
          <w:noProof/>
          <w:sz w:val="24"/>
          <w:szCs w:val="24"/>
        </w:rPr>
        <w:t>indirect taxes</w:t>
      </w:r>
      <w:r>
        <w:rPr>
          <w:rFonts w:ascii="Times New Roman" w:hAnsi="Times New Roman" w:cs="Times New Roman"/>
          <w:noProof/>
          <w:sz w:val="24"/>
          <w:szCs w:val="24"/>
        </w:rPr>
        <w:t xml:space="preserve"> in their DIA</w:t>
      </w:r>
      <w:r w:rsidRPr="00EF5AFE">
        <w:rPr>
          <w:rFonts w:ascii="Times New Roman" w:hAnsi="Times New Roman" w:cs="Times New Roman"/>
          <w:noProof/>
          <w:sz w:val="24"/>
          <w:szCs w:val="24"/>
        </w:rPr>
        <w:t xml:space="preserve"> (DK, IE, IT, NL, SE).</w:t>
      </w:r>
    </w:p>
    <w:p w14:paraId="32A2314D" w14:textId="6366F153" w:rsidR="001917CB" w:rsidRPr="009E688B" w:rsidRDefault="001917CB" w:rsidP="001917CB">
      <w:pPr>
        <w:jc w:val="both"/>
        <w:rPr>
          <w:rFonts w:ascii="Times New Roman" w:hAnsi="Times New Roman" w:cs="Times New Roman"/>
          <w:noProof/>
          <w:sz w:val="24"/>
          <w:szCs w:val="24"/>
        </w:rPr>
      </w:pPr>
      <w:r w:rsidRPr="00186CFA">
        <w:rPr>
          <w:rFonts w:ascii="Times New Roman" w:hAnsi="Times New Roman" w:cs="Times New Roman"/>
          <w:b/>
          <w:noProof/>
          <w:sz w:val="24"/>
          <w:szCs w:val="24"/>
        </w:rPr>
        <w:t>Ideally, Member States should also be able to perform a DIA analysis on wealth tax reforms</w:t>
      </w:r>
      <w:r w:rsidRPr="00186CFA">
        <w:rPr>
          <w:rFonts w:ascii="Times New Roman" w:hAnsi="Times New Roman" w:cs="Times New Roman"/>
          <w:noProof/>
          <w:sz w:val="24"/>
          <w:szCs w:val="24"/>
        </w:rPr>
        <w:t xml:space="preserve">. Even though they can have significant distributional impacts, they are generally not taken into account in current models, due in particular to the lack of suitable underlying data. Estimating the effect of changes to wealth tax is not common but can be performed if the underlying model is linked to data with detailed wealth and asset data. Such data was first made available by the European Central Bank in a standardized fashion in the euro area with the Household Finance and Consumption Survey (HFCS), which can be incorporated in EUROMOD to allow for wealth tax modelling. </w:t>
      </w:r>
      <w:r w:rsidRPr="00560057">
        <w:rPr>
          <w:rFonts w:ascii="Times New Roman" w:hAnsi="Times New Roman" w:cs="Times New Roman"/>
          <w:noProof/>
          <w:sz w:val="24"/>
          <w:szCs w:val="24"/>
        </w:rPr>
        <w:t>Kuypers et al., (2017</w:t>
      </w:r>
      <w:r w:rsidRPr="00D56E53">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30"/>
      </w:r>
      <w:r w:rsidRPr="00D56E53">
        <w:rPr>
          <w:rFonts w:ascii="Times New Roman" w:hAnsi="Times New Roman" w:cs="Times New Roman"/>
          <w:noProof/>
          <w:sz w:val="24"/>
          <w:szCs w:val="24"/>
        </w:rPr>
        <w:t xml:space="preserve"> outline how the </w:t>
      </w:r>
      <w:r w:rsidRPr="00923B5A">
        <w:rPr>
          <w:rFonts w:ascii="Times New Roman" w:hAnsi="Times New Roman" w:cs="Times New Roman"/>
          <w:noProof/>
          <w:sz w:val="24"/>
          <w:szCs w:val="24"/>
        </w:rPr>
        <w:t xml:space="preserve">Household Finance and Consumption Survey </w:t>
      </w:r>
      <w:r w:rsidRPr="00D56E53">
        <w:rPr>
          <w:rFonts w:ascii="Times New Roman" w:hAnsi="Times New Roman" w:cs="Times New Roman"/>
          <w:noProof/>
          <w:sz w:val="24"/>
          <w:szCs w:val="24"/>
        </w:rPr>
        <w:t xml:space="preserve">can be incorporated in </w:t>
      </w:r>
      <w:r w:rsidRPr="00560057">
        <w:rPr>
          <w:rFonts w:ascii="Times New Roman" w:hAnsi="Times New Roman" w:cs="Times New Roman"/>
          <w:noProof/>
          <w:sz w:val="24"/>
          <w:szCs w:val="24"/>
        </w:rPr>
        <w:t xml:space="preserve">EUROMOD </w:t>
      </w:r>
      <w:r>
        <w:rPr>
          <w:rFonts w:ascii="Times New Roman" w:hAnsi="Times New Roman" w:cs="Times New Roman"/>
          <w:noProof/>
          <w:sz w:val="24"/>
          <w:szCs w:val="24"/>
        </w:rPr>
        <w:t>(</w:t>
      </w:r>
      <w:r w:rsidRPr="00FE679C">
        <w:rPr>
          <w:rFonts w:ascii="Times New Roman" w:hAnsi="Times New Roman" w:cs="Times New Roman"/>
          <w:noProof/>
          <w:sz w:val="24"/>
          <w:szCs w:val="24"/>
        </w:rPr>
        <w:t xml:space="preserve">also see Box </w:t>
      </w:r>
      <w:r w:rsidR="00FE679C">
        <w:rPr>
          <w:rFonts w:ascii="Times New Roman" w:hAnsi="Times New Roman" w:cs="Times New Roman"/>
          <w:noProof/>
          <w:sz w:val="24"/>
          <w:szCs w:val="24"/>
        </w:rPr>
        <w:t>6</w:t>
      </w:r>
      <w:r w:rsidRPr="00FE679C">
        <w:rPr>
          <w:rFonts w:ascii="Times New Roman" w:hAnsi="Times New Roman" w:cs="Times New Roman"/>
          <w:noProof/>
          <w:sz w:val="24"/>
          <w:szCs w:val="24"/>
        </w:rPr>
        <w:t xml:space="preserve"> for EWIGE</w:t>
      </w:r>
      <w:r>
        <w:rPr>
          <w:rFonts w:ascii="Times New Roman" w:hAnsi="Times New Roman" w:cs="Times New Roman"/>
          <w:noProof/>
          <w:sz w:val="24"/>
          <w:szCs w:val="24"/>
        </w:rPr>
        <w:t xml:space="preserve">) </w:t>
      </w:r>
      <w:r w:rsidRPr="00560057">
        <w:rPr>
          <w:rFonts w:ascii="Times New Roman" w:hAnsi="Times New Roman" w:cs="Times New Roman"/>
          <w:noProof/>
          <w:sz w:val="24"/>
          <w:szCs w:val="24"/>
        </w:rPr>
        <w:t>to allow for wealth tax modelling for a limited number of countries. Boone et al. (2019)</w:t>
      </w:r>
      <w:r w:rsidRPr="00560057">
        <w:rPr>
          <w:rStyle w:val="FootnoteReference"/>
          <w:rFonts w:ascii="Times New Roman" w:hAnsi="Times New Roman" w:cs="Times New Roman"/>
          <w:noProof/>
          <w:sz w:val="24"/>
          <w:szCs w:val="24"/>
        </w:rPr>
        <w:footnoteReference w:id="31"/>
      </w:r>
      <w:r w:rsidRPr="00560057">
        <w:rPr>
          <w:rFonts w:ascii="Times New Roman" w:hAnsi="Times New Roman" w:cs="Times New Roman"/>
          <w:noProof/>
          <w:sz w:val="24"/>
          <w:szCs w:val="24"/>
        </w:rPr>
        <w:t xml:space="preserve"> d</w:t>
      </w:r>
      <w:r w:rsidRPr="00D56E53">
        <w:rPr>
          <w:rFonts w:ascii="Times New Roman" w:hAnsi="Times New Roman" w:cs="Times New Roman"/>
          <w:noProof/>
          <w:sz w:val="24"/>
          <w:szCs w:val="24"/>
        </w:rPr>
        <w:t>escribes how this is expanded to simulate wealth tax rules for 17</w:t>
      </w:r>
      <w:r w:rsidRPr="00D56E53">
        <w:rPr>
          <w:rFonts w:ascii="Times New Roman" w:hAnsi="Times New Roman" w:cs="Times New Roman"/>
          <w:noProof/>
          <w:sz w:val="24"/>
          <w:szCs w:val="24"/>
          <w:vertAlign w:val="superscript"/>
        </w:rPr>
        <w:footnoteReference w:id="32"/>
      </w:r>
      <w:r w:rsidRPr="00D56E53">
        <w:rPr>
          <w:rFonts w:ascii="Times New Roman" w:hAnsi="Times New Roman" w:cs="Times New Roman"/>
          <w:noProof/>
          <w:sz w:val="24"/>
          <w:szCs w:val="24"/>
        </w:rPr>
        <w:t xml:space="preserve"> EU </w:t>
      </w:r>
      <w:r>
        <w:rPr>
          <w:rFonts w:ascii="Times New Roman" w:hAnsi="Times New Roman" w:cs="Times New Roman"/>
          <w:noProof/>
          <w:sz w:val="24"/>
          <w:szCs w:val="24"/>
        </w:rPr>
        <w:t>M</w:t>
      </w:r>
      <w:r w:rsidRPr="00D56E53">
        <w:rPr>
          <w:rFonts w:ascii="Times New Roman" w:hAnsi="Times New Roman" w:cs="Times New Roman"/>
          <w:noProof/>
          <w:sz w:val="24"/>
          <w:szCs w:val="24"/>
        </w:rPr>
        <w:t xml:space="preserve">ember </w:t>
      </w:r>
      <w:r>
        <w:rPr>
          <w:rFonts w:ascii="Times New Roman" w:hAnsi="Times New Roman" w:cs="Times New Roman"/>
          <w:noProof/>
          <w:sz w:val="24"/>
          <w:szCs w:val="24"/>
        </w:rPr>
        <w:t>S</w:t>
      </w:r>
      <w:r w:rsidRPr="00D56E53">
        <w:rPr>
          <w:rFonts w:ascii="Times New Roman" w:hAnsi="Times New Roman" w:cs="Times New Roman"/>
          <w:noProof/>
          <w:sz w:val="24"/>
          <w:szCs w:val="24"/>
        </w:rPr>
        <w:t>tates.</w:t>
      </w:r>
    </w:p>
    <w:p w14:paraId="134A1611" w14:textId="7F44F40F" w:rsidR="001917CB" w:rsidRDefault="001917CB" w:rsidP="001917CB">
      <w:pPr>
        <w:jc w:val="both"/>
        <w:rPr>
          <w:rFonts w:ascii="Times New Roman" w:hAnsi="Times New Roman" w:cs="Times New Roman"/>
          <w:noProof/>
          <w:sz w:val="24"/>
          <w:szCs w:val="24"/>
        </w:rPr>
      </w:pPr>
      <w:r w:rsidRPr="00D56E53">
        <w:rPr>
          <w:rFonts w:ascii="Times New Roman" w:hAnsi="Times New Roman" w:cs="Times New Roman"/>
          <w:b/>
          <w:noProof/>
          <w:sz w:val="24"/>
          <w:szCs w:val="24"/>
        </w:rPr>
        <w:t>Estimating the effect of changes to in-kind benefits</w:t>
      </w:r>
      <w:r>
        <w:rPr>
          <w:rFonts w:ascii="Times New Roman" w:hAnsi="Times New Roman" w:cs="Times New Roman"/>
          <w:b/>
          <w:noProof/>
          <w:sz w:val="24"/>
          <w:szCs w:val="24"/>
        </w:rPr>
        <w:t xml:space="preserve"> completes DIA analysis. </w:t>
      </w:r>
      <w:r w:rsidRPr="003A43CD">
        <w:rPr>
          <w:rFonts w:ascii="Times New Roman" w:hAnsi="Times New Roman" w:cs="Times New Roman"/>
          <w:noProof/>
          <w:sz w:val="24"/>
          <w:szCs w:val="24"/>
        </w:rPr>
        <w:t>However, it is a</w:t>
      </w:r>
      <w:r>
        <w:rPr>
          <w:rFonts w:ascii="Times New Roman" w:hAnsi="Times New Roman" w:cs="Times New Roman"/>
          <w:noProof/>
          <w:sz w:val="24"/>
          <w:szCs w:val="24"/>
        </w:rPr>
        <w:t xml:space="preserve"> </w:t>
      </w:r>
      <w:r w:rsidRPr="003A43CD">
        <w:rPr>
          <w:rFonts w:ascii="Times New Roman" w:hAnsi="Times New Roman" w:cs="Times New Roman"/>
          <w:noProof/>
          <w:sz w:val="24"/>
          <w:szCs w:val="24"/>
        </w:rPr>
        <w:t>complex exercise</w:t>
      </w:r>
      <w:r w:rsidRPr="00D56E53">
        <w:rPr>
          <w:rFonts w:ascii="Times New Roman" w:hAnsi="Times New Roman" w:cs="Times New Roman"/>
          <w:b/>
          <w:noProof/>
          <w:sz w:val="24"/>
          <w:szCs w:val="24"/>
        </w:rPr>
        <w:t xml:space="preserve"> </w:t>
      </w:r>
      <w:r w:rsidRPr="00D56E53">
        <w:rPr>
          <w:rFonts w:ascii="Times New Roman" w:hAnsi="Times New Roman" w:cs="Times New Roman"/>
          <w:noProof/>
          <w:sz w:val="24"/>
          <w:szCs w:val="24"/>
        </w:rPr>
        <w:t>as it requires the data underlying the microsimulation model to contain (imputed) information about eligibility for these benefits (such as health status for health benefits or childcare usage for childcare benefits)</w:t>
      </w:r>
      <w:r>
        <w:rPr>
          <w:rFonts w:ascii="Times New Roman" w:hAnsi="Times New Roman" w:cs="Times New Roman"/>
          <w:noProof/>
          <w:sz w:val="24"/>
          <w:szCs w:val="24"/>
        </w:rPr>
        <w:t xml:space="preserve"> as well as</w:t>
      </w:r>
      <w:r w:rsidRPr="00D56E53">
        <w:rPr>
          <w:rFonts w:ascii="Times New Roman" w:hAnsi="Times New Roman" w:cs="Times New Roman"/>
          <w:noProof/>
          <w:sz w:val="24"/>
          <w:szCs w:val="24"/>
        </w:rPr>
        <w:t xml:space="preserve"> assumptions </w:t>
      </w:r>
      <w:r>
        <w:rPr>
          <w:rFonts w:ascii="Times New Roman" w:hAnsi="Times New Roman" w:cs="Times New Roman"/>
          <w:noProof/>
          <w:sz w:val="24"/>
          <w:szCs w:val="24"/>
        </w:rPr>
        <w:t>regarding</w:t>
      </w:r>
      <w:r w:rsidRPr="00D56E53">
        <w:rPr>
          <w:rFonts w:ascii="Times New Roman" w:hAnsi="Times New Roman" w:cs="Times New Roman"/>
          <w:noProof/>
          <w:sz w:val="24"/>
          <w:szCs w:val="24"/>
        </w:rPr>
        <w:t xml:space="preserve"> the monetary value of the benefits. </w:t>
      </w:r>
      <w:r>
        <w:rPr>
          <w:rFonts w:ascii="Times New Roman" w:hAnsi="Times New Roman" w:cs="Times New Roman"/>
          <w:noProof/>
          <w:sz w:val="24"/>
          <w:szCs w:val="24"/>
        </w:rPr>
        <w:t>As a result, t</w:t>
      </w:r>
      <w:r w:rsidRPr="00D56E53">
        <w:rPr>
          <w:rFonts w:ascii="Times New Roman" w:hAnsi="Times New Roman" w:cs="Times New Roman"/>
          <w:noProof/>
          <w:sz w:val="24"/>
          <w:szCs w:val="24"/>
        </w:rPr>
        <w:t>he redistributive impact of in</w:t>
      </w:r>
      <w:r>
        <w:rPr>
          <w:rFonts w:ascii="Times New Roman" w:hAnsi="Times New Roman" w:cs="Times New Roman"/>
          <w:noProof/>
          <w:sz w:val="24"/>
          <w:szCs w:val="24"/>
        </w:rPr>
        <w:t>-</w:t>
      </w:r>
      <w:r w:rsidRPr="00D56E53">
        <w:rPr>
          <w:rFonts w:ascii="Times New Roman" w:hAnsi="Times New Roman" w:cs="Times New Roman"/>
          <w:noProof/>
          <w:sz w:val="24"/>
          <w:szCs w:val="24"/>
        </w:rPr>
        <w:t xml:space="preserve">kind benefits is largely overlooked, </w:t>
      </w:r>
      <w:r w:rsidRPr="00067C16">
        <w:rPr>
          <w:rFonts w:ascii="Times New Roman" w:hAnsi="Times New Roman" w:cs="Times New Roman"/>
          <w:noProof/>
          <w:sz w:val="24"/>
          <w:szCs w:val="24"/>
        </w:rPr>
        <w:t>in spite of the fact that in-kind social benefits represent over 30 percent of the overall social benefits</w:t>
      </w:r>
      <w:r>
        <w:rPr>
          <w:rFonts w:ascii="Times New Roman" w:hAnsi="Times New Roman" w:cs="Times New Roman"/>
          <w:noProof/>
          <w:sz w:val="24"/>
          <w:szCs w:val="24"/>
        </w:rPr>
        <w:t>,</w:t>
      </w:r>
      <w:r w:rsidRPr="00067C16">
        <w:rPr>
          <w:rFonts w:ascii="Times New Roman" w:hAnsi="Times New Roman" w:cs="Times New Roman"/>
          <w:noProof/>
          <w:sz w:val="24"/>
          <w:szCs w:val="24"/>
        </w:rPr>
        <w:t xml:space="preserve"> </w:t>
      </w:r>
      <w:r w:rsidRPr="00D56E53">
        <w:rPr>
          <w:rFonts w:ascii="Times New Roman" w:hAnsi="Times New Roman" w:cs="Times New Roman"/>
          <w:noProof/>
          <w:sz w:val="24"/>
          <w:szCs w:val="24"/>
        </w:rPr>
        <w:t xml:space="preserve">as it is not systematically measured. For instance, current </w:t>
      </w:r>
      <w:r>
        <w:rPr>
          <w:rFonts w:ascii="Times New Roman" w:hAnsi="Times New Roman" w:cs="Times New Roman"/>
          <w:noProof/>
          <w:sz w:val="24"/>
          <w:szCs w:val="24"/>
        </w:rPr>
        <w:t>evidence</w:t>
      </w:r>
      <w:r w:rsidRPr="00D56E53">
        <w:rPr>
          <w:rFonts w:ascii="Times New Roman" w:hAnsi="Times New Roman" w:cs="Times New Roman"/>
          <w:noProof/>
          <w:sz w:val="24"/>
          <w:szCs w:val="24"/>
        </w:rPr>
        <w:t xml:space="preserve"> do</w:t>
      </w:r>
      <w:r>
        <w:rPr>
          <w:rFonts w:ascii="Times New Roman" w:hAnsi="Times New Roman" w:cs="Times New Roman"/>
          <w:noProof/>
          <w:sz w:val="24"/>
          <w:szCs w:val="24"/>
        </w:rPr>
        <w:t>es</w:t>
      </w:r>
      <w:r w:rsidRPr="00D56E53">
        <w:rPr>
          <w:rFonts w:ascii="Times New Roman" w:hAnsi="Times New Roman" w:cs="Times New Roman"/>
          <w:noProof/>
          <w:sz w:val="24"/>
          <w:szCs w:val="24"/>
        </w:rPr>
        <w:t xml:space="preserve"> not show if the financial burden of paying for healthcare is not shifted to those who can least afford it: poorer groups and regular users of health services. This can encourage inefficient patterns of use of healthcare. Furthermore, there is a risk that poverty reduction fostered by policy changes related to cash transfers would be offset by accompanying changes in policies covering in</w:t>
      </w:r>
      <w:r>
        <w:rPr>
          <w:rFonts w:ascii="Times New Roman" w:hAnsi="Times New Roman" w:cs="Times New Roman"/>
          <w:noProof/>
          <w:sz w:val="24"/>
          <w:szCs w:val="24"/>
        </w:rPr>
        <w:t>-</w:t>
      </w:r>
      <w:r w:rsidRPr="00D56E53">
        <w:rPr>
          <w:rFonts w:ascii="Times New Roman" w:hAnsi="Times New Roman" w:cs="Times New Roman"/>
          <w:noProof/>
          <w:sz w:val="24"/>
          <w:szCs w:val="24"/>
        </w:rPr>
        <w:t xml:space="preserve">kind benefits (such as healthcare). </w:t>
      </w:r>
      <w:r w:rsidRPr="00186CFA">
        <w:rPr>
          <w:rFonts w:ascii="Times New Roman" w:hAnsi="Times New Roman" w:cs="Times New Roman"/>
          <w:noProof/>
          <w:sz w:val="24"/>
          <w:szCs w:val="24"/>
        </w:rPr>
        <w:t>At the moment, social transfers in-kind are taken into account to some extent in Estonia, Ireland and Slovakia (such as recreational vouchers, meal vouchers, free school lunches), Sweden (such as fees for childcare and for elderly care). Examples of other measures analysed by Member States’ DIA include reimbursements of medical costs (BE), payments for welfare services, doctors (DK) and some heating and water benefits (LT).</w:t>
      </w:r>
    </w:p>
    <w:p w14:paraId="1C3D3B68" w14:textId="6B16B81C" w:rsidR="001917CB" w:rsidRPr="00186CFA" w:rsidRDefault="001917CB" w:rsidP="001917CB">
      <w:pPr>
        <w:jc w:val="both"/>
        <w:rPr>
          <w:rFonts w:ascii="Times New Roman" w:hAnsi="Times New Roman" w:cs="Times New Roman"/>
          <w:noProof/>
          <w:sz w:val="24"/>
          <w:szCs w:val="24"/>
        </w:rPr>
      </w:pPr>
      <w:r w:rsidRPr="00EC6EB8">
        <w:rPr>
          <w:rFonts w:ascii="Times New Roman" w:hAnsi="Times New Roman" w:cs="Times New Roman"/>
          <w:b/>
          <w:noProof/>
          <w:sz w:val="24"/>
          <w:szCs w:val="24"/>
        </w:rPr>
        <w:t xml:space="preserve">In principle DIA </w:t>
      </w:r>
      <w:r w:rsidR="00DE2828">
        <w:rPr>
          <w:rFonts w:ascii="Times New Roman" w:hAnsi="Times New Roman" w:cs="Times New Roman"/>
          <w:b/>
          <w:noProof/>
          <w:sz w:val="24"/>
          <w:szCs w:val="24"/>
        </w:rPr>
        <w:t xml:space="preserve">can </w:t>
      </w:r>
      <w:r w:rsidRPr="00EC6EB8">
        <w:rPr>
          <w:rFonts w:ascii="Times New Roman" w:hAnsi="Times New Roman" w:cs="Times New Roman"/>
          <w:b/>
          <w:noProof/>
          <w:sz w:val="24"/>
          <w:szCs w:val="24"/>
        </w:rPr>
        <w:t>also be used in other areas</w:t>
      </w:r>
      <w:r w:rsidR="00DE2828">
        <w:rPr>
          <w:rFonts w:ascii="Times New Roman" w:hAnsi="Times New Roman" w:cs="Times New Roman"/>
          <w:b/>
          <w:noProof/>
          <w:sz w:val="24"/>
          <w:szCs w:val="24"/>
        </w:rPr>
        <w:t xml:space="preserve"> where reforms and investments have an impact on households’ incomes. </w:t>
      </w:r>
      <w:r w:rsidR="00DE2828" w:rsidRPr="00EC6EB8">
        <w:rPr>
          <w:rFonts w:ascii="Times New Roman" w:hAnsi="Times New Roman" w:cs="Times New Roman"/>
          <w:noProof/>
          <w:sz w:val="24"/>
          <w:szCs w:val="24"/>
        </w:rPr>
        <w:t xml:space="preserve">This </w:t>
      </w:r>
      <w:r w:rsidR="00DE2828">
        <w:rPr>
          <w:rFonts w:ascii="Times New Roman" w:hAnsi="Times New Roman" w:cs="Times New Roman"/>
          <w:noProof/>
          <w:sz w:val="24"/>
          <w:szCs w:val="24"/>
        </w:rPr>
        <w:t>can relate to a number of areas</w:t>
      </w:r>
      <w:r w:rsidR="009D288D" w:rsidRPr="009D288D">
        <w:rPr>
          <w:rFonts w:ascii="Times New Roman" w:hAnsi="Times New Roman" w:cs="Times New Roman"/>
          <w:noProof/>
          <w:sz w:val="24"/>
          <w:szCs w:val="24"/>
        </w:rPr>
        <w:t xml:space="preserve"> </w:t>
      </w:r>
      <w:r w:rsidR="009D288D">
        <w:rPr>
          <w:rFonts w:ascii="Times New Roman" w:hAnsi="Times New Roman" w:cs="Times New Roman"/>
          <w:noProof/>
          <w:sz w:val="24"/>
          <w:szCs w:val="24"/>
        </w:rPr>
        <w:t>where reforms can have significant distributional effects</w:t>
      </w:r>
      <w:r w:rsidR="009D288D" w:rsidRPr="00EC6EB8">
        <w:rPr>
          <w:rFonts w:ascii="Times New Roman" w:hAnsi="Times New Roman" w:cs="Times New Roman"/>
          <w:noProof/>
          <w:sz w:val="24"/>
          <w:szCs w:val="24"/>
        </w:rPr>
        <w:t>, such as for instance</w:t>
      </w:r>
      <w:r w:rsidR="009D288D">
        <w:rPr>
          <w:rFonts w:ascii="Times New Roman" w:hAnsi="Times New Roman" w:cs="Times New Roman"/>
          <w:b/>
          <w:noProof/>
          <w:sz w:val="24"/>
          <w:szCs w:val="24"/>
        </w:rPr>
        <w:t xml:space="preserve"> </w:t>
      </w:r>
      <w:r w:rsidR="009D288D">
        <w:rPr>
          <w:rFonts w:ascii="Times New Roman" w:hAnsi="Times New Roman" w:cs="Times New Roman"/>
          <w:noProof/>
          <w:sz w:val="24"/>
          <w:szCs w:val="24"/>
        </w:rPr>
        <w:t>labour market reforms (</w:t>
      </w:r>
      <w:r w:rsidR="00EC6EB8">
        <w:rPr>
          <w:rFonts w:ascii="Times New Roman" w:hAnsi="Times New Roman" w:cs="Times New Roman"/>
          <w:noProof/>
          <w:sz w:val="24"/>
          <w:szCs w:val="24"/>
        </w:rPr>
        <w:t xml:space="preserve">eg. </w:t>
      </w:r>
      <w:r w:rsidR="009D288D">
        <w:rPr>
          <w:rFonts w:ascii="Times New Roman" w:hAnsi="Times New Roman" w:cs="Times New Roman"/>
          <w:noProof/>
          <w:sz w:val="24"/>
          <w:szCs w:val="24"/>
        </w:rPr>
        <w:t>reforms to the design and levels of minimum wages)</w:t>
      </w:r>
      <w:r w:rsidR="00EC6EB8">
        <w:rPr>
          <w:rFonts w:ascii="Times New Roman" w:hAnsi="Times New Roman" w:cs="Times New Roman"/>
          <w:noProof/>
          <w:sz w:val="24"/>
          <w:szCs w:val="24"/>
        </w:rPr>
        <w:t>,</w:t>
      </w:r>
      <w:r w:rsidR="009D288D">
        <w:rPr>
          <w:rFonts w:ascii="Times New Roman" w:hAnsi="Times New Roman" w:cs="Times New Roman"/>
          <w:noProof/>
          <w:sz w:val="24"/>
          <w:szCs w:val="24"/>
        </w:rPr>
        <w:t xml:space="preserve"> or reforms that have an impact on </w:t>
      </w:r>
      <w:r w:rsidR="00DE2828">
        <w:rPr>
          <w:rFonts w:ascii="Times New Roman" w:hAnsi="Times New Roman" w:cs="Times New Roman"/>
          <w:noProof/>
          <w:sz w:val="24"/>
          <w:szCs w:val="24"/>
        </w:rPr>
        <w:t xml:space="preserve">prices (such as </w:t>
      </w:r>
      <w:r w:rsidR="009D288D">
        <w:rPr>
          <w:rFonts w:ascii="Times New Roman" w:hAnsi="Times New Roman" w:cs="Times New Roman"/>
          <w:noProof/>
          <w:sz w:val="24"/>
          <w:szCs w:val="24"/>
        </w:rPr>
        <w:t xml:space="preserve">energy prices, as well as housing or medicines </w:t>
      </w:r>
      <w:r>
        <w:rPr>
          <w:rFonts w:ascii="Times New Roman" w:hAnsi="Times New Roman" w:cs="Times New Roman"/>
          <w:noProof/>
          <w:sz w:val="24"/>
          <w:szCs w:val="24"/>
        </w:rPr>
        <w:t>prices</w:t>
      </w:r>
      <w:r w:rsidR="009D288D">
        <w:rPr>
          <w:rFonts w:ascii="Times New Roman" w:hAnsi="Times New Roman" w:cs="Times New Roman"/>
          <w:noProof/>
          <w:sz w:val="24"/>
          <w:szCs w:val="24"/>
        </w:rPr>
        <w:t>)</w:t>
      </w:r>
      <w:r>
        <w:rPr>
          <w:rFonts w:ascii="Times New Roman" w:hAnsi="Times New Roman" w:cs="Times New Roman"/>
          <w:noProof/>
          <w:sz w:val="24"/>
          <w:szCs w:val="24"/>
        </w:rPr>
        <w:t>. However</w:t>
      </w:r>
      <w:r w:rsidR="00EC6EB8">
        <w:rPr>
          <w:rFonts w:ascii="Times New Roman" w:hAnsi="Times New Roman" w:cs="Times New Roman"/>
          <w:noProof/>
          <w:sz w:val="24"/>
          <w:szCs w:val="24"/>
        </w:rPr>
        <w:t>,</w:t>
      </w:r>
      <w:r>
        <w:rPr>
          <w:rFonts w:ascii="Times New Roman" w:hAnsi="Times New Roman" w:cs="Times New Roman"/>
          <w:noProof/>
          <w:sz w:val="24"/>
          <w:szCs w:val="24"/>
        </w:rPr>
        <w:t xml:space="preserve"> a lack of relevant data</w:t>
      </w:r>
      <w:r w:rsidR="009D288D">
        <w:rPr>
          <w:rFonts w:ascii="Times New Roman" w:hAnsi="Times New Roman" w:cs="Times New Roman"/>
          <w:noProof/>
          <w:sz w:val="24"/>
          <w:szCs w:val="24"/>
        </w:rPr>
        <w:t xml:space="preserve"> or simulation tools</w:t>
      </w:r>
      <w:r>
        <w:rPr>
          <w:rFonts w:ascii="Times New Roman" w:hAnsi="Times New Roman" w:cs="Times New Roman"/>
          <w:noProof/>
          <w:sz w:val="24"/>
          <w:szCs w:val="24"/>
        </w:rPr>
        <w:t xml:space="preserve">, and difficulties in determining the effects of such policies compared to an alternative, may in practice limit the possibilities to undertake such broader analyses.   </w:t>
      </w:r>
    </w:p>
    <w:p w14:paraId="741CC537" w14:textId="61A20354" w:rsidR="001917CB" w:rsidRPr="00C37617" w:rsidRDefault="001917CB" w:rsidP="001917CB">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0"/>
          <w:szCs w:val="20"/>
        </w:rPr>
      </w:pPr>
      <w:r w:rsidRPr="00C37617">
        <w:rPr>
          <w:rFonts w:ascii="Times New Roman" w:hAnsi="Times New Roman" w:cs="Times New Roman"/>
          <w:b/>
          <w:noProof/>
          <w:sz w:val="20"/>
          <w:szCs w:val="20"/>
        </w:rPr>
        <w:t xml:space="preserve">Box </w:t>
      </w:r>
      <w:r w:rsidR="00682267">
        <w:rPr>
          <w:rFonts w:ascii="Times New Roman" w:hAnsi="Times New Roman" w:cs="Times New Roman"/>
          <w:b/>
          <w:noProof/>
          <w:sz w:val="20"/>
          <w:szCs w:val="20"/>
        </w:rPr>
        <w:t>3</w:t>
      </w:r>
      <w:r w:rsidRPr="00C37617">
        <w:rPr>
          <w:rFonts w:ascii="Times New Roman" w:hAnsi="Times New Roman" w:cs="Times New Roman"/>
          <w:b/>
          <w:noProof/>
          <w:sz w:val="20"/>
          <w:szCs w:val="20"/>
        </w:rPr>
        <w:t>: Importance of DIA analysis of healthcare benefits</w:t>
      </w:r>
    </w:p>
    <w:p w14:paraId="0EC6D747" w14:textId="77777777" w:rsidR="001917CB" w:rsidRDefault="001917CB" w:rsidP="001917CB">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4"/>
        </w:rPr>
      </w:pPr>
      <w:r w:rsidRPr="006E3A08">
        <w:rPr>
          <w:rFonts w:ascii="Times New Roman" w:hAnsi="Times New Roman" w:cs="Times New Roman"/>
          <w:noProof/>
          <w:sz w:val="20"/>
          <w:szCs w:val="24"/>
        </w:rPr>
        <w:t xml:space="preserve">Capturing the impact of healthcare benefits on poverty and inequality is highly pertinent. However, while the impact of cash benefits is well measured, there is a gap when it comes to monitoring the impact of healthcare benefits on poverty and inequality. </w:t>
      </w:r>
    </w:p>
    <w:p w14:paraId="7D3D81DA" w14:textId="3F7F9066" w:rsidR="001917CB" w:rsidRPr="00D173CB" w:rsidRDefault="001917CB" w:rsidP="001917CB">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4"/>
        </w:rPr>
      </w:pPr>
      <w:r w:rsidRPr="00B07EC5">
        <w:rPr>
          <w:rFonts w:ascii="Times New Roman" w:hAnsi="Times New Roman" w:cs="Times New Roman"/>
          <w:noProof/>
          <w:sz w:val="20"/>
          <w:szCs w:val="24"/>
        </w:rPr>
        <w:t>Examples of assessing the redistributive impact of healthcare benefits remain rare. Still, evidence available shows that in-kind healthcare benefits have substantial redistributive effects (placeholder for key messages once the Eurostat’s paper is published) and better</w:t>
      </w:r>
      <w:r w:rsidRPr="00D173CB">
        <w:rPr>
          <w:rFonts w:ascii="Times New Roman" w:hAnsi="Times New Roman" w:cs="Times New Roman"/>
          <w:noProof/>
          <w:sz w:val="20"/>
          <w:szCs w:val="24"/>
        </w:rPr>
        <w:t xml:space="preserve"> measuring these effects would also help design health policies that further contribute to the reduction of poverty and inequalities. The paper ‘Social transfers for education and health –imputation into EU SILC data’ (Grundiza, 2019) shows that in-kind health benefits reduce income inequalities</w:t>
      </w:r>
      <w:r>
        <w:rPr>
          <w:rFonts w:ascii="Times New Roman" w:hAnsi="Times New Roman" w:cs="Times New Roman"/>
          <w:noProof/>
          <w:sz w:val="20"/>
          <w:szCs w:val="24"/>
        </w:rPr>
        <w:t xml:space="preserve"> –although the extent differs by country-</w:t>
      </w:r>
      <w:r w:rsidRPr="00D173CB">
        <w:rPr>
          <w:rFonts w:ascii="Times New Roman" w:hAnsi="Times New Roman" w:cs="Times New Roman"/>
          <w:noProof/>
          <w:sz w:val="20"/>
          <w:szCs w:val="24"/>
        </w:rPr>
        <w:t xml:space="preserve">, having the biggest impact on the disposable income of two bottom income quintile groups. The Finnish Institute for Health and Welfare used an analysis based on the actual consumption approach with a focus on older people as the input to the discussion on the on-going healthcare reforms. This analysis shows that in-kind health benefits narrow the income gap with elderly people in the two bottom income quintiles benefiting most. The Belgian Healthcare Knowledge Centre presented in 2020 the assessment of the redistributive impact of healthcare benefits, based on insurance-based approach, as part of the framework of the Healthcare System Performance Assessment, which provides scientific expertise used to improve the healthcare system. This analysis shows that the way the public health insurance is financed matters for redistributive effect. Social contributions and government subsidies that represent nearly three quarters of the revenue for public health insurance have a progressive effect. However quite high out-of-pocket payments (about 19% in 2018) reduce the redistributive effect, affecting low income household relatively more than high income households. </w:t>
      </w:r>
    </w:p>
    <w:p w14:paraId="3BAB77D7" w14:textId="77777777" w:rsidR="001917CB" w:rsidRPr="006E3A08" w:rsidRDefault="001917CB" w:rsidP="001917CB">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4"/>
        </w:rPr>
      </w:pPr>
      <w:r w:rsidRPr="00D173CB">
        <w:rPr>
          <w:rFonts w:ascii="Times New Roman" w:hAnsi="Times New Roman" w:cs="Times New Roman"/>
          <w:noProof/>
          <w:sz w:val="20"/>
          <w:szCs w:val="24"/>
        </w:rPr>
        <w:t xml:space="preserve">Results of these studies confirm that including in-kind healthcare benefits in </w:t>
      </w:r>
      <w:r>
        <w:rPr>
          <w:rFonts w:ascii="Times New Roman" w:hAnsi="Times New Roman" w:cs="Times New Roman"/>
          <w:noProof/>
          <w:sz w:val="20"/>
          <w:szCs w:val="24"/>
        </w:rPr>
        <w:t xml:space="preserve">DIA </w:t>
      </w:r>
      <w:r w:rsidRPr="00D173CB">
        <w:rPr>
          <w:rFonts w:ascii="Times New Roman" w:hAnsi="Times New Roman" w:cs="Times New Roman"/>
          <w:noProof/>
          <w:sz w:val="20"/>
          <w:szCs w:val="24"/>
        </w:rPr>
        <w:t>would help to assess the redistributive role of changes of healthcare coverage policies (introducing, increasing or decreasing co-payments, introducing ceilings for costs). WHO work on affordability of healthcare</w:t>
      </w:r>
      <w:r>
        <w:rPr>
          <w:rFonts w:ascii="Times New Roman" w:hAnsi="Times New Roman" w:cs="Times New Roman"/>
          <w:noProof/>
          <w:sz w:val="20"/>
          <w:szCs w:val="24"/>
        </w:rPr>
        <w:t xml:space="preserve"> </w:t>
      </w:r>
      <w:r w:rsidRPr="00D173CB">
        <w:rPr>
          <w:rFonts w:ascii="Times New Roman" w:hAnsi="Times New Roman" w:cs="Times New Roman"/>
          <w:noProof/>
          <w:sz w:val="20"/>
          <w:szCs w:val="24"/>
        </w:rPr>
        <w:t xml:space="preserve">also confirms that relying on microsimulation models such as EUROMOD would allow to account for all the parameters that matter to ensure that healthcare is affordable and lack of healthcare access does not push people into poverty (in particular coverage of health benefits and impact of out of-pocket payments, particularly for poor people and regular users of health services; timely access to a broad range of health services without informal payments). Importantly, this also allows to assess the impact of various financing options (i.e. through taxes and/or social contributions) of the healthcare system and exploring scenarios of alternative policy measures (e.g. related to the design of co-payment schemes). WHO work on affordability of healthcare also shows that sequencing of policy measures is very important. Some countries will need to redesign health coverage policy at the same time as seeking additional public investment in the health system. DIA can help with providing feedback for such sequencing and ensuring that policy changes do not produce disproportional effects on the most </w:t>
      </w:r>
      <w:r>
        <w:rPr>
          <w:rFonts w:ascii="Times New Roman" w:hAnsi="Times New Roman" w:cs="Times New Roman"/>
          <w:noProof/>
          <w:sz w:val="20"/>
          <w:szCs w:val="24"/>
        </w:rPr>
        <w:t>disadvantaged</w:t>
      </w:r>
      <w:r w:rsidRPr="00D173CB">
        <w:rPr>
          <w:rFonts w:ascii="Times New Roman" w:hAnsi="Times New Roman" w:cs="Times New Roman"/>
          <w:noProof/>
          <w:sz w:val="20"/>
          <w:szCs w:val="24"/>
        </w:rPr>
        <w:t xml:space="preserve"> groups.</w:t>
      </w:r>
    </w:p>
    <w:p w14:paraId="3C213F75" w14:textId="7548950E" w:rsidR="001917CB" w:rsidRPr="004B203D" w:rsidRDefault="001917CB" w:rsidP="001917CB">
      <w:pPr>
        <w:jc w:val="both"/>
        <w:rPr>
          <w:rFonts w:ascii="Times New Roman" w:hAnsi="Times New Roman" w:cs="Times New Roman"/>
          <w:noProof/>
          <w:sz w:val="24"/>
          <w:szCs w:val="24"/>
        </w:rPr>
      </w:pPr>
      <w:r w:rsidRPr="00D56E53">
        <w:rPr>
          <w:rFonts w:ascii="Times New Roman" w:hAnsi="Times New Roman" w:cs="Times New Roman"/>
          <w:b/>
          <w:noProof/>
          <w:sz w:val="24"/>
          <w:szCs w:val="24"/>
        </w:rPr>
        <w:t>In the end, the choice of policy area to examine beyond the standard play of the tax and benefit systems is likely to depend upon the model and underlying data.</w:t>
      </w:r>
      <w:r w:rsidRPr="00D56E53">
        <w:rPr>
          <w:rFonts w:ascii="Times New Roman" w:hAnsi="Times New Roman" w:cs="Times New Roman"/>
          <w:noProof/>
          <w:sz w:val="24"/>
          <w:szCs w:val="24"/>
        </w:rPr>
        <w:t xml:space="preserve"> Simulation of tax reforms is likely to be more robust with administrative data as survey data is</w:t>
      </w:r>
      <w:r>
        <w:rPr>
          <w:rFonts w:ascii="Times New Roman" w:hAnsi="Times New Roman" w:cs="Times New Roman"/>
          <w:noProof/>
          <w:sz w:val="24"/>
          <w:szCs w:val="24"/>
        </w:rPr>
        <w:t xml:space="preserve"> </w:t>
      </w:r>
      <w:r w:rsidRPr="00D56E53">
        <w:rPr>
          <w:rFonts w:ascii="Times New Roman" w:hAnsi="Times New Roman" w:cs="Times New Roman"/>
          <w:noProof/>
          <w:sz w:val="24"/>
          <w:szCs w:val="24"/>
        </w:rPr>
        <w:t xml:space="preserve">known to underrepresent the top of the income distribution. Simulation of welfare reforms, conversely, may be more accurate with survey data as low-income households or administrative social data may better capture household’s structures. The examination of indirect or wealth taxation or non-cash benefits requires extra data which is not usually standard in microsimulation models.  </w:t>
      </w:r>
      <w:r w:rsidR="00AA6E2D">
        <w:rPr>
          <w:rFonts w:ascii="Times New Roman" w:hAnsi="Times New Roman" w:cs="Times New Roman"/>
          <w:noProof/>
          <w:sz w:val="24"/>
          <w:szCs w:val="24"/>
        </w:rPr>
        <w:t>Policie</w:t>
      </w:r>
      <w:r w:rsidRPr="003A0303">
        <w:rPr>
          <w:rFonts w:ascii="Times New Roman" w:hAnsi="Times New Roman" w:cs="Times New Roman"/>
          <w:noProof/>
          <w:sz w:val="24"/>
          <w:szCs w:val="24"/>
        </w:rPr>
        <w:t>s selected</w:t>
      </w:r>
      <w:r>
        <w:rPr>
          <w:rFonts w:ascii="Times New Roman" w:hAnsi="Times New Roman" w:cs="Times New Roman"/>
          <w:noProof/>
          <w:sz w:val="24"/>
          <w:szCs w:val="24"/>
        </w:rPr>
        <w:t xml:space="preserve"> for running DIA</w:t>
      </w:r>
      <w:r w:rsidRPr="003A0303">
        <w:rPr>
          <w:rFonts w:ascii="Times New Roman" w:hAnsi="Times New Roman" w:cs="Times New Roman"/>
          <w:noProof/>
          <w:sz w:val="24"/>
          <w:szCs w:val="24"/>
        </w:rPr>
        <w:t xml:space="preserve"> vary between countries. Important considerations in a number of countries seems to be factors such as the size of the impact of measures (DK, FR, SK</w:t>
      </w:r>
      <w:r>
        <w:rPr>
          <w:rFonts w:ascii="Times New Roman" w:hAnsi="Times New Roman" w:cs="Times New Roman"/>
          <w:noProof/>
          <w:sz w:val="24"/>
          <w:szCs w:val="24"/>
        </w:rPr>
        <w:t>, IT, RO</w:t>
      </w:r>
      <w:r w:rsidRPr="003A0303">
        <w:rPr>
          <w:rFonts w:ascii="Times New Roman" w:hAnsi="Times New Roman" w:cs="Times New Roman"/>
          <w:noProof/>
          <w:sz w:val="24"/>
          <w:szCs w:val="24"/>
        </w:rPr>
        <w:t>), availability of data (DK, NL</w:t>
      </w:r>
      <w:r>
        <w:rPr>
          <w:rFonts w:ascii="Times New Roman" w:hAnsi="Times New Roman" w:cs="Times New Roman"/>
          <w:noProof/>
          <w:sz w:val="24"/>
          <w:szCs w:val="24"/>
        </w:rPr>
        <w:t>, LV</w:t>
      </w:r>
      <w:r w:rsidRPr="003A0303">
        <w:rPr>
          <w:rFonts w:ascii="Times New Roman" w:hAnsi="Times New Roman" w:cs="Times New Roman"/>
          <w:noProof/>
          <w:sz w:val="24"/>
          <w:szCs w:val="24"/>
        </w:rPr>
        <w:t>), if the measures could be simulated in a reliable way (BE, EL, LV, MT, RO, FI, SE</w:t>
      </w:r>
      <w:r>
        <w:rPr>
          <w:rFonts w:ascii="Times New Roman" w:hAnsi="Times New Roman" w:cs="Times New Roman"/>
          <w:noProof/>
          <w:sz w:val="24"/>
          <w:szCs w:val="24"/>
        </w:rPr>
        <w:t>, SI</w:t>
      </w:r>
      <w:r w:rsidRPr="003A0303">
        <w:rPr>
          <w:rFonts w:ascii="Times New Roman" w:hAnsi="Times New Roman" w:cs="Times New Roman"/>
          <w:noProof/>
          <w:sz w:val="24"/>
          <w:szCs w:val="24"/>
        </w:rPr>
        <w:t>)</w:t>
      </w:r>
      <w:r>
        <w:rPr>
          <w:rFonts w:ascii="Times New Roman" w:hAnsi="Times New Roman" w:cs="Times New Roman"/>
          <w:noProof/>
          <w:sz w:val="24"/>
          <w:szCs w:val="24"/>
        </w:rPr>
        <w:t>, policy priorities (IE, DE, ES, HU, PL)</w:t>
      </w:r>
      <w:r w:rsidRPr="003A0303">
        <w:rPr>
          <w:rFonts w:ascii="Times New Roman" w:hAnsi="Times New Roman" w:cs="Times New Roman"/>
          <w:noProof/>
          <w:sz w:val="24"/>
          <w:szCs w:val="24"/>
        </w:rPr>
        <w:t xml:space="preserve"> and time constraints (EE).</w:t>
      </w:r>
    </w:p>
    <w:p w14:paraId="1E50A62D" w14:textId="3280DE6F" w:rsidR="00870C25" w:rsidRPr="008F1389" w:rsidRDefault="00870C25" w:rsidP="00870C25">
      <w:pPr>
        <w:jc w:val="both"/>
        <w:rPr>
          <w:rFonts w:ascii="Times New Roman" w:hAnsi="Times New Roman" w:cs="Times New Roman"/>
          <w:b/>
          <w:i/>
          <w:noProof/>
          <w:sz w:val="24"/>
          <w:szCs w:val="24"/>
        </w:rPr>
      </w:pPr>
      <w:r w:rsidRPr="008F1389">
        <w:rPr>
          <w:rFonts w:ascii="Times New Roman" w:hAnsi="Times New Roman" w:cs="Times New Roman"/>
          <w:b/>
          <w:i/>
          <w:noProof/>
          <w:sz w:val="24"/>
          <w:szCs w:val="24"/>
        </w:rPr>
        <w:t>Time horizon of the DIA analysis</w:t>
      </w:r>
    </w:p>
    <w:p w14:paraId="32139BB3" w14:textId="77777777" w:rsidR="001917CB" w:rsidRPr="00EC6EB8" w:rsidRDefault="001917CB" w:rsidP="001917CB">
      <w:pPr>
        <w:jc w:val="both"/>
        <w:rPr>
          <w:rFonts w:ascii="Times New Roman" w:hAnsi="Times New Roman" w:cs="Times New Roman"/>
          <w:b/>
          <w:noProof/>
          <w:sz w:val="24"/>
          <w:szCs w:val="24"/>
        </w:rPr>
      </w:pPr>
      <w:r w:rsidRPr="00EC6EB8">
        <w:rPr>
          <w:rFonts w:ascii="Times New Roman" w:hAnsi="Times New Roman" w:cs="Times New Roman"/>
          <w:b/>
          <w:noProof/>
          <w:sz w:val="24"/>
          <w:szCs w:val="24"/>
        </w:rPr>
        <w:t xml:space="preserve">Most Member States focus in their </w:t>
      </w:r>
      <w:r w:rsidRPr="00963B62">
        <w:rPr>
          <w:rFonts w:ascii="Times New Roman" w:hAnsi="Times New Roman" w:cs="Times New Roman"/>
          <w:b/>
          <w:i/>
          <w:noProof/>
          <w:sz w:val="24"/>
          <w:szCs w:val="24"/>
        </w:rPr>
        <w:t>ex ante</w:t>
      </w:r>
      <w:r w:rsidRPr="00EC6EB8">
        <w:rPr>
          <w:rFonts w:ascii="Times New Roman" w:hAnsi="Times New Roman" w:cs="Times New Roman"/>
          <w:b/>
          <w:noProof/>
          <w:sz w:val="24"/>
          <w:szCs w:val="24"/>
        </w:rPr>
        <w:t xml:space="preserve"> DIA analysis on capturing the impact of policies in the following year (DE, IE, EL, ES, FR, HR, CY, LT, HU, PT, RO, SK, FI). Short-term effects are often the focus in static models (like EUROMOD) used for budget analysis.</w:t>
      </w:r>
    </w:p>
    <w:p w14:paraId="3548F08E" w14:textId="58C1E8AA" w:rsidR="001917CB" w:rsidRDefault="001917CB" w:rsidP="001917CB">
      <w:pPr>
        <w:jc w:val="both"/>
        <w:rPr>
          <w:rFonts w:ascii="Times New Roman" w:hAnsi="Times New Roman" w:cs="Times New Roman"/>
          <w:noProof/>
          <w:sz w:val="24"/>
          <w:szCs w:val="24"/>
        </w:rPr>
      </w:pPr>
      <w:r>
        <w:rPr>
          <w:rFonts w:ascii="Times New Roman" w:hAnsi="Times New Roman" w:cs="Times New Roman"/>
          <w:b/>
          <w:noProof/>
          <w:sz w:val="24"/>
          <w:szCs w:val="24"/>
        </w:rPr>
        <w:t xml:space="preserve">However </w:t>
      </w:r>
      <w:r w:rsidRPr="00D22B2D">
        <w:rPr>
          <w:rFonts w:ascii="Times New Roman" w:hAnsi="Times New Roman" w:cs="Times New Roman"/>
          <w:b/>
          <w:noProof/>
          <w:sz w:val="24"/>
          <w:szCs w:val="24"/>
        </w:rPr>
        <w:t>there may be good reasons to think across multiple years.</w:t>
      </w:r>
      <w:r w:rsidRPr="00D56E53">
        <w:rPr>
          <w:rFonts w:ascii="Times New Roman" w:hAnsi="Times New Roman" w:cs="Times New Roman"/>
          <w:noProof/>
          <w:sz w:val="24"/>
          <w:szCs w:val="24"/>
        </w:rPr>
        <w:t xml:space="preserve"> </w:t>
      </w:r>
      <w:r w:rsidRPr="00255680">
        <w:rPr>
          <w:rFonts w:ascii="Times New Roman" w:hAnsi="Times New Roman" w:cs="Times New Roman"/>
          <w:noProof/>
          <w:sz w:val="24"/>
          <w:szCs w:val="24"/>
        </w:rPr>
        <w:t>Dynamic microsimulation models such as PENSIM, SESIM and MIDAS (Curry, 1996; Flood, 2007; Dekkers et al. 2010), simulate inter-temporal transitions in the population.</w:t>
      </w:r>
      <w:r w:rsidRPr="006C32F7">
        <w:rPr>
          <w:rFonts w:ascii="Times New Roman" w:hAnsi="Times New Roman" w:cs="Times New Roman"/>
          <w:noProof/>
          <w:sz w:val="24"/>
          <w:szCs w:val="24"/>
        </w:rPr>
        <w:t xml:space="preserve"> This allows researchers to project how socio-economic development will evolve under current policies. Dynamic microsimulation models can also be used to evaluate the future performance of various long-term programmes such as pensions, education, health and long-term care, by analysing simulated future cross-sectional data. Dynamic microsimulation models are more complex than static models and this makes them more costly to develop with more methodological challenges.</w:t>
      </w:r>
    </w:p>
    <w:p w14:paraId="4A4138D9" w14:textId="3BB7A53A" w:rsidR="001917CB" w:rsidRDefault="00682267" w:rsidP="001917CB">
      <w:pPr>
        <w:jc w:val="both"/>
        <w:rPr>
          <w:rFonts w:ascii="Times New Roman" w:hAnsi="Times New Roman" w:cs="Times New Roman"/>
          <w:noProof/>
          <w:sz w:val="24"/>
          <w:szCs w:val="24"/>
        </w:rPr>
      </w:pPr>
      <w:r>
        <w:rPr>
          <w:rFonts w:ascii="Times New Roman" w:hAnsi="Times New Roman" w:cs="Times New Roman"/>
          <w:noProof/>
          <w:sz w:val="24"/>
          <w:szCs w:val="24"/>
        </w:rPr>
        <w:t>Some Member States (</w:t>
      </w:r>
      <w:r w:rsidR="001917CB" w:rsidRPr="00840609">
        <w:rPr>
          <w:rFonts w:ascii="Times New Roman" w:hAnsi="Times New Roman" w:cs="Times New Roman"/>
          <w:noProof/>
          <w:sz w:val="24"/>
          <w:szCs w:val="24"/>
        </w:rPr>
        <w:t>BE, CZ, DK, EE, IT, LV, MT, NL, AT, PL, SE</w:t>
      </w:r>
      <w:r>
        <w:rPr>
          <w:rFonts w:ascii="Times New Roman" w:hAnsi="Times New Roman" w:cs="Times New Roman"/>
          <w:noProof/>
          <w:sz w:val="24"/>
          <w:szCs w:val="24"/>
        </w:rPr>
        <w:t>)</w:t>
      </w:r>
      <w:r w:rsidR="001917CB" w:rsidRPr="00840609">
        <w:rPr>
          <w:rFonts w:ascii="Times New Roman" w:hAnsi="Times New Roman" w:cs="Times New Roman"/>
          <w:noProof/>
          <w:sz w:val="24"/>
          <w:szCs w:val="24"/>
        </w:rPr>
        <w:t xml:space="preserve"> also take into account longer-term effects. This could be more medium-term analysis (4 years) or very long-term effects (until 2070). Some countries like Belgium, Malta and Austria have separate models for analyses of short-term and long-term effects. The short-term models could typically analyse changes in tax and benefit systems, while longer term models could focus more on pensions and pension reforms, and any other ageing-related expenditure.</w:t>
      </w:r>
    </w:p>
    <w:p w14:paraId="432EBEB0" w14:textId="5FD56343" w:rsidR="001917CB" w:rsidRPr="003F3B8D" w:rsidRDefault="001917CB" w:rsidP="001917CB">
      <w:pPr>
        <w:pBdr>
          <w:top w:val="single" w:sz="4" w:space="1" w:color="auto"/>
          <w:left w:val="single" w:sz="4" w:space="4" w:color="auto"/>
          <w:bottom w:val="single" w:sz="4" w:space="1" w:color="auto"/>
          <w:right w:val="single" w:sz="4" w:space="4" w:color="auto"/>
        </w:pBdr>
        <w:spacing w:before="160" w:after="0"/>
        <w:rPr>
          <w:rFonts w:ascii="Times New Roman" w:hAnsi="Times New Roman" w:cs="Times New Roman"/>
          <w:b/>
          <w:noProof/>
          <w:sz w:val="20"/>
          <w:szCs w:val="20"/>
        </w:rPr>
      </w:pPr>
      <w:r w:rsidRPr="003F3B8D">
        <w:rPr>
          <w:rFonts w:ascii="Times New Roman" w:hAnsi="Times New Roman" w:cs="Times New Roman"/>
          <w:b/>
          <w:noProof/>
          <w:sz w:val="20"/>
          <w:szCs w:val="20"/>
        </w:rPr>
        <w:t>Box</w:t>
      </w:r>
      <w:r>
        <w:rPr>
          <w:rFonts w:ascii="Times New Roman" w:hAnsi="Times New Roman" w:cs="Times New Roman"/>
          <w:b/>
          <w:noProof/>
          <w:sz w:val="20"/>
          <w:szCs w:val="20"/>
        </w:rPr>
        <w:t xml:space="preserve"> </w:t>
      </w:r>
      <w:r w:rsidR="00682267">
        <w:rPr>
          <w:rFonts w:ascii="Times New Roman" w:hAnsi="Times New Roman" w:cs="Times New Roman"/>
          <w:b/>
          <w:noProof/>
          <w:sz w:val="20"/>
          <w:szCs w:val="20"/>
        </w:rPr>
        <w:t>4</w:t>
      </w:r>
      <w:r w:rsidRPr="003F3B8D">
        <w:rPr>
          <w:rFonts w:ascii="Times New Roman" w:hAnsi="Times New Roman" w:cs="Times New Roman"/>
          <w:b/>
          <w:noProof/>
          <w:sz w:val="20"/>
          <w:szCs w:val="20"/>
        </w:rPr>
        <w:t xml:space="preserve">: </w:t>
      </w:r>
      <w:r>
        <w:rPr>
          <w:rFonts w:ascii="Times New Roman" w:hAnsi="Times New Roman" w:cs="Times New Roman"/>
          <w:b/>
          <w:noProof/>
          <w:sz w:val="20"/>
          <w:szCs w:val="20"/>
        </w:rPr>
        <w:t xml:space="preserve">Microsimulation used for long-term projections in Malta </w:t>
      </w:r>
      <w:r w:rsidRPr="003F3B8D">
        <w:rPr>
          <w:rFonts w:ascii="Times New Roman" w:hAnsi="Times New Roman" w:cs="Times New Roman"/>
          <w:b/>
          <w:noProof/>
          <w:sz w:val="20"/>
          <w:szCs w:val="20"/>
        </w:rPr>
        <w:t xml:space="preserve"> </w:t>
      </w:r>
    </w:p>
    <w:p w14:paraId="73564851" w14:textId="77777777" w:rsidR="001917CB" w:rsidRDefault="001917CB" w:rsidP="001917CB">
      <w:pPr>
        <w:pBdr>
          <w:top w:val="single" w:sz="4" w:space="1" w:color="auto"/>
          <w:left w:val="single" w:sz="4" w:space="4" w:color="auto"/>
          <w:bottom w:val="single" w:sz="4" w:space="1" w:color="auto"/>
          <w:right w:val="single" w:sz="4" w:space="4" w:color="auto"/>
        </w:pBdr>
        <w:spacing w:before="120" w:after="0"/>
        <w:jc w:val="both"/>
        <w:rPr>
          <w:rFonts w:ascii="Times New Roman" w:hAnsi="Times New Roman" w:cs="Times New Roman"/>
          <w:noProof/>
          <w:sz w:val="20"/>
          <w:szCs w:val="20"/>
        </w:rPr>
      </w:pPr>
      <w:r>
        <w:rPr>
          <w:rFonts w:ascii="Times New Roman" w:hAnsi="Times New Roman" w:cs="Times New Roman"/>
          <w:noProof/>
          <w:sz w:val="20"/>
          <w:szCs w:val="20"/>
        </w:rPr>
        <w:t xml:space="preserve">For </w:t>
      </w:r>
      <w:r w:rsidRPr="000D6C31">
        <w:rPr>
          <w:rFonts w:ascii="Times New Roman" w:hAnsi="Times New Roman" w:cs="Times New Roman"/>
          <w:b/>
          <w:noProof/>
          <w:sz w:val="20"/>
          <w:szCs w:val="20"/>
        </w:rPr>
        <w:t>Malta</w:t>
      </w:r>
      <w:r>
        <w:rPr>
          <w:rFonts w:ascii="Times New Roman" w:hAnsi="Times New Roman" w:cs="Times New Roman"/>
          <w:noProof/>
          <w:sz w:val="20"/>
          <w:szCs w:val="20"/>
        </w:rPr>
        <w:t xml:space="preserve"> the model PROST analyses</w:t>
      </w:r>
      <w:r w:rsidRPr="008D2FD5">
        <w:rPr>
          <w:rFonts w:ascii="Times New Roman" w:hAnsi="Times New Roman" w:cs="Times New Roman"/>
          <w:noProof/>
          <w:sz w:val="20"/>
          <w:szCs w:val="20"/>
        </w:rPr>
        <w:t xml:space="preserve"> pension contributions, entitlements, system revenues, and </w:t>
      </w:r>
      <w:r>
        <w:rPr>
          <w:rFonts w:ascii="Times New Roman" w:hAnsi="Times New Roman" w:cs="Times New Roman"/>
          <w:noProof/>
          <w:sz w:val="20"/>
          <w:szCs w:val="20"/>
        </w:rPr>
        <w:t>system expenditure, over a long time frame. The model can</w:t>
      </w:r>
      <w:r w:rsidRPr="008D2FD5">
        <w:rPr>
          <w:rFonts w:ascii="Times New Roman" w:hAnsi="Times New Roman" w:cs="Times New Roman"/>
          <w:noProof/>
          <w:sz w:val="20"/>
          <w:szCs w:val="20"/>
        </w:rPr>
        <w:t xml:space="preserve"> </w:t>
      </w:r>
      <w:r>
        <w:rPr>
          <w:rFonts w:ascii="Times New Roman" w:hAnsi="Times New Roman" w:cs="Times New Roman"/>
          <w:noProof/>
          <w:sz w:val="20"/>
          <w:szCs w:val="20"/>
        </w:rPr>
        <w:t xml:space="preserve">undertake </w:t>
      </w:r>
      <w:r w:rsidRPr="008D2FD5">
        <w:rPr>
          <w:rFonts w:ascii="Times New Roman" w:hAnsi="Times New Roman" w:cs="Times New Roman"/>
          <w:noProof/>
          <w:sz w:val="20"/>
          <w:szCs w:val="20"/>
        </w:rPr>
        <w:t>simulations of the development of the current pension system</w:t>
      </w:r>
      <w:r>
        <w:rPr>
          <w:rFonts w:ascii="Times New Roman" w:hAnsi="Times New Roman" w:cs="Times New Roman"/>
          <w:noProof/>
          <w:sz w:val="20"/>
          <w:szCs w:val="20"/>
        </w:rPr>
        <w:t xml:space="preserve">, </w:t>
      </w:r>
      <w:r w:rsidRPr="008D2FD5">
        <w:rPr>
          <w:rFonts w:ascii="Times New Roman" w:hAnsi="Times New Roman" w:cs="Times New Roman"/>
          <w:noProof/>
          <w:sz w:val="20"/>
          <w:szCs w:val="20"/>
        </w:rPr>
        <w:t>analyse var</w:t>
      </w:r>
      <w:r>
        <w:rPr>
          <w:rFonts w:ascii="Times New Roman" w:hAnsi="Times New Roman" w:cs="Times New Roman"/>
          <w:noProof/>
          <w:sz w:val="20"/>
          <w:szCs w:val="20"/>
        </w:rPr>
        <w:t xml:space="preserve">ious options for pension reform, and assess together future aggregate expenditure levels, the adequacy of individual pensions and the distribution of pension levels across the population as well as the impact of changes in </w:t>
      </w:r>
      <w:r w:rsidRPr="008D2FD5">
        <w:rPr>
          <w:rFonts w:ascii="Times New Roman" w:hAnsi="Times New Roman" w:cs="Times New Roman"/>
          <w:noProof/>
          <w:sz w:val="20"/>
          <w:szCs w:val="20"/>
        </w:rPr>
        <w:t>coverage, eligibility, benefit</w:t>
      </w:r>
      <w:r>
        <w:rPr>
          <w:rFonts w:ascii="Times New Roman" w:hAnsi="Times New Roman" w:cs="Times New Roman"/>
          <w:noProof/>
          <w:sz w:val="20"/>
          <w:szCs w:val="20"/>
        </w:rPr>
        <w:t xml:space="preserve"> levels</w:t>
      </w:r>
      <w:r w:rsidRPr="008D2FD5">
        <w:rPr>
          <w:rFonts w:ascii="Times New Roman" w:hAnsi="Times New Roman" w:cs="Times New Roman"/>
          <w:noProof/>
          <w:sz w:val="20"/>
          <w:szCs w:val="20"/>
        </w:rPr>
        <w:t>, or contribution rates</w:t>
      </w:r>
      <w:r>
        <w:rPr>
          <w:rFonts w:ascii="Times New Roman" w:hAnsi="Times New Roman" w:cs="Times New Roman"/>
          <w:noProof/>
          <w:sz w:val="20"/>
          <w:szCs w:val="20"/>
        </w:rPr>
        <w:t xml:space="preserve"> on these.</w:t>
      </w:r>
      <w:r w:rsidRPr="008D2FD5">
        <w:rPr>
          <w:rFonts w:ascii="Times New Roman" w:hAnsi="Times New Roman" w:cs="Times New Roman"/>
          <w:noProof/>
          <w:sz w:val="20"/>
          <w:szCs w:val="20"/>
        </w:rPr>
        <w:t xml:space="preserve"> </w:t>
      </w:r>
      <w:r>
        <w:rPr>
          <w:rFonts w:ascii="Times New Roman" w:hAnsi="Times New Roman" w:cs="Times New Roman"/>
          <w:noProof/>
          <w:sz w:val="20"/>
          <w:szCs w:val="20"/>
        </w:rPr>
        <w:t xml:space="preserve"> </w:t>
      </w:r>
    </w:p>
    <w:p w14:paraId="50213839" w14:textId="68ABC1F3" w:rsidR="001917CB" w:rsidRDefault="001917CB" w:rsidP="001917CB">
      <w:pPr>
        <w:spacing w:before="120"/>
        <w:jc w:val="both"/>
        <w:rPr>
          <w:rFonts w:ascii="Times New Roman" w:hAnsi="Times New Roman" w:cs="Times New Roman"/>
          <w:noProof/>
          <w:sz w:val="24"/>
          <w:szCs w:val="24"/>
        </w:rPr>
      </w:pPr>
      <w:r>
        <w:rPr>
          <w:rFonts w:ascii="Times New Roman" w:hAnsi="Times New Roman" w:cs="Times New Roman"/>
          <w:b/>
          <w:noProof/>
          <w:sz w:val="24"/>
          <w:szCs w:val="24"/>
        </w:rPr>
        <w:t>W</w:t>
      </w:r>
      <w:r w:rsidRPr="00CC13CF">
        <w:rPr>
          <w:rFonts w:ascii="Times New Roman" w:hAnsi="Times New Roman" w:cs="Times New Roman"/>
          <w:b/>
          <w:noProof/>
          <w:sz w:val="24"/>
          <w:szCs w:val="24"/>
        </w:rPr>
        <w:t xml:space="preserve">hen simulating policy changes </w:t>
      </w:r>
      <w:r>
        <w:rPr>
          <w:rFonts w:ascii="Times New Roman" w:hAnsi="Times New Roman" w:cs="Times New Roman"/>
          <w:b/>
          <w:noProof/>
          <w:sz w:val="24"/>
          <w:szCs w:val="24"/>
        </w:rPr>
        <w:t>one has to decide on</w:t>
      </w:r>
      <w:r w:rsidRPr="00CC13CF">
        <w:rPr>
          <w:rFonts w:ascii="Times New Roman" w:hAnsi="Times New Roman" w:cs="Times New Roman"/>
          <w:b/>
          <w:noProof/>
          <w:sz w:val="24"/>
          <w:szCs w:val="24"/>
        </w:rPr>
        <w:t xml:space="preserve"> how to model changes that </w:t>
      </w:r>
      <w:r>
        <w:rPr>
          <w:rFonts w:ascii="Times New Roman" w:hAnsi="Times New Roman" w:cs="Times New Roman"/>
          <w:b/>
          <w:noProof/>
          <w:sz w:val="24"/>
          <w:szCs w:val="24"/>
        </w:rPr>
        <w:t>will have effect during a</w:t>
      </w:r>
      <w:r w:rsidRPr="00CC13CF">
        <w:rPr>
          <w:rFonts w:ascii="Times New Roman" w:hAnsi="Times New Roman" w:cs="Times New Roman"/>
          <w:b/>
          <w:noProof/>
          <w:sz w:val="24"/>
          <w:szCs w:val="24"/>
        </w:rPr>
        <w:t xml:space="preserve"> calendar year.</w:t>
      </w:r>
      <w:r w:rsidRPr="00CC13CF">
        <w:rPr>
          <w:rFonts w:ascii="Times New Roman" w:hAnsi="Times New Roman" w:cs="Times New Roman"/>
          <w:noProof/>
          <w:sz w:val="24"/>
          <w:szCs w:val="24"/>
        </w:rPr>
        <w:t xml:space="preserve"> One option is to pro-rata changes that are not in place for the full calendar year. Another option – and that followed by the EUROMOD model – is to include all policy changes made by 30 June in the policy system for that year. Policy changes which occur later in the year are modelled in the subsequent year</w:t>
      </w:r>
      <w:r w:rsidRPr="00CC13CF">
        <w:rPr>
          <w:rFonts w:ascii="Times New Roman" w:hAnsi="Times New Roman" w:cs="Times New Roman"/>
          <w:noProof/>
          <w:sz w:val="24"/>
          <w:szCs w:val="24"/>
          <w:vertAlign w:val="superscript"/>
        </w:rPr>
        <w:footnoteReference w:id="33"/>
      </w:r>
      <w:r w:rsidRPr="00CC13CF">
        <w:rPr>
          <w:rFonts w:ascii="Times New Roman" w:hAnsi="Times New Roman" w:cs="Times New Roman"/>
          <w:noProof/>
          <w:sz w:val="24"/>
          <w:szCs w:val="24"/>
        </w:rPr>
        <w:t xml:space="preserve">. </w:t>
      </w:r>
    </w:p>
    <w:p w14:paraId="110E00D4" w14:textId="4FFACADD" w:rsidR="00D56E53" w:rsidRPr="004B203D" w:rsidRDefault="00352799" w:rsidP="008F1389">
      <w:pPr>
        <w:pStyle w:val="Heading2"/>
        <w:numPr>
          <w:ilvl w:val="0"/>
          <w:numId w:val="28"/>
        </w:numPr>
        <w:spacing w:before="120" w:after="120"/>
        <w:ind w:left="714" w:hanging="357"/>
        <w:rPr>
          <w:rFonts w:ascii="Times New Roman" w:hAnsi="Times New Roman" w:cs="Times New Roman"/>
          <w:noProof/>
        </w:rPr>
      </w:pPr>
      <w:bookmarkStart w:id="8" w:name="_Toc114470588"/>
      <w:r>
        <w:rPr>
          <w:rFonts w:ascii="Times New Roman" w:hAnsi="Times New Roman" w:cs="Times New Roman"/>
          <w:noProof/>
        </w:rPr>
        <w:t>What tools to use?</w:t>
      </w:r>
      <w:bookmarkEnd w:id="8"/>
    </w:p>
    <w:p w14:paraId="3DEED476" w14:textId="2E1A4C4C" w:rsidR="00591A2F" w:rsidRPr="00591A2F" w:rsidRDefault="00D56E53" w:rsidP="00D56E53">
      <w:pPr>
        <w:jc w:val="both"/>
        <w:rPr>
          <w:rFonts w:ascii="Times New Roman" w:hAnsi="Times New Roman" w:cs="Times New Roman"/>
          <w:noProof/>
          <w:sz w:val="24"/>
          <w:szCs w:val="24"/>
        </w:rPr>
      </w:pPr>
      <w:r w:rsidRPr="00D56E53">
        <w:rPr>
          <w:rFonts w:ascii="Times New Roman" w:hAnsi="Times New Roman" w:cs="Times New Roman"/>
          <w:b/>
          <w:noProof/>
          <w:sz w:val="24"/>
          <w:szCs w:val="24"/>
        </w:rPr>
        <w:t>DIA</w:t>
      </w:r>
      <w:r w:rsidR="00A64E5E">
        <w:rPr>
          <w:rFonts w:ascii="Times New Roman" w:hAnsi="Times New Roman" w:cs="Times New Roman"/>
          <w:b/>
          <w:noProof/>
          <w:sz w:val="24"/>
          <w:szCs w:val="24"/>
        </w:rPr>
        <w:t>s</w:t>
      </w:r>
      <w:r w:rsidRPr="00D56E53">
        <w:rPr>
          <w:rFonts w:ascii="Times New Roman" w:hAnsi="Times New Roman" w:cs="Times New Roman"/>
          <w:b/>
          <w:noProof/>
          <w:sz w:val="24"/>
          <w:szCs w:val="24"/>
        </w:rPr>
        <w:t xml:space="preserve"> </w:t>
      </w:r>
      <w:r w:rsidR="00A64E5E">
        <w:rPr>
          <w:rFonts w:ascii="Times New Roman" w:hAnsi="Times New Roman" w:cs="Times New Roman"/>
          <w:b/>
          <w:noProof/>
          <w:sz w:val="24"/>
          <w:szCs w:val="24"/>
        </w:rPr>
        <w:t>need</w:t>
      </w:r>
      <w:r w:rsidRPr="00D56E53">
        <w:rPr>
          <w:rFonts w:ascii="Times New Roman" w:hAnsi="Times New Roman" w:cs="Times New Roman"/>
          <w:b/>
          <w:noProof/>
          <w:sz w:val="24"/>
          <w:szCs w:val="24"/>
        </w:rPr>
        <w:t xml:space="preserve"> to be based on sound models to provide an overall </w:t>
      </w:r>
      <w:r w:rsidR="009A43ED">
        <w:rPr>
          <w:rFonts w:ascii="Times New Roman" w:hAnsi="Times New Roman" w:cs="Times New Roman"/>
          <w:b/>
          <w:noProof/>
          <w:sz w:val="24"/>
          <w:szCs w:val="24"/>
        </w:rPr>
        <w:t xml:space="preserve">reliable </w:t>
      </w:r>
      <w:r w:rsidRPr="00D56E53">
        <w:rPr>
          <w:rFonts w:ascii="Times New Roman" w:hAnsi="Times New Roman" w:cs="Times New Roman"/>
          <w:b/>
          <w:noProof/>
          <w:sz w:val="24"/>
          <w:szCs w:val="24"/>
        </w:rPr>
        <w:t xml:space="preserve">picture of the impact of policy changes. </w:t>
      </w:r>
      <w:r w:rsidR="00591A2F">
        <w:rPr>
          <w:rFonts w:ascii="Times New Roman" w:hAnsi="Times New Roman" w:cs="Times New Roman"/>
          <w:noProof/>
          <w:sz w:val="24"/>
          <w:szCs w:val="24"/>
        </w:rPr>
        <w:t>Therefore, conducting DIA that gives credible results requires reliance on microsimulation models</w:t>
      </w:r>
      <w:r w:rsidR="00A64E5E">
        <w:rPr>
          <w:rFonts w:ascii="Times New Roman" w:hAnsi="Times New Roman" w:cs="Times New Roman"/>
          <w:noProof/>
          <w:sz w:val="24"/>
          <w:szCs w:val="24"/>
        </w:rPr>
        <w:t>,</w:t>
      </w:r>
      <w:r w:rsidR="00591A2F">
        <w:rPr>
          <w:rFonts w:ascii="Times New Roman" w:hAnsi="Times New Roman" w:cs="Times New Roman"/>
          <w:noProof/>
          <w:sz w:val="24"/>
          <w:szCs w:val="24"/>
        </w:rPr>
        <w:t xml:space="preserve"> their </w:t>
      </w:r>
      <w:r w:rsidR="0018057E">
        <w:rPr>
          <w:rFonts w:ascii="Times New Roman" w:hAnsi="Times New Roman" w:cs="Times New Roman"/>
          <w:noProof/>
          <w:sz w:val="24"/>
          <w:szCs w:val="24"/>
        </w:rPr>
        <w:t>extensions</w:t>
      </w:r>
      <w:r w:rsidR="00591A2F">
        <w:rPr>
          <w:rFonts w:ascii="Times New Roman" w:hAnsi="Times New Roman" w:cs="Times New Roman"/>
          <w:noProof/>
          <w:sz w:val="24"/>
          <w:szCs w:val="24"/>
        </w:rPr>
        <w:t xml:space="preserve"> and linkages with labour supply-demand and general equilibrium macrosimulation models. </w:t>
      </w:r>
    </w:p>
    <w:p w14:paraId="614287ED" w14:textId="295131A0" w:rsidR="00D56E53" w:rsidRDefault="00D56E53" w:rsidP="00D56E53">
      <w:pPr>
        <w:jc w:val="both"/>
        <w:rPr>
          <w:rFonts w:ascii="Times New Roman" w:hAnsi="Times New Roman" w:cs="Times New Roman"/>
          <w:noProof/>
          <w:sz w:val="24"/>
          <w:szCs w:val="24"/>
        </w:rPr>
      </w:pPr>
      <w:r w:rsidRPr="00591A2F">
        <w:rPr>
          <w:rFonts w:ascii="Times New Roman" w:hAnsi="Times New Roman" w:cs="Times New Roman"/>
          <w:b/>
          <w:noProof/>
          <w:sz w:val="24"/>
          <w:szCs w:val="24"/>
        </w:rPr>
        <w:t>Policy changes are often considered in terms of their effects on a number of “hypothetical families”.</w:t>
      </w:r>
      <w:r w:rsidRPr="00D56E53">
        <w:rPr>
          <w:rFonts w:ascii="Times New Roman" w:hAnsi="Times New Roman" w:cs="Times New Roman"/>
          <w:noProof/>
          <w:sz w:val="24"/>
          <w:szCs w:val="24"/>
        </w:rPr>
        <w:t xml:space="preserve"> In this approach, a number of typical households are considered and the effect of budgetary changes on their income is assessed</w:t>
      </w:r>
      <w:r w:rsidR="00587B55">
        <w:rPr>
          <w:rFonts w:ascii="Times New Roman" w:hAnsi="Times New Roman" w:cs="Times New Roman"/>
          <w:noProof/>
          <w:sz w:val="24"/>
          <w:szCs w:val="24"/>
        </w:rPr>
        <w:t xml:space="preserve"> (see </w:t>
      </w:r>
      <w:r w:rsidR="00A64E5E">
        <w:rPr>
          <w:rFonts w:ascii="Times New Roman" w:hAnsi="Times New Roman" w:cs="Times New Roman"/>
          <w:noProof/>
          <w:sz w:val="24"/>
          <w:szCs w:val="24"/>
        </w:rPr>
        <w:t>B</w:t>
      </w:r>
      <w:r w:rsidR="00C37617">
        <w:rPr>
          <w:rFonts w:ascii="Times New Roman" w:hAnsi="Times New Roman" w:cs="Times New Roman"/>
          <w:noProof/>
          <w:sz w:val="24"/>
          <w:szCs w:val="24"/>
        </w:rPr>
        <w:t xml:space="preserve">ox </w:t>
      </w:r>
      <w:r w:rsidR="00682267">
        <w:rPr>
          <w:rFonts w:ascii="Times New Roman" w:hAnsi="Times New Roman" w:cs="Times New Roman"/>
          <w:noProof/>
          <w:sz w:val="24"/>
          <w:szCs w:val="24"/>
        </w:rPr>
        <w:t>5</w:t>
      </w:r>
      <w:r w:rsidR="00587B55">
        <w:rPr>
          <w:rFonts w:ascii="Times New Roman" w:hAnsi="Times New Roman" w:cs="Times New Roman"/>
          <w:noProof/>
          <w:sz w:val="24"/>
          <w:szCs w:val="24"/>
        </w:rPr>
        <w:t>)</w:t>
      </w:r>
      <w:r w:rsidRPr="00D56E53">
        <w:rPr>
          <w:rFonts w:ascii="Times New Roman" w:hAnsi="Times New Roman" w:cs="Times New Roman"/>
          <w:noProof/>
          <w:sz w:val="24"/>
          <w:szCs w:val="24"/>
        </w:rPr>
        <w:t xml:space="preserve">. </w:t>
      </w:r>
      <w:r w:rsidR="009602AC">
        <w:rPr>
          <w:rFonts w:ascii="Times New Roman" w:hAnsi="Times New Roman" w:cs="Times New Roman"/>
          <w:noProof/>
          <w:sz w:val="24"/>
          <w:szCs w:val="24"/>
        </w:rPr>
        <w:t>S</w:t>
      </w:r>
      <w:r w:rsidR="009602AC" w:rsidRPr="009602AC">
        <w:rPr>
          <w:rFonts w:ascii="Times New Roman" w:hAnsi="Times New Roman" w:cs="Times New Roman"/>
          <w:noProof/>
          <w:sz w:val="24"/>
          <w:szCs w:val="24"/>
        </w:rPr>
        <w:t>uch an analysis - no matter how well chosen - simply cannot give an overall picture of the distributional impact of a policy change on incomes and work incentives at the population level.</w:t>
      </w:r>
      <w:r w:rsidR="009602AC">
        <w:rPr>
          <w:rFonts w:ascii="Times New Roman" w:hAnsi="Times New Roman" w:cs="Times New Roman"/>
          <w:noProof/>
          <w:sz w:val="24"/>
          <w:szCs w:val="24"/>
        </w:rPr>
        <w:t xml:space="preserve"> </w:t>
      </w:r>
      <w:r w:rsidRPr="00D56E53">
        <w:rPr>
          <w:rFonts w:ascii="Times New Roman" w:hAnsi="Times New Roman" w:cs="Times New Roman"/>
          <w:noProof/>
          <w:sz w:val="24"/>
          <w:szCs w:val="24"/>
        </w:rPr>
        <w:t xml:space="preserve">This approach has limitations as households within a category might differ in terms of income, housing tenure, number of children and other characteristics that affect their tax-benefit position. </w:t>
      </w:r>
    </w:p>
    <w:p w14:paraId="2EAFF328" w14:textId="2AE983F8" w:rsidR="0018057E" w:rsidRPr="00C37617" w:rsidRDefault="00E41B42" w:rsidP="006866E4">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noProof/>
          <w:sz w:val="20"/>
          <w:szCs w:val="20"/>
        </w:rPr>
      </w:pPr>
      <w:r w:rsidRPr="00C37617">
        <w:rPr>
          <w:rFonts w:ascii="Times New Roman" w:hAnsi="Times New Roman" w:cs="Times New Roman"/>
          <w:b/>
          <w:noProof/>
          <w:sz w:val="20"/>
          <w:szCs w:val="20"/>
        </w:rPr>
        <w:t xml:space="preserve">Box </w:t>
      </w:r>
      <w:r w:rsidR="00682267">
        <w:rPr>
          <w:rFonts w:ascii="Times New Roman" w:hAnsi="Times New Roman" w:cs="Times New Roman"/>
          <w:b/>
          <w:noProof/>
          <w:sz w:val="20"/>
          <w:szCs w:val="20"/>
        </w:rPr>
        <w:t>5</w:t>
      </w:r>
      <w:r w:rsidRPr="00C37617">
        <w:rPr>
          <w:rFonts w:ascii="Times New Roman" w:hAnsi="Times New Roman" w:cs="Times New Roman"/>
          <w:b/>
          <w:noProof/>
          <w:sz w:val="20"/>
          <w:szCs w:val="20"/>
        </w:rPr>
        <w:t xml:space="preserve">: </w:t>
      </w:r>
      <w:r w:rsidR="0018057E" w:rsidRPr="00C37617">
        <w:rPr>
          <w:rFonts w:ascii="Times New Roman" w:hAnsi="Times New Roman" w:cs="Times New Roman"/>
          <w:b/>
          <w:noProof/>
          <w:sz w:val="20"/>
          <w:szCs w:val="20"/>
        </w:rPr>
        <w:t>Hypothetical household models</w:t>
      </w:r>
    </w:p>
    <w:p w14:paraId="1E65D6E6" w14:textId="633A1DAF" w:rsidR="0018057E" w:rsidRPr="00851BA8" w:rsidRDefault="0018057E" w:rsidP="0018057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i/>
          <w:noProof/>
          <w:sz w:val="20"/>
          <w:szCs w:val="20"/>
        </w:rPr>
      </w:pPr>
      <w:r w:rsidRPr="00851BA8">
        <w:rPr>
          <w:rFonts w:ascii="Times New Roman" w:hAnsi="Times New Roman" w:cs="Times New Roman"/>
          <w:i/>
          <w:noProof/>
          <w:sz w:val="20"/>
          <w:szCs w:val="20"/>
        </w:rPr>
        <w:t>The OECD Tax-Benefit Simulation Model (TaxBEN)</w:t>
      </w:r>
    </w:p>
    <w:p w14:paraId="170F2284" w14:textId="74C7AF69" w:rsidR="0018057E" w:rsidRDefault="0018057E" w:rsidP="0018057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0"/>
          <w:szCs w:val="20"/>
        </w:rPr>
      </w:pPr>
      <w:r w:rsidRPr="0018057E">
        <w:rPr>
          <w:rFonts w:ascii="Times New Roman" w:hAnsi="Times New Roman" w:cs="Times New Roman"/>
          <w:noProof/>
          <w:sz w:val="20"/>
          <w:szCs w:val="20"/>
        </w:rPr>
        <w:t>The tax-benefit model TaxBEN (TaxBEN) is the cross-country tax and benefit simulation model developed and maintained by the OECD. It is a unique tool for exploring the detailed mechanics of tax-benefit policies and reforms on working age individuals and their families across countries. The scope of TaxBEN includes taxes and social benefits that, together, account for a large share of government budgets. TaxBEN produces policy indicators on household incomes, labour costs and work incentives in different family situations and policy settings. It covers a broad set of income</w:t>
      </w:r>
      <w:r>
        <w:rPr>
          <w:rFonts w:ascii="Times New Roman" w:hAnsi="Times New Roman" w:cs="Times New Roman"/>
          <w:noProof/>
          <w:sz w:val="20"/>
          <w:szCs w:val="20"/>
        </w:rPr>
        <w:t xml:space="preserve"> </w:t>
      </w:r>
      <w:r w:rsidRPr="0018057E">
        <w:rPr>
          <w:rFonts w:ascii="Times New Roman" w:hAnsi="Times New Roman" w:cs="Times New Roman"/>
          <w:noProof/>
          <w:sz w:val="20"/>
          <w:szCs w:val="20"/>
        </w:rPr>
        <w:t>support and tax policies going back to early 2000s for more than 40 OECD member and non-member countries. The model draws on a comprehensive library of tax and benefit policy rules that are relevant for working-age individuals and their families</w:t>
      </w:r>
      <w:r>
        <w:rPr>
          <w:rFonts w:ascii="Times New Roman" w:hAnsi="Times New Roman" w:cs="Times New Roman"/>
          <w:noProof/>
          <w:sz w:val="20"/>
          <w:szCs w:val="20"/>
        </w:rPr>
        <w:t>.</w:t>
      </w:r>
    </w:p>
    <w:p w14:paraId="7740931F" w14:textId="2F101555" w:rsidR="002B3E25" w:rsidRPr="00851BA8" w:rsidRDefault="002B3E25" w:rsidP="00851BA8">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i/>
          <w:noProof/>
          <w:sz w:val="20"/>
          <w:szCs w:val="20"/>
        </w:rPr>
      </w:pPr>
      <w:r w:rsidRPr="00851BA8">
        <w:rPr>
          <w:rFonts w:ascii="Times New Roman" w:hAnsi="Times New Roman" w:cs="Times New Roman"/>
          <w:i/>
          <w:noProof/>
          <w:sz w:val="20"/>
          <w:szCs w:val="20"/>
        </w:rPr>
        <w:t>Hypothetical Household Tool (HHoT)</w:t>
      </w:r>
    </w:p>
    <w:p w14:paraId="0358FAEF" w14:textId="5B788773" w:rsidR="002B3E25" w:rsidRPr="002273B7" w:rsidRDefault="002B3E25" w:rsidP="00851BA8">
      <w:pPr>
        <w:pBdr>
          <w:top w:val="single" w:sz="4" w:space="1" w:color="auto"/>
          <w:left w:val="single" w:sz="4" w:space="4" w:color="auto"/>
          <w:bottom w:val="single" w:sz="4" w:space="1" w:color="auto"/>
          <w:right w:val="single" w:sz="4" w:space="4" w:color="auto"/>
        </w:pBdr>
        <w:spacing w:after="120" w:line="240" w:lineRule="auto"/>
        <w:jc w:val="both"/>
        <w:rPr>
          <w:noProof/>
          <w:sz w:val="20"/>
          <w:szCs w:val="20"/>
        </w:rPr>
      </w:pPr>
      <w:r w:rsidRPr="00851BA8">
        <w:rPr>
          <w:rFonts w:ascii="Times New Roman" w:hAnsi="Times New Roman" w:cs="Times New Roman"/>
          <w:noProof/>
          <w:sz w:val="20"/>
          <w:szCs w:val="20"/>
        </w:rPr>
        <w:t xml:space="preserve">The Hypothetical Household Tool (HHoT) is a EUROMOD </w:t>
      </w:r>
      <w:r w:rsidR="007C2AEB" w:rsidRPr="00851BA8">
        <w:rPr>
          <w:rFonts w:ascii="Times New Roman" w:hAnsi="Times New Roman" w:cs="Times New Roman"/>
          <w:noProof/>
          <w:sz w:val="20"/>
          <w:szCs w:val="20"/>
        </w:rPr>
        <w:t xml:space="preserve">(please see below for details about EUROMOD) </w:t>
      </w:r>
      <w:r w:rsidRPr="00851BA8">
        <w:rPr>
          <w:rFonts w:ascii="Times New Roman" w:hAnsi="Times New Roman" w:cs="Times New Roman"/>
          <w:noProof/>
          <w:sz w:val="20"/>
          <w:szCs w:val="20"/>
        </w:rPr>
        <w:t xml:space="preserve">plugin for designing hypothetical households and generating data according to the chosen household </w:t>
      </w:r>
      <w:r w:rsidR="00704A26" w:rsidRPr="00851BA8">
        <w:rPr>
          <w:rFonts w:ascii="Times New Roman" w:hAnsi="Times New Roman" w:cs="Times New Roman"/>
          <w:noProof/>
          <w:sz w:val="20"/>
          <w:szCs w:val="20"/>
        </w:rPr>
        <w:t xml:space="preserve">and individual </w:t>
      </w:r>
      <w:r w:rsidRPr="00851BA8">
        <w:rPr>
          <w:rFonts w:ascii="Times New Roman" w:hAnsi="Times New Roman" w:cs="Times New Roman"/>
          <w:noProof/>
          <w:sz w:val="20"/>
          <w:szCs w:val="20"/>
        </w:rPr>
        <w:t xml:space="preserve">characteristics. </w:t>
      </w:r>
      <w:r w:rsidR="00EF780E" w:rsidRPr="00851BA8">
        <w:rPr>
          <w:rFonts w:ascii="Times New Roman" w:hAnsi="Times New Roman" w:cs="Times New Roman"/>
          <w:noProof/>
          <w:sz w:val="20"/>
          <w:szCs w:val="20"/>
        </w:rPr>
        <w:t>The generated dataset</w:t>
      </w:r>
      <w:r w:rsidR="00587B55" w:rsidRPr="00851BA8">
        <w:rPr>
          <w:rFonts w:ascii="Times New Roman" w:hAnsi="Times New Roman" w:cs="Times New Roman"/>
          <w:noProof/>
          <w:sz w:val="20"/>
          <w:szCs w:val="20"/>
        </w:rPr>
        <w:t xml:space="preserve"> </w:t>
      </w:r>
      <w:r w:rsidRPr="00851BA8">
        <w:rPr>
          <w:rFonts w:ascii="Times New Roman" w:hAnsi="Times New Roman" w:cs="Times New Roman"/>
          <w:noProof/>
          <w:sz w:val="20"/>
          <w:szCs w:val="20"/>
        </w:rPr>
        <w:t>can then be used to estimate the effects of taxes and benefits on household disposable income, by running EUROMOD.</w:t>
      </w:r>
    </w:p>
    <w:p w14:paraId="0FFF60BF" w14:textId="01D4E2C9" w:rsidR="002B3E25" w:rsidRPr="00D56E53" w:rsidRDefault="002B3E25" w:rsidP="00851BA8">
      <w:pPr>
        <w:pStyle w:val="NormalWeb"/>
        <w:pBdr>
          <w:top w:val="single" w:sz="4" w:space="1" w:color="auto"/>
          <w:left w:val="single" w:sz="4" w:space="4" w:color="auto"/>
          <w:bottom w:val="single" w:sz="4" w:space="1" w:color="auto"/>
          <w:right w:val="single" w:sz="4" w:space="4" w:color="auto"/>
        </w:pBdr>
        <w:spacing w:before="0" w:beforeAutospacing="0" w:after="120" w:afterAutospacing="0"/>
        <w:jc w:val="both"/>
        <w:rPr>
          <w:noProof/>
        </w:rPr>
      </w:pPr>
      <w:r w:rsidRPr="00C11D08">
        <w:rPr>
          <w:noProof/>
          <w:sz w:val="20"/>
        </w:rPr>
        <w:t>With the HHoT plugin users can create their own hypothetical data, which allow</w:t>
      </w:r>
      <w:r w:rsidR="007A3B76">
        <w:rPr>
          <w:noProof/>
          <w:sz w:val="20"/>
        </w:rPr>
        <w:t>s</w:t>
      </w:r>
      <w:r w:rsidRPr="00C11D08">
        <w:rPr>
          <w:noProof/>
          <w:sz w:val="20"/>
        </w:rPr>
        <w:t xml:space="preserve"> </w:t>
      </w:r>
      <w:r w:rsidR="00F066BC">
        <w:rPr>
          <w:noProof/>
          <w:sz w:val="20"/>
        </w:rPr>
        <w:t xml:space="preserve">them </w:t>
      </w:r>
      <w:r w:rsidRPr="00C11D08">
        <w:rPr>
          <w:noProof/>
          <w:sz w:val="20"/>
        </w:rPr>
        <w:t xml:space="preserve">to better understand how policies </w:t>
      </w:r>
      <w:r w:rsidR="00587B55">
        <w:rPr>
          <w:noProof/>
          <w:sz w:val="20"/>
        </w:rPr>
        <w:t xml:space="preserve">impact </w:t>
      </w:r>
      <w:r w:rsidRPr="00C11D08">
        <w:rPr>
          <w:noProof/>
          <w:sz w:val="20"/>
        </w:rPr>
        <w:t>households with specific characteristics, while giving full control over the characteristics of interest (</w:t>
      </w:r>
      <w:r w:rsidR="00587B55">
        <w:rPr>
          <w:noProof/>
          <w:sz w:val="20"/>
        </w:rPr>
        <w:t xml:space="preserve">see for instance </w:t>
      </w:r>
      <w:hyperlink r:id="rId20" w:tgtFrame="_blank" w:history="1">
        <w:r w:rsidRPr="00C11D08">
          <w:rPr>
            <w:rStyle w:val="Hyperlink"/>
            <w:rFonts w:eastAsia="Garamond"/>
            <w:noProof/>
            <w:sz w:val="20"/>
          </w:rPr>
          <w:t>Gasior and Recchia 2019</w:t>
        </w:r>
      </w:hyperlink>
      <w:r w:rsidRPr="00C11D08">
        <w:rPr>
          <w:noProof/>
          <w:sz w:val="20"/>
        </w:rPr>
        <w:t>).</w:t>
      </w:r>
      <w:r w:rsidR="00587B55">
        <w:rPr>
          <w:noProof/>
          <w:sz w:val="20"/>
        </w:rPr>
        <w:t xml:space="preserve"> </w:t>
      </w:r>
      <w:r w:rsidRPr="00C11D08">
        <w:rPr>
          <w:noProof/>
          <w:sz w:val="20"/>
        </w:rPr>
        <w:t xml:space="preserve">HHoT generates specified hypothetical household input datasets. The flexibility of the tool allows users to specify a broad spectrum of different hypothetical households. The specification of household composition and other characteristics is only limited by the scope of variables in EUROMOD input data. For example, </w:t>
      </w:r>
      <w:r w:rsidR="00587B55">
        <w:rPr>
          <w:noProof/>
          <w:sz w:val="20"/>
        </w:rPr>
        <w:t xml:space="preserve">various </w:t>
      </w:r>
      <w:r w:rsidRPr="00C11D08">
        <w:rPr>
          <w:noProof/>
          <w:sz w:val="20"/>
        </w:rPr>
        <w:t>household</w:t>
      </w:r>
      <w:r w:rsidR="00587B55">
        <w:rPr>
          <w:noProof/>
          <w:sz w:val="20"/>
        </w:rPr>
        <w:t xml:space="preserve"> type</w:t>
      </w:r>
      <w:r w:rsidRPr="00C11D08">
        <w:rPr>
          <w:noProof/>
          <w:sz w:val="20"/>
        </w:rPr>
        <w:t>s can be included, as well as a variety of labour market statuses and income sources. HHoT allows users to compose, save, use and re-use their own database of hypothetical households. This plugin is included with the default installation of EUROMOD</w:t>
      </w:r>
      <w:r w:rsidR="00C54BFC">
        <w:rPr>
          <w:noProof/>
          <w:sz w:val="20"/>
        </w:rPr>
        <w:t>, and can be</w:t>
      </w:r>
      <w:r w:rsidR="00EF780E">
        <w:rPr>
          <w:noProof/>
          <w:sz w:val="20"/>
        </w:rPr>
        <w:t xml:space="preserve"> </w:t>
      </w:r>
      <w:r w:rsidR="00C54BFC">
        <w:rPr>
          <w:noProof/>
          <w:sz w:val="20"/>
        </w:rPr>
        <w:t>found</w:t>
      </w:r>
      <w:r w:rsidRPr="007A3B76">
        <w:rPr>
          <w:noProof/>
          <w:sz w:val="20"/>
        </w:rPr>
        <w:t xml:space="preserve"> under the "Applications" toolbar ribbon, inside the "Tools" group.</w:t>
      </w:r>
      <w:r w:rsidR="00124F92" w:rsidRPr="007A3B76">
        <w:rPr>
          <w:rStyle w:val="FootnoteReference"/>
          <w:noProof/>
          <w:sz w:val="20"/>
        </w:rPr>
        <w:footnoteReference w:id="34"/>
      </w:r>
    </w:p>
    <w:p w14:paraId="5EA56347" w14:textId="2E08F158" w:rsidR="00D56E53" w:rsidRPr="00D56E53" w:rsidRDefault="00D56E53" w:rsidP="006866E4">
      <w:pPr>
        <w:widowControl w:val="0"/>
        <w:jc w:val="both"/>
        <w:rPr>
          <w:rFonts w:ascii="Times New Roman" w:hAnsi="Times New Roman" w:cs="Times New Roman"/>
          <w:noProof/>
          <w:sz w:val="24"/>
          <w:szCs w:val="24"/>
        </w:rPr>
      </w:pPr>
      <w:r w:rsidRPr="00D56E53">
        <w:rPr>
          <w:rFonts w:ascii="Times New Roman" w:hAnsi="Times New Roman" w:cs="Times New Roman"/>
          <w:b/>
          <w:noProof/>
          <w:sz w:val="24"/>
          <w:szCs w:val="24"/>
        </w:rPr>
        <w:t>Microsimulation models</w:t>
      </w:r>
      <w:r w:rsidR="004D409B">
        <w:rPr>
          <w:rStyle w:val="FootnoteReference"/>
          <w:rFonts w:ascii="Times New Roman" w:hAnsi="Times New Roman" w:cs="Times New Roman"/>
          <w:b/>
          <w:noProof/>
          <w:sz w:val="24"/>
          <w:szCs w:val="24"/>
        </w:rPr>
        <w:footnoteReference w:id="35"/>
      </w:r>
      <w:r w:rsidRPr="00D56E53">
        <w:rPr>
          <w:rFonts w:ascii="Times New Roman" w:hAnsi="Times New Roman" w:cs="Times New Roman"/>
          <w:b/>
          <w:noProof/>
          <w:sz w:val="24"/>
          <w:szCs w:val="24"/>
        </w:rPr>
        <w:t xml:space="preserve"> provide a suitable alternative to hypothetical household analysis for conducting DIA</w:t>
      </w:r>
      <w:r w:rsidR="00BF5D1F">
        <w:rPr>
          <w:rFonts w:ascii="Times New Roman" w:hAnsi="Times New Roman" w:cs="Times New Roman"/>
          <w:b/>
          <w:noProof/>
          <w:sz w:val="24"/>
          <w:szCs w:val="24"/>
        </w:rPr>
        <w:t xml:space="preserve"> </w:t>
      </w:r>
      <w:r w:rsidR="00BF5D1F" w:rsidRPr="00C57DFB">
        <w:rPr>
          <w:rFonts w:ascii="Times New Roman" w:hAnsi="Times New Roman" w:cs="Times New Roman"/>
          <w:noProof/>
          <w:sz w:val="24"/>
          <w:szCs w:val="24"/>
        </w:rPr>
        <w:t>(</w:t>
      </w:r>
      <w:r w:rsidR="00587B55">
        <w:rPr>
          <w:rFonts w:ascii="Times New Roman" w:hAnsi="Times New Roman" w:cs="Times New Roman"/>
          <w:noProof/>
          <w:sz w:val="24"/>
          <w:szCs w:val="24"/>
        </w:rPr>
        <w:t xml:space="preserve">see for instance </w:t>
      </w:r>
      <w:r w:rsidR="00BF5D1F" w:rsidRPr="00C57DFB">
        <w:rPr>
          <w:rFonts w:ascii="Times New Roman" w:hAnsi="Times New Roman" w:cs="Times New Roman"/>
          <w:noProof/>
          <w:sz w:val="24"/>
          <w:szCs w:val="24"/>
        </w:rPr>
        <w:t>Bourguignon and Spadaro,</w:t>
      </w:r>
      <w:r w:rsidR="00BF5D1F">
        <w:rPr>
          <w:rFonts w:ascii="Times New Roman" w:hAnsi="Times New Roman" w:cs="Times New Roman"/>
          <w:noProof/>
          <w:sz w:val="24"/>
          <w:szCs w:val="24"/>
        </w:rPr>
        <w:t xml:space="preserve"> 2006</w:t>
      </w:r>
      <w:r w:rsidR="0090355E">
        <w:rPr>
          <w:rStyle w:val="FootnoteReference"/>
          <w:rFonts w:ascii="Times New Roman" w:hAnsi="Times New Roman" w:cs="Times New Roman"/>
          <w:noProof/>
          <w:sz w:val="24"/>
          <w:szCs w:val="24"/>
        </w:rPr>
        <w:footnoteReference w:id="36"/>
      </w:r>
      <w:r w:rsidR="00BF5D1F">
        <w:rPr>
          <w:rFonts w:ascii="Times New Roman" w:hAnsi="Times New Roman" w:cs="Times New Roman"/>
          <w:noProof/>
          <w:sz w:val="24"/>
          <w:szCs w:val="24"/>
        </w:rPr>
        <w:t>)</w:t>
      </w:r>
      <w:r w:rsidRPr="00D56E53">
        <w:rPr>
          <w:rFonts w:ascii="Times New Roman" w:hAnsi="Times New Roman" w:cs="Times New Roman"/>
          <w:b/>
          <w:noProof/>
          <w:sz w:val="24"/>
          <w:szCs w:val="24"/>
        </w:rPr>
        <w:t xml:space="preserve">. </w:t>
      </w:r>
      <w:r w:rsidRPr="00D56E53">
        <w:rPr>
          <w:rFonts w:ascii="Times New Roman" w:hAnsi="Times New Roman" w:cs="Times New Roman"/>
          <w:noProof/>
          <w:sz w:val="24"/>
          <w:szCs w:val="24"/>
        </w:rPr>
        <w:t xml:space="preserve">They are based on large-scale representative samples of households. This ensures that the models represent as fully as possible the great diversity of household circumstances relevant to tax and social </w:t>
      </w:r>
      <w:r w:rsidR="00587B55">
        <w:rPr>
          <w:rFonts w:ascii="Times New Roman" w:hAnsi="Times New Roman" w:cs="Times New Roman"/>
          <w:noProof/>
          <w:sz w:val="24"/>
          <w:szCs w:val="24"/>
        </w:rPr>
        <w:t>benefits</w:t>
      </w:r>
      <w:r w:rsidRPr="00D56E53">
        <w:rPr>
          <w:rFonts w:ascii="Times New Roman" w:hAnsi="Times New Roman" w:cs="Times New Roman"/>
          <w:noProof/>
          <w:sz w:val="24"/>
          <w:szCs w:val="24"/>
        </w:rPr>
        <w:t>.</w:t>
      </w:r>
      <w:r w:rsidRPr="00D56E53">
        <w:rPr>
          <w:rFonts w:ascii="Times New Roman" w:hAnsi="Times New Roman" w:cs="Times New Roman"/>
          <w:noProof/>
          <w:sz w:val="24"/>
          <w:szCs w:val="24"/>
        </w:rPr>
        <w:tab/>
      </w:r>
    </w:p>
    <w:p w14:paraId="09DE8FD6" w14:textId="562638E1" w:rsidR="00D56E53" w:rsidRDefault="00D56E53" w:rsidP="00D56E53">
      <w:pPr>
        <w:jc w:val="both"/>
        <w:rPr>
          <w:rFonts w:ascii="Times New Roman" w:hAnsi="Times New Roman" w:cs="Times New Roman"/>
          <w:noProof/>
          <w:sz w:val="24"/>
          <w:szCs w:val="24"/>
        </w:rPr>
      </w:pPr>
      <w:r w:rsidRPr="00D56E53">
        <w:rPr>
          <w:rFonts w:ascii="Times New Roman" w:hAnsi="Times New Roman" w:cs="Times New Roman"/>
          <w:b/>
          <w:noProof/>
          <w:sz w:val="24"/>
          <w:szCs w:val="24"/>
        </w:rPr>
        <w:t xml:space="preserve">Broadly speaking, there are two main classes of microsimulation models </w:t>
      </w:r>
      <w:r w:rsidR="0014488A">
        <w:rPr>
          <w:rFonts w:ascii="Times New Roman" w:hAnsi="Times New Roman" w:cs="Times New Roman"/>
          <w:b/>
          <w:noProof/>
          <w:sz w:val="24"/>
          <w:szCs w:val="24"/>
        </w:rPr>
        <w:t>that Member States use for conducting DIA</w:t>
      </w:r>
      <w:r w:rsidRPr="00D56E53">
        <w:rPr>
          <w:rFonts w:ascii="Times New Roman" w:hAnsi="Times New Roman" w:cs="Times New Roman"/>
          <w:noProof/>
          <w:sz w:val="24"/>
          <w:szCs w:val="24"/>
        </w:rPr>
        <w:t xml:space="preserve">. </w:t>
      </w:r>
      <w:r w:rsidRPr="00C5764D">
        <w:rPr>
          <w:rFonts w:ascii="Times New Roman" w:hAnsi="Times New Roman" w:cs="Times New Roman"/>
          <w:noProof/>
          <w:sz w:val="24"/>
          <w:szCs w:val="24"/>
        </w:rPr>
        <w:t xml:space="preserve">On the one hand, EUROMOD is a harmonised microsimulation model for the EU, currently </w:t>
      </w:r>
      <w:r w:rsidR="00C5764D" w:rsidRPr="00C5764D">
        <w:rPr>
          <w:rFonts w:ascii="Times New Roman" w:hAnsi="Times New Roman" w:cs="Times New Roman"/>
          <w:noProof/>
          <w:sz w:val="24"/>
          <w:szCs w:val="24"/>
        </w:rPr>
        <w:t xml:space="preserve">managed, maintained and developed </w:t>
      </w:r>
      <w:r w:rsidRPr="00C5764D">
        <w:rPr>
          <w:rFonts w:ascii="Times New Roman" w:hAnsi="Times New Roman" w:cs="Times New Roman"/>
          <w:noProof/>
          <w:sz w:val="24"/>
          <w:szCs w:val="24"/>
        </w:rPr>
        <w:t xml:space="preserve">by the Joint Research Centre (JRC) </w:t>
      </w:r>
      <w:r w:rsidR="00D21FE8" w:rsidRPr="00C5764D">
        <w:rPr>
          <w:rFonts w:ascii="Times New Roman" w:hAnsi="Times New Roman" w:cs="Times New Roman"/>
          <w:noProof/>
          <w:sz w:val="24"/>
          <w:szCs w:val="24"/>
        </w:rPr>
        <w:t xml:space="preserve">of </w:t>
      </w:r>
      <w:r w:rsidRPr="00C5764D">
        <w:rPr>
          <w:rFonts w:ascii="Times New Roman" w:hAnsi="Times New Roman" w:cs="Times New Roman"/>
          <w:noProof/>
          <w:sz w:val="24"/>
          <w:szCs w:val="24"/>
        </w:rPr>
        <w:t xml:space="preserve">the European Commission. </w:t>
      </w:r>
      <w:r w:rsidR="00C5764D" w:rsidRPr="00C5764D">
        <w:rPr>
          <w:rFonts w:ascii="Times New Roman" w:hAnsi="Times New Roman" w:cs="Times New Roman"/>
          <w:noProof/>
          <w:sz w:val="24"/>
          <w:szCs w:val="24"/>
        </w:rPr>
        <w:t xml:space="preserve">The model is continuously updated in collaboration with Eurostat and national teams from each EU </w:t>
      </w:r>
      <w:r w:rsidR="00A70AFE">
        <w:rPr>
          <w:rFonts w:ascii="Times New Roman" w:hAnsi="Times New Roman" w:cs="Times New Roman"/>
          <w:noProof/>
          <w:sz w:val="24"/>
          <w:szCs w:val="24"/>
        </w:rPr>
        <w:t>M</w:t>
      </w:r>
      <w:r w:rsidR="00C5764D" w:rsidRPr="00C5764D">
        <w:rPr>
          <w:rFonts w:ascii="Times New Roman" w:hAnsi="Times New Roman" w:cs="Times New Roman"/>
          <w:noProof/>
          <w:sz w:val="24"/>
          <w:szCs w:val="24"/>
        </w:rPr>
        <w:t xml:space="preserve">ember </w:t>
      </w:r>
      <w:r w:rsidR="00A70AFE">
        <w:rPr>
          <w:rFonts w:ascii="Times New Roman" w:hAnsi="Times New Roman" w:cs="Times New Roman"/>
          <w:noProof/>
          <w:sz w:val="24"/>
          <w:szCs w:val="24"/>
        </w:rPr>
        <w:t>S</w:t>
      </w:r>
      <w:r w:rsidR="00C5764D" w:rsidRPr="00C5764D">
        <w:rPr>
          <w:rFonts w:ascii="Times New Roman" w:hAnsi="Times New Roman" w:cs="Times New Roman"/>
          <w:noProof/>
          <w:sz w:val="24"/>
          <w:szCs w:val="24"/>
        </w:rPr>
        <w:t>tate, making use of microdata from the European Union Statistics on Income and Living Conditions (</w:t>
      </w:r>
      <w:hyperlink r:id="rId21" w:history="1">
        <w:r w:rsidR="00C5764D" w:rsidRPr="00C5764D">
          <w:rPr>
            <w:rStyle w:val="Hyperlink"/>
            <w:rFonts w:ascii="Times New Roman" w:hAnsi="Times New Roman" w:cs="Times New Roman"/>
            <w:noProof/>
            <w:sz w:val="24"/>
            <w:szCs w:val="24"/>
          </w:rPr>
          <w:t>EU-SILC</w:t>
        </w:r>
      </w:hyperlink>
      <w:r w:rsidR="00C5764D" w:rsidRPr="00C5764D">
        <w:rPr>
          <w:rFonts w:ascii="Times New Roman" w:hAnsi="Times New Roman" w:cs="Times New Roman"/>
          <w:noProof/>
          <w:sz w:val="24"/>
          <w:szCs w:val="24"/>
        </w:rPr>
        <w:t>)</w:t>
      </w:r>
      <w:r w:rsidR="00C5764D">
        <w:rPr>
          <w:rFonts w:ascii="Times New Roman" w:hAnsi="Times New Roman" w:cs="Times New Roman"/>
          <w:noProof/>
          <w:sz w:val="24"/>
          <w:szCs w:val="24"/>
        </w:rPr>
        <w:t xml:space="preserve">. </w:t>
      </w:r>
      <w:r w:rsidRPr="00D56E53">
        <w:rPr>
          <w:rFonts w:ascii="Times New Roman" w:hAnsi="Times New Roman" w:cs="Times New Roman"/>
          <w:noProof/>
          <w:sz w:val="24"/>
          <w:szCs w:val="24"/>
        </w:rPr>
        <w:t xml:space="preserve">On the other hand, many </w:t>
      </w:r>
      <w:r w:rsidR="0014488A">
        <w:rPr>
          <w:rFonts w:ascii="Times New Roman" w:hAnsi="Times New Roman" w:cs="Times New Roman"/>
          <w:noProof/>
          <w:sz w:val="24"/>
          <w:szCs w:val="24"/>
        </w:rPr>
        <w:t>Member States</w:t>
      </w:r>
      <w:r w:rsidRPr="00D56E53">
        <w:rPr>
          <w:rFonts w:ascii="Times New Roman" w:hAnsi="Times New Roman" w:cs="Times New Roman"/>
          <w:noProof/>
          <w:sz w:val="24"/>
          <w:szCs w:val="24"/>
        </w:rPr>
        <w:t xml:space="preserve"> also use </w:t>
      </w:r>
      <w:r w:rsidR="0014488A">
        <w:rPr>
          <w:rFonts w:ascii="Times New Roman" w:hAnsi="Times New Roman" w:cs="Times New Roman"/>
          <w:noProof/>
          <w:sz w:val="24"/>
          <w:szCs w:val="24"/>
        </w:rPr>
        <w:t>country-specific microsimulation models</w:t>
      </w:r>
      <w:r w:rsidR="005C7789">
        <w:rPr>
          <w:rFonts w:ascii="Times New Roman" w:hAnsi="Times New Roman" w:cs="Times New Roman"/>
          <w:noProof/>
          <w:sz w:val="24"/>
          <w:szCs w:val="24"/>
        </w:rPr>
        <w:t xml:space="preserve"> (Figure 3)</w:t>
      </w:r>
      <w:r w:rsidR="0014488A">
        <w:rPr>
          <w:rFonts w:ascii="Times New Roman" w:hAnsi="Times New Roman" w:cs="Times New Roman"/>
          <w:noProof/>
          <w:sz w:val="24"/>
          <w:szCs w:val="24"/>
        </w:rPr>
        <w:t xml:space="preserve">. </w:t>
      </w:r>
    </w:p>
    <w:p w14:paraId="1E9DBEE7" w14:textId="1D5AB96D" w:rsidR="004B3461" w:rsidRPr="00EE0351" w:rsidRDefault="004B3461" w:rsidP="008F1389">
      <w:pPr>
        <w:keepNext/>
        <w:keepLines/>
        <w:jc w:val="both"/>
        <w:rPr>
          <w:rFonts w:ascii="Times New Roman" w:hAnsi="Times New Roman" w:cs="Times New Roman"/>
          <w:b/>
          <w:noProof/>
          <w:sz w:val="24"/>
          <w:szCs w:val="24"/>
        </w:rPr>
      </w:pPr>
      <w:r w:rsidRPr="00EE0351">
        <w:rPr>
          <w:rFonts w:ascii="Times New Roman" w:hAnsi="Times New Roman" w:cs="Times New Roman"/>
          <w:b/>
          <w:noProof/>
          <w:sz w:val="24"/>
          <w:szCs w:val="24"/>
        </w:rPr>
        <w:t xml:space="preserve">Figure </w:t>
      </w:r>
      <w:r w:rsidR="005C7789">
        <w:rPr>
          <w:rFonts w:ascii="Times New Roman" w:hAnsi="Times New Roman" w:cs="Times New Roman"/>
          <w:b/>
          <w:noProof/>
          <w:sz w:val="24"/>
          <w:szCs w:val="24"/>
        </w:rPr>
        <w:t>3</w:t>
      </w:r>
      <w:r w:rsidRPr="00EE0351">
        <w:rPr>
          <w:rFonts w:ascii="Times New Roman" w:hAnsi="Times New Roman" w:cs="Times New Roman"/>
          <w:b/>
          <w:noProof/>
          <w:sz w:val="24"/>
          <w:szCs w:val="24"/>
        </w:rPr>
        <w:t>: Number of EU Member States by type of model(s) used for DIA</w:t>
      </w:r>
    </w:p>
    <w:p w14:paraId="0A0AA99F" w14:textId="29EB1BA8" w:rsidR="004B3461" w:rsidRDefault="004B3461" w:rsidP="008F1389">
      <w:pPr>
        <w:keepNext/>
        <w:keepLines/>
        <w:jc w:val="both"/>
        <w:rPr>
          <w:rFonts w:ascii="Times New Roman" w:hAnsi="Times New Roman" w:cs="Times New Roman"/>
          <w:noProof/>
          <w:sz w:val="24"/>
          <w:szCs w:val="24"/>
        </w:rPr>
      </w:pPr>
      <w:r>
        <w:rPr>
          <w:noProof/>
          <w:color w:val="1F497D"/>
          <w:lang w:eastAsia="en-GB"/>
        </w:rPr>
        <w:drawing>
          <wp:inline distT="0" distB="0" distL="0" distR="0" wp14:anchorId="4B35B9C1" wp14:editId="5BF203AD">
            <wp:extent cx="5921454" cy="2716039"/>
            <wp:effectExtent l="0" t="0" r="3175" b="8255"/>
            <wp:docPr id="3" name="Picture 3" descr="cid:image001.png@01D844F1.8D4AB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44F1.8D4AB44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5992926" cy="2748822"/>
                    </a:xfrm>
                    <a:prstGeom prst="rect">
                      <a:avLst/>
                    </a:prstGeom>
                    <a:noFill/>
                    <a:ln>
                      <a:noFill/>
                    </a:ln>
                  </pic:spPr>
                </pic:pic>
              </a:graphicData>
            </a:graphic>
          </wp:inline>
        </w:drawing>
      </w:r>
    </w:p>
    <w:p w14:paraId="71710B95" w14:textId="2659BD33" w:rsidR="004B3461" w:rsidRPr="008F1389" w:rsidRDefault="004B3461">
      <w:pPr>
        <w:jc w:val="both"/>
        <w:rPr>
          <w:rFonts w:ascii="Times New Roman" w:hAnsi="Times New Roman" w:cs="Times New Roman"/>
          <w:noProof/>
          <w:sz w:val="20"/>
          <w:szCs w:val="16"/>
        </w:rPr>
      </w:pPr>
      <w:r w:rsidRPr="008F1389">
        <w:rPr>
          <w:rFonts w:ascii="Times New Roman" w:hAnsi="Times New Roman" w:cs="Times New Roman"/>
          <w:noProof/>
          <w:sz w:val="20"/>
          <w:szCs w:val="16"/>
        </w:rPr>
        <w:t>Note: total = 26 (no information on LU). Source: questionnaire to the Member States</w:t>
      </w:r>
      <w:r w:rsidR="004E1045">
        <w:rPr>
          <w:rFonts w:ascii="Times New Roman" w:hAnsi="Times New Roman" w:cs="Times New Roman"/>
          <w:noProof/>
          <w:sz w:val="20"/>
          <w:szCs w:val="16"/>
        </w:rPr>
        <w:t>.</w:t>
      </w:r>
    </w:p>
    <w:p w14:paraId="3A40AD94" w14:textId="0F0D02D4" w:rsidR="00D56E53" w:rsidRPr="004763BA" w:rsidRDefault="00D56E53">
      <w:pPr>
        <w:jc w:val="both"/>
        <w:rPr>
          <w:rFonts w:ascii="Times New Roman" w:hAnsi="Times New Roman" w:cs="Times New Roman"/>
          <w:noProof/>
          <w:sz w:val="24"/>
          <w:szCs w:val="24"/>
        </w:rPr>
      </w:pPr>
      <w:r w:rsidRPr="008F1389">
        <w:rPr>
          <w:rFonts w:ascii="Times New Roman" w:hAnsi="Times New Roman" w:cs="Times New Roman"/>
          <w:b/>
          <w:i/>
          <w:noProof/>
          <w:sz w:val="24"/>
          <w:szCs w:val="24"/>
        </w:rPr>
        <w:t>EUROMOD</w:t>
      </w:r>
      <w:r w:rsidR="005C682A" w:rsidRPr="008F1389">
        <w:rPr>
          <w:rFonts w:ascii="Times New Roman" w:hAnsi="Times New Roman" w:cs="Times New Roman"/>
          <w:b/>
          <w:i/>
          <w:noProof/>
          <w:sz w:val="24"/>
          <w:szCs w:val="24"/>
        </w:rPr>
        <w:t xml:space="preserve"> microsimulation model</w:t>
      </w:r>
      <w:r w:rsidR="00F066BC" w:rsidRPr="008F1389">
        <w:rPr>
          <w:rStyle w:val="FootnoteReference"/>
          <w:rFonts w:ascii="Times New Roman" w:hAnsi="Times New Roman" w:cs="Times New Roman"/>
          <w:b/>
          <w:i/>
          <w:noProof/>
          <w:sz w:val="24"/>
          <w:szCs w:val="24"/>
        </w:rPr>
        <w:footnoteReference w:id="37"/>
      </w:r>
    </w:p>
    <w:p w14:paraId="5E4FE061" w14:textId="4661EDD1" w:rsidR="00D56E53" w:rsidRDefault="00D56E53" w:rsidP="00D56E53">
      <w:pPr>
        <w:jc w:val="both"/>
        <w:rPr>
          <w:rFonts w:ascii="Times New Roman" w:hAnsi="Times New Roman" w:cs="Times New Roman"/>
          <w:noProof/>
          <w:sz w:val="24"/>
          <w:szCs w:val="24"/>
        </w:rPr>
      </w:pPr>
      <w:r w:rsidRPr="00C5764D">
        <w:rPr>
          <w:rFonts w:ascii="Times New Roman" w:hAnsi="Times New Roman" w:cs="Times New Roman"/>
          <w:b/>
          <w:noProof/>
          <w:sz w:val="24"/>
          <w:szCs w:val="24"/>
        </w:rPr>
        <w:t>EUROMOD is a tax-benefit microsimulation model available for all EU Member States</w:t>
      </w:r>
      <w:r w:rsidRPr="00C5764D">
        <w:rPr>
          <w:rFonts w:ascii="Times New Roman" w:hAnsi="Times New Roman" w:cs="Times New Roman"/>
          <w:noProof/>
          <w:sz w:val="24"/>
          <w:szCs w:val="24"/>
        </w:rPr>
        <w:t xml:space="preserve"> enabling researchers and policy analysts to calculate, in a comparable manner, the effects of direct taxes and benefits on household incomes, poverty and income inequality and work incentives for the population of each Member State. </w:t>
      </w:r>
      <w:r w:rsidR="00B13B32" w:rsidRPr="00C5764D">
        <w:rPr>
          <w:rFonts w:ascii="Times New Roman" w:hAnsi="Times New Roman" w:cs="Times New Roman"/>
          <w:noProof/>
          <w:sz w:val="24"/>
          <w:szCs w:val="24"/>
        </w:rPr>
        <w:t>Cross-country comparability is enabled by coding the policy systems of the EU Member States according to a common framework based on a standard set of modelling conventions.</w:t>
      </w:r>
      <w:r w:rsidR="00C5764D" w:rsidRPr="00C5764D">
        <w:rPr>
          <w:rFonts w:ascii="Times New Roman" w:hAnsi="Times New Roman" w:cs="Times New Roman"/>
          <w:noProof/>
          <w:sz w:val="24"/>
          <w:szCs w:val="24"/>
        </w:rPr>
        <w:t xml:space="preserve"> The input microdata used in the model (based on </w:t>
      </w:r>
      <w:hyperlink r:id="rId24" w:history="1">
        <w:r w:rsidR="00C5764D" w:rsidRPr="00C5764D">
          <w:rPr>
            <w:rStyle w:val="Hyperlink"/>
            <w:rFonts w:ascii="Times New Roman" w:hAnsi="Times New Roman" w:cs="Times New Roman"/>
            <w:noProof/>
            <w:sz w:val="24"/>
            <w:szCs w:val="24"/>
          </w:rPr>
          <w:t>EU-SILC</w:t>
        </w:r>
      </w:hyperlink>
      <w:r w:rsidR="00C5764D" w:rsidRPr="00C5764D">
        <w:rPr>
          <w:rFonts w:ascii="Times New Roman" w:hAnsi="Times New Roman" w:cs="Times New Roman"/>
          <w:noProof/>
          <w:sz w:val="24"/>
          <w:szCs w:val="24"/>
        </w:rPr>
        <w:t xml:space="preserve"> microdata) are processed according to a standard set of protocols.</w:t>
      </w:r>
      <w:r w:rsidR="00B13B32" w:rsidRPr="00C5764D">
        <w:rPr>
          <w:rFonts w:ascii="Times New Roman" w:hAnsi="Times New Roman" w:cs="Times New Roman"/>
          <w:noProof/>
          <w:sz w:val="24"/>
          <w:szCs w:val="24"/>
        </w:rPr>
        <w:t xml:space="preserve"> The EUROMOD platform is highly flexible but also documented, validated and transparent. Underpinning the model is the purpose-built software comprising a user-friendly interface, supplemented by extended functionalities (plugins and add-ons) for special purpose analysis.</w:t>
      </w:r>
      <w:r w:rsidR="00B42ECE" w:rsidRPr="00C5764D">
        <w:rPr>
          <w:rFonts w:ascii="Times New Roman" w:hAnsi="Times New Roman" w:cs="Times New Roman"/>
          <w:noProof/>
          <w:sz w:val="24"/>
          <w:szCs w:val="24"/>
        </w:rPr>
        <w:t xml:space="preserve"> </w:t>
      </w:r>
      <w:r w:rsidR="00163173" w:rsidRPr="00C5764D">
        <w:rPr>
          <w:rFonts w:ascii="Times New Roman" w:hAnsi="Times New Roman" w:cs="Times New Roman"/>
          <w:noProof/>
          <w:sz w:val="24"/>
          <w:szCs w:val="24"/>
        </w:rPr>
        <w:t xml:space="preserve">EUROMOD is used by </w:t>
      </w:r>
      <w:r w:rsidR="007C2AEB" w:rsidRPr="00C5764D">
        <w:rPr>
          <w:rFonts w:ascii="Times New Roman" w:hAnsi="Times New Roman" w:cs="Times New Roman"/>
          <w:noProof/>
          <w:sz w:val="24"/>
          <w:szCs w:val="24"/>
        </w:rPr>
        <w:t>around half</w:t>
      </w:r>
      <w:r w:rsidR="0042005E" w:rsidRPr="00C5764D">
        <w:rPr>
          <w:rFonts w:ascii="Times New Roman" w:hAnsi="Times New Roman" w:cs="Times New Roman"/>
          <w:noProof/>
          <w:sz w:val="24"/>
          <w:szCs w:val="24"/>
        </w:rPr>
        <w:t xml:space="preserve"> of the EU-27</w:t>
      </w:r>
      <w:r w:rsidR="007C2AEB" w:rsidRPr="00C5764D">
        <w:rPr>
          <w:rFonts w:ascii="Times New Roman" w:hAnsi="Times New Roman" w:cs="Times New Roman"/>
          <w:noProof/>
          <w:sz w:val="24"/>
          <w:szCs w:val="24"/>
        </w:rPr>
        <w:t xml:space="preserve"> </w:t>
      </w:r>
      <w:r w:rsidR="00163173" w:rsidRPr="00C5764D">
        <w:rPr>
          <w:rFonts w:ascii="Times New Roman" w:hAnsi="Times New Roman" w:cs="Times New Roman"/>
          <w:noProof/>
          <w:sz w:val="24"/>
          <w:szCs w:val="24"/>
        </w:rPr>
        <w:t>Member States for conducting DIA analysis (AT, BE, EE,</w:t>
      </w:r>
      <w:r w:rsidR="007A3B76" w:rsidRPr="00C5764D">
        <w:rPr>
          <w:rFonts w:ascii="Times New Roman" w:hAnsi="Times New Roman" w:cs="Times New Roman"/>
          <w:noProof/>
          <w:sz w:val="24"/>
          <w:szCs w:val="24"/>
        </w:rPr>
        <w:t xml:space="preserve"> EL,</w:t>
      </w:r>
      <w:r w:rsidR="00163173" w:rsidRPr="00C5764D">
        <w:rPr>
          <w:rFonts w:ascii="Times New Roman" w:hAnsi="Times New Roman" w:cs="Times New Roman"/>
          <w:noProof/>
          <w:sz w:val="24"/>
          <w:szCs w:val="24"/>
        </w:rPr>
        <w:t xml:space="preserve"> FI, IE, HR, IT, MT, NL, LV, RO, SK).</w:t>
      </w:r>
    </w:p>
    <w:p w14:paraId="395FCC5F" w14:textId="1360F498" w:rsidR="00D56E53" w:rsidRPr="00D56E53" w:rsidRDefault="00704A26" w:rsidP="00D56E53">
      <w:pPr>
        <w:jc w:val="both"/>
        <w:rPr>
          <w:rFonts w:ascii="Times New Roman" w:hAnsi="Times New Roman" w:cs="Times New Roman"/>
          <w:noProof/>
          <w:sz w:val="24"/>
          <w:szCs w:val="24"/>
        </w:rPr>
      </w:pPr>
      <w:r>
        <w:rPr>
          <w:rFonts w:ascii="Times New Roman" w:hAnsi="Times New Roman" w:cs="Times New Roman"/>
          <w:b/>
          <w:noProof/>
          <w:sz w:val="24"/>
          <w:szCs w:val="24"/>
        </w:rPr>
        <w:t xml:space="preserve">An </w:t>
      </w:r>
      <w:r w:rsidR="00D56E53" w:rsidRPr="00704A26">
        <w:rPr>
          <w:rFonts w:ascii="Times New Roman" w:hAnsi="Times New Roman" w:cs="Times New Roman"/>
          <w:b/>
          <w:noProof/>
          <w:sz w:val="24"/>
          <w:szCs w:val="24"/>
        </w:rPr>
        <w:t xml:space="preserve">annual release of </w:t>
      </w:r>
      <w:r>
        <w:rPr>
          <w:rFonts w:ascii="Times New Roman" w:hAnsi="Times New Roman" w:cs="Times New Roman"/>
          <w:b/>
          <w:noProof/>
          <w:sz w:val="24"/>
          <w:szCs w:val="24"/>
        </w:rPr>
        <w:t xml:space="preserve">a </w:t>
      </w:r>
      <w:r w:rsidRPr="00704A26">
        <w:rPr>
          <w:rFonts w:ascii="Times New Roman" w:hAnsi="Times New Roman" w:cs="Times New Roman"/>
          <w:b/>
          <w:noProof/>
          <w:sz w:val="24"/>
          <w:szCs w:val="24"/>
        </w:rPr>
        <w:t xml:space="preserve">stable version of </w:t>
      </w:r>
      <w:r w:rsidR="00D56E53" w:rsidRPr="00704A26">
        <w:rPr>
          <w:rFonts w:ascii="Times New Roman" w:hAnsi="Times New Roman" w:cs="Times New Roman"/>
          <w:b/>
          <w:noProof/>
          <w:sz w:val="24"/>
          <w:szCs w:val="24"/>
        </w:rPr>
        <w:t xml:space="preserve">EUROMOD occurs in </w:t>
      </w:r>
      <w:r w:rsidRPr="00704A26">
        <w:rPr>
          <w:rFonts w:ascii="Times New Roman" w:hAnsi="Times New Roman" w:cs="Times New Roman"/>
          <w:b/>
          <w:noProof/>
          <w:sz w:val="24"/>
          <w:szCs w:val="24"/>
        </w:rPr>
        <w:t xml:space="preserve">January </w:t>
      </w:r>
      <w:r w:rsidR="00D56E53" w:rsidRPr="00704A26">
        <w:rPr>
          <w:rFonts w:ascii="Times New Roman" w:hAnsi="Times New Roman" w:cs="Times New Roman"/>
          <w:b/>
          <w:noProof/>
          <w:sz w:val="24"/>
          <w:szCs w:val="24"/>
        </w:rPr>
        <w:t>each year</w:t>
      </w:r>
      <w:r w:rsidR="00D56E53" w:rsidRPr="00D56E53">
        <w:rPr>
          <w:rFonts w:ascii="Times New Roman" w:hAnsi="Times New Roman" w:cs="Times New Roman"/>
          <w:b/>
          <w:noProof/>
          <w:sz w:val="24"/>
          <w:szCs w:val="24"/>
        </w:rPr>
        <w:t xml:space="preserve">, </w:t>
      </w:r>
      <w:r>
        <w:rPr>
          <w:rFonts w:ascii="Times New Roman" w:hAnsi="Times New Roman" w:cs="Times New Roman"/>
          <w:noProof/>
          <w:sz w:val="24"/>
          <w:szCs w:val="24"/>
        </w:rPr>
        <w:t>while two beta versions are released in April and September</w:t>
      </w:r>
      <w:r w:rsidR="00D56E53" w:rsidRPr="00D56E53">
        <w:rPr>
          <w:rFonts w:ascii="Times New Roman" w:hAnsi="Times New Roman" w:cs="Times New Roman"/>
          <w:noProof/>
          <w:sz w:val="24"/>
          <w:szCs w:val="24"/>
        </w:rPr>
        <w:t xml:space="preserve">. </w:t>
      </w:r>
      <w:r>
        <w:rPr>
          <w:rFonts w:ascii="Times New Roman" w:hAnsi="Times New Roman" w:cs="Times New Roman"/>
          <w:noProof/>
          <w:sz w:val="24"/>
          <w:szCs w:val="24"/>
        </w:rPr>
        <w:t xml:space="preserve">EUROMOD </w:t>
      </w:r>
      <w:r w:rsidR="00D56E53" w:rsidRPr="00D56E53">
        <w:rPr>
          <w:rFonts w:ascii="Times New Roman" w:hAnsi="Times New Roman" w:cs="Times New Roman"/>
          <w:noProof/>
          <w:sz w:val="24"/>
          <w:szCs w:val="24"/>
        </w:rPr>
        <w:t xml:space="preserve">is open source, free and transparent to use. It can also be made compatible with country-specific administrative data, which is a significant advantage. It allows the automatic computation of a range of costings and indices relating to income distribution. While there are multiple advantages of the model, some substantial initial investment is required (in terms of time dedicated to learning how to use the model and maintaining the skills required for regular use of the model due to the specificity of its programming language). </w:t>
      </w:r>
    </w:p>
    <w:p w14:paraId="2B3017E7" w14:textId="18EEF450" w:rsidR="00D56E53" w:rsidRDefault="00D56E53" w:rsidP="00D56E53">
      <w:pPr>
        <w:jc w:val="both"/>
        <w:rPr>
          <w:rFonts w:ascii="Times New Roman" w:hAnsi="Times New Roman" w:cs="Times New Roman"/>
          <w:noProof/>
          <w:sz w:val="24"/>
          <w:szCs w:val="24"/>
        </w:rPr>
      </w:pPr>
      <w:r w:rsidRPr="00D56E53">
        <w:rPr>
          <w:rFonts w:ascii="Times New Roman" w:hAnsi="Times New Roman" w:cs="Times New Roman"/>
          <w:b/>
          <w:noProof/>
          <w:sz w:val="24"/>
          <w:szCs w:val="24"/>
        </w:rPr>
        <w:t>EUROMOD can be particular</w:t>
      </w:r>
      <w:r w:rsidR="00DE6379">
        <w:rPr>
          <w:rFonts w:ascii="Times New Roman" w:hAnsi="Times New Roman" w:cs="Times New Roman"/>
          <w:b/>
          <w:noProof/>
          <w:sz w:val="24"/>
          <w:szCs w:val="24"/>
        </w:rPr>
        <w:t>ly</w:t>
      </w:r>
      <w:r w:rsidRPr="00D56E53">
        <w:rPr>
          <w:rFonts w:ascii="Times New Roman" w:hAnsi="Times New Roman" w:cs="Times New Roman"/>
          <w:b/>
          <w:noProof/>
          <w:sz w:val="24"/>
          <w:szCs w:val="24"/>
        </w:rPr>
        <w:t xml:space="preserve"> useful for Member States which have none or </w:t>
      </w:r>
      <w:r w:rsidR="007C2AEB">
        <w:rPr>
          <w:rFonts w:ascii="Times New Roman" w:hAnsi="Times New Roman" w:cs="Times New Roman"/>
          <w:b/>
          <w:noProof/>
          <w:sz w:val="24"/>
          <w:szCs w:val="24"/>
        </w:rPr>
        <w:t xml:space="preserve">rather </w:t>
      </w:r>
      <w:r w:rsidR="00664624">
        <w:rPr>
          <w:rFonts w:ascii="Times New Roman" w:hAnsi="Times New Roman" w:cs="Times New Roman"/>
          <w:b/>
          <w:noProof/>
          <w:sz w:val="24"/>
          <w:szCs w:val="24"/>
        </w:rPr>
        <w:t>limited DIA</w:t>
      </w:r>
      <w:r w:rsidRPr="00D56E53">
        <w:rPr>
          <w:rFonts w:ascii="Times New Roman" w:hAnsi="Times New Roman" w:cs="Times New Roman"/>
          <w:b/>
          <w:noProof/>
          <w:sz w:val="24"/>
          <w:szCs w:val="24"/>
        </w:rPr>
        <w:t xml:space="preserve"> practice in place. </w:t>
      </w:r>
      <w:r w:rsidRPr="00D56E53">
        <w:rPr>
          <w:rFonts w:ascii="Times New Roman" w:hAnsi="Times New Roman" w:cs="Times New Roman"/>
          <w:noProof/>
          <w:sz w:val="24"/>
          <w:szCs w:val="24"/>
        </w:rPr>
        <w:t xml:space="preserve">It is readily available for free to all Member States. Greece is an example of a country which recently successfully adopted EUROMOD as part of its budgetary cycle, which in turn resulted in presenting DIA outcomes in the Draft Budgetary Plans on a regular basis. While setting up the DIA process, </w:t>
      </w:r>
      <w:r w:rsidR="00AD5FC6">
        <w:rPr>
          <w:rFonts w:ascii="Times New Roman" w:hAnsi="Times New Roman" w:cs="Times New Roman"/>
          <w:noProof/>
          <w:sz w:val="24"/>
          <w:szCs w:val="24"/>
        </w:rPr>
        <w:t xml:space="preserve">the </w:t>
      </w:r>
      <w:r w:rsidRPr="00D56E53">
        <w:rPr>
          <w:rFonts w:ascii="Times New Roman" w:hAnsi="Times New Roman" w:cs="Times New Roman"/>
          <w:noProof/>
          <w:sz w:val="24"/>
          <w:szCs w:val="24"/>
        </w:rPr>
        <w:t>Greek national administration official</w:t>
      </w:r>
      <w:r w:rsidR="00704A26">
        <w:rPr>
          <w:rFonts w:ascii="Times New Roman" w:hAnsi="Times New Roman" w:cs="Times New Roman"/>
          <w:noProof/>
          <w:sz w:val="24"/>
          <w:szCs w:val="24"/>
        </w:rPr>
        <w:t>s</w:t>
      </w:r>
      <w:r w:rsidRPr="00D56E53">
        <w:rPr>
          <w:rFonts w:ascii="Times New Roman" w:hAnsi="Times New Roman" w:cs="Times New Roman"/>
          <w:noProof/>
          <w:sz w:val="24"/>
          <w:szCs w:val="24"/>
        </w:rPr>
        <w:t xml:space="preserve"> benefited from the technical assistance provided by the JRC. </w:t>
      </w:r>
      <w:r w:rsidR="007C2AEB">
        <w:rPr>
          <w:rFonts w:ascii="Times New Roman" w:hAnsi="Times New Roman" w:cs="Times New Roman"/>
          <w:noProof/>
          <w:sz w:val="24"/>
          <w:szCs w:val="24"/>
        </w:rPr>
        <w:t xml:space="preserve">This also </w:t>
      </w:r>
      <w:r w:rsidRPr="00D56E53">
        <w:rPr>
          <w:rFonts w:ascii="Times New Roman" w:hAnsi="Times New Roman" w:cs="Times New Roman"/>
          <w:noProof/>
          <w:sz w:val="24"/>
          <w:szCs w:val="24"/>
        </w:rPr>
        <w:t>contributed to building trust in the results of the model. This has enabled the Greek authorities to provide timely analysis on reforms to taxes and benefits along with analysing the effect of labour market shocks.</w:t>
      </w:r>
    </w:p>
    <w:p w14:paraId="147638D6" w14:textId="18BAF7AD" w:rsidR="00F200A6" w:rsidRDefault="00F200A6" w:rsidP="00851BA8">
      <w:pPr>
        <w:jc w:val="both"/>
        <w:rPr>
          <w:rFonts w:ascii="Times New Roman" w:hAnsi="Times New Roman" w:cs="Times New Roman"/>
          <w:noProof/>
          <w:sz w:val="24"/>
          <w:szCs w:val="24"/>
        </w:rPr>
      </w:pPr>
      <w:r w:rsidRPr="00F200A6">
        <w:rPr>
          <w:rFonts w:ascii="Times New Roman" w:hAnsi="Times New Roman" w:cs="Times New Roman"/>
          <w:b/>
          <w:noProof/>
          <w:sz w:val="24"/>
          <w:szCs w:val="24"/>
        </w:rPr>
        <w:t>An interesting feature of EUROMOD is the In-depth Analysis plugin.</w:t>
      </w:r>
      <w:r>
        <w:rPr>
          <w:rFonts w:ascii="Times New Roman" w:hAnsi="Times New Roman" w:cs="Times New Roman"/>
          <w:noProof/>
          <w:sz w:val="24"/>
          <w:szCs w:val="24"/>
        </w:rPr>
        <w:t xml:space="preserve"> It</w:t>
      </w:r>
      <w:r w:rsidRPr="00F200A6">
        <w:rPr>
          <w:rFonts w:ascii="Times New Roman" w:hAnsi="Times New Roman" w:cs="Times New Roman"/>
          <w:noProof/>
          <w:sz w:val="24"/>
          <w:szCs w:val="24"/>
        </w:rPr>
        <w:t xml:space="preserve"> is a user-friendly tool that produces a set of eighteen fully customisable tables for analysing the impact of tax-benefit reforms, classified in three groups: fiscal, distributional, and inequality and poverty. The user can select and construct variables for analysis and variables for breakdown</w:t>
      </w:r>
      <w:r w:rsidR="007C2AEB">
        <w:rPr>
          <w:rFonts w:ascii="Times New Roman" w:hAnsi="Times New Roman" w:cs="Times New Roman"/>
          <w:noProof/>
          <w:sz w:val="24"/>
          <w:szCs w:val="24"/>
        </w:rPr>
        <w:t>s</w:t>
      </w:r>
      <w:r w:rsidRPr="00F200A6">
        <w:rPr>
          <w:rFonts w:ascii="Times New Roman" w:hAnsi="Times New Roman" w:cs="Times New Roman"/>
          <w:noProof/>
          <w:sz w:val="24"/>
          <w:szCs w:val="24"/>
        </w:rPr>
        <w:t>, restrict the calculations to specific target populations, define specific income variables for inequality and poverty calculations, and change parameters for those indicators. Additionally, user</w:t>
      </w:r>
      <w:r w:rsidR="00F36981">
        <w:rPr>
          <w:rFonts w:ascii="Times New Roman" w:hAnsi="Times New Roman" w:cs="Times New Roman"/>
          <w:noProof/>
          <w:sz w:val="24"/>
          <w:szCs w:val="24"/>
        </w:rPr>
        <w:t>s</w:t>
      </w:r>
      <w:r w:rsidRPr="00F200A6">
        <w:rPr>
          <w:rFonts w:ascii="Times New Roman" w:hAnsi="Times New Roman" w:cs="Times New Roman"/>
          <w:noProof/>
          <w:sz w:val="24"/>
          <w:szCs w:val="24"/>
        </w:rPr>
        <w:t xml:space="preserve"> can save their sets of preferences and load them at any time, so that they can replicate the same calculations in the future, with the same or different outputs. </w:t>
      </w:r>
      <w:r w:rsidR="00F36981">
        <w:rPr>
          <w:rFonts w:ascii="Times New Roman" w:hAnsi="Times New Roman" w:cs="Times New Roman"/>
          <w:noProof/>
          <w:sz w:val="24"/>
          <w:szCs w:val="24"/>
        </w:rPr>
        <w:t>T</w:t>
      </w:r>
      <w:r w:rsidRPr="00F200A6">
        <w:rPr>
          <w:rFonts w:ascii="Times New Roman" w:hAnsi="Times New Roman" w:cs="Times New Roman"/>
          <w:noProof/>
          <w:sz w:val="24"/>
          <w:szCs w:val="24"/>
        </w:rPr>
        <w:t xml:space="preserve">he output tables are shown on screen, </w:t>
      </w:r>
      <w:r w:rsidR="00F36981">
        <w:rPr>
          <w:rFonts w:ascii="Times New Roman" w:hAnsi="Times New Roman" w:cs="Times New Roman"/>
          <w:noProof/>
          <w:sz w:val="24"/>
          <w:szCs w:val="24"/>
        </w:rPr>
        <w:t xml:space="preserve">with </w:t>
      </w:r>
      <w:r w:rsidRPr="00F200A6">
        <w:rPr>
          <w:rFonts w:ascii="Times New Roman" w:hAnsi="Times New Roman" w:cs="Times New Roman"/>
          <w:noProof/>
          <w:sz w:val="24"/>
          <w:szCs w:val="24"/>
        </w:rPr>
        <w:t xml:space="preserve">the possibility to save them in Excel format. The user can optionally save the microdata of the </w:t>
      </w:r>
      <w:r w:rsidRPr="00682267">
        <w:rPr>
          <w:rFonts w:ascii="Times New Roman" w:hAnsi="Times New Roman" w:cs="Times New Roman"/>
          <w:noProof/>
          <w:sz w:val="24"/>
          <w:szCs w:val="24"/>
        </w:rPr>
        <w:t>simulated</w:t>
      </w:r>
      <w:r w:rsidRPr="00F200A6">
        <w:rPr>
          <w:rFonts w:ascii="Times New Roman" w:hAnsi="Times New Roman" w:cs="Times New Roman"/>
          <w:noProof/>
          <w:sz w:val="24"/>
          <w:szCs w:val="24"/>
        </w:rPr>
        <w:t xml:space="preserve"> scenarios in a single dataset. This plugin is included with the default installation of the EUROMOD software.</w:t>
      </w:r>
    </w:p>
    <w:p w14:paraId="0C50BEB0" w14:textId="0994316E" w:rsidR="00D113BB" w:rsidRDefault="00D113BB" w:rsidP="00851BA8">
      <w:pPr>
        <w:jc w:val="both"/>
        <w:rPr>
          <w:rFonts w:ascii="Times New Roman" w:hAnsi="Times New Roman" w:cs="Times New Roman"/>
          <w:noProof/>
          <w:sz w:val="24"/>
          <w:szCs w:val="24"/>
        </w:rPr>
      </w:pPr>
      <w:r w:rsidRPr="00851BA8">
        <w:rPr>
          <w:rFonts w:ascii="Times New Roman" w:hAnsi="Times New Roman" w:cs="Times New Roman"/>
          <w:b/>
          <w:noProof/>
          <w:sz w:val="24"/>
          <w:szCs w:val="24"/>
        </w:rPr>
        <w:t>EUROMOD can be very useful for gauging the distributional impact of the green transition</w:t>
      </w:r>
      <w:r w:rsidR="00A342B6" w:rsidRPr="00851BA8">
        <w:rPr>
          <w:rFonts w:ascii="Times New Roman" w:hAnsi="Times New Roman" w:cs="Times New Roman"/>
          <w:b/>
          <w:noProof/>
          <w:sz w:val="24"/>
          <w:szCs w:val="24"/>
        </w:rPr>
        <w:t xml:space="preserve"> and energy price shocks</w:t>
      </w:r>
      <w:r w:rsidRPr="00851BA8">
        <w:rPr>
          <w:rFonts w:ascii="Times New Roman" w:hAnsi="Times New Roman" w:cs="Times New Roman"/>
          <w:b/>
          <w:noProof/>
          <w:sz w:val="24"/>
          <w:szCs w:val="24"/>
        </w:rPr>
        <w:t>.</w:t>
      </w:r>
      <w:r w:rsidRPr="00851BA8">
        <w:rPr>
          <w:rFonts w:ascii="Times New Roman" w:hAnsi="Times New Roman" w:cs="Times New Roman"/>
          <w:noProof/>
          <w:sz w:val="24"/>
          <w:szCs w:val="24"/>
        </w:rPr>
        <w:t xml:space="preserve"> For example, in an ongoing Commission project GD-AMEDI (Green Deal - Assessing and Monitoring Employment and Distributional Impacts of the Twin Transition) EUROMOD is used  </w:t>
      </w:r>
      <w:r w:rsidR="00A342B6" w:rsidRPr="00851BA8">
        <w:rPr>
          <w:rFonts w:ascii="Times New Roman" w:hAnsi="Times New Roman" w:cs="Times New Roman"/>
          <w:noProof/>
          <w:sz w:val="24"/>
          <w:szCs w:val="24"/>
        </w:rPr>
        <w:t>for assessing employment and distributional impacts of climate and energy policies across Member States, regions, sectors, occupations, skills, households and income group. As such, the project endows the Commission with instruments and background to conduct policy analyses related to the impacts of measures taken in carbon/GHG intensive sectors on the labour markets, employment and skills and on relevant social outcomes, including energy poverty or mobility poverty.</w:t>
      </w:r>
    </w:p>
    <w:p w14:paraId="6F11C604" w14:textId="77777777" w:rsidR="00D56E53" w:rsidRPr="008F1389" w:rsidRDefault="00D56E53" w:rsidP="009A0209">
      <w:pPr>
        <w:jc w:val="both"/>
        <w:rPr>
          <w:rFonts w:ascii="Times New Roman" w:hAnsi="Times New Roman" w:cs="Times New Roman"/>
          <w:b/>
          <w:i/>
          <w:noProof/>
          <w:sz w:val="24"/>
          <w:szCs w:val="24"/>
        </w:rPr>
      </w:pPr>
      <w:r w:rsidRPr="008F1389">
        <w:rPr>
          <w:rFonts w:ascii="Times New Roman" w:hAnsi="Times New Roman" w:cs="Times New Roman"/>
          <w:b/>
          <w:i/>
          <w:noProof/>
          <w:sz w:val="24"/>
          <w:szCs w:val="24"/>
        </w:rPr>
        <w:t>Country-specific models</w:t>
      </w:r>
    </w:p>
    <w:p w14:paraId="17E68423" w14:textId="74C51824" w:rsidR="00D56E53" w:rsidRPr="00D56E53" w:rsidRDefault="00D56E53" w:rsidP="00D56E53">
      <w:pPr>
        <w:jc w:val="both"/>
        <w:rPr>
          <w:rFonts w:ascii="Times New Roman" w:hAnsi="Times New Roman" w:cs="Times New Roman"/>
          <w:noProof/>
          <w:sz w:val="24"/>
          <w:szCs w:val="24"/>
        </w:rPr>
      </w:pPr>
      <w:r w:rsidRPr="00D56E53">
        <w:rPr>
          <w:rFonts w:ascii="Times New Roman" w:hAnsi="Times New Roman" w:cs="Times New Roman"/>
          <w:b/>
          <w:noProof/>
          <w:sz w:val="24"/>
          <w:szCs w:val="24"/>
        </w:rPr>
        <w:t xml:space="preserve">Many Member States use their country-specific models. </w:t>
      </w:r>
      <w:r w:rsidRPr="00D56E53">
        <w:rPr>
          <w:rFonts w:ascii="Times New Roman" w:hAnsi="Times New Roman" w:cs="Times New Roman"/>
          <w:noProof/>
          <w:sz w:val="24"/>
          <w:szCs w:val="24"/>
        </w:rPr>
        <w:t>National models can take two forms. Some are standalone models which were built separately from EUROMOD and which are maintained by country experts, often located within ministries, think-tanks or central banks</w:t>
      </w:r>
      <w:r w:rsidR="00664624">
        <w:rPr>
          <w:rFonts w:ascii="Times New Roman" w:hAnsi="Times New Roman" w:cs="Times New Roman"/>
          <w:noProof/>
          <w:sz w:val="24"/>
          <w:szCs w:val="24"/>
        </w:rPr>
        <w:t xml:space="preserve"> (e.g. </w:t>
      </w:r>
      <w:r w:rsidRPr="00D56E53">
        <w:rPr>
          <w:rFonts w:ascii="Times New Roman" w:hAnsi="Times New Roman" w:cs="Times New Roman"/>
          <w:noProof/>
          <w:sz w:val="24"/>
          <w:szCs w:val="24"/>
        </w:rPr>
        <w:t xml:space="preserve"> </w:t>
      </w:r>
      <w:r w:rsidR="00664624">
        <w:rPr>
          <w:rFonts w:ascii="Times New Roman" w:hAnsi="Times New Roman" w:cs="Times New Roman"/>
          <w:noProof/>
          <w:sz w:val="24"/>
          <w:szCs w:val="24"/>
        </w:rPr>
        <w:t xml:space="preserve">DK, </w:t>
      </w:r>
      <w:r w:rsidR="001627FD">
        <w:rPr>
          <w:rFonts w:ascii="Times New Roman" w:hAnsi="Times New Roman" w:cs="Times New Roman"/>
          <w:noProof/>
          <w:sz w:val="24"/>
          <w:szCs w:val="24"/>
        </w:rPr>
        <w:t>FI, NL which have a long-standing tradition of running DIA analysis)</w:t>
      </w:r>
      <w:r w:rsidRPr="00D56E53">
        <w:rPr>
          <w:rFonts w:ascii="Times New Roman" w:hAnsi="Times New Roman" w:cs="Times New Roman"/>
          <w:noProof/>
          <w:sz w:val="24"/>
          <w:szCs w:val="24"/>
        </w:rPr>
        <w:t>. Other national models use EUROMOD but extend</w:t>
      </w:r>
      <w:r w:rsidR="001627FD">
        <w:rPr>
          <w:rFonts w:ascii="Times New Roman" w:hAnsi="Times New Roman" w:cs="Times New Roman"/>
          <w:noProof/>
          <w:sz w:val="24"/>
          <w:szCs w:val="24"/>
        </w:rPr>
        <w:t xml:space="preserve"> it to the needs of</w:t>
      </w:r>
      <w:r w:rsidRPr="00D56E53">
        <w:rPr>
          <w:rFonts w:ascii="Times New Roman" w:hAnsi="Times New Roman" w:cs="Times New Roman"/>
          <w:noProof/>
          <w:sz w:val="24"/>
          <w:szCs w:val="24"/>
        </w:rPr>
        <w:t xml:space="preserve"> the country-specific context (e.g. IE, LV). </w:t>
      </w:r>
    </w:p>
    <w:p w14:paraId="591849D9" w14:textId="3FC37CC1" w:rsidR="00163173" w:rsidRPr="00D56E53" w:rsidRDefault="00D56E53" w:rsidP="00D56E53">
      <w:pPr>
        <w:jc w:val="both"/>
        <w:rPr>
          <w:rFonts w:ascii="Times New Roman" w:hAnsi="Times New Roman" w:cs="Times New Roman"/>
          <w:noProof/>
          <w:sz w:val="24"/>
          <w:szCs w:val="24"/>
        </w:rPr>
      </w:pPr>
      <w:r w:rsidRPr="00D56E53">
        <w:rPr>
          <w:rFonts w:ascii="Times New Roman" w:hAnsi="Times New Roman" w:cs="Times New Roman"/>
          <w:b/>
          <w:noProof/>
          <w:sz w:val="24"/>
          <w:szCs w:val="24"/>
        </w:rPr>
        <w:t>National models have some advantages</w:t>
      </w:r>
      <w:r w:rsidR="008C132B">
        <w:rPr>
          <w:rFonts w:ascii="Times New Roman" w:hAnsi="Times New Roman" w:cs="Times New Roman"/>
          <w:b/>
          <w:noProof/>
          <w:sz w:val="24"/>
          <w:szCs w:val="24"/>
        </w:rPr>
        <w:t xml:space="preserve"> and </w:t>
      </w:r>
      <w:r w:rsidR="00FD297A">
        <w:rPr>
          <w:rFonts w:ascii="Times New Roman" w:hAnsi="Times New Roman" w:cs="Times New Roman"/>
          <w:b/>
          <w:noProof/>
          <w:sz w:val="24"/>
          <w:szCs w:val="24"/>
        </w:rPr>
        <w:t>disadvantages</w:t>
      </w:r>
      <w:r w:rsidR="008C132B">
        <w:rPr>
          <w:rFonts w:ascii="Times New Roman" w:hAnsi="Times New Roman" w:cs="Times New Roman"/>
          <w:b/>
          <w:noProof/>
          <w:sz w:val="24"/>
          <w:szCs w:val="24"/>
        </w:rPr>
        <w:t xml:space="preserve"> compared to</w:t>
      </w:r>
      <w:r w:rsidR="00845146">
        <w:rPr>
          <w:rFonts w:ascii="Times New Roman" w:hAnsi="Times New Roman" w:cs="Times New Roman"/>
          <w:b/>
          <w:noProof/>
          <w:sz w:val="24"/>
          <w:szCs w:val="24"/>
        </w:rPr>
        <w:t xml:space="preserve"> </w:t>
      </w:r>
      <w:r w:rsidRPr="00D56E53">
        <w:rPr>
          <w:rFonts w:ascii="Times New Roman" w:hAnsi="Times New Roman" w:cs="Times New Roman"/>
          <w:b/>
          <w:noProof/>
          <w:sz w:val="24"/>
          <w:szCs w:val="24"/>
        </w:rPr>
        <w:t>EUROMOD.</w:t>
      </w:r>
      <w:r w:rsidRPr="00D56E53">
        <w:rPr>
          <w:rFonts w:ascii="Times New Roman" w:hAnsi="Times New Roman" w:cs="Times New Roman"/>
          <w:noProof/>
          <w:sz w:val="24"/>
          <w:szCs w:val="24"/>
        </w:rPr>
        <w:t xml:space="preserve"> </w:t>
      </w:r>
      <w:r w:rsidR="008C132B">
        <w:rPr>
          <w:rFonts w:ascii="Times New Roman" w:hAnsi="Times New Roman" w:cs="Times New Roman"/>
          <w:noProof/>
          <w:sz w:val="24"/>
          <w:szCs w:val="24"/>
        </w:rPr>
        <w:t>On the one hand</w:t>
      </w:r>
      <w:r w:rsidRPr="00D56E53">
        <w:rPr>
          <w:rFonts w:ascii="Times New Roman" w:hAnsi="Times New Roman" w:cs="Times New Roman"/>
          <w:noProof/>
          <w:sz w:val="24"/>
          <w:szCs w:val="24"/>
        </w:rPr>
        <w:t xml:space="preserve">, </w:t>
      </w:r>
      <w:r w:rsidR="008C132B">
        <w:rPr>
          <w:rFonts w:ascii="Times New Roman" w:hAnsi="Times New Roman" w:cs="Times New Roman"/>
          <w:noProof/>
          <w:sz w:val="24"/>
          <w:szCs w:val="24"/>
        </w:rPr>
        <w:t>the national models</w:t>
      </w:r>
      <w:r w:rsidRPr="00D56E53">
        <w:rPr>
          <w:rFonts w:ascii="Times New Roman" w:hAnsi="Times New Roman" w:cs="Times New Roman"/>
          <w:noProof/>
          <w:sz w:val="24"/>
          <w:szCs w:val="24"/>
        </w:rPr>
        <w:t xml:space="preserve"> are often based on </w:t>
      </w:r>
      <w:r w:rsidR="00BD5B5C">
        <w:rPr>
          <w:rFonts w:ascii="Times New Roman" w:hAnsi="Times New Roman" w:cs="Times New Roman"/>
          <w:noProof/>
          <w:sz w:val="24"/>
          <w:szCs w:val="24"/>
        </w:rPr>
        <w:t xml:space="preserve">more </w:t>
      </w:r>
      <w:r w:rsidRPr="00D56E53">
        <w:rPr>
          <w:rFonts w:ascii="Times New Roman" w:hAnsi="Times New Roman" w:cs="Times New Roman"/>
          <w:noProof/>
          <w:sz w:val="24"/>
          <w:szCs w:val="24"/>
        </w:rPr>
        <w:t xml:space="preserve">detailed data (such as administrative records) than EU-SILC, which allows for more accurate and detailed simulations but may not allow access for </w:t>
      </w:r>
      <w:r w:rsidR="00BD5B5C">
        <w:rPr>
          <w:rFonts w:ascii="Times New Roman" w:hAnsi="Times New Roman" w:cs="Times New Roman"/>
          <w:noProof/>
          <w:sz w:val="24"/>
          <w:szCs w:val="24"/>
        </w:rPr>
        <w:t>some</w:t>
      </w:r>
      <w:r w:rsidR="00BD5B5C" w:rsidRPr="00D56E53">
        <w:rPr>
          <w:rFonts w:ascii="Times New Roman" w:hAnsi="Times New Roman" w:cs="Times New Roman"/>
          <w:noProof/>
          <w:sz w:val="24"/>
          <w:szCs w:val="24"/>
        </w:rPr>
        <w:t xml:space="preserve"> </w:t>
      </w:r>
      <w:r w:rsidRPr="00D56E53">
        <w:rPr>
          <w:rFonts w:ascii="Times New Roman" w:hAnsi="Times New Roman" w:cs="Times New Roman"/>
          <w:noProof/>
          <w:sz w:val="24"/>
          <w:szCs w:val="24"/>
        </w:rPr>
        <w:t xml:space="preserve">users. </w:t>
      </w:r>
      <w:r w:rsidR="008C132B">
        <w:rPr>
          <w:rFonts w:ascii="Times New Roman" w:hAnsi="Times New Roman" w:cs="Times New Roman"/>
          <w:noProof/>
          <w:sz w:val="24"/>
          <w:szCs w:val="24"/>
        </w:rPr>
        <w:t xml:space="preserve">On the other hand, </w:t>
      </w:r>
      <w:r w:rsidRPr="00D56E53">
        <w:rPr>
          <w:rFonts w:ascii="Times New Roman" w:hAnsi="Times New Roman" w:cs="Times New Roman"/>
          <w:noProof/>
          <w:sz w:val="24"/>
          <w:szCs w:val="24"/>
        </w:rPr>
        <w:t xml:space="preserve">EUROMOD benefits from large economies of scale as there are 27 national teams as well as a team at the JRC working to maintain and update the model. This allows for a harmonised data preparation process, which tends to reduce the likelihood of error. There is also extensive documentation and validation of the EUROMOD model which may happen to a much lesser extent, if at all, for national models. </w:t>
      </w:r>
    </w:p>
    <w:p w14:paraId="7C1E6859" w14:textId="42D75485" w:rsidR="00D56E53" w:rsidRPr="008F1389" w:rsidRDefault="0014488A" w:rsidP="009A0209">
      <w:pPr>
        <w:rPr>
          <w:rFonts w:ascii="Times New Roman" w:hAnsi="Times New Roman" w:cs="Times New Roman"/>
          <w:b/>
          <w:i/>
          <w:noProof/>
          <w:sz w:val="24"/>
          <w:szCs w:val="24"/>
        </w:rPr>
      </w:pPr>
      <w:r w:rsidRPr="008F1389">
        <w:rPr>
          <w:rFonts w:ascii="Times New Roman" w:hAnsi="Times New Roman" w:cs="Times New Roman"/>
          <w:b/>
          <w:i/>
          <w:noProof/>
          <w:sz w:val="24"/>
          <w:szCs w:val="24"/>
        </w:rPr>
        <w:t>Linking</w:t>
      </w:r>
      <w:r w:rsidR="00D56E53" w:rsidRPr="008F1389">
        <w:rPr>
          <w:rFonts w:ascii="Times New Roman" w:hAnsi="Times New Roman" w:cs="Times New Roman"/>
          <w:b/>
          <w:i/>
          <w:noProof/>
          <w:sz w:val="24"/>
          <w:szCs w:val="24"/>
        </w:rPr>
        <w:t xml:space="preserve"> microsimulation models</w:t>
      </w:r>
      <w:r w:rsidRPr="008F1389">
        <w:rPr>
          <w:rFonts w:ascii="Times New Roman" w:hAnsi="Times New Roman" w:cs="Times New Roman"/>
          <w:b/>
          <w:i/>
          <w:noProof/>
          <w:sz w:val="24"/>
          <w:szCs w:val="24"/>
        </w:rPr>
        <w:t xml:space="preserve"> with other tools and models</w:t>
      </w:r>
    </w:p>
    <w:p w14:paraId="238D64C7" w14:textId="31CC03EA" w:rsidR="0090355E" w:rsidRPr="0090355E" w:rsidRDefault="00D56E53" w:rsidP="00D56E53">
      <w:pPr>
        <w:jc w:val="both"/>
        <w:rPr>
          <w:rFonts w:ascii="Times New Roman" w:hAnsi="Times New Roman" w:cs="Times New Roman"/>
          <w:noProof/>
          <w:sz w:val="24"/>
          <w:szCs w:val="24"/>
        </w:rPr>
      </w:pPr>
      <w:r w:rsidRPr="00D56E53">
        <w:rPr>
          <w:rFonts w:ascii="Times New Roman" w:hAnsi="Times New Roman" w:cs="Times New Roman"/>
          <w:b/>
          <w:noProof/>
          <w:sz w:val="24"/>
          <w:szCs w:val="24"/>
        </w:rPr>
        <w:t>Incorporating behavioural responses and macroeconomic feedback</w:t>
      </w:r>
      <w:r w:rsidR="003B614F">
        <w:rPr>
          <w:rStyle w:val="FootnoteReference"/>
          <w:rFonts w:ascii="Times New Roman" w:hAnsi="Times New Roman" w:cs="Times New Roman"/>
          <w:b/>
          <w:noProof/>
          <w:sz w:val="24"/>
          <w:szCs w:val="24"/>
        </w:rPr>
        <w:footnoteReference w:id="38"/>
      </w:r>
      <w:r w:rsidR="00303BAB">
        <w:rPr>
          <w:rFonts w:ascii="Times New Roman" w:hAnsi="Times New Roman" w:cs="Times New Roman"/>
          <w:b/>
          <w:noProof/>
          <w:sz w:val="24"/>
          <w:szCs w:val="24"/>
        </w:rPr>
        <w:t xml:space="preserve"> helps make DIA results more realistic but</w:t>
      </w:r>
      <w:r w:rsidRPr="00D56E53">
        <w:rPr>
          <w:rFonts w:ascii="Times New Roman" w:hAnsi="Times New Roman" w:cs="Times New Roman"/>
          <w:b/>
          <w:noProof/>
          <w:sz w:val="24"/>
          <w:szCs w:val="24"/>
        </w:rPr>
        <w:t xml:space="preserve"> requires additional </w:t>
      </w:r>
      <w:r w:rsidR="00BD5B5C">
        <w:rPr>
          <w:rFonts w:ascii="Times New Roman" w:hAnsi="Times New Roman" w:cs="Times New Roman"/>
          <w:b/>
          <w:noProof/>
          <w:sz w:val="24"/>
          <w:szCs w:val="24"/>
        </w:rPr>
        <w:t>tools</w:t>
      </w:r>
      <w:r w:rsidRPr="00D56E53">
        <w:rPr>
          <w:rFonts w:ascii="Times New Roman" w:hAnsi="Times New Roman" w:cs="Times New Roman"/>
          <w:b/>
          <w:noProof/>
          <w:sz w:val="24"/>
          <w:szCs w:val="24"/>
        </w:rPr>
        <w:t xml:space="preserve">. </w:t>
      </w:r>
      <w:r w:rsidR="0090355E" w:rsidRPr="0090355E">
        <w:rPr>
          <w:rFonts w:ascii="Times New Roman" w:hAnsi="Times New Roman" w:cs="Times New Roman"/>
          <w:noProof/>
          <w:sz w:val="24"/>
          <w:szCs w:val="24"/>
        </w:rPr>
        <w:t xml:space="preserve">Many policies cause important macroeconomic feedback effects, which cannot be captured by static models which is the case for the vast majority of microsimulation models. One option is to use macroeconomic models that allow for some degree of heterogeneity in terms of household or labour types. For example, </w:t>
      </w:r>
      <w:r w:rsidR="0090355E" w:rsidRPr="00E34456">
        <w:rPr>
          <w:rFonts w:ascii="Times New Roman" w:hAnsi="Times New Roman" w:cs="Times New Roman"/>
          <w:noProof/>
          <w:sz w:val="24"/>
          <w:szCs w:val="24"/>
        </w:rPr>
        <w:t>Roeger et al. (2019)</w:t>
      </w:r>
      <w:r w:rsidR="00F03AB5" w:rsidRPr="00DB3855">
        <w:rPr>
          <w:rStyle w:val="FootnoteReference"/>
          <w:rFonts w:ascii="Times New Roman" w:hAnsi="Times New Roman" w:cs="Times New Roman"/>
          <w:noProof/>
          <w:sz w:val="24"/>
          <w:szCs w:val="24"/>
        </w:rPr>
        <w:footnoteReference w:id="39"/>
      </w:r>
      <w:r w:rsidR="0090355E" w:rsidRPr="00E34456">
        <w:rPr>
          <w:rFonts w:ascii="Times New Roman" w:hAnsi="Times New Roman" w:cs="Times New Roman"/>
          <w:noProof/>
          <w:sz w:val="24"/>
          <w:szCs w:val="24"/>
        </w:rPr>
        <w:t xml:space="preserve"> use </w:t>
      </w:r>
      <w:r w:rsidR="001701B1" w:rsidRPr="00DB3855">
        <w:rPr>
          <w:rFonts w:ascii="Times New Roman" w:hAnsi="Times New Roman" w:cs="Times New Roman"/>
          <w:noProof/>
          <w:sz w:val="24"/>
          <w:szCs w:val="24"/>
        </w:rPr>
        <w:t xml:space="preserve">QUEST, </w:t>
      </w:r>
      <w:r w:rsidR="0090355E" w:rsidRPr="00E34456">
        <w:rPr>
          <w:rFonts w:ascii="Times New Roman" w:hAnsi="Times New Roman" w:cs="Times New Roman"/>
          <w:noProof/>
          <w:sz w:val="24"/>
          <w:szCs w:val="24"/>
        </w:rPr>
        <w:t>a dynamic stochastic general equilibrium (DSGE) model with different skill</w:t>
      </w:r>
      <w:r w:rsidR="00BD5B5C" w:rsidRPr="00E34456">
        <w:rPr>
          <w:rFonts w:ascii="Times New Roman" w:hAnsi="Times New Roman" w:cs="Times New Roman"/>
          <w:noProof/>
          <w:sz w:val="24"/>
          <w:szCs w:val="24"/>
        </w:rPr>
        <w:t>s</w:t>
      </w:r>
      <w:r w:rsidR="0090355E" w:rsidRPr="00E34456">
        <w:rPr>
          <w:rFonts w:ascii="Times New Roman" w:hAnsi="Times New Roman" w:cs="Times New Roman"/>
          <w:noProof/>
          <w:sz w:val="24"/>
          <w:szCs w:val="24"/>
        </w:rPr>
        <w:t xml:space="preserve"> types. Many computable general equilibrium (C</w:t>
      </w:r>
      <w:r w:rsidR="0090355E" w:rsidRPr="00DB3855">
        <w:rPr>
          <w:rFonts w:ascii="Times New Roman" w:hAnsi="Times New Roman" w:cs="Times New Roman"/>
          <w:noProof/>
          <w:sz w:val="24"/>
          <w:szCs w:val="24"/>
        </w:rPr>
        <w:t>GE) models account for considerable disaggregation by household types (Dixon and Jorgensen, 2013</w:t>
      </w:r>
      <w:r w:rsidR="00E34456" w:rsidRPr="00DB3855">
        <w:rPr>
          <w:rStyle w:val="FootnoteReference"/>
          <w:rFonts w:ascii="Times New Roman" w:hAnsi="Times New Roman" w:cs="Times New Roman"/>
          <w:noProof/>
          <w:sz w:val="24"/>
          <w:szCs w:val="24"/>
        </w:rPr>
        <w:footnoteReference w:id="40"/>
      </w:r>
      <w:r w:rsidR="0090355E" w:rsidRPr="00E34456">
        <w:rPr>
          <w:rFonts w:ascii="Times New Roman" w:hAnsi="Times New Roman" w:cs="Times New Roman"/>
          <w:noProof/>
          <w:sz w:val="24"/>
          <w:szCs w:val="24"/>
        </w:rPr>
        <w:t>, provide many examples). Furthermore, each of these types of macroeconomic model</w:t>
      </w:r>
      <w:r w:rsidR="00AD5FC6" w:rsidRPr="00E34456">
        <w:rPr>
          <w:rFonts w:ascii="Times New Roman" w:hAnsi="Times New Roman" w:cs="Times New Roman"/>
          <w:noProof/>
          <w:sz w:val="24"/>
          <w:szCs w:val="24"/>
        </w:rPr>
        <w:t>s</w:t>
      </w:r>
      <w:r w:rsidR="0090355E" w:rsidRPr="00E34456">
        <w:rPr>
          <w:rFonts w:ascii="Times New Roman" w:hAnsi="Times New Roman" w:cs="Times New Roman"/>
          <w:noProof/>
          <w:sz w:val="24"/>
          <w:szCs w:val="24"/>
        </w:rPr>
        <w:t xml:space="preserve"> can be linked to a microsimulation model, such as Barrios et al. (2019)</w:t>
      </w:r>
      <w:r w:rsidR="00E34456" w:rsidRPr="00DB3855">
        <w:rPr>
          <w:rStyle w:val="FootnoteReference"/>
          <w:rFonts w:ascii="Times New Roman" w:hAnsi="Times New Roman" w:cs="Times New Roman"/>
          <w:noProof/>
          <w:sz w:val="24"/>
          <w:szCs w:val="24"/>
        </w:rPr>
        <w:footnoteReference w:id="41"/>
      </w:r>
      <w:r w:rsidR="0090355E" w:rsidRPr="00E34456">
        <w:rPr>
          <w:rFonts w:ascii="Times New Roman" w:hAnsi="Times New Roman" w:cs="Times New Roman"/>
          <w:noProof/>
          <w:sz w:val="24"/>
          <w:szCs w:val="24"/>
        </w:rPr>
        <w:t xml:space="preserve"> (link</w:t>
      </w:r>
      <w:r w:rsidR="00F740C6" w:rsidRPr="00E34456">
        <w:rPr>
          <w:rFonts w:ascii="Times New Roman" w:hAnsi="Times New Roman" w:cs="Times New Roman"/>
          <w:noProof/>
          <w:sz w:val="24"/>
          <w:szCs w:val="24"/>
        </w:rPr>
        <w:t xml:space="preserve"> of EUROMOD</w:t>
      </w:r>
      <w:r w:rsidR="0090355E" w:rsidRPr="00E34456">
        <w:rPr>
          <w:rFonts w:ascii="Times New Roman" w:hAnsi="Times New Roman" w:cs="Times New Roman"/>
          <w:noProof/>
          <w:sz w:val="24"/>
          <w:szCs w:val="24"/>
        </w:rPr>
        <w:t xml:space="preserve"> to </w:t>
      </w:r>
      <w:r w:rsidR="001701B1" w:rsidRPr="00DB3855">
        <w:rPr>
          <w:rFonts w:ascii="Times New Roman" w:hAnsi="Times New Roman" w:cs="Times New Roman"/>
          <w:noProof/>
          <w:sz w:val="24"/>
          <w:szCs w:val="24"/>
        </w:rPr>
        <w:t>QUEST</w:t>
      </w:r>
      <w:r w:rsidR="0090355E" w:rsidRPr="00E34456">
        <w:rPr>
          <w:rFonts w:ascii="Times New Roman" w:hAnsi="Times New Roman" w:cs="Times New Roman"/>
          <w:noProof/>
          <w:sz w:val="24"/>
          <w:szCs w:val="24"/>
        </w:rPr>
        <w:t>), d’Andria et al. (2019)</w:t>
      </w:r>
      <w:r w:rsidR="00247337" w:rsidRPr="00E34456">
        <w:rPr>
          <w:rStyle w:val="FootnoteReference"/>
          <w:rFonts w:ascii="Times New Roman" w:hAnsi="Times New Roman" w:cs="Times New Roman"/>
          <w:noProof/>
          <w:sz w:val="24"/>
          <w:szCs w:val="24"/>
        </w:rPr>
        <w:footnoteReference w:id="42"/>
      </w:r>
      <w:r w:rsidR="0090355E" w:rsidRPr="00E34456">
        <w:rPr>
          <w:rFonts w:ascii="Times New Roman" w:hAnsi="Times New Roman" w:cs="Times New Roman"/>
          <w:noProof/>
          <w:sz w:val="24"/>
          <w:szCs w:val="24"/>
        </w:rPr>
        <w:t xml:space="preserve"> (link </w:t>
      </w:r>
      <w:r w:rsidR="00F740C6" w:rsidRPr="00E34456">
        <w:rPr>
          <w:rFonts w:ascii="Times New Roman" w:hAnsi="Times New Roman" w:cs="Times New Roman"/>
          <w:noProof/>
          <w:sz w:val="24"/>
          <w:szCs w:val="24"/>
        </w:rPr>
        <w:t xml:space="preserve">of EUROMOD </w:t>
      </w:r>
      <w:r w:rsidR="0090355E" w:rsidRPr="00E34456">
        <w:rPr>
          <w:rFonts w:ascii="Times New Roman" w:hAnsi="Times New Roman" w:cs="Times New Roman"/>
          <w:noProof/>
          <w:sz w:val="24"/>
          <w:szCs w:val="24"/>
        </w:rPr>
        <w:t>to an overlapping generation model) and Bourguignon et al. (2010)</w:t>
      </w:r>
      <w:r w:rsidR="00CE23E6">
        <w:rPr>
          <w:rStyle w:val="FootnoteReference"/>
          <w:rFonts w:ascii="Times New Roman" w:hAnsi="Times New Roman" w:cs="Times New Roman"/>
          <w:noProof/>
          <w:sz w:val="24"/>
          <w:szCs w:val="24"/>
        </w:rPr>
        <w:footnoteReference w:id="43"/>
      </w:r>
      <w:r w:rsidR="0090355E" w:rsidRPr="00E34456">
        <w:rPr>
          <w:rFonts w:ascii="Times New Roman" w:hAnsi="Times New Roman" w:cs="Times New Roman"/>
          <w:noProof/>
          <w:sz w:val="24"/>
          <w:szCs w:val="24"/>
        </w:rPr>
        <w:t xml:space="preserve"> (overview of linking microsimulation models to CGE models).</w:t>
      </w:r>
    </w:p>
    <w:p w14:paraId="418B2C22" w14:textId="6B1DE209" w:rsidR="009602AC" w:rsidRPr="0090355E" w:rsidRDefault="009602AC" w:rsidP="009602AC">
      <w:pPr>
        <w:jc w:val="both"/>
        <w:rPr>
          <w:rFonts w:ascii="Times New Roman" w:hAnsi="Times New Roman" w:cs="Times New Roman"/>
          <w:noProof/>
          <w:sz w:val="24"/>
          <w:szCs w:val="24"/>
        </w:rPr>
      </w:pPr>
      <w:r>
        <w:rPr>
          <w:rFonts w:ascii="Times New Roman" w:hAnsi="Times New Roman" w:cs="Times New Roman"/>
          <w:b/>
          <w:noProof/>
          <w:sz w:val="24"/>
          <w:szCs w:val="24"/>
        </w:rPr>
        <w:t>It is also important to e</w:t>
      </w:r>
      <w:r w:rsidRPr="00EF413B">
        <w:rPr>
          <w:rFonts w:ascii="Times New Roman" w:hAnsi="Times New Roman" w:cs="Times New Roman"/>
          <w:b/>
          <w:noProof/>
          <w:sz w:val="24"/>
          <w:szCs w:val="24"/>
        </w:rPr>
        <w:t>nsur</w:t>
      </w:r>
      <w:r>
        <w:rPr>
          <w:rFonts w:ascii="Times New Roman" w:hAnsi="Times New Roman" w:cs="Times New Roman"/>
          <w:b/>
          <w:noProof/>
          <w:sz w:val="24"/>
          <w:szCs w:val="24"/>
        </w:rPr>
        <w:t>e</w:t>
      </w:r>
      <w:r w:rsidRPr="00EF413B">
        <w:rPr>
          <w:rFonts w:ascii="Times New Roman" w:hAnsi="Times New Roman" w:cs="Times New Roman"/>
          <w:b/>
          <w:noProof/>
          <w:sz w:val="24"/>
          <w:szCs w:val="24"/>
        </w:rPr>
        <w:t xml:space="preserve"> consistency with other exercises</w:t>
      </w:r>
      <w:r>
        <w:rPr>
          <w:rFonts w:ascii="Times New Roman" w:hAnsi="Times New Roman" w:cs="Times New Roman"/>
          <w:noProof/>
          <w:sz w:val="24"/>
          <w:szCs w:val="24"/>
        </w:rPr>
        <w:t xml:space="preserve">. It helps when the assumptions and some of the main variables in the models are consistent with other relevant exercises. This can be ensured by applying the same assumptions, constraining variables to follow pre-determined values, and comparing results. This would make the model results more relevant in the ongoing policy debate, and prevent discussions on the plausibility of underlying assumptions. </w:t>
      </w:r>
    </w:p>
    <w:p w14:paraId="5358916B" w14:textId="62ED4E44" w:rsidR="00B449BF" w:rsidRPr="00B449BF" w:rsidRDefault="00B449BF" w:rsidP="00B449BF">
      <w:pPr>
        <w:jc w:val="both"/>
        <w:rPr>
          <w:rFonts w:ascii="Times New Roman" w:hAnsi="Times New Roman" w:cs="Times New Roman"/>
          <w:noProof/>
          <w:sz w:val="24"/>
          <w:szCs w:val="24"/>
        </w:rPr>
      </w:pPr>
      <w:r w:rsidRPr="00B449BF">
        <w:rPr>
          <w:rFonts w:ascii="Times New Roman" w:hAnsi="Times New Roman" w:cs="Times New Roman"/>
          <w:b/>
          <w:bCs/>
          <w:noProof/>
          <w:sz w:val="24"/>
          <w:szCs w:val="24"/>
        </w:rPr>
        <w:t>EUROMOD may be complemented by add-ons or extensions which enable a more comprehensive assessment of the impact of reforms</w:t>
      </w:r>
      <w:r w:rsidR="007020A0">
        <w:rPr>
          <w:rFonts w:ascii="Times New Roman" w:hAnsi="Times New Roman" w:cs="Times New Roman"/>
          <w:b/>
          <w:bCs/>
          <w:noProof/>
          <w:sz w:val="24"/>
          <w:szCs w:val="24"/>
        </w:rPr>
        <w:t xml:space="preserve"> </w:t>
      </w:r>
      <w:r w:rsidR="007020A0" w:rsidRPr="00C37617">
        <w:rPr>
          <w:rFonts w:ascii="Times New Roman" w:hAnsi="Times New Roman" w:cs="Times New Roman"/>
          <w:bCs/>
          <w:noProof/>
          <w:sz w:val="24"/>
          <w:szCs w:val="24"/>
        </w:rPr>
        <w:t xml:space="preserve">(see Box </w:t>
      </w:r>
      <w:r w:rsidR="00682267">
        <w:rPr>
          <w:rFonts w:ascii="Times New Roman" w:hAnsi="Times New Roman" w:cs="Times New Roman"/>
          <w:bCs/>
          <w:noProof/>
          <w:sz w:val="24"/>
          <w:szCs w:val="24"/>
        </w:rPr>
        <w:t>6</w:t>
      </w:r>
      <w:r w:rsidR="007020A0" w:rsidRPr="00C37617">
        <w:rPr>
          <w:rFonts w:ascii="Times New Roman" w:hAnsi="Times New Roman" w:cs="Times New Roman"/>
          <w:bCs/>
          <w:noProof/>
          <w:sz w:val="24"/>
          <w:szCs w:val="24"/>
        </w:rPr>
        <w:t>)</w:t>
      </w:r>
      <w:r w:rsidRPr="00B449BF">
        <w:rPr>
          <w:rFonts w:ascii="Times New Roman" w:hAnsi="Times New Roman" w:cs="Times New Roman"/>
          <w:noProof/>
          <w:sz w:val="24"/>
          <w:szCs w:val="24"/>
        </w:rPr>
        <w:t>.</w:t>
      </w:r>
      <w:r w:rsidRPr="00B449BF">
        <w:rPr>
          <w:rFonts w:ascii="Times New Roman" w:hAnsi="Times New Roman" w:cs="Times New Roman"/>
          <w:noProof/>
          <w:sz w:val="24"/>
          <w:szCs w:val="24"/>
          <w:vertAlign w:val="superscript"/>
        </w:rPr>
        <w:footnoteReference w:id="44"/>
      </w:r>
      <w:r w:rsidRPr="00B449BF">
        <w:rPr>
          <w:rFonts w:ascii="Times New Roman" w:hAnsi="Times New Roman" w:cs="Times New Roman"/>
          <w:noProof/>
          <w:sz w:val="24"/>
          <w:szCs w:val="24"/>
        </w:rPr>
        <w:t xml:space="preserve"> For example the labour market adjustment (LMA) tool proved to be convenient for modelling employment losses as a result of lockdown policies during the COVID-19 pandemic</w:t>
      </w:r>
      <w:r w:rsidR="007020A0">
        <w:rPr>
          <w:rStyle w:val="FootnoteReference"/>
          <w:rFonts w:ascii="Times New Roman" w:hAnsi="Times New Roman" w:cs="Times New Roman"/>
          <w:noProof/>
          <w:sz w:val="24"/>
          <w:szCs w:val="24"/>
        </w:rPr>
        <w:footnoteReference w:id="45"/>
      </w:r>
      <w:r w:rsidRPr="00B449BF">
        <w:rPr>
          <w:rFonts w:ascii="Times New Roman" w:hAnsi="Times New Roman" w:cs="Times New Roman"/>
          <w:noProof/>
          <w:sz w:val="24"/>
          <w:szCs w:val="24"/>
        </w:rPr>
        <w:t xml:space="preserve">. This allowed the assessment of the impact of </w:t>
      </w:r>
      <w:r w:rsidRPr="00674E40">
        <w:rPr>
          <w:rFonts w:ascii="Times New Roman" w:hAnsi="Times New Roman" w:cs="Times New Roman"/>
          <w:noProof/>
          <w:sz w:val="24"/>
          <w:szCs w:val="24"/>
        </w:rPr>
        <w:t xml:space="preserve">emergency policy responses in terms of wage subsidy schemes and emergency unemployment supports. </w:t>
      </w:r>
    </w:p>
    <w:p w14:paraId="4D8643EA" w14:textId="44E06E67" w:rsidR="00FA4AA1" w:rsidRPr="00C37617" w:rsidRDefault="00E41B42" w:rsidP="008F1389">
      <w:pPr>
        <w:keepNext/>
        <w:keepLines/>
        <w:pBdr>
          <w:top w:val="single" w:sz="4" w:space="1" w:color="auto"/>
          <w:left w:val="single" w:sz="4" w:space="1" w:color="auto"/>
          <w:bottom w:val="single" w:sz="4" w:space="1" w:color="auto"/>
          <w:right w:val="single" w:sz="4" w:space="1" w:color="auto"/>
        </w:pBdr>
        <w:rPr>
          <w:rFonts w:ascii="Times New Roman" w:hAnsi="Times New Roman" w:cs="Times New Roman"/>
          <w:b/>
          <w:noProof/>
          <w:sz w:val="20"/>
          <w:szCs w:val="20"/>
        </w:rPr>
      </w:pPr>
      <w:r w:rsidRPr="00C37617">
        <w:rPr>
          <w:rFonts w:ascii="Times New Roman" w:hAnsi="Times New Roman" w:cs="Times New Roman"/>
          <w:b/>
          <w:noProof/>
          <w:sz w:val="20"/>
          <w:szCs w:val="20"/>
        </w:rPr>
        <w:t xml:space="preserve">Box </w:t>
      </w:r>
      <w:r w:rsidR="00682267">
        <w:rPr>
          <w:rFonts w:ascii="Times New Roman" w:hAnsi="Times New Roman" w:cs="Times New Roman"/>
          <w:b/>
          <w:noProof/>
          <w:sz w:val="20"/>
          <w:szCs w:val="20"/>
        </w:rPr>
        <w:t>6</w:t>
      </w:r>
      <w:r w:rsidRPr="00C37617">
        <w:rPr>
          <w:rFonts w:ascii="Times New Roman" w:hAnsi="Times New Roman" w:cs="Times New Roman"/>
          <w:b/>
          <w:noProof/>
          <w:sz w:val="20"/>
          <w:szCs w:val="20"/>
        </w:rPr>
        <w:t xml:space="preserve">: </w:t>
      </w:r>
      <w:r w:rsidR="00FA4AA1" w:rsidRPr="00C37617">
        <w:rPr>
          <w:rFonts w:ascii="Times New Roman" w:hAnsi="Times New Roman" w:cs="Times New Roman"/>
          <w:b/>
          <w:noProof/>
          <w:sz w:val="20"/>
          <w:szCs w:val="20"/>
        </w:rPr>
        <w:t xml:space="preserve">EUROMOD extensions </w:t>
      </w:r>
    </w:p>
    <w:p w14:paraId="7F4CA0AA" w14:textId="77777777" w:rsidR="0050499E" w:rsidRPr="00ED285A" w:rsidRDefault="0050499E" w:rsidP="008F1389">
      <w:pPr>
        <w:keepNext/>
        <w:keepLines/>
        <w:pBdr>
          <w:top w:val="single" w:sz="4" w:space="1" w:color="auto"/>
          <w:left w:val="single" w:sz="4" w:space="1" w:color="auto"/>
          <w:bottom w:val="single" w:sz="4" w:space="1" w:color="auto"/>
          <w:right w:val="single" w:sz="4" w:space="1" w:color="auto"/>
        </w:pBdr>
        <w:spacing w:before="120" w:after="0" w:line="240" w:lineRule="auto"/>
        <w:jc w:val="both"/>
        <w:rPr>
          <w:rFonts w:ascii="Times New Roman" w:hAnsi="Times New Roman" w:cs="Times New Roman"/>
          <w:i/>
          <w:noProof/>
          <w:sz w:val="20"/>
          <w:szCs w:val="20"/>
        </w:rPr>
      </w:pPr>
      <w:r w:rsidRPr="00851BA8">
        <w:rPr>
          <w:rFonts w:ascii="Times New Roman" w:hAnsi="Times New Roman" w:cs="Times New Roman"/>
          <w:i/>
          <w:noProof/>
          <w:sz w:val="20"/>
          <w:szCs w:val="20"/>
        </w:rPr>
        <w:t>Indirect Tax Tool (ITT)</w:t>
      </w:r>
    </w:p>
    <w:p w14:paraId="39BC8C19" w14:textId="5FAAA137" w:rsidR="0050499E" w:rsidRPr="00682267" w:rsidRDefault="0050499E" w:rsidP="008F1389">
      <w:pPr>
        <w:keepNext/>
        <w:keepLines/>
        <w:pBdr>
          <w:top w:val="single" w:sz="4" w:space="1" w:color="auto"/>
          <w:left w:val="single" w:sz="4" w:space="1" w:color="auto"/>
          <w:bottom w:val="single" w:sz="4" w:space="1" w:color="auto"/>
          <w:right w:val="single" w:sz="4" w:space="1" w:color="auto"/>
        </w:pBdr>
        <w:spacing w:before="120" w:after="0" w:line="240" w:lineRule="auto"/>
        <w:jc w:val="both"/>
        <w:rPr>
          <w:rFonts w:ascii="Times New Roman" w:hAnsi="Times New Roman" w:cs="Times New Roman"/>
          <w:noProof/>
          <w:sz w:val="20"/>
          <w:szCs w:val="20"/>
        </w:rPr>
      </w:pPr>
      <w:r w:rsidRPr="00682267">
        <w:rPr>
          <w:rFonts w:ascii="Times New Roman" w:hAnsi="Times New Roman" w:cs="Times New Roman"/>
          <w:noProof/>
          <w:sz w:val="20"/>
          <w:szCs w:val="20"/>
        </w:rPr>
        <w:t>This extension of EUROMOD uses EU-SILC data matched with HBS data. In collaboration with the University of KU Leuven, the University of Essex and Praxis Cent</w:t>
      </w:r>
      <w:r w:rsidR="007020A0" w:rsidRPr="00682267">
        <w:rPr>
          <w:rFonts w:ascii="Times New Roman" w:hAnsi="Times New Roman" w:cs="Times New Roman"/>
          <w:noProof/>
          <w:sz w:val="20"/>
          <w:szCs w:val="20"/>
        </w:rPr>
        <w:t>r</w:t>
      </w:r>
      <w:r w:rsidRPr="00682267">
        <w:rPr>
          <w:rFonts w:ascii="Times New Roman" w:hAnsi="Times New Roman" w:cs="Times New Roman"/>
          <w:noProof/>
          <w:sz w:val="20"/>
          <w:szCs w:val="20"/>
        </w:rPr>
        <w:t xml:space="preserve">e for Policy Studies, the JRC </w:t>
      </w:r>
      <w:r w:rsidR="00337BF7" w:rsidRPr="00682267">
        <w:rPr>
          <w:rFonts w:ascii="Times New Roman" w:hAnsi="Times New Roman" w:cs="Times New Roman"/>
          <w:noProof/>
          <w:sz w:val="20"/>
          <w:szCs w:val="20"/>
        </w:rPr>
        <w:t xml:space="preserve">has </w:t>
      </w:r>
      <w:r w:rsidRPr="00682267">
        <w:rPr>
          <w:rFonts w:ascii="Times New Roman" w:hAnsi="Times New Roman" w:cs="Times New Roman"/>
          <w:noProof/>
          <w:sz w:val="20"/>
          <w:szCs w:val="20"/>
        </w:rPr>
        <w:t>expand</w:t>
      </w:r>
      <w:r w:rsidR="00337BF7" w:rsidRPr="00682267">
        <w:rPr>
          <w:rFonts w:ascii="Times New Roman" w:hAnsi="Times New Roman" w:cs="Times New Roman"/>
          <w:noProof/>
          <w:sz w:val="20"/>
          <w:szCs w:val="20"/>
        </w:rPr>
        <w:t>ed</w:t>
      </w:r>
      <w:r w:rsidRPr="00682267">
        <w:rPr>
          <w:rFonts w:ascii="Times New Roman" w:hAnsi="Times New Roman" w:cs="Times New Roman"/>
          <w:noProof/>
          <w:sz w:val="20"/>
          <w:szCs w:val="20"/>
        </w:rPr>
        <w:t xml:space="preserve"> EUROMOD to account for the simulation of indirect taxes</w:t>
      </w:r>
      <w:r w:rsidR="00337BF7" w:rsidRPr="00682267">
        <w:rPr>
          <w:rFonts w:ascii="Times New Roman" w:hAnsi="Times New Roman" w:cs="Times New Roman"/>
          <w:noProof/>
          <w:sz w:val="20"/>
          <w:szCs w:val="20"/>
        </w:rPr>
        <w:t xml:space="preserve"> in all </w:t>
      </w:r>
      <w:r w:rsidR="007020A0" w:rsidRPr="00682267">
        <w:rPr>
          <w:rFonts w:ascii="Times New Roman" w:hAnsi="Times New Roman" w:cs="Times New Roman"/>
          <w:noProof/>
          <w:sz w:val="20"/>
          <w:szCs w:val="20"/>
        </w:rPr>
        <w:t>M</w:t>
      </w:r>
      <w:r w:rsidR="00337BF7" w:rsidRPr="00682267">
        <w:rPr>
          <w:rFonts w:ascii="Times New Roman" w:hAnsi="Times New Roman" w:cs="Times New Roman"/>
          <w:noProof/>
          <w:sz w:val="20"/>
          <w:szCs w:val="20"/>
        </w:rPr>
        <w:t xml:space="preserve">ember </w:t>
      </w:r>
      <w:r w:rsidR="007020A0" w:rsidRPr="00682267">
        <w:rPr>
          <w:rFonts w:ascii="Times New Roman" w:hAnsi="Times New Roman" w:cs="Times New Roman"/>
          <w:noProof/>
          <w:sz w:val="20"/>
          <w:szCs w:val="20"/>
        </w:rPr>
        <w:t>S</w:t>
      </w:r>
      <w:r w:rsidR="00337BF7" w:rsidRPr="00682267">
        <w:rPr>
          <w:rFonts w:ascii="Times New Roman" w:hAnsi="Times New Roman" w:cs="Times New Roman"/>
          <w:noProof/>
          <w:sz w:val="20"/>
          <w:szCs w:val="20"/>
        </w:rPr>
        <w:t>tates</w:t>
      </w:r>
      <w:r w:rsidRPr="00682267">
        <w:rPr>
          <w:rFonts w:ascii="Times New Roman" w:hAnsi="Times New Roman" w:cs="Times New Roman"/>
          <w:noProof/>
          <w:sz w:val="20"/>
          <w:szCs w:val="20"/>
        </w:rPr>
        <w:t>. During 202</w:t>
      </w:r>
      <w:r w:rsidR="00337BF7" w:rsidRPr="00682267">
        <w:rPr>
          <w:rFonts w:ascii="Times New Roman" w:hAnsi="Times New Roman" w:cs="Times New Roman"/>
          <w:noProof/>
          <w:sz w:val="20"/>
          <w:szCs w:val="20"/>
        </w:rPr>
        <w:t>2</w:t>
      </w:r>
      <w:r w:rsidRPr="00682267">
        <w:rPr>
          <w:rFonts w:ascii="Times New Roman" w:hAnsi="Times New Roman" w:cs="Times New Roman"/>
          <w:noProof/>
          <w:sz w:val="20"/>
          <w:szCs w:val="20"/>
        </w:rPr>
        <w:t xml:space="preserve"> this tool </w:t>
      </w:r>
      <w:r w:rsidR="00337BF7" w:rsidRPr="00682267">
        <w:rPr>
          <w:rFonts w:ascii="Times New Roman" w:hAnsi="Times New Roman" w:cs="Times New Roman"/>
          <w:noProof/>
          <w:sz w:val="20"/>
          <w:szCs w:val="20"/>
        </w:rPr>
        <w:t xml:space="preserve">is </w:t>
      </w:r>
      <w:r w:rsidRPr="00682267">
        <w:rPr>
          <w:rFonts w:ascii="Times New Roman" w:hAnsi="Times New Roman" w:cs="Times New Roman"/>
          <w:noProof/>
          <w:sz w:val="20"/>
          <w:szCs w:val="20"/>
        </w:rPr>
        <w:t>be</w:t>
      </w:r>
      <w:r w:rsidR="00337BF7" w:rsidRPr="00682267">
        <w:rPr>
          <w:rFonts w:ascii="Times New Roman" w:hAnsi="Times New Roman" w:cs="Times New Roman"/>
          <w:noProof/>
          <w:sz w:val="20"/>
          <w:szCs w:val="20"/>
        </w:rPr>
        <w:t>ing</w:t>
      </w:r>
      <w:r w:rsidRPr="00682267">
        <w:rPr>
          <w:rFonts w:ascii="Times New Roman" w:hAnsi="Times New Roman" w:cs="Times New Roman"/>
          <w:noProof/>
          <w:sz w:val="20"/>
          <w:szCs w:val="20"/>
        </w:rPr>
        <w:t xml:space="preserve"> tested </w:t>
      </w:r>
      <w:r w:rsidR="00337BF7" w:rsidRPr="00682267">
        <w:rPr>
          <w:rFonts w:ascii="Times New Roman" w:hAnsi="Times New Roman" w:cs="Times New Roman"/>
          <w:noProof/>
          <w:sz w:val="20"/>
          <w:szCs w:val="20"/>
        </w:rPr>
        <w:t>with the objective of incorporating it to the public version of EUROMOD distributed by the JRC</w:t>
      </w:r>
      <w:r w:rsidR="00EF780E" w:rsidRPr="00682267">
        <w:rPr>
          <w:rFonts w:ascii="Times New Roman" w:hAnsi="Times New Roman" w:cs="Times New Roman"/>
          <w:noProof/>
          <w:sz w:val="20"/>
          <w:szCs w:val="20"/>
        </w:rPr>
        <w:t xml:space="preserve"> in the future</w:t>
      </w:r>
      <w:r w:rsidR="00337BF7" w:rsidRPr="00682267">
        <w:rPr>
          <w:rFonts w:ascii="Times New Roman" w:hAnsi="Times New Roman" w:cs="Times New Roman"/>
          <w:noProof/>
          <w:sz w:val="20"/>
          <w:szCs w:val="20"/>
        </w:rPr>
        <w:t>.</w:t>
      </w:r>
      <w:r w:rsidRPr="00682267">
        <w:rPr>
          <w:rFonts w:ascii="Times New Roman" w:hAnsi="Times New Roman" w:cs="Times New Roman"/>
          <w:noProof/>
          <w:sz w:val="20"/>
          <w:szCs w:val="20"/>
        </w:rPr>
        <w:t xml:space="preserve"> </w:t>
      </w:r>
    </w:p>
    <w:p w14:paraId="2B5CF7AD" w14:textId="261BB1E0" w:rsidR="0050499E" w:rsidRPr="00682267" w:rsidRDefault="0050499E" w:rsidP="008F1389">
      <w:pPr>
        <w:keepNext/>
        <w:keepLines/>
        <w:pBdr>
          <w:top w:val="single" w:sz="4" w:space="1" w:color="auto"/>
          <w:left w:val="single" w:sz="4" w:space="1" w:color="auto"/>
          <w:bottom w:val="single" w:sz="4" w:space="1" w:color="auto"/>
          <w:right w:val="single" w:sz="4" w:space="1" w:color="auto"/>
        </w:pBdr>
        <w:spacing w:before="120" w:after="0" w:line="240" w:lineRule="auto"/>
        <w:jc w:val="both"/>
        <w:rPr>
          <w:rFonts w:ascii="Times New Roman" w:hAnsi="Times New Roman" w:cs="Times New Roman"/>
          <w:noProof/>
          <w:sz w:val="20"/>
          <w:szCs w:val="20"/>
        </w:rPr>
      </w:pPr>
      <w:r w:rsidRPr="00682267">
        <w:rPr>
          <w:rFonts w:ascii="Times New Roman" w:hAnsi="Times New Roman" w:cs="Times New Roman"/>
          <w:noProof/>
          <w:sz w:val="20"/>
          <w:szCs w:val="20"/>
        </w:rPr>
        <w:t>This new tool allows to simulate tax reforms at a highly disaggregated level of consumption (in most cases at the commodity level, e.g. "rice"). Also it does not rely on a EUROMOD plug–in, but on a specific policy module. The full integration aims at increasing the model’s transparency and ease of use and no additional knowledge is required to run a policy simulation including an indirect tax reform.</w:t>
      </w:r>
      <w:r w:rsidR="00FA0A83" w:rsidRPr="00682267">
        <w:rPr>
          <w:rFonts w:ascii="Times New Roman" w:hAnsi="Times New Roman" w:cs="Times New Roman"/>
          <w:noProof/>
          <w:sz w:val="20"/>
          <w:szCs w:val="20"/>
        </w:rPr>
        <w:t xml:space="preserve"> </w:t>
      </w:r>
      <w:r w:rsidRPr="00682267">
        <w:rPr>
          <w:rFonts w:ascii="Times New Roman" w:hAnsi="Times New Roman" w:cs="Times New Roman"/>
          <w:noProof/>
          <w:sz w:val="20"/>
          <w:szCs w:val="20"/>
        </w:rPr>
        <w:t xml:space="preserve">For tax reform simulations, three behavioural assumptions are allowed: constant income shares of consumption, constant expenditure shares and constant quantities, which correspond to different price and income elasticities. </w:t>
      </w:r>
    </w:p>
    <w:p w14:paraId="2FF19A82" w14:textId="706576F4" w:rsidR="0050499E" w:rsidRPr="00851BA8" w:rsidRDefault="002A6BC9" w:rsidP="00851BA8">
      <w:pPr>
        <w:pBdr>
          <w:top w:val="single" w:sz="4" w:space="1" w:color="auto"/>
          <w:left w:val="single" w:sz="4" w:space="1" w:color="auto"/>
          <w:bottom w:val="single" w:sz="4" w:space="1" w:color="auto"/>
          <w:right w:val="single" w:sz="4" w:space="1" w:color="auto"/>
        </w:pBdr>
        <w:spacing w:before="120" w:after="0" w:line="240" w:lineRule="auto"/>
        <w:jc w:val="both"/>
        <w:rPr>
          <w:rFonts w:ascii="Times New Roman" w:hAnsi="Times New Roman" w:cs="Times New Roman"/>
          <w:i/>
          <w:noProof/>
          <w:sz w:val="20"/>
          <w:szCs w:val="20"/>
        </w:rPr>
      </w:pPr>
      <w:r w:rsidRPr="00851BA8">
        <w:rPr>
          <w:rFonts w:ascii="Times New Roman" w:hAnsi="Times New Roman" w:cs="Times New Roman"/>
          <w:i/>
          <w:noProof/>
          <w:sz w:val="20"/>
          <w:szCs w:val="20"/>
        </w:rPr>
        <w:t>European Wealth data InteGration in EUROMOD (</w:t>
      </w:r>
      <w:r w:rsidR="0050499E" w:rsidRPr="00851BA8">
        <w:rPr>
          <w:rFonts w:ascii="Times New Roman" w:hAnsi="Times New Roman" w:cs="Times New Roman"/>
          <w:i/>
          <w:noProof/>
          <w:sz w:val="20"/>
          <w:szCs w:val="20"/>
        </w:rPr>
        <w:t>EWIGE</w:t>
      </w:r>
      <w:r w:rsidRPr="00851BA8">
        <w:rPr>
          <w:rFonts w:ascii="Times New Roman" w:hAnsi="Times New Roman" w:cs="Times New Roman"/>
          <w:i/>
          <w:noProof/>
          <w:sz w:val="20"/>
          <w:szCs w:val="20"/>
        </w:rPr>
        <w:t>)</w:t>
      </w:r>
    </w:p>
    <w:p w14:paraId="62C1421E" w14:textId="687BAE85" w:rsidR="0050499E" w:rsidRPr="00682267" w:rsidRDefault="0050499E" w:rsidP="00851BA8">
      <w:pPr>
        <w:pBdr>
          <w:top w:val="single" w:sz="4" w:space="1" w:color="auto"/>
          <w:left w:val="single" w:sz="4" w:space="1" w:color="auto"/>
          <w:bottom w:val="single" w:sz="4" w:space="1" w:color="auto"/>
          <w:right w:val="single" w:sz="4" w:space="1" w:color="auto"/>
        </w:pBdr>
        <w:spacing w:before="120" w:after="0" w:line="240" w:lineRule="auto"/>
        <w:jc w:val="both"/>
        <w:rPr>
          <w:rFonts w:ascii="Times New Roman" w:hAnsi="Times New Roman" w:cs="Times New Roman"/>
          <w:noProof/>
          <w:sz w:val="20"/>
          <w:szCs w:val="20"/>
        </w:rPr>
      </w:pPr>
      <w:r w:rsidRPr="00682267">
        <w:rPr>
          <w:rFonts w:ascii="Times New Roman" w:hAnsi="Times New Roman" w:cs="Times New Roman"/>
          <w:noProof/>
          <w:sz w:val="20"/>
          <w:szCs w:val="20"/>
        </w:rPr>
        <w:t>It is an alternative version of EUROMOD that uses</w:t>
      </w:r>
      <w:r w:rsidR="002A6BC9" w:rsidRPr="00682267">
        <w:rPr>
          <w:rFonts w:ascii="Times New Roman" w:hAnsi="Times New Roman" w:cs="Times New Roman"/>
          <w:noProof/>
          <w:sz w:val="20"/>
          <w:szCs w:val="20"/>
        </w:rPr>
        <w:t xml:space="preserve"> input data based on</w:t>
      </w:r>
      <w:r w:rsidRPr="00682267">
        <w:rPr>
          <w:rFonts w:ascii="Times New Roman" w:hAnsi="Times New Roman" w:cs="Times New Roman"/>
          <w:noProof/>
          <w:sz w:val="20"/>
          <w:szCs w:val="20"/>
        </w:rPr>
        <w:t xml:space="preserve"> the Household Finance and Consumption Survey (HFCS) data</w:t>
      </w:r>
      <w:r w:rsidR="002A6BC9" w:rsidRPr="00682267">
        <w:rPr>
          <w:rFonts w:ascii="Times New Roman" w:hAnsi="Times New Roman" w:cs="Times New Roman"/>
          <w:noProof/>
          <w:sz w:val="20"/>
          <w:szCs w:val="20"/>
        </w:rPr>
        <w:t>,</w:t>
      </w:r>
      <w:r w:rsidRPr="00682267">
        <w:rPr>
          <w:rFonts w:ascii="Times New Roman" w:hAnsi="Times New Roman" w:cs="Times New Roman"/>
          <w:noProof/>
          <w:sz w:val="20"/>
          <w:szCs w:val="20"/>
        </w:rPr>
        <w:t xml:space="preserve"> allow</w:t>
      </w:r>
      <w:r w:rsidR="002A6BC9" w:rsidRPr="00682267">
        <w:rPr>
          <w:rFonts w:ascii="Times New Roman" w:hAnsi="Times New Roman" w:cs="Times New Roman"/>
          <w:noProof/>
          <w:sz w:val="20"/>
          <w:szCs w:val="20"/>
        </w:rPr>
        <w:t>ing</w:t>
      </w:r>
      <w:r w:rsidRPr="00682267">
        <w:rPr>
          <w:rFonts w:ascii="Times New Roman" w:hAnsi="Times New Roman" w:cs="Times New Roman"/>
          <w:noProof/>
          <w:sz w:val="20"/>
          <w:szCs w:val="20"/>
        </w:rPr>
        <w:t xml:space="preserve"> to simulate wealth-related taxes. Indeed, analytical tools are still underdeveloped when it comes to empirical analyses of different types of wealth-related taxes and policies. Distributional analysis of income and wealth requires information on disposable income and wealth. Integrating the HFCS data in EUROMOD makes it possible to assess the effect of different current and hypothetical wealth taxes and policies on the distribution of income and wealth.</w:t>
      </w:r>
      <w:r w:rsidR="00FA0A83" w:rsidRPr="00682267">
        <w:rPr>
          <w:rStyle w:val="FootnoteReference"/>
          <w:rFonts w:ascii="Times New Roman" w:hAnsi="Times New Roman" w:cs="Times New Roman"/>
          <w:noProof/>
          <w:sz w:val="20"/>
          <w:szCs w:val="20"/>
        </w:rPr>
        <w:footnoteReference w:id="46"/>
      </w:r>
    </w:p>
    <w:p w14:paraId="7D94996F" w14:textId="77777777" w:rsidR="0050499E" w:rsidRPr="00851BA8" w:rsidRDefault="0050499E" w:rsidP="00851BA8">
      <w:pPr>
        <w:pBdr>
          <w:top w:val="single" w:sz="4" w:space="1" w:color="auto"/>
          <w:left w:val="single" w:sz="4" w:space="1" w:color="auto"/>
          <w:bottom w:val="single" w:sz="4" w:space="1" w:color="auto"/>
          <w:right w:val="single" w:sz="4" w:space="1" w:color="auto"/>
        </w:pBdr>
        <w:spacing w:before="120" w:after="0" w:line="240" w:lineRule="auto"/>
        <w:jc w:val="both"/>
        <w:rPr>
          <w:rFonts w:ascii="Times New Roman" w:hAnsi="Times New Roman" w:cs="Times New Roman"/>
          <w:i/>
          <w:noProof/>
          <w:sz w:val="20"/>
          <w:szCs w:val="20"/>
        </w:rPr>
      </w:pPr>
      <w:r w:rsidRPr="00851BA8">
        <w:rPr>
          <w:rFonts w:ascii="Times New Roman" w:hAnsi="Times New Roman" w:cs="Times New Roman"/>
          <w:i/>
          <w:noProof/>
          <w:sz w:val="20"/>
          <w:szCs w:val="20"/>
        </w:rPr>
        <w:t>JRC's EUROLAB labour supply-demand model</w:t>
      </w:r>
    </w:p>
    <w:p w14:paraId="17C03651" w14:textId="37EFD0D2" w:rsidR="007020A0" w:rsidRDefault="0050499E" w:rsidP="00851BA8">
      <w:pPr>
        <w:spacing w:before="120"/>
        <w:jc w:val="both"/>
        <w:rPr>
          <w:rFonts w:ascii="Times New Roman" w:hAnsi="Times New Roman" w:cs="Times New Roman"/>
          <w:noProof/>
          <w:sz w:val="24"/>
          <w:szCs w:val="24"/>
          <w:lang w:val="en-US"/>
        </w:rPr>
      </w:pPr>
      <w:r w:rsidRPr="00682267">
        <w:rPr>
          <w:rFonts w:ascii="Times New Roman" w:hAnsi="Times New Roman" w:cs="Times New Roman"/>
          <w:noProof/>
          <w:sz w:val="20"/>
          <w:szCs w:val="20"/>
        </w:rPr>
        <w:t xml:space="preserve">It is an EU labour supply-demand microsimulation model built on EUROMOD and based on the modelling of discrete choice labour supply through a Random Utility Maximization approach. It estimates a set of structural parameters of the utility function and applies them to estimate labour supply behaviour. The main contributions of EUROLAB are the assessment of: 1) labour supply elasticities, 2) changes in the labour participation rate and working hours, and 3) changes in labour supply when labour demand is taken into account. Other individual or household decisions can be factored in. </w:t>
      </w:r>
      <w:r w:rsidR="007020A0">
        <w:rPr>
          <w:rFonts w:ascii="Times New Roman" w:hAnsi="Times New Roman" w:cs="Times New Roman"/>
          <w:b/>
          <w:noProof/>
          <w:sz w:val="24"/>
          <w:szCs w:val="24"/>
          <w:lang w:val="en-US"/>
        </w:rPr>
        <w:t>Currently it appears that m</w:t>
      </w:r>
      <w:r w:rsidR="007020A0" w:rsidRPr="00F200A6">
        <w:rPr>
          <w:rFonts w:ascii="Times New Roman" w:hAnsi="Times New Roman" w:cs="Times New Roman"/>
          <w:b/>
          <w:noProof/>
          <w:sz w:val="24"/>
          <w:szCs w:val="24"/>
          <w:lang w:val="en-US"/>
        </w:rPr>
        <w:t>ost Member States use their microsimulation models as such for DIA and in particular do not link a macro</w:t>
      </w:r>
      <w:r w:rsidR="007020A0">
        <w:rPr>
          <w:rFonts w:ascii="Times New Roman" w:hAnsi="Times New Roman" w:cs="Times New Roman"/>
          <w:b/>
          <w:noProof/>
          <w:sz w:val="24"/>
          <w:szCs w:val="24"/>
          <w:lang w:val="en-US"/>
        </w:rPr>
        <w:t>-</w:t>
      </w:r>
      <w:r w:rsidR="007020A0" w:rsidRPr="00F200A6">
        <w:rPr>
          <w:rFonts w:ascii="Times New Roman" w:hAnsi="Times New Roman" w:cs="Times New Roman"/>
          <w:b/>
          <w:noProof/>
          <w:sz w:val="24"/>
          <w:szCs w:val="24"/>
          <w:lang w:val="en-US"/>
        </w:rPr>
        <w:t>model to their micro-model.</w:t>
      </w:r>
      <w:r w:rsidR="007020A0" w:rsidRPr="00E7071F">
        <w:rPr>
          <w:rFonts w:ascii="Times New Roman" w:hAnsi="Times New Roman" w:cs="Times New Roman"/>
          <w:noProof/>
          <w:sz w:val="24"/>
          <w:szCs w:val="24"/>
          <w:lang w:val="en-US"/>
        </w:rPr>
        <w:t xml:space="preserve"> When a Member State uses a macro-model (not necessarily for DIA), it is often used separately from the micro model although some Member States take into account macro-economic forecasts in (some of their) microsimulations (BE, DK, FR, HU, PL).</w:t>
      </w:r>
    </w:p>
    <w:p w14:paraId="30416E8C" w14:textId="2267A6E1" w:rsidR="00D56E53" w:rsidRPr="008F1389" w:rsidRDefault="009A43ED" w:rsidP="00D56E53">
      <w:pPr>
        <w:jc w:val="both"/>
        <w:rPr>
          <w:rFonts w:ascii="Times New Roman" w:hAnsi="Times New Roman" w:cs="Times New Roman"/>
          <w:b/>
          <w:i/>
          <w:noProof/>
          <w:sz w:val="24"/>
          <w:szCs w:val="24"/>
        </w:rPr>
      </w:pPr>
      <w:r w:rsidRPr="008F1389">
        <w:rPr>
          <w:rFonts w:ascii="Times New Roman" w:hAnsi="Times New Roman" w:cs="Times New Roman"/>
          <w:b/>
          <w:i/>
          <w:noProof/>
          <w:sz w:val="24"/>
          <w:szCs w:val="24"/>
        </w:rPr>
        <w:t>Defining the b</w:t>
      </w:r>
      <w:r w:rsidR="00D56E53" w:rsidRPr="008F1389">
        <w:rPr>
          <w:rFonts w:ascii="Times New Roman" w:hAnsi="Times New Roman" w:cs="Times New Roman"/>
          <w:b/>
          <w:i/>
          <w:noProof/>
          <w:sz w:val="24"/>
          <w:szCs w:val="24"/>
        </w:rPr>
        <w:t xml:space="preserve">aseline </w:t>
      </w:r>
      <w:r w:rsidRPr="008F1389">
        <w:rPr>
          <w:rFonts w:ascii="Times New Roman" w:hAnsi="Times New Roman" w:cs="Times New Roman"/>
          <w:b/>
          <w:i/>
          <w:noProof/>
          <w:sz w:val="24"/>
          <w:szCs w:val="24"/>
        </w:rPr>
        <w:t>for the assessment of the distributional impacts</w:t>
      </w:r>
    </w:p>
    <w:p w14:paraId="593AB2DF" w14:textId="77777777" w:rsidR="00D56E53" w:rsidRPr="00D56E53" w:rsidRDefault="00D56E53" w:rsidP="00D56E53">
      <w:pPr>
        <w:jc w:val="both"/>
        <w:rPr>
          <w:noProof/>
        </w:rPr>
      </w:pPr>
      <w:r w:rsidRPr="00F50861">
        <w:rPr>
          <w:rFonts w:ascii="Times New Roman" w:hAnsi="Times New Roman" w:cs="Times New Roman"/>
          <w:b/>
          <w:noProof/>
          <w:sz w:val="24"/>
          <w:szCs w:val="24"/>
        </w:rPr>
        <w:t>An important question to answer before running a DIA analysis is whether the policy reforms will be compared to an indexed baseline or a baseline that is fixed in nominal terms.</w:t>
      </w:r>
      <w:r w:rsidRPr="00D56E53">
        <w:rPr>
          <w:rFonts w:ascii="Times New Roman" w:hAnsi="Times New Roman" w:cs="Times New Roman"/>
          <w:noProof/>
          <w:sz w:val="24"/>
          <w:szCs w:val="24"/>
        </w:rPr>
        <w:t xml:space="preserve"> Comparing to an indexed baseline – in which the parameters of the tax and welfare system are adjusted to account for forecast inflation or wage growth – allows to show what the effect of budgetary reform is compared to a scenario in which purchasing power is maintained and/or income inequality is constant. Comparing to a nominally fixed baseline, on the other hand, shows the effect of policy reform in nominal terms, without accounting for inflation or income growth.</w:t>
      </w:r>
      <w:r w:rsidRPr="00D56E53">
        <w:rPr>
          <w:rFonts w:ascii="Times New Roman" w:hAnsi="Times New Roman" w:cs="Times New Roman"/>
          <w:noProof/>
          <w:sz w:val="24"/>
          <w:szCs w:val="24"/>
          <w:vertAlign w:val="superscript"/>
        </w:rPr>
        <w:footnoteReference w:id="47"/>
      </w:r>
      <w:r w:rsidRPr="00D56E53">
        <w:rPr>
          <w:noProof/>
        </w:rPr>
        <w:t xml:space="preserve"> </w:t>
      </w:r>
    </w:p>
    <w:p w14:paraId="642A1E40" w14:textId="00DE7ECA" w:rsidR="00517618" w:rsidRDefault="00D56E53" w:rsidP="00F50861">
      <w:pPr>
        <w:jc w:val="both"/>
        <w:rPr>
          <w:rFonts w:ascii="Times New Roman" w:hAnsi="Times New Roman" w:cs="Times New Roman"/>
          <w:noProof/>
          <w:sz w:val="24"/>
          <w:szCs w:val="24"/>
        </w:rPr>
      </w:pPr>
      <w:r w:rsidRPr="00F50861">
        <w:rPr>
          <w:rFonts w:ascii="Times New Roman" w:hAnsi="Times New Roman" w:cs="Times New Roman"/>
          <w:b/>
          <w:noProof/>
        </w:rPr>
        <w:t>D</w:t>
      </w:r>
      <w:r w:rsidRPr="00F50861">
        <w:rPr>
          <w:rFonts w:ascii="Times New Roman" w:hAnsi="Times New Roman" w:cs="Times New Roman"/>
          <w:b/>
          <w:noProof/>
          <w:sz w:val="24"/>
          <w:szCs w:val="24"/>
        </w:rPr>
        <w:t>efining the baseline is an important decision</w:t>
      </w:r>
      <w:r w:rsidRPr="00D56E53">
        <w:rPr>
          <w:rFonts w:ascii="Times New Roman" w:hAnsi="Times New Roman" w:cs="Times New Roman"/>
          <w:noProof/>
          <w:sz w:val="24"/>
          <w:szCs w:val="24"/>
        </w:rPr>
        <w:t xml:space="preserve"> as there is a number of possibilities for a baseline policy to evaluate year-to-year changes including indexation of tax-benefit parameters (or benefit parameters alone) by wage/price growth. It also needs to be decided whether the baseline should include policy changes which were pre-announced and temporary policies. Whatever decision is taken in that respect, it is crucial to clearly describe what the baseline is and how this affects the interpretation of results.</w:t>
      </w:r>
      <w:r w:rsidR="001A001D">
        <w:rPr>
          <w:rFonts w:ascii="Times New Roman" w:hAnsi="Times New Roman" w:cs="Times New Roman"/>
          <w:noProof/>
          <w:sz w:val="24"/>
          <w:szCs w:val="24"/>
        </w:rPr>
        <w:t xml:space="preserve"> </w:t>
      </w:r>
      <w:r w:rsidR="00E53B65">
        <w:rPr>
          <w:rFonts w:ascii="Times New Roman" w:hAnsi="Times New Roman" w:cs="Times New Roman"/>
          <w:noProof/>
          <w:sz w:val="24"/>
          <w:szCs w:val="24"/>
        </w:rPr>
        <w:t>In their budgetary plans e</w:t>
      </w:r>
      <w:r w:rsidR="008746FF">
        <w:rPr>
          <w:rFonts w:ascii="Times New Roman" w:hAnsi="Times New Roman" w:cs="Times New Roman"/>
          <w:noProof/>
          <w:sz w:val="24"/>
          <w:szCs w:val="24"/>
        </w:rPr>
        <w:t xml:space="preserve">leven </w:t>
      </w:r>
      <w:r w:rsidR="001A001D">
        <w:rPr>
          <w:rFonts w:ascii="Times New Roman" w:hAnsi="Times New Roman" w:cs="Times New Roman"/>
          <w:noProof/>
          <w:sz w:val="24"/>
          <w:szCs w:val="24"/>
        </w:rPr>
        <w:t>e</w:t>
      </w:r>
      <w:r w:rsidR="00517618" w:rsidRPr="00517618">
        <w:rPr>
          <w:rFonts w:ascii="Times New Roman" w:hAnsi="Times New Roman" w:cs="Times New Roman"/>
          <w:noProof/>
          <w:sz w:val="24"/>
          <w:szCs w:val="24"/>
        </w:rPr>
        <w:t xml:space="preserve">uro </w:t>
      </w:r>
      <w:r w:rsidR="001A001D">
        <w:rPr>
          <w:rFonts w:ascii="Times New Roman" w:hAnsi="Times New Roman" w:cs="Times New Roman"/>
          <w:noProof/>
          <w:sz w:val="24"/>
          <w:szCs w:val="24"/>
        </w:rPr>
        <w:t>a</w:t>
      </w:r>
      <w:r w:rsidR="00517618" w:rsidRPr="00517618">
        <w:rPr>
          <w:rFonts w:ascii="Times New Roman" w:hAnsi="Times New Roman" w:cs="Times New Roman"/>
          <w:noProof/>
          <w:sz w:val="24"/>
          <w:szCs w:val="24"/>
        </w:rPr>
        <w:t>rea Member States rely primarily on the previous year’s status quo as the baseline scenario. Using a projected baseline scenario for today (nowcasting) or a dynamic projection for the future (forecasting) is less common</w:t>
      </w:r>
      <w:r w:rsidR="008746FF">
        <w:rPr>
          <w:rFonts w:ascii="Times New Roman" w:hAnsi="Times New Roman" w:cs="Times New Roman"/>
          <w:noProof/>
          <w:sz w:val="24"/>
          <w:szCs w:val="24"/>
        </w:rPr>
        <w:t xml:space="preserve"> (</w:t>
      </w:r>
      <w:r w:rsidR="001A001D">
        <w:rPr>
          <w:rFonts w:ascii="Times New Roman" w:hAnsi="Times New Roman" w:cs="Times New Roman"/>
          <w:noProof/>
          <w:sz w:val="24"/>
          <w:szCs w:val="24"/>
        </w:rPr>
        <w:t xml:space="preserve">with </w:t>
      </w:r>
      <w:r w:rsidR="008746FF">
        <w:rPr>
          <w:rFonts w:ascii="Times New Roman" w:hAnsi="Times New Roman" w:cs="Times New Roman"/>
          <w:noProof/>
          <w:sz w:val="24"/>
          <w:szCs w:val="24"/>
        </w:rPr>
        <w:t xml:space="preserve">five </w:t>
      </w:r>
      <w:r w:rsidR="00517618" w:rsidRPr="00517618">
        <w:rPr>
          <w:rFonts w:ascii="Times New Roman" w:hAnsi="Times New Roman" w:cs="Times New Roman"/>
          <w:noProof/>
          <w:sz w:val="24"/>
          <w:szCs w:val="24"/>
        </w:rPr>
        <w:t xml:space="preserve">and </w:t>
      </w:r>
      <w:r w:rsidR="008746FF">
        <w:rPr>
          <w:rFonts w:ascii="Times New Roman" w:hAnsi="Times New Roman" w:cs="Times New Roman"/>
          <w:noProof/>
          <w:sz w:val="24"/>
          <w:szCs w:val="24"/>
        </w:rPr>
        <w:t>seven</w:t>
      </w:r>
      <w:r w:rsidR="008746FF" w:rsidRPr="00517618">
        <w:rPr>
          <w:rFonts w:ascii="Times New Roman" w:hAnsi="Times New Roman" w:cs="Times New Roman"/>
          <w:noProof/>
          <w:sz w:val="24"/>
          <w:szCs w:val="24"/>
        </w:rPr>
        <w:t xml:space="preserve"> </w:t>
      </w:r>
      <w:r w:rsidR="00517618" w:rsidRPr="00517618">
        <w:rPr>
          <w:rFonts w:ascii="Times New Roman" w:hAnsi="Times New Roman" w:cs="Times New Roman"/>
          <w:noProof/>
          <w:sz w:val="24"/>
          <w:szCs w:val="24"/>
        </w:rPr>
        <w:t>countries</w:t>
      </w:r>
      <w:r w:rsidR="001A001D">
        <w:rPr>
          <w:rFonts w:ascii="Times New Roman" w:hAnsi="Times New Roman" w:cs="Times New Roman"/>
          <w:noProof/>
          <w:sz w:val="24"/>
          <w:szCs w:val="24"/>
        </w:rPr>
        <w:t xml:space="preserve"> using them</w:t>
      </w:r>
      <w:r w:rsidR="00517618" w:rsidRPr="00517618">
        <w:rPr>
          <w:rFonts w:ascii="Times New Roman" w:hAnsi="Times New Roman" w:cs="Times New Roman"/>
          <w:noProof/>
          <w:sz w:val="24"/>
          <w:szCs w:val="24"/>
        </w:rPr>
        <w:t xml:space="preserve"> respectively</w:t>
      </w:r>
      <w:r w:rsidR="008746FF">
        <w:rPr>
          <w:rFonts w:ascii="Times New Roman" w:hAnsi="Times New Roman" w:cs="Times New Roman"/>
          <w:noProof/>
          <w:sz w:val="24"/>
          <w:szCs w:val="24"/>
        </w:rPr>
        <w:t>)</w:t>
      </w:r>
      <w:r w:rsidR="00517618" w:rsidRPr="00517618">
        <w:rPr>
          <w:rFonts w:ascii="Times New Roman" w:hAnsi="Times New Roman" w:cs="Times New Roman"/>
          <w:noProof/>
          <w:sz w:val="24"/>
          <w:szCs w:val="24"/>
        </w:rPr>
        <w:t xml:space="preserve">. Nevertheless, about one third of countries use more than one baseline scenario when conducting DIA.      </w:t>
      </w:r>
    </w:p>
    <w:p w14:paraId="2B9ED53A" w14:textId="7FE8A2B2" w:rsidR="00547F60" w:rsidRPr="00D56E53" w:rsidRDefault="00547F60" w:rsidP="00547F60">
      <w:pPr>
        <w:jc w:val="both"/>
        <w:rPr>
          <w:rFonts w:ascii="Times New Roman" w:hAnsi="Times New Roman" w:cs="Times New Roman"/>
          <w:noProof/>
          <w:sz w:val="24"/>
          <w:szCs w:val="24"/>
        </w:rPr>
      </w:pPr>
      <w:r w:rsidRPr="003D46C0">
        <w:rPr>
          <w:rFonts w:ascii="Times New Roman" w:hAnsi="Times New Roman" w:cs="Times New Roman"/>
          <w:b/>
          <w:noProof/>
          <w:sz w:val="24"/>
          <w:szCs w:val="24"/>
        </w:rPr>
        <w:t xml:space="preserve">The data used for the model baseline should be timely, whereas there is inevitably a time lag between a survey being conducted and the data </w:t>
      </w:r>
      <w:r w:rsidR="0098554D" w:rsidRPr="003D46C0">
        <w:rPr>
          <w:rFonts w:ascii="Times New Roman" w:hAnsi="Times New Roman" w:cs="Times New Roman"/>
          <w:b/>
          <w:noProof/>
          <w:sz w:val="24"/>
          <w:szCs w:val="24"/>
        </w:rPr>
        <w:t xml:space="preserve">being </w:t>
      </w:r>
      <w:r w:rsidRPr="003D46C0">
        <w:rPr>
          <w:rFonts w:ascii="Times New Roman" w:hAnsi="Times New Roman" w:cs="Times New Roman"/>
          <w:b/>
          <w:noProof/>
          <w:sz w:val="24"/>
          <w:szCs w:val="24"/>
        </w:rPr>
        <w:t>available</w:t>
      </w:r>
      <w:r w:rsidR="008B75C2">
        <w:rPr>
          <w:rFonts w:ascii="Times New Roman" w:hAnsi="Times New Roman" w:cs="Times New Roman"/>
          <w:b/>
          <w:noProof/>
          <w:sz w:val="24"/>
          <w:szCs w:val="24"/>
        </w:rPr>
        <w:t>.</w:t>
      </w:r>
      <w:r w:rsidRPr="003D46C0">
        <w:rPr>
          <w:rFonts w:ascii="Times New Roman" w:hAnsi="Times New Roman" w:cs="Times New Roman"/>
          <w:noProof/>
          <w:sz w:val="24"/>
          <w:szCs w:val="24"/>
        </w:rPr>
        <w:t xml:space="preserve"> (</w:t>
      </w:r>
      <w:r w:rsidR="008B75C2">
        <w:rPr>
          <w:rFonts w:ascii="Times New Roman" w:hAnsi="Times New Roman" w:cs="Times New Roman"/>
          <w:noProof/>
          <w:sz w:val="24"/>
          <w:szCs w:val="24"/>
        </w:rPr>
        <w:t>I</w:t>
      </w:r>
      <w:r w:rsidR="0018584B" w:rsidRPr="003D46C0">
        <w:rPr>
          <w:rFonts w:ascii="Times New Roman" w:hAnsi="Times New Roman" w:cs="Times New Roman"/>
          <w:noProof/>
          <w:sz w:val="24"/>
          <w:szCs w:val="24"/>
        </w:rPr>
        <w:t xml:space="preserve">n the case of EU-SILC, in the framework of Regulation </w:t>
      </w:r>
      <w:r w:rsidR="00A70AFE">
        <w:rPr>
          <w:rFonts w:ascii="Times New Roman" w:hAnsi="Times New Roman" w:cs="Times New Roman"/>
          <w:noProof/>
          <w:sz w:val="24"/>
          <w:szCs w:val="24"/>
        </w:rPr>
        <w:t xml:space="preserve">(EU) </w:t>
      </w:r>
      <w:r w:rsidR="0018584B" w:rsidRPr="003D46C0">
        <w:rPr>
          <w:rFonts w:ascii="Times New Roman" w:hAnsi="Times New Roman" w:cs="Times New Roman"/>
          <w:noProof/>
          <w:sz w:val="24"/>
          <w:szCs w:val="24"/>
        </w:rPr>
        <w:t>2019/1700, Eurostat receives microdata from Member States for operation year N by the end of year N, and complete datasets with final income data is received by 28 February of year N+1. Country indicators are published as soon as the data is validated and approved</w:t>
      </w:r>
      <w:r w:rsidRPr="003D46C0">
        <w:rPr>
          <w:rFonts w:ascii="Times New Roman" w:hAnsi="Times New Roman" w:cs="Times New Roman"/>
          <w:noProof/>
          <w:sz w:val="24"/>
          <w:szCs w:val="24"/>
        </w:rPr>
        <w:t>. In a period of minimal demographic and labour market change, this is usually not problematic. However, in a period of recession or significant labour market change, using older data can have significant implications for DIA. A common solution to this is to use uprating factors to adjust the data to subsequent years. The model ‘uprates’ the data to current year’s price and income levels using price and wage inflation and this is typically sufficient to approximate the current income distribution</w:t>
      </w:r>
      <w:r w:rsidR="00CE23E6" w:rsidRPr="003D46C0">
        <w:rPr>
          <w:rStyle w:val="FootnoteReference"/>
          <w:rFonts w:ascii="Times New Roman" w:hAnsi="Times New Roman" w:cs="Times New Roman"/>
          <w:noProof/>
          <w:sz w:val="24"/>
          <w:szCs w:val="24"/>
        </w:rPr>
        <w:footnoteReference w:id="48"/>
      </w:r>
      <w:r w:rsidR="00CE23E6" w:rsidRPr="003D46C0">
        <w:rPr>
          <w:rStyle w:val="FootnoteReference"/>
          <w:rFonts w:ascii="Times New Roman" w:hAnsi="Times New Roman" w:cs="Times New Roman"/>
          <w:noProof/>
          <w:sz w:val="24"/>
          <w:szCs w:val="24"/>
        </w:rPr>
        <w:footnoteReference w:id="49"/>
      </w:r>
      <w:r w:rsidRPr="003D46C0">
        <w:rPr>
          <w:rFonts w:ascii="Times New Roman" w:hAnsi="Times New Roman" w:cs="Times New Roman"/>
          <w:noProof/>
          <w:sz w:val="24"/>
          <w:szCs w:val="24"/>
        </w:rPr>
        <w:t>.</w:t>
      </w:r>
    </w:p>
    <w:p w14:paraId="5E67DF3B" w14:textId="33F842BD" w:rsidR="00F5268D" w:rsidRDefault="00E7071F" w:rsidP="00F50861">
      <w:pPr>
        <w:spacing w:after="200"/>
        <w:jc w:val="both"/>
        <w:rPr>
          <w:rFonts w:ascii="Times New Roman" w:eastAsia="Arial" w:hAnsi="Times New Roman" w:cs="Times New Roman"/>
          <w:noProof/>
          <w:sz w:val="24"/>
          <w:szCs w:val="24"/>
        </w:rPr>
      </w:pPr>
      <w:r w:rsidRPr="00F50861">
        <w:rPr>
          <w:rFonts w:ascii="Times New Roman" w:hAnsi="Times New Roman" w:cs="Times New Roman"/>
          <w:b/>
          <w:noProof/>
          <w:sz w:val="24"/>
          <w:szCs w:val="24"/>
        </w:rPr>
        <w:t>Most Member States apply uprating and reweighting to the data</w:t>
      </w:r>
      <w:r w:rsidRPr="00E7071F">
        <w:rPr>
          <w:rFonts w:ascii="Times New Roman" w:hAnsi="Times New Roman" w:cs="Times New Roman"/>
          <w:noProof/>
          <w:sz w:val="24"/>
          <w:szCs w:val="24"/>
        </w:rPr>
        <w:t xml:space="preserve"> to take into account latest developments in income and tax-benefits systems as well as to reflect the population's latest situation/composition. A few Member States account for changes in demography (e.g. use of ageing projections in some Member States) (BE, DK, IE, FR, LT) and uprating for various macroeconomic developments.</w:t>
      </w:r>
      <w:r w:rsidR="00F5268D" w:rsidRPr="00E13CD2">
        <w:rPr>
          <w:rFonts w:ascii="Times New Roman" w:eastAsia="Arial" w:hAnsi="Times New Roman" w:cs="Times New Roman"/>
          <w:noProof/>
          <w:sz w:val="24"/>
          <w:szCs w:val="24"/>
        </w:rPr>
        <w:t xml:space="preserve">      </w:t>
      </w:r>
    </w:p>
    <w:p w14:paraId="0BB95130" w14:textId="77777777" w:rsidR="00D56E53" w:rsidRPr="008F1389" w:rsidRDefault="00D56E53" w:rsidP="00D56E53">
      <w:pPr>
        <w:jc w:val="both"/>
        <w:rPr>
          <w:rFonts w:ascii="Times New Roman" w:eastAsia="Calibri" w:hAnsi="Times New Roman" w:cs="Times New Roman"/>
          <w:b/>
          <w:i/>
          <w:noProof/>
          <w:sz w:val="24"/>
          <w:szCs w:val="24"/>
          <w:lang w:val="en-IE"/>
        </w:rPr>
      </w:pPr>
      <w:r w:rsidRPr="008F1389">
        <w:rPr>
          <w:rFonts w:ascii="Times New Roman" w:eastAsia="Calibri" w:hAnsi="Times New Roman" w:cs="Times New Roman"/>
          <w:b/>
          <w:i/>
          <w:noProof/>
          <w:sz w:val="24"/>
          <w:szCs w:val="24"/>
          <w:lang w:val="en-IE"/>
        </w:rPr>
        <w:t>Human resources</w:t>
      </w:r>
    </w:p>
    <w:p w14:paraId="5F6C689D" w14:textId="54A63EBF" w:rsidR="00D56E53" w:rsidRPr="00D56E53" w:rsidRDefault="00D56E53" w:rsidP="00D56E53">
      <w:pPr>
        <w:jc w:val="both"/>
        <w:rPr>
          <w:rFonts w:ascii="Times New Roman" w:hAnsi="Times New Roman" w:cs="Times New Roman"/>
          <w:noProof/>
          <w:sz w:val="24"/>
          <w:szCs w:val="24"/>
        </w:rPr>
      </w:pPr>
      <w:r w:rsidRPr="00CD6C53">
        <w:rPr>
          <w:rFonts w:ascii="Times New Roman" w:hAnsi="Times New Roman" w:cs="Times New Roman"/>
          <w:b/>
          <w:noProof/>
          <w:sz w:val="24"/>
          <w:szCs w:val="24"/>
        </w:rPr>
        <w:t xml:space="preserve">DIA is usually performed by a team </w:t>
      </w:r>
      <w:r w:rsidR="00CD6C53" w:rsidRPr="00CD6C53">
        <w:rPr>
          <w:rFonts w:ascii="Times New Roman" w:hAnsi="Times New Roman" w:cs="Times New Roman"/>
          <w:b/>
          <w:noProof/>
          <w:sz w:val="24"/>
          <w:szCs w:val="24"/>
        </w:rPr>
        <w:t xml:space="preserve">of </w:t>
      </w:r>
      <w:r w:rsidRPr="00CD6C53">
        <w:rPr>
          <w:rFonts w:ascii="Times New Roman" w:hAnsi="Times New Roman" w:cs="Times New Roman"/>
          <w:b/>
          <w:noProof/>
          <w:sz w:val="24"/>
          <w:szCs w:val="24"/>
        </w:rPr>
        <w:t>3</w:t>
      </w:r>
      <w:r w:rsidR="008746FF">
        <w:rPr>
          <w:rFonts w:ascii="Times New Roman" w:hAnsi="Times New Roman" w:cs="Times New Roman"/>
          <w:b/>
          <w:noProof/>
          <w:sz w:val="24"/>
          <w:szCs w:val="24"/>
        </w:rPr>
        <w:t xml:space="preserve"> or </w:t>
      </w:r>
      <w:r w:rsidRPr="00CD6C53">
        <w:rPr>
          <w:rFonts w:ascii="Times New Roman" w:hAnsi="Times New Roman" w:cs="Times New Roman"/>
          <w:b/>
          <w:noProof/>
          <w:sz w:val="24"/>
          <w:szCs w:val="24"/>
        </w:rPr>
        <w:t>4 people</w:t>
      </w:r>
      <w:r w:rsidRPr="00D56E53">
        <w:rPr>
          <w:rFonts w:ascii="Times New Roman" w:hAnsi="Times New Roman" w:cs="Times New Roman"/>
          <w:noProof/>
          <w:sz w:val="24"/>
          <w:szCs w:val="24"/>
        </w:rPr>
        <w:t>, consisting mostly of economists</w:t>
      </w:r>
      <w:r w:rsidR="008746FF">
        <w:rPr>
          <w:rFonts w:ascii="Times New Roman" w:hAnsi="Times New Roman" w:cs="Times New Roman"/>
          <w:noProof/>
          <w:sz w:val="24"/>
          <w:szCs w:val="24"/>
        </w:rPr>
        <w:t>, often</w:t>
      </w:r>
      <w:r w:rsidR="0098554D">
        <w:rPr>
          <w:rFonts w:ascii="Times New Roman" w:hAnsi="Times New Roman" w:cs="Times New Roman"/>
          <w:noProof/>
          <w:sz w:val="24"/>
          <w:szCs w:val="24"/>
        </w:rPr>
        <w:t xml:space="preserve"> </w:t>
      </w:r>
      <w:r w:rsidRPr="00D56E53">
        <w:rPr>
          <w:rFonts w:ascii="Times New Roman" w:hAnsi="Times New Roman" w:cs="Times New Roman"/>
          <w:noProof/>
          <w:sz w:val="24"/>
          <w:szCs w:val="24"/>
        </w:rPr>
        <w:t>working within the ministry of finance. Some countries (Slovenia, Germany, Ireland and Latvia) employ external consultants (e.g. research institutes) to support them.</w:t>
      </w:r>
    </w:p>
    <w:p w14:paraId="5CF6487E" w14:textId="00088F35" w:rsidR="00D56E53" w:rsidRPr="00D56E53" w:rsidRDefault="00D56E53" w:rsidP="00D56E53">
      <w:pPr>
        <w:jc w:val="both"/>
        <w:rPr>
          <w:rFonts w:ascii="Times New Roman" w:hAnsi="Times New Roman" w:cs="Times New Roman"/>
          <w:noProof/>
          <w:sz w:val="24"/>
          <w:szCs w:val="24"/>
        </w:rPr>
      </w:pPr>
      <w:r w:rsidRPr="00CD6C53">
        <w:rPr>
          <w:rFonts w:ascii="Times New Roman" w:hAnsi="Times New Roman" w:cs="Times New Roman"/>
          <w:b/>
          <w:noProof/>
          <w:sz w:val="24"/>
          <w:szCs w:val="24"/>
        </w:rPr>
        <w:t>In terms of training on DIA, on-the-job training is usually the preferred option.</w:t>
      </w:r>
      <w:r w:rsidRPr="00D56E53">
        <w:rPr>
          <w:rFonts w:ascii="Times New Roman" w:hAnsi="Times New Roman" w:cs="Times New Roman"/>
          <w:noProof/>
          <w:sz w:val="24"/>
          <w:szCs w:val="24"/>
        </w:rPr>
        <w:t xml:space="preserve"> This training is often complemented by the participation in the courses organised by the EUROMOD network. The training needs depend on the complexity of the model used. For the full model, a sufficient level of training is needed to use the model correctly. </w:t>
      </w:r>
    </w:p>
    <w:p w14:paraId="6F47F478" w14:textId="184AF6CA" w:rsidR="00D56E53" w:rsidRDefault="00D56E53" w:rsidP="00D56E53">
      <w:pPr>
        <w:jc w:val="both"/>
        <w:rPr>
          <w:rFonts w:ascii="Times New Roman" w:hAnsi="Times New Roman" w:cs="Times New Roman"/>
          <w:noProof/>
          <w:sz w:val="24"/>
          <w:szCs w:val="24"/>
        </w:rPr>
      </w:pPr>
      <w:r w:rsidRPr="00CD6C53">
        <w:rPr>
          <w:rFonts w:ascii="Times New Roman" w:hAnsi="Times New Roman" w:cs="Times New Roman"/>
          <w:b/>
          <w:noProof/>
          <w:sz w:val="24"/>
          <w:szCs w:val="24"/>
        </w:rPr>
        <w:t>More complex models are more challenging to extend and maintain.</w:t>
      </w:r>
      <w:r w:rsidRPr="00D56E53">
        <w:rPr>
          <w:rFonts w:ascii="Times New Roman" w:hAnsi="Times New Roman" w:cs="Times New Roman"/>
          <w:noProof/>
          <w:sz w:val="24"/>
          <w:szCs w:val="24"/>
        </w:rPr>
        <w:t xml:space="preserve"> The Member States that successfully do this tend to have solid structures to ensure the quality of production. For the others, it is suggested that they maintain a team of experts for the DIA model and to ensure the continuity of DIA expertise. This team would need to be given adequate time and resources (such as training resources) for having reliable DIA model in place and for performing DIA of advanced quality using it.</w:t>
      </w:r>
    </w:p>
    <w:p w14:paraId="0EEA597C" w14:textId="414A42C2" w:rsidR="00373F13" w:rsidRDefault="00373F13" w:rsidP="00D56E53">
      <w:pPr>
        <w:jc w:val="both"/>
        <w:rPr>
          <w:rFonts w:ascii="Times New Roman" w:hAnsi="Times New Roman" w:cs="Times New Roman"/>
          <w:noProof/>
          <w:sz w:val="24"/>
          <w:szCs w:val="24"/>
        </w:rPr>
      </w:pPr>
      <w:r w:rsidRPr="00373F13">
        <w:rPr>
          <w:rFonts w:ascii="Times New Roman" w:hAnsi="Times New Roman" w:cs="Times New Roman"/>
          <w:b/>
          <w:noProof/>
          <w:sz w:val="24"/>
          <w:szCs w:val="24"/>
        </w:rPr>
        <w:t>Entrusting independent bodies with doing DIAs can help make them more credible and accurate.</w:t>
      </w:r>
      <w:r w:rsidRPr="00373F13">
        <w:rPr>
          <w:rFonts w:ascii="Times New Roman" w:hAnsi="Times New Roman" w:cs="Times New Roman"/>
          <w:noProof/>
          <w:sz w:val="24"/>
          <w:szCs w:val="24"/>
        </w:rPr>
        <w:t xml:space="preserve"> Thanks to their expertise, academia or research institutes are well placed to develop advanced DIA techniques. Moreover, they are not affected by the same political motives as administrations when assessing decisions to which they have often not contributed. The replication of results by various institutions can also make for a more comprehensive analysis, and enhance its quality and credibility.</w:t>
      </w:r>
    </w:p>
    <w:p w14:paraId="367A929C" w14:textId="1AB68EE3" w:rsidR="00D56E53" w:rsidRPr="004B203D" w:rsidRDefault="00352799" w:rsidP="008F1389">
      <w:pPr>
        <w:pStyle w:val="Heading2"/>
        <w:numPr>
          <w:ilvl w:val="0"/>
          <w:numId w:val="28"/>
        </w:numPr>
        <w:spacing w:before="120" w:after="120"/>
        <w:ind w:left="714" w:hanging="357"/>
        <w:rPr>
          <w:rFonts w:ascii="Times New Roman" w:hAnsi="Times New Roman" w:cs="Times New Roman"/>
          <w:noProof/>
        </w:rPr>
      </w:pPr>
      <w:bookmarkStart w:id="9" w:name="_Toc114470589"/>
      <w:r>
        <w:rPr>
          <w:rFonts w:ascii="Times New Roman" w:hAnsi="Times New Roman" w:cs="Times New Roman"/>
          <w:noProof/>
        </w:rPr>
        <w:t>What data to use?</w:t>
      </w:r>
      <w:bookmarkEnd w:id="9"/>
    </w:p>
    <w:p w14:paraId="1ADE23B9" w14:textId="66B88043" w:rsidR="00186CFA" w:rsidRDefault="00FD0A63" w:rsidP="00186CFA">
      <w:pPr>
        <w:jc w:val="both"/>
        <w:rPr>
          <w:rFonts w:ascii="Times New Roman" w:hAnsi="Times New Roman" w:cs="Times New Roman"/>
          <w:noProof/>
          <w:sz w:val="24"/>
          <w:szCs w:val="24"/>
        </w:rPr>
      </w:pPr>
      <w:r w:rsidRPr="003D46C0">
        <w:rPr>
          <w:rFonts w:ascii="Times New Roman" w:hAnsi="Times New Roman" w:cs="Times New Roman"/>
          <w:b/>
          <w:noProof/>
          <w:sz w:val="24"/>
          <w:szCs w:val="24"/>
        </w:rPr>
        <w:t>T</w:t>
      </w:r>
      <w:r w:rsidR="00105FD1" w:rsidRPr="003D46C0">
        <w:rPr>
          <w:rFonts w:ascii="Times New Roman" w:hAnsi="Times New Roman" w:cs="Times New Roman"/>
          <w:b/>
          <w:noProof/>
          <w:sz w:val="24"/>
          <w:szCs w:val="24"/>
        </w:rPr>
        <w:t>wo</w:t>
      </w:r>
      <w:r w:rsidR="00D56E53" w:rsidRPr="003D46C0">
        <w:rPr>
          <w:rFonts w:ascii="Times New Roman" w:hAnsi="Times New Roman" w:cs="Times New Roman"/>
          <w:b/>
          <w:noProof/>
          <w:sz w:val="24"/>
          <w:szCs w:val="24"/>
        </w:rPr>
        <w:t xml:space="preserve"> types of data sources can be linked to a microsimulation model to conduct DIA</w:t>
      </w:r>
      <w:r w:rsidR="00FA0A83" w:rsidRPr="003D46C0">
        <w:rPr>
          <w:rFonts w:ascii="Times New Roman" w:hAnsi="Times New Roman" w:cs="Times New Roman"/>
          <w:b/>
          <w:noProof/>
          <w:sz w:val="24"/>
          <w:szCs w:val="24"/>
        </w:rPr>
        <w:t>.</w:t>
      </w:r>
      <w:r w:rsidRPr="003D46C0">
        <w:rPr>
          <w:rFonts w:ascii="Times New Roman" w:hAnsi="Times New Roman" w:cs="Times New Roman"/>
          <w:b/>
          <w:noProof/>
          <w:sz w:val="24"/>
          <w:szCs w:val="24"/>
        </w:rPr>
        <w:t xml:space="preserve"> </w:t>
      </w:r>
      <w:r w:rsidR="00186CFA" w:rsidRPr="003D46C0">
        <w:rPr>
          <w:rFonts w:ascii="Times New Roman" w:hAnsi="Times New Roman" w:cs="Times New Roman"/>
          <w:noProof/>
          <w:sz w:val="24"/>
          <w:szCs w:val="24"/>
        </w:rPr>
        <w:t>Survey data, such as EU-SILC, tend to be most straightforward to access and are widely used</w:t>
      </w:r>
      <w:r w:rsidR="00B3112B">
        <w:rPr>
          <w:rStyle w:val="FootnoteReference"/>
          <w:rFonts w:ascii="Times New Roman" w:hAnsi="Times New Roman" w:cs="Times New Roman"/>
          <w:noProof/>
          <w:sz w:val="24"/>
          <w:szCs w:val="24"/>
        </w:rPr>
        <w:footnoteReference w:id="50"/>
      </w:r>
      <w:r w:rsidR="00186CFA" w:rsidRPr="003D46C0">
        <w:rPr>
          <w:rFonts w:ascii="Times New Roman" w:hAnsi="Times New Roman" w:cs="Times New Roman"/>
          <w:noProof/>
          <w:sz w:val="24"/>
          <w:szCs w:val="24"/>
        </w:rPr>
        <w:t>. Alternatively, administrative or register data can be linked to the model. A third option combines</w:t>
      </w:r>
      <w:r w:rsidR="00FA0A83" w:rsidRPr="003D46C0">
        <w:rPr>
          <w:rFonts w:ascii="Times New Roman" w:hAnsi="Times New Roman" w:cs="Times New Roman"/>
          <w:noProof/>
          <w:sz w:val="24"/>
          <w:szCs w:val="24"/>
        </w:rPr>
        <w:t xml:space="preserve"> the analysis based on</w:t>
      </w:r>
      <w:r w:rsidR="00186CFA" w:rsidRPr="003D46C0">
        <w:rPr>
          <w:rFonts w:ascii="Times New Roman" w:hAnsi="Times New Roman" w:cs="Times New Roman"/>
          <w:noProof/>
          <w:sz w:val="24"/>
          <w:szCs w:val="24"/>
        </w:rPr>
        <w:t xml:space="preserve"> survey data with</w:t>
      </w:r>
      <w:r w:rsidR="00FA0A83" w:rsidRPr="003D46C0">
        <w:rPr>
          <w:rFonts w:ascii="Times New Roman" w:hAnsi="Times New Roman" w:cs="Times New Roman"/>
          <w:noProof/>
          <w:sz w:val="24"/>
          <w:szCs w:val="24"/>
        </w:rPr>
        <w:t xml:space="preserve"> that based on</w:t>
      </w:r>
      <w:r w:rsidR="00186CFA" w:rsidRPr="003D46C0">
        <w:rPr>
          <w:rFonts w:ascii="Times New Roman" w:hAnsi="Times New Roman" w:cs="Times New Roman"/>
          <w:noProof/>
          <w:sz w:val="24"/>
          <w:szCs w:val="24"/>
        </w:rPr>
        <w:t xml:space="preserve"> some administrative data to allow a more accurate simulation of incomes, benefit eligibility and tax liabilities.</w:t>
      </w:r>
      <w:r w:rsidR="00186CFA" w:rsidRPr="00186CFA">
        <w:rPr>
          <w:rFonts w:ascii="Times New Roman" w:hAnsi="Times New Roman" w:cs="Times New Roman"/>
          <w:noProof/>
          <w:sz w:val="24"/>
          <w:szCs w:val="24"/>
        </w:rPr>
        <w:t xml:space="preserve"> </w:t>
      </w:r>
    </w:p>
    <w:p w14:paraId="4D675C49" w14:textId="7B543DF8" w:rsidR="006B36AA" w:rsidRPr="005C7789" w:rsidRDefault="006B36AA" w:rsidP="00851BA8">
      <w:pPr>
        <w:keepNext/>
        <w:keepLines/>
        <w:jc w:val="both"/>
        <w:rPr>
          <w:rFonts w:ascii="Times New Roman" w:hAnsi="Times New Roman" w:cs="Times New Roman"/>
          <w:b/>
          <w:noProof/>
          <w:sz w:val="24"/>
          <w:szCs w:val="24"/>
        </w:rPr>
      </w:pPr>
      <w:r w:rsidRPr="005C7789">
        <w:rPr>
          <w:rFonts w:ascii="Times New Roman" w:hAnsi="Times New Roman" w:cs="Times New Roman"/>
          <w:b/>
          <w:noProof/>
          <w:sz w:val="24"/>
          <w:szCs w:val="24"/>
        </w:rPr>
        <w:t xml:space="preserve">Figure </w:t>
      </w:r>
      <w:r w:rsidR="005C7789" w:rsidRPr="005C7789">
        <w:rPr>
          <w:rFonts w:ascii="Times New Roman" w:hAnsi="Times New Roman" w:cs="Times New Roman"/>
          <w:b/>
          <w:noProof/>
          <w:sz w:val="24"/>
          <w:szCs w:val="24"/>
        </w:rPr>
        <w:t>4</w:t>
      </w:r>
      <w:r w:rsidRPr="005C7789">
        <w:rPr>
          <w:rFonts w:ascii="Times New Roman" w:hAnsi="Times New Roman" w:cs="Times New Roman"/>
          <w:b/>
          <w:noProof/>
          <w:sz w:val="24"/>
          <w:szCs w:val="24"/>
        </w:rPr>
        <w:t>: Number of EU Member States by type of data used for DIA</w:t>
      </w:r>
    </w:p>
    <w:p w14:paraId="7A802AD8" w14:textId="65F951D3" w:rsidR="006B36AA" w:rsidRDefault="006B36AA" w:rsidP="00851BA8">
      <w:pPr>
        <w:keepNext/>
        <w:keepLines/>
        <w:jc w:val="both"/>
        <w:rPr>
          <w:rFonts w:ascii="Times New Roman" w:hAnsi="Times New Roman" w:cs="Times New Roman"/>
          <w:noProof/>
          <w:sz w:val="24"/>
          <w:szCs w:val="24"/>
        </w:rPr>
      </w:pPr>
      <w:r>
        <w:rPr>
          <w:noProof/>
          <w:color w:val="1F497D"/>
          <w:lang w:eastAsia="en-GB"/>
        </w:rPr>
        <w:drawing>
          <wp:inline distT="0" distB="0" distL="0" distR="0" wp14:anchorId="28C4F5C1" wp14:editId="23C64AC0">
            <wp:extent cx="5522733" cy="2625505"/>
            <wp:effectExtent l="0" t="0" r="1905" b="3810"/>
            <wp:docPr id="5" name="Picture 5" descr="cid:image002.png@01D844F1.8D4AB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png@01D844F1.8D4AB44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552618" cy="2639712"/>
                    </a:xfrm>
                    <a:prstGeom prst="rect">
                      <a:avLst/>
                    </a:prstGeom>
                    <a:noFill/>
                    <a:ln>
                      <a:noFill/>
                    </a:ln>
                  </pic:spPr>
                </pic:pic>
              </a:graphicData>
            </a:graphic>
          </wp:inline>
        </w:drawing>
      </w:r>
    </w:p>
    <w:p w14:paraId="36022541" w14:textId="375A7A1B" w:rsidR="006B36AA" w:rsidRPr="008F1389" w:rsidRDefault="006B36AA" w:rsidP="00851BA8">
      <w:pPr>
        <w:keepNext/>
        <w:keepLines/>
        <w:jc w:val="both"/>
        <w:rPr>
          <w:rFonts w:ascii="Times New Roman" w:hAnsi="Times New Roman" w:cs="Times New Roman"/>
          <w:noProof/>
          <w:sz w:val="20"/>
          <w:szCs w:val="16"/>
        </w:rPr>
      </w:pPr>
      <w:r w:rsidRPr="008F1389">
        <w:rPr>
          <w:rFonts w:ascii="Times New Roman" w:hAnsi="Times New Roman" w:cs="Times New Roman"/>
          <w:noProof/>
          <w:sz w:val="20"/>
          <w:szCs w:val="16"/>
        </w:rPr>
        <w:t>Note: total = 26 (no information on LU). Source: questionnaire to the Member States.</w:t>
      </w:r>
    </w:p>
    <w:p w14:paraId="29477EC5" w14:textId="3D2CAEFD" w:rsidR="00C11D08" w:rsidRPr="00AD736A" w:rsidRDefault="00C11D08" w:rsidP="00C11D08">
      <w:pPr>
        <w:spacing w:after="200"/>
        <w:jc w:val="both"/>
        <w:rPr>
          <w:rFonts w:ascii="Times New Roman" w:hAnsi="Times New Roman" w:cs="Times New Roman"/>
          <w:noProof/>
          <w:sz w:val="24"/>
          <w:szCs w:val="24"/>
        </w:rPr>
      </w:pPr>
      <w:r w:rsidRPr="00EA23CB">
        <w:rPr>
          <w:rFonts w:ascii="Times New Roman" w:hAnsi="Times New Roman" w:cs="Times New Roman"/>
          <w:b/>
          <w:noProof/>
          <w:sz w:val="24"/>
          <w:szCs w:val="24"/>
        </w:rPr>
        <w:t>There are difference</w:t>
      </w:r>
      <w:r>
        <w:rPr>
          <w:rFonts w:ascii="Times New Roman" w:hAnsi="Times New Roman" w:cs="Times New Roman"/>
          <w:b/>
          <w:noProof/>
          <w:sz w:val="24"/>
          <w:szCs w:val="24"/>
        </w:rPr>
        <w:t>s</w:t>
      </w:r>
      <w:r w:rsidRPr="00EA23CB">
        <w:rPr>
          <w:rFonts w:ascii="Times New Roman" w:hAnsi="Times New Roman" w:cs="Times New Roman"/>
          <w:b/>
          <w:noProof/>
          <w:sz w:val="24"/>
          <w:szCs w:val="24"/>
        </w:rPr>
        <w:t xml:space="preserve"> as to the type of dat</w:t>
      </w:r>
      <w:r>
        <w:rPr>
          <w:rFonts w:ascii="Times New Roman" w:hAnsi="Times New Roman" w:cs="Times New Roman"/>
          <w:b/>
          <w:noProof/>
          <w:sz w:val="24"/>
          <w:szCs w:val="24"/>
        </w:rPr>
        <w:t>a feeding into DIA</w:t>
      </w:r>
      <w:r w:rsidRPr="00EA23CB">
        <w:rPr>
          <w:rFonts w:ascii="Times New Roman" w:hAnsi="Times New Roman" w:cs="Times New Roman"/>
          <w:b/>
          <w:noProof/>
          <w:sz w:val="24"/>
          <w:szCs w:val="24"/>
        </w:rPr>
        <w:t xml:space="preserve"> across countries.</w:t>
      </w:r>
      <w:r>
        <w:rPr>
          <w:rFonts w:ascii="Times New Roman" w:hAnsi="Times New Roman" w:cs="Times New Roman"/>
          <w:noProof/>
          <w:sz w:val="24"/>
          <w:szCs w:val="24"/>
        </w:rPr>
        <w:t xml:space="preserve"> </w:t>
      </w:r>
      <w:r w:rsidRPr="00AD736A">
        <w:rPr>
          <w:rFonts w:ascii="Times New Roman" w:hAnsi="Times New Roman" w:cs="Times New Roman"/>
          <w:noProof/>
          <w:sz w:val="24"/>
          <w:szCs w:val="24"/>
        </w:rPr>
        <w:t xml:space="preserve">Some Member States conducting DIA only </w:t>
      </w:r>
      <w:r>
        <w:rPr>
          <w:rFonts w:ascii="Times New Roman" w:hAnsi="Times New Roman" w:cs="Times New Roman"/>
          <w:noProof/>
          <w:sz w:val="24"/>
          <w:szCs w:val="24"/>
        </w:rPr>
        <w:t xml:space="preserve">rely on </w:t>
      </w:r>
      <w:r w:rsidRPr="00AD736A">
        <w:rPr>
          <w:rFonts w:ascii="Times New Roman" w:hAnsi="Times New Roman" w:cs="Times New Roman"/>
          <w:noProof/>
          <w:sz w:val="24"/>
          <w:szCs w:val="24"/>
        </w:rPr>
        <w:t>administrative data</w:t>
      </w:r>
      <w:r>
        <w:rPr>
          <w:rFonts w:ascii="Times New Roman" w:hAnsi="Times New Roman" w:cs="Times New Roman"/>
          <w:noProof/>
          <w:sz w:val="24"/>
          <w:szCs w:val="24"/>
        </w:rPr>
        <w:t xml:space="preserve">, </w:t>
      </w:r>
      <w:r w:rsidRPr="00AD736A">
        <w:rPr>
          <w:rFonts w:ascii="Times New Roman" w:hAnsi="Times New Roman" w:cs="Times New Roman"/>
          <w:noProof/>
          <w:sz w:val="24"/>
          <w:szCs w:val="24"/>
        </w:rPr>
        <w:t>using one or multiple datasets</w:t>
      </w:r>
      <w:r>
        <w:rPr>
          <w:rFonts w:ascii="Times New Roman" w:hAnsi="Times New Roman" w:cs="Times New Roman"/>
          <w:noProof/>
          <w:sz w:val="24"/>
          <w:szCs w:val="24"/>
        </w:rPr>
        <w:t xml:space="preserve"> </w:t>
      </w:r>
      <w:r w:rsidRPr="00AD736A">
        <w:rPr>
          <w:rFonts w:ascii="Times New Roman" w:hAnsi="Times New Roman" w:cs="Times New Roman"/>
          <w:noProof/>
          <w:sz w:val="24"/>
          <w:szCs w:val="24"/>
        </w:rPr>
        <w:t>(BE, EE, ES,</w:t>
      </w:r>
      <w:r w:rsidR="00686061">
        <w:rPr>
          <w:rFonts w:ascii="Times New Roman" w:hAnsi="Times New Roman" w:cs="Times New Roman"/>
          <w:noProof/>
          <w:sz w:val="24"/>
          <w:szCs w:val="24"/>
        </w:rPr>
        <w:t xml:space="preserve"> NL,</w:t>
      </w:r>
      <w:r w:rsidRPr="00AD736A">
        <w:rPr>
          <w:rFonts w:ascii="Times New Roman" w:hAnsi="Times New Roman" w:cs="Times New Roman"/>
          <w:noProof/>
          <w:sz w:val="24"/>
          <w:szCs w:val="24"/>
        </w:rPr>
        <w:t xml:space="preserve"> PT, SE). Some other Member States use administrative data </w:t>
      </w:r>
      <w:r>
        <w:rPr>
          <w:rFonts w:ascii="Times New Roman" w:hAnsi="Times New Roman" w:cs="Times New Roman"/>
          <w:noProof/>
          <w:sz w:val="24"/>
          <w:szCs w:val="24"/>
        </w:rPr>
        <w:t xml:space="preserve">in combination with </w:t>
      </w:r>
      <w:r w:rsidRPr="00AD736A">
        <w:rPr>
          <w:rFonts w:ascii="Times New Roman" w:hAnsi="Times New Roman" w:cs="Times New Roman"/>
          <w:noProof/>
          <w:sz w:val="24"/>
          <w:szCs w:val="24"/>
        </w:rPr>
        <w:t>survey data (SILC or HBS data for instance) (AT, CZ, DK,</w:t>
      </w:r>
      <w:r w:rsidR="00686061">
        <w:rPr>
          <w:rFonts w:ascii="Times New Roman" w:hAnsi="Times New Roman" w:cs="Times New Roman"/>
          <w:noProof/>
          <w:sz w:val="24"/>
          <w:szCs w:val="24"/>
        </w:rPr>
        <w:t xml:space="preserve"> FI,</w:t>
      </w:r>
      <w:r w:rsidRPr="00AD736A">
        <w:rPr>
          <w:rFonts w:ascii="Times New Roman" w:hAnsi="Times New Roman" w:cs="Times New Roman"/>
          <w:noProof/>
          <w:sz w:val="24"/>
          <w:szCs w:val="24"/>
        </w:rPr>
        <w:t xml:space="preserve"> FR, IE, EL,</w:t>
      </w:r>
      <w:r w:rsidR="00686061">
        <w:rPr>
          <w:rFonts w:ascii="Times New Roman" w:hAnsi="Times New Roman" w:cs="Times New Roman"/>
          <w:noProof/>
          <w:sz w:val="24"/>
          <w:szCs w:val="24"/>
        </w:rPr>
        <w:t xml:space="preserve"> HR,</w:t>
      </w:r>
      <w:r w:rsidRPr="00AD736A">
        <w:rPr>
          <w:rFonts w:ascii="Times New Roman" w:hAnsi="Times New Roman" w:cs="Times New Roman"/>
          <w:noProof/>
          <w:sz w:val="24"/>
          <w:szCs w:val="24"/>
        </w:rPr>
        <w:t xml:space="preserve"> </w:t>
      </w:r>
      <w:r>
        <w:rPr>
          <w:rFonts w:ascii="Times New Roman" w:hAnsi="Times New Roman" w:cs="Times New Roman"/>
          <w:noProof/>
          <w:sz w:val="24"/>
          <w:szCs w:val="24"/>
        </w:rPr>
        <w:t xml:space="preserve">IT, HU, </w:t>
      </w:r>
      <w:r w:rsidR="00686061">
        <w:rPr>
          <w:rFonts w:ascii="Times New Roman" w:hAnsi="Times New Roman" w:cs="Times New Roman"/>
          <w:noProof/>
          <w:sz w:val="24"/>
          <w:szCs w:val="24"/>
        </w:rPr>
        <w:t xml:space="preserve">LV, </w:t>
      </w:r>
      <w:r>
        <w:rPr>
          <w:rFonts w:ascii="Times New Roman" w:hAnsi="Times New Roman" w:cs="Times New Roman"/>
          <w:noProof/>
          <w:sz w:val="24"/>
          <w:szCs w:val="24"/>
        </w:rPr>
        <w:t>MT, PL, RO, SK)</w:t>
      </w:r>
      <w:r w:rsidRPr="00AD736A">
        <w:rPr>
          <w:rFonts w:ascii="Times New Roman" w:hAnsi="Times New Roman" w:cs="Times New Roman"/>
          <w:noProof/>
          <w:sz w:val="24"/>
          <w:szCs w:val="24"/>
        </w:rPr>
        <w:t xml:space="preserve">. </w:t>
      </w:r>
      <w:r>
        <w:rPr>
          <w:rFonts w:ascii="Times New Roman" w:hAnsi="Times New Roman" w:cs="Times New Roman"/>
          <w:noProof/>
          <w:sz w:val="24"/>
          <w:szCs w:val="24"/>
        </w:rPr>
        <w:t>In most Member States, a</w:t>
      </w:r>
      <w:r w:rsidRPr="00AD736A">
        <w:rPr>
          <w:rFonts w:ascii="Times New Roman" w:hAnsi="Times New Roman" w:cs="Times New Roman"/>
          <w:noProof/>
          <w:sz w:val="24"/>
          <w:szCs w:val="24"/>
        </w:rPr>
        <w:t xml:space="preserve">dministrative data used for DIA </w:t>
      </w:r>
      <w:r>
        <w:rPr>
          <w:rFonts w:ascii="Times New Roman" w:hAnsi="Times New Roman" w:cs="Times New Roman"/>
          <w:noProof/>
          <w:sz w:val="24"/>
          <w:szCs w:val="24"/>
        </w:rPr>
        <w:t>are</w:t>
      </w:r>
      <w:r w:rsidRPr="00AD736A">
        <w:rPr>
          <w:rFonts w:ascii="Times New Roman" w:hAnsi="Times New Roman" w:cs="Times New Roman"/>
          <w:noProof/>
          <w:sz w:val="24"/>
          <w:szCs w:val="24"/>
        </w:rPr>
        <w:t xml:space="preserve"> not publicly available, but they are easily accessible (possibly upon request) in some </w:t>
      </w:r>
      <w:r>
        <w:rPr>
          <w:rFonts w:ascii="Times New Roman" w:hAnsi="Times New Roman" w:cs="Times New Roman"/>
          <w:noProof/>
          <w:sz w:val="24"/>
          <w:szCs w:val="24"/>
        </w:rPr>
        <w:t>countries</w:t>
      </w:r>
      <w:r w:rsidRPr="00AD736A">
        <w:rPr>
          <w:rFonts w:ascii="Times New Roman" w:hAnsi="Times New Roman" w:cs="Times New Roman"/>
          <w:noProof/>
          <w:sz w:val="24"/>
          <w:szCs w:val="24"/>
        </w:rPr>
        <w:t xml:space="preserve"> (DK, </w:t>
      </w:r>
      <w:r w:rsidR="00906871">
        <w:rPr>
          <w:rFonts w:ascii="Times New Roman" w:hAnsi="Times New Roman" w:cs="Times New Roman"/>
          <w:noProof/>
          <w:sz w:val="24"/>
          <w:szCs w:val="24"/>
        </w:rPr>
        <w:t xml:space="preserve">ES, </w:t>
      </w:r>
      <w:r w:rsidRPr="00AD736A">
        <w:rPr>
          <w:rFonts w:ascii="Times New Roman" w:hAnsi="Times New Roman" w:cs="Times New Roman"/>
          <w:noProof/>
          <w:sz w:val="24"/>
          <w:szCs w:val="24"/>
        </w:rPr>
        <w:t>IE, SE).</w:t>
      </w:r>
    </w:p>
    <w:p w14:paraId="7769D7E1" w14:textId="290B642C" w:rsidR="00C11D08" w:rsidRPr="00F7256E" w:rsidRDefault="00C11D08" w:rsidP="008F1389">
      <w:pPr>
        <w:keepNext/>
        <w:keepLines/>
        <w:spacing w:before="120" w:after="120" w:line="240" w:lineRule="auto"/>
        <w:jc w:val="center"/>
        <w:rPr>
          <w:rFonts w:ascii="Times New Roman" w:eastAsia="Times New Roman" w:hAnsi="Times New Roman" w:cs="Times New Roman"/>
          <w:b/>
          <w:noProof/>
          <w:sz w:val="24"/>
          <w:szCs w:val="24"/>
          <w:lang w:eastAsia="en-GB"/>
        </w:rPr>
      </w:pPr>
      <w:r w:rsidRPr="00F7256E">
        <w:rPr>
          <w:rFonts w:ascii="Times New Roman" w:eastAsia="Times New Roman" w:hAnsi="Times New Roman" w:cs="Times New Roman"/>
          <w:b/>
          <w:noProof/>
          <w:sz w:val="24"/>
          <w:szCs w:val="24"/>
          <w:lang w:eastAsia="en-GB"/>
        </w:rPr>
        <w:t xml:space="preserve">Figure </w:t>
      </w:r>
      <w:r w:rsidR="005C7789">
        <w:rPr>
          <w:rFonts w:ascii="Times New Roman" w:eastAsia="Times New Roman" w:hAnsi="Times New Roman" w:cs="Times New Roman"/>
          <w:b/>
          <w:noProof/>
          <w:sz w:val="24"/>
          <w:szCs w:val="24"/>
          <w:lang w:eastAsia="en-GB"/>
        </w:rPr>
        <w:t>5</w:t>
      </w:r>
      <w:r>
        <w:rPr>
          <w:rFonts w:ascii="Times New Roman" w:eastAsia="Times New Roman" w:hAnsi="Times New Roman" w:cs="Times New Roman"/>
          <w:b/>
          <w:noProof/>
          <w:sz w:val="24"/>
          <w:szCs w:val="24"/>
          <w:lang w:eastAsia="en-GB"/>
        </w:rPr>
        <w:t xml:space="preserve"> </w:t>
      </w:r>
      <w:r w:rsidRPr="00F7256E">
        <w:rPr>
          <w:rFonts w:ascii="Times New Roman" w:eastAsia="Times New Roman" w:hAnsi="Times New Roman" w:cs="Times New Roman"/>
          <w:b/>
          <w:noProof/>
          <w:sz w:val="24"/>
          <w:szCs w:val="24"/>
          <w:lang w:eastAsia="en-GB"/>
        </w:rPr>
        <w:t>– Data used for producing DIA analysis</w:t>
      </w:r>
      <w:r>
        <w:rPr>
          <w:rFonts w:ascii="Times New Roman" w:eastAsia="Times New Roman" w:hAnsi="Times New Roman" w:cs="Times New Roman"/>
          <w:b/>
          <w:noProof/>
          <w:sz w:val="24"/>
          <w:szCs w:val="24"/>
          <w:lang w:eastAsia="en-GB"/>
        </w:rPr>
        <w:t xml:space="preserve"> - e</w:t>
      </w:r>
      <w:r w:rsidRPr="00F7256E">
        <w:rPr>
          <w:rFonts w:ascii="Times New Roman" w:eastAsia="Times New Roman" w:hAnsi="Times New Roman" w:cs="Times New Roman"/>
          <w:b/>
          <w:noProof/>
          <w:sz w:val="24"/>
          <w:szCs w:val="24"/>
          <w:lang w:eastAsia="en-GB"/>
        </w:rPr>
        <w:t xml:space="preserve">uro </w:t>
      </w:r>
      <w:r>
        <w:rPr>
          <w:rFonts w:ascii="Times New Roman" w:eastAsia="Times New Roman" w:hAnsi="Times New Roman" w:cs="Times New Roman"/>
          <w:b/>
          <w:noProof/>
          <w:sz w:val="24"/>
          <w:szCs w:val="24"/>
          <w:lang w:eastAsia="en-GB"/>
        </w:rPr>
        <w:t>a</w:t>
      </w:r>
      <w:r w:rsidRPr="00F7256E">
        <w:rPr>
          <w:rFonts w:ascii="Times New Roman" w:eastAsia="Times New Roman" w:hAnsi="Times New Roman" w:cs="Times New Roman"/>
          <w:b/>
          <w:noProof/>
          <w:sz w:val="24"/>
          <w:szCs w:val="24"/>
          <w:lang w:eastAsia="en-GB"/>
        </w:rPr>
        <w:t>rea Member States(*) (N=17)</w:t>
      </w:r>
    </w:p>
    <w:p w14:paraId="4F6DF9E5" w14:textId="0488258E" w:rsidR="00C11D08" w:rsidRDefault="00C11D08" w:rsidP="008F1389">
      <w:pPr>
        <w:keepNext/>
        <w:keepLines/>
        <w:jc w:val="both"/>
        <w:rPr>
          <w:rFonts w:ascii="Times New Roman" w:hAnsi="Times New Roman" w:cs="Times New Roman"/>
          <w:b/>
          <w:noProof/>
          <w:sz w:val="24"/>
          <w:szCs w:val="24"/>
        </w:rPr>
      </w:pPr>
      <w:r w:rsidRPr="00101343">
        <w:rPr>
          <w:noProof/>
          <w:lang w:eastAsia="en-GB"/>
        </w:rPr>
        <w:drawing>
          <wp:inline distT="114300" distB="114300" distL="114300" distR="114300" wp14:anchorId="761567DD" wp14:editId="0D9A616C">
            <wp:extent cx="5043381" cy="3330022"/>
            <wp:effectExtent l="0" t="0" r="5080" b="3810"/>
            <wp:docPr id="1" name="image37.png" descr="Bar graph displaying the number of countries (X-axis) across 6 different data used for producing DIA analysis (Y-axis): three kinds of administrative data and three kinds of survey data. The most frequently used is tax data, the least used is household budget survey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37.png" descr="Bar graph displaying the number of countries (X-axis) across 6 different data used for producing DIA analysis (Y-axis): three kinds of administrative data and three kinds of survey data. The most frequently used is tax data, the least used is household budget survey data."/>
                    <pic:cNvPicPr preferRelativeResize="0"/>
                  </pic:nvPicPr>
                  <pic:blipFill>
                    <a:blip r:embed="rId27"/>
                    <a:srcRect/>
                    <a:stretch>
                      <a:fillRect/>
                    </a:stretch>
                  </pic:blipFill>
                  <pic:spPr>
                    <a:xfrm>
                      <a:off x="0" y="0"/>
                      <a:ext cx="5067534" cy="3345970"/>
                    </a:xfrm>
                    <a:prstGeom prst="rect">
                      <a:avLst/>
                    </a:prstGeom>
                    <a:ln/>
                  </pic:spPr>
                </pic:pic>
              </a:graphicData>
            </a:graphic>
          </wp:inline>
        </w:drawing>
      </w:r>
    </w:p>
    <w:p w14:paraId="12F6F7AB" w14:textId="431C859B" w:rsidR="001D2878" w:rsidRPr="008F1389" w:rsidRDefault="00C11D08" w:rsidP="008F1389">
      <w:pPr>
        <w:pStyle w:val="TableNote"/>
        <w:keepNext/>
        <w:keepLines/>
        <w:rPr>
          <w:noProof/>
          <w:sz w:val="20"/>
          <w:szCs w:val="20"/>
        </w:rPr>
      </w:pPr>
      <w:r w:rsidRPr="008F1389">
        <w:rPr>
          <w:rFonts w:ascii="Times New Roman" w:hAnsi="Times New Roman"/>
          <w:noProof/>
          <w:sz w:val="20"/>
          <w:szCs w:val="20"/>
        </w:rPr>
        <w:t>Note: respondents are allowed to choose multiple answers.</w:t>
      </w:r>
      <w:r w:rsidR="004E1045">
        <w:rPr>
          <w:rFonts w:ascii="Times New Roman" w:hAnsi="Times New Roman"/>
          <w:noProof/>
          <w:sz w:val="20"/>
          <w:szCs w:val="20"/>
        </w:rPr>
        <w:t xml:space="preserve"> </w:t>
      </w:r>
      <w:r w:rsidRPr="008F1389">
        <w:rPr>
          <w:rFonts w:ascii="Times New Roman" w:hAnsi="Times New Roman"/>
          <w:noProof/>
          <w:sz w:val="20"/>
          <w:szCs w:val="20"/>
        </w:rPr>
        <w:t>(*) Cyprus and Luxembourg are excluded since no DIA is performed in these Member States.</w:t>
      </w:r>
      <w:r w:rsidR="004E1045">
        <w:rPr>
          <w:rFonts w:ascii="Times New Roman" w:hAnsi="Times New Roman"/>
          <w:noProof/>
          <w:sz w:val="20"/>
          <w:szCs w:val="20"/>
        </w:rPr>
        <w:t xml:space="preserve"> </w:t>
      </w:r>
      <w:r w:rsidR="00DB3191" w:rsidRPr="008F1389">
        <w:rPr>
          <w:rFonts w:ascii="Times New Roman" w:hAnsi="Times New Roman"/>
          <w:noProof/>
          <w:sz w:val="20"/>
          <w:szCs w:val="20"/>
          <w:lang w:val="en-IE"/>
        </w:rPr>
        <w:t>Source: Study on Distribution Impact Assessment by the University of Milan, financed by the C</w:t>
      </w:r>
      <w:r w:rsidR="001D2878" w:rsidRPr="008F1389">
        <w:rPr>
          <w:rFonts w:ascii="Times New Roman" w:hAnsi="Times New Roman"/>
          <w:noProof/>
          <w:sz w:val="20"/>
          <w:szCs w:val="20"/>
          <w:lang w:val="en-IE"/>
        </w:rPr>
        <w:t xml:space="preserve">ommission (DG EMPL): </w:t>
      </w:r>
      <w:hyperlink r:id="rId28" w:history="1">
        <w:r w:rsidR="001D2878" w:rsidRPr="008F1389">
          <w:rPr>
            <w:rStyle w:val="Hyperlink"/>
            <w:rFonts w:ascii="Times New Roman" w:hAnsi="Times New Roman"/>
            <w:bCs/>
            <w:noProof/>
            <w:sz w:val="20"/>
            <w:szCs w:val="20"/>
            <w:shd w:val="clear" w:color="auto" w:fill="FFFFFF"/>
          </w:rPr>
          <w:t>https://data.europa.eu/doi/10.2767/511644</w:t>
        </w:r>
      </w:hyperlink>
      <w:r w:rsidR="001D2878" w:rsidRPr="008F1389">
        <w:rPr>
          <w:rFonts w:ascii="Lucida Sans Unicode" w:hAnsi="Lucida Sans Unicode" w:cs="Lucida Sans Unicode"/>
          <w:b/>
          <w:bCs/>
          <w:noProof/>
          <w:sz w:val="20"/>
          <w:szCs w:val="20"/>
          <w:shd w:val="clear" w:color="auto" w:fill="FFFFFF"/>
        </w:rPr>
        <w:t xml:space="preserve"> </w:t>
      </w:r>
    </w:p>
    <w:p w14:paraId="225D00CA" w14:textId="51AF4E5D" w:rsidR="00D56E53" w:rsidRPr="008F1389" w:rsidRDefault="00D56E53" w:rsidP="00D56E53">
      <w:pPr>
        <w:jc w:val="both"/>
        <w:rPr>
          <w:rFonts w:ascii="Times New Roman" w:hAnsi="Times New Roman" w:cs="Times New Roman"/>
          <w:b/>
          <w:i/>
          <w:noProof/>
          <w:sz w:val="24"/>
          <w:szCs w:val="24"/>
        </w:rPr>
      </w:pPr>
      <w:r w:rsidRPr="008F1389">
        <w:rPr>
          <w:rFonts w:ascii="Times New Roman" w:hAnsi="Times New Roman" w:cs="Times New Roman"/>
          <w:b/>
          <w:i/>
          <w:noProof/>
          <w:sz w:val="24"/>
          <w:szCs w:val="24"/>
        </w:rPr>
        <w:t>Survey data</w:t>
      </w:r>
    </w:p>
    <w:p w14:paraId="5EC08AE3" w14:textId="177994C4" w:rsidR="00D56E53" w:rsidRPr="003D46C0" w:rsidRDefault="00D56E53" w:rsidP="00D56E53">
      <w:pPr>
        <w:jc w:val="both"/>
        <w:rPr>
          <w:rFonts w:ascii="Times New Roman" w:hAnsi="Times New Roman" w:cs="Times New Roman"/>
          <w:noProof/>
          <w:sz w:val="24"/>
          <w:szCs w:val="24"/>
          <w:lang w:val="en-US"/>
        </w:rPr>
      </w:pPr>
      <w:r w:rsidRPr="005103AE">
        <w:rPr>
          <w:rFonts w:ascii="Times New Roman" w:hAnsi="Times New Roman" w:cs="Times New Roman"/>
          <w:b/>
          <w:noProof/>
          <w:sz w:val="24"/>
          <w:szCs w:val="24"/>
        </w:rPr>
        <w:t xml:space="preserve">Survey data, such as EU-SILC, which is readily available to researchers, is widely used in DIA by academics and </w:t>
      </w:r>
      <w:r w:rsidR="002C490B" w:rsidRPr="005103AE">
        <w:rPr>
          <w:rFonts w:ascii="Times New Roman" w:hAnsi="Times New Roman" w:cs="Times New Roman"/>
          <w:b/>
          <w:noProof/>
          <w:sz w:val="24"/>
          <w:szCs w:val="24"/>
        </w:rPr>
        <w:t>public administrations</w:t>
      </w:r>
      <w:r w:rsidRPr="005103AE">
        <w:rPr>
          <w:rFonts w:ascii="Times New Roman" w:hAnsi="Times New Roman" w:cs="Times New Roman"/>
          <w:b/>
          <w:noProof/>
          <w:sz w:val="24"/>
          <w:szCs w:val="24"/>
        </w:rPr>
        <w:t>.</w:t>
      </w:r>
      <w:r w:rsidRPr="005103AE">
        <w:rPr>
          <w:rFonts w:ascii="Times New Roman" w:hAnsi="Times New Roman" w:cs="Times New Roman"/>
          <w:noProof/>
          <w:sz w:val="24"/>
          <w:szCs w:val="24"/>
        </w:rPr>
        <w:t xml:space="preserve"> </w:t>
      </w:r>
      <w:r w:rsidR="00F24FB3" w:rsidRPr="005103AE">
        <w:rPr>
          <w:rFonts w:ascii="Times New Roman" w:hAnsi="Times New Roman" w:cs="Times New Roman"/>
          <w:noProof/>
          <w:sz w:val="24"/>
          <w:szCs w:val="24"/>
        </w:rPr>
        <w:t>D</w:t>
      </w:r>
      <w:r w:rsidRPr="005103AE">
        <w:rPr>
          <w:rFonts w:ascii="Times New Roman" w:hAnsi="Times New Roman" w:cs="Times New Roman"/>
          <w:noProof/>
          <w:sz w:val="24"/>
          <w:szCs w:val="24"/>
        </w:rPr>
        <w:t xml:space="preserve">epending on the national </w:t>
      </w:r>
      <w:r w:rsidR="00D86B06" w:rsidRPr="005103AE">
        <w:rPr>
          <w:rFonts w:ascii="Times New Roman" w:hAnsi="Times New Roman" w:cs="Times New Roman"/>
          <w:noProof/>
          <w:sz w:val="24"/>
          <w:szCs w:val="24"/>
        </w:rPr>
        <w:t>practices</w:t>
      </w:r>
      <w:r w:rsidRPr="005103AE">
        <w:rPr>
          <w:rFonts w:ascii="Times New Roman" w:hAnsi="Times New Roman" w:cs="Times New Roman"/>
          <w:noProof/>
          <w:sz w:val="24"/>
          <w:szCs w:val="24"/>
        </w:rPr>
        <w:t>, many benefits in the survey data may be aggregated together</w:t>
      </w:r>
      <w:r w:rsidR="00B3112B">
        <w:rPr>
          <w:rStyle w:val="FootnoteReference"/>
          <w:rFonts w:ascii="Times New Roman" w:hAnsi="Times New Roman" w:cs="Times New Roman"/>
          <w:noProof/>
          <w:sz w:val="24"/>
          <w:szCs w:val="24"/>
        </w:rPr>
        <w:footnoteReference w:id="51"/>
      </w:r>
      <w:r w:rsidRPr="005103AE">
        <w:rPr>
          <w:rFonts w:ascii="Times New Roman" w:hAnsi="Times New Roman" w:cs="Times New Roman"/>
          <w:noProof/>
          <w:sz w:val="24"/>
          <w:szCs w:val="24"/>
        </w:rPr>
        <w:t xml:space="preserve">. This can make it difficult, for instance, to ascertain whether somebody is in receipt of unemployment assistance or unemployment insurance benefit, with implications for simulating policy changes to either of these. </w:t>
      </w:r>
      <w:r w:rsidRPr="005103AE">
        <w:rPr>
          <w:rFonts w:ascii="Times New Roman" w:hAnsi="Times New Roman" w:cs="Times New Roman"/>
          <w:noProof/>
          <w:sz w:val="24"/>
          <w:szCs w:val="24"/>
          <w:lang w:val="en-US"/>
        </w:rPr>
        <w:t>Those countries that have their microsimulation models based on national survey data need to have in place methods to ensure that the data are of sufficient quality and timeliness and include adequate details on the income and living conditions of individuals and households.</w:t>
      </w:r>
    </w:p>
    <w:p w14:paraId="1BE8FE7D" w14:textId="7641F540" w:rsidR="00F24FB3" w:rsidRPr="003D46C0" w:rsidRDefault="00F24FB3" w:rsidP="008F1389">
      <w:pPr>
        <w:keepNext/>
        <w:keepLines/>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0"/>
          <w:szCs w:val="20"/>
        </w:rPr>
      </w:pPr>
      <w:r w:rsidRPr="003D46C0">
        <w:rPr>
          <w:rFonts w:ascii="Times New Roman" w:hAnsi="Times New Roman" w:cs="Times New Roman"/>
          <w:b/>
          <w:noProof/>
          <w:sz w:val="20"/>
          <w:szCs w:val="20"/>
        </w:rPr>
        <w:t>Box</w:t>
      </w:r>
      <w:r w:rsidR="00E41B42" w:rsidRPr="003D46C0">
        <w:rPr>
          <w:rFonts w:ascii="Times New Roman" w:hAnsi="Times New Roman" w:cs="Times New Roman"/>
          <w:b/>
          <w:noProof/>
          <w:sz w:val="20"/>
          <w:szCs w:val="20"/>
        </w:rPr>
        <w:t xml:space="preserve"> </w:t>
      </w:r>
      <w:r w:rsidR="00ED285A">
        <w:rPr>
          <w:rFonts w:ascii="Times New Roman" w:hAnsi="Times New Roman" w:cs="Times New Roman"/>
          <w:b/>
          <w:noProof/>
          <w:sz w:val="20"/>
          <w:szCs w:val="20"/>
        </w:rPr>
        <w:t>7</w:t>
      </w:r>
      <w:r w:rsidRPr="003D46C0">
        <w:rPr>
          <w:rFonts w:ascii="Times New Roman" w:hAnsi="Times New Roman" w:cs="Times New Roman"/>
          <w:b/>
          <w:noProof/>
          <w:sz w:val="20"/>
          <w:szCs w:val="20"/>
        </w:rPr>
        <w:t>: Sources of survey data</w:t>
      </w:r>
    </w:p>
    <w:p w14:paraId="5ED8FF40" w14:textId="77777777" w:rsidR="00E41B42" w:rsidRPr="003D46C0" w:rsidRDefault="00E41B42" w:rsidP="008F1389">
      <w:pPr>
        <w:keepNext/>
        <w:keepLines/>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0"/>
          <w:szCs w:val="20"/>
        </w:rPr>
      </w:pPr>
    </w:p>
    <w:p w14:paraId="636F226F" w14:textId="36DB7374" w:rsidR="00F24FB3" w:rsidRPr="003D46C0" w:rsidRDefault="00F24FB3" w:rsidP="008F1389">
      <w:pPr>
        <w:keepNext/>
        <w:keepLines/>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noProof/>
          <w:sz w:val="20"/>
          <w:szCs w:val="24"/>
        </w:rPr>
      </w:pPr>
      <w:r w:rsidRPr="003D46C0">
        <w:rPr>
          <w:rFonts w:ascii="Times New Roman" w:hAnsi="Times New Roman" w:cs="Times New Roman"/>
          <w:i/>
          <w:noProof/>
          <w:sz w:val="20"/>
          <w:szCs w:val="24"/>
        </w:rPr>
        <w:t>EU Survey on Income and Living Conditions (EU-SILC)</w:t>
      </w:r>
    </w:p>
    <w:p w14:paraId="3988F748" w14:textId="609EEBE6" w:rsidR="00F24FB3" w:rsidRPr="003D46C0" w:rsidRDefault="00F24FB3" w:rsidP="008F1389">
      <w:pPr>
        <w:keepNext/>
        <w:keepLines/>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noProof/>
          <w:sz w:val="20"/>
          <w:szCs w:val="24"/>
        </w:rPr>
      </w:pPr>
    </w:p>
    <w:p w14:paraId="35D7D69E" w14:textId="36D227D4" w:rsidR="00F24FB3" w:rsidRPr="003D46C0" w:rsidRDefault="00F24FB3" w:rsidP="008F1389">
      <w:pPr>
        <w:keepNext/>
        <w:keepLines/>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0"/>
          <w:szCs w:val="24"/>
        </w:rPr>
      </w:pPr>
      <w:r w:rsidRPr="003D46C0">
        <w:rPr>
          <w:rFonts w:ascii="Times New Roman" w:hAnsi="Times New Roman" w:cs="Times New Roman"/>
          <w:noProof/>
          <w:sz w:val="20"/>
          <w:szCs w:val="24"/>
        </w:rPr>
        <w:t>The EU Statistics on Income and Living Conditions (EU-SILC) collect</w:t>
      </w:r>
      <w:r w:rsidR="00D86B06" w:rsidRPr="003D46C0">
        <w:rPr>
          <w:rFonts w:ascii="Times New Roman" w:hAnsi="Times New Roman" w:cs="Times New Roman"/>
          <w:noProof/>
          <w:sz w:val="20"/>
          <w:szCs w:val="24"/>
        </w:rPr>
        <w:t>s</w:t>
      </w:r>
      <w:r w:rsidRPr="003D46C0">
        <w:rPr>
          <w:rFonts w:ascii="Times New Roman" w:hAnsi="Times New Roman" w:cs="Times New Roman"/>
          <w:noProof/>
          <w:sz w:val="20"/>
          <w:szCs w:val="24"/>
        </w:rPr>
        <w:t xml:space="preserve"> comparable cross-sectional and longitudinal data on income, poverty, social exclusion and living conditions.</w:t>
      </w:r>
      <w:r w:rsidR="00E41B42" w:rsidRPr="003D46C0">
        <w:rPr>
          <w:rFonts w:ascii="Times New Roman" w:hAnsi="Times New Roman" w:cs="Times New Roman"/>
          <w:noProof/>
          <w:sz w:val="20"/>
          <w:szCs w:val="24"/>
        </w:rPr>
        <w:t xml:space="preserve"> </w:t>
      </w:r>
      <w:r w:rsidRPr="003D46C0">
        <w:rPr>
          <w:rFonts w:ascii="Times New Roman" w:hAnsi="Times New Roman" w:cs="Times New Roman"/>
          <w:noProof/>
          <w:sz w:val="20"/>
          <w:szCs w:val="24"/>
        </w:rPr>
        <w:t>EU-SILC provides two types of data:</w:t>
      </w:r>
      <w:r w:rsidR="00D86B06" w:rsidRPr="003D46C0">
        <w:rPr>
          <w:rFonts w:ascii="Times New Roman" w:hAnsi="Times New Roman" w:cs="Times New Roman"/>
          <w:noProof/>
          <w:sz w:val="20"/>
          <w:szCs w:val="24"/>
        </w:rPr>
        <w:t xml:space="preserve"> c</w:t>
      </w:r>
      <w:r w:rsidRPr="003D46C0">
        <w:rPr>
          <w:rFonts w:ascii="Times New Roman" w:hAnsi="Times New Roman" w:cs="Times New Roman"/>
          <w:noProof/>
          <w:sz w:val="20"/>
          <w:szCs w:val="24"/>
        </w:rPr>
        <w:t>ross-sectional data over a given time or a certain time period with variables on income, poverty, social exclusion and other living conditions</w:t>
      </w:r>
      <w:r w:rsidR="00D86B06" w:rsidRPr="003D46C0">
        <w:rPr>
          <w:rFonts w:ascii="Times New Roman" w:hAnsi="Times New Roman" w:cs="Times New Roman"/>
          <w:noProof/>
          <w:sz w:val="20"/>
          <w:szCs w:val="24"/>
        </w:rPr>
        <w:t xml:space="preserve"> and l</w:t>
      </w:r>
      <w:r w:rsidRPr="003D46C0">
        <w:rPr>
          <w:rFonts w:ascii="Times New Roman" w:hAnsi="Times New Roman" w:cs="Times New Roman"/>
          <w:noProof/>
          <w:sz w:val="20"/>
          <w:szCs w:val="24"/>
        </w:rPr>
        <w:t>ongitudinal data on individual-level changes over time, observed periodically over a 4-</w:t>
      </w:r>
      <w:r w:rsidR="00AE6A07" w:rsidRPr="003D46C0">
        <w:rPr>
          <w:rFonts w:ascii="Times New Roman" w:hAnsi="Times New Roman" w:cs="Times New Roman"/>
          <w:noProof/>
          <w:sz w:val="20"/>
          <w:szCs w:val="24"/>
        </w:rPr>
        <w:t>or 6-</w:t>
      </w:r>
      <w:r w:rsidRPr="003D46C0">
        <w:rPr>
          <w:rFonts w:ascii="Times New Roman" w:hAnsi="Times New Roman" w:cs="Times New Roman"/>
          <w:noProof/>
          <w:sz w:val="20"/>
          <w:szCs w:val="24"/>
        </w:rPr>
        <w:t>year period.</w:t>
      </w:r>
      <w:r w:rsidR="00D86B06" w:rsidRPr="003D46C0">
        <w:rPr>
          <w:rFonts w:ascii="Times New Roman" w:hAnsi="Times New Roman" w:cs="Times New Roman"/>
          <w:noProof/>
          <w:sz w:val="20"/>
          <w:szCs w:val="24"/>
        </w:rPr>
        <w:t xml:space="preserve"> </w:t>
      </w:r>
      <w:r w:rsidRPr="003D46C0">
        <w:rPr>
          <w:rFonts w:ascii="Times New Roman" w:hAnsi="Times New Roman" w:cs="Times New Roman"/>
          <w:noProof/>
          <w:sz w:val="20"/>
          <w:szCs w:val="24"/>
        </w:rPr>
        <w:t>Information on social exclusion and housing conditions is collected mainly at household level, while labour, education and health information is obtained from individuals aged 16 and over. Income variables at detailed component level are also mainly collected from individuals.</w:t>
      </w:r>
    </w:p>
    <w:p w14:paraId="35C6EA1D" w14:textId="77777777" w:rsidR="00E41B42" w:rsidRPr="003D46C0" w:rsidRDefault="00E41B42" w:rsidP="00823E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0"/>
          <w:szCs w:val="24"/>
        </w:rPr>
      </w:pPr>
    </w:p>
    <w:p w14:paraId="0929E11E" w14:textId="5ABF165B" w:rsidR="00823ED2" w:rsidRPr="003D46C0" w:rsidRDefault="00F24FB3" w:rsidP="00823E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0"/>
          <w:szCs w:val="24"/>
        </w:rPr>
      </w:pPr>
      <w:r w:rsidRPr="003D46C0">
        <w:rPr>
          <w:rFonts w:ascii="Times New Roman" w:hAnsi="Times New Roman" w:cs="Times New Roman"/>
          <w:noProof/>
          <w:sz w:val="20"/>
          <w:szCs w:val="24"/>
        </w:rPr>
        <w:t xml:space="preserve">EU-SILC data are used to monitor poverty and social inclusion </w:t>
      </w:r>
      <w:r w:rsidR="00D86B06" w:rsidRPr="003D46C0">
        <w:rPr>
          <w:rFonts w:ascii="Times New Roman" w:hAnsi="Times New Roman" w:cs="Times New Roman"/>
          <w:noProof/>
          <w:sz w:val="20"/>
          <w:szCs w:val="24"/>
        </w:rPr>
        <w:t xml:space="preserve">in the EU </w:t>
      </w:r>
      <w:r w:rsidRPr="003D46C0">
        <w:rPr>
          <w:rFonts w:ascii="Times New Roman" w:hAnsi="Times New Roman" w:cs="Times New Roman"/>
          <w:noProof/>
          <w:sz w:val="20"/>
          <w:szCs w:val="24"/>
        </w:rPr>
        <w:t xml:space="preserve">as part of the </w:t>
      </w:r>
      <w:r w:rsidR="00D86B06" w:rsidRPr="003D46C0">
        <w:rPr>
          <w:rFonts w:ascii="Times New Roman" w:hAnsi="Times New Roman" w:cs="Times New Roman"/>
          <w:noProof/>
          <w:sz w:val="20"/>
          <w:szCs w:val="24"/>
        </w:rPr>
        <w:t xml:space="preserve">European Pillar of Social Rights and </w:t>
      </w:r>
      <w:r w:rsidRPr="003D46C0">
        <w:rPr>
          <w:rFonts w:ascii="Times New Roman" w:hAnsi="Times New Roman" w:cs="Times New Roman"/>
          <w:noProof/>
          <w:sz w:val="20"/>
          <w:szCs w:val="24"/>
        </w:rPr>
        <w:t>European Semester - the framework for coordinating economic policies across the EU</w:t>
      </w:r>
      <w:r w:rsidR="00D86B06" w:rsidRPr="003D46C0">
        <w:rPr>
          <w:rFonts w:ascii="Times New Roman" w:hAnsi="Times New Roman" w:cs="Times New Roman"/>
          <w:noProof/>
          <w:sz w:val="20"/>
          <w:szCs w:val="24"/>
        </w:rPr>
        <w:t xml:space="preserve"> – through the social scoreboard</w:t>
      </w:r>
      <w:r w:rsidRPr="003D46C0">
        <w:rPr>
          <w:rFonts w:ascii="Times New Roman" w:hAnsi="Times New Roman" w:cs="Times New Roman"/>
          <w:noProof/>
          <w:sz w:val="20"/>
          <w:szCs w:val="24"/>
        </w:rPr>
        <w:t>. EU-SILC data also provide quantitative evidence for monitoring the implementation of the social protection and inclusion dimension of the European Pillar of Social Rights, provide data for the Social Protection Performance Monitor and are used in the context of the Open Method of Coordination on social inclusion and social protection.</w:t>
      </w:r>
      <w:r w:rsidR="00D86B06" w:rsidRPr="003D46C0">
        <w:rPr>
          <w:rFonts w:ascii="Times New Roman" w:hAnsi="Times New Roman" w:cs="Times New Roman"/>
          <w:noProof/>
          <w:sz w:val="20"/>
          <w:szCs w:val="24"/>
        </w:rPr>
        <w:t xml:space="preserve"> </w:t>
      </w:r>
    </w:p>
    <w:p w14:paraId="332EC406" w14:textId="77777777" w:rsidR="00D86B06" w:rsidRPr="003D46C0" w:rsidRDefault="00D86B06" w:rsidP="00823E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0"/>
          <w:szCs w:val="24"/>
        </w:rPr>
      </w:pPr>
    </w:p>
    <w:p w14:paraId="1DE88BF3" w14:textId="6C2A4F65" w:rsidR="00F24FB3" w:rsidRPr="003D46C0" w:rsidRDefault="00F24FB3" w:rsidP="00823E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noProof/>
          <w:sz w:val="20"/>
          <w:szCs w:val="24"/>
        </w:rPr>
      </w:pPr>
      <w:r w:rsidRPr="003D46C0">
        <w:rPr>
          <w:rFonts w:ascii="Times New Roman" w:hAnsi="Times New Roman" w:cs="Times New Roman"/>
          <w:i/>
          <w:noProof/>
          <w:sz w:val="20"/>
          <w:szCs w:val="24"/>
        </w:rPr>
        <w:t>Household Budget Survey (HBS)</w:t>
      </w:r>
    </w:p>
    <w:p w14:paraId="2E34C2B7" w14:textId="77777777" w:rsidR="00D86B06" w:rsidRPr="003D46C0" w:rsidRDefault="00D86B06" w:rsidP="00823E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noProof/>
          <w:sz w:val="20"/>
          <w:szCs w:val="24"/>
        </w:rPr>
      </w:pPr>
    </w:p>
    <w:p w14:paraId="252A4DCC" w14:textId="22C39356" w:rsidR="00F24FB3" w:rsidRPr="003D46C0" w:rsidRDefault="00F24FB3" w:rsidP="00823E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0"/>
          <w:szCs w:val="24"/>
        </w:rPr>
      </w:pPr>
      <w:r w:rsidRPr="003D46C0">
        <w:rPr>
          <w:rFonts w:ascii="Times New Roman" w:hAnsi="Times New Roman" w:cs="Times New Roman"/>
          <w:noProof/>
          <w:sz w:val="20"/>
          <w:szCs w:val="24"/>
        </w:rPr>
        <w:t>The Household Budget Survey</w:t>
      </w:r>
      <w:r w:rsidR="00D86B06" w:rsidRPr="003D46C0">
        <w:rPr>
          <w:rFonts w:ascii="Times New Roman" w:hAnsi="Times New Roman" w:cs="Times New Roman"/>
          <w:noProof/>
          <w:sz w:val="20"/>
          <w:szCs w:val="24"/>
        </w:rPr>
        <w:t xml:space="preserve"> (</w:t>
      </w:r>
      <w:r w:rsidRPr="003D46C0">
        <w:rPr>
          <w:rFonts w:ascii="Times New Roman" w:hAnsi="Times New Roman" w:cs="Times New Roman"/>
          <w:noProof/>
          <w:sz w:val="20"/>
          <w:szCs w:val="24"/>
        </w:rPr>
        <w:t>HBS</w:t>
      </w:r>
      <w:r w:rsidR="00D86B06" w:rsidRPr="003D46C0">
        <w:rPr>
          <w:rFonts w:ascii="Times New Roman" w:hAnsi="Times New Roman" w:cs="Times New Roman"/>
          <w:noProof/>
          <w:sz w:val="20"/>
          <w:szCs w:val="24"/>
        </w:rPr>
        <w:t>)</w:t>
      </w:r>
      <w:r w:rsidRPr="003D46C0">
        <w:rPr>
          <w:rFonts w:ascii="Times New Roman" w:hAnsi="Times New Roman" w:cs="Times New Roman"/>
          <w:noProof/>
          <w:sz w:val="20"/>
          <w:szCs w:val="24"/>
        </w:rPr>
        <w:t xml:space="preserve"> is a national survey focusing on households' expenditure on goods and services, giving a picture of living conditions in the EU. It is carried out by each Member State and is used to compile weightings for important macroeconomic indicators, such as consumer price indices (used as measures of inflation) and national accounts.</w:t>
      </w:r>
      <w:r w:rsidR="00D86B06" w:rsidRPr="003D46C0">
        <w:rPr>
          <w:rFonts w:ascii="Times New Roman" w:hAnsi="Times New Roman" w:cs="Times New Roman"/>
          <w:noProof/>
          <w:sz w:val="20"/>
          <w:szCs w:val="24"/>
        </w:rPr>
        <w:t xml:space="preserve"> </w:t>
      </w:r>
      <w:r w:rsidRPr="003D46C0">
        <w:rPr>
          <w:rFonts w:ascii="Times New Roman" w:hAnsi="Times New Roman" w:cs="Times New Roman"/>
          <w:noProof/>
          <w:sz w:val="20"/>
          <w:szCs w:val="24"/>
        </w:rPr>
        <w:t>They were launched in most EU Member States at the beginning of the 1960's and Eurostat has been collecting and publishing these survey data every five years since 1988. The two last collection rounds (waves) were 201</w:t>
      </w:r>
      <w:r w:rsidR="00AE6A07" w:rsidRPr="003D46C0">
        <w:rPr>
          <w:rFonts w:ascii="Times New Roman" w:hAnsi="Times New Roman" w:cs="Times New Roman"/>
          <w:noProof/>
          <w:sz w:val="20"/>
          <w:szCs w:val="24"/>
        </w:rPr>
        <w:t>5</w:t>
      </w:r>
      <w:r w:rsidRPr="003D46C0">
        <w:rPr>
          <w:rFonts w:ascii="Times New Roman" w:hAnsi="Times New Roman" w:cs="Times New Roman"/>
          <w:noProof/>
          <w:sz w:val="20"/>
          <w:szCs w:val="24"/>
        </w:rPr>
        <w:t xml:space="preserve"> and 20</w:t>
      </w:r>
      <w:r w:rsidR="00AE6A07" w:rsidRPr="003D46C0">
        <w:rPr>
          <w:rFonts w:ascii="Times New Roman" w:hAnsi="Times New Roman" w:cs="Times New Roman"/>
          <w:noProof/>
          <w:sz w:val="20"/>
          <w:szCs w:val="24"/>
        </w:rPr>
        <w:t>20</w:t>
      </w:r>
      <w:r w:rsidRPr="003D46C0">
        <w:rPr>
          <w:rFonts w:ascii="Times New Roman" w:hAnsi="Times New Roman" w:cs="Times New Roman"/>
          <w:noProof/>
          <w:sz w:val="20"/>
          <w:szCs w:val="24"/>
        </w:rPr>
        <w:t>.</w:t>
      </w:r>
    </w:p>
    <w:p w14:paraId="4D78CFAF" w14:textId="77777777" w:rsidR="00823ED2" w:rsidRPr="003D46C0" w:rsidRDefault="00823ED2" w:rsidP="00823E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0"/>
          <w:szCs w:val="24"/>
        </w:rPr>
      </w:pPr>
    </w:p>
    <w:p w14:paraId="44003CF4" w14:textId="1F94C7D7" w:rsidR="00F24FB3" w:rsidRPr="003D46C0" w:rsidRDefault="00F24FB3" w:rsidP="00823E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noProof/>
          <w:sz w:val="20"/>
          <w:szCs w:val="24"/>
        </w:rPr>
      </w:pPr>
      <w:r w:rsidRPr="003D46C0">
        <w:rPr>
          <w:rFonts w:ascii="Times New Roman" w:hAnsi="Times New Roman" w:cs="Times New Roman"/>
          <w:i/>
          <w:noProof/>
          <w:sz w:val="20"/>
          <w:szCs w:val="24"/>
        </w:rPr>
        <w:t>Household Finance and Consumption Survey (HFCS)</w:t>
      </w:r>
    </w:p>
    <w:p w14:paraId="29C33828" w14:textId="77777777" w:rsidR="00D86B06" w:rsidRPr="003D46C0" w:rsidRDefault="00D86B06" w:rsidP="00823E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noProof/>
          <w:sz w:val="20"/>
          <w:szCs w:val="24"/>
        </w:rPr>
      </w:pPr>
    </w:p>
    <w:p w14:paraId="286C05C9" w14:textId="43F80FED" w:rsidR="00F24FB3" w:rsidRPr="003D46C0" w:rsidRDefault="00F24FB3" w:rsidP="00823E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0"/>
          <w:szCs w:val="24"/>
        </w:rPr>
      </w:pPr>
      <w:r w:rsidRPr="003D46C0">
        <w:rPr>
          <w:rFonts w:ascii="Times New Roman" w:hAnsi="Times New Roman" w:cs="Times New Roman"/>
          <w:noProof/>
          <w:sz w:val="20"/>
          <w:szCs w:val="24"/>
        </w:rPr>
        <w:t>The HFCS collects information on the assets, liabilities, income and consumption of households. The dataset provides insights into their economic behaviour and financial situation – highly relevant factors in terms of monetary policy and financial stability.</w:t>
      </w:r>
      <w:r w:rsidR="00D86B06" w:rsidRPr="003D46C0">
        <w:rPr>
          <w:rFonts w:ascii="Times New Roman" w:hAnsi="Times New Roman" w:cs="Times New Roman"/>
          <w:noProof/>
          <w:sz w:val="20"/>
          <w:szCs w:val="24"/>
        </w:rPr>
        <w:t xml:space="preserve"> </w:t>
      </w:r>
      <w:r w:rsidRPr="003D46C0">
        <w:rPr>
          <w:rFonts w:ascii="Times New Roman" w:hAnsi="Times New Roman" w:cs="Times New Roman"/>
          <w:noProof/>
          <w:sz w:val="20"/>
          <w:szCs w:val="24"/>
        </w:rPr>
        <w:t xml:space="preserve">The survey is based on 84,000 interviews conducted in 18 euro area countries, as well as Poland and Hungary, mainly in 2013 and 2014. </w:t>
      </w:r>
      <w:r w:rsidR="008B75C2" w:rsidRPr="008B75C2">
        <w:rPr>
          <w:noProof/>
        </w:rPr>
        <w:t xml:space="preserve"> </w:t>
      </w:r>
      <w:r w:rsidR="008B75C2" w:rsidRPr="008B75C2">
        <w:rPr>
          <w:rFonts w:ascii="Times New Roman" w:hAnsi="Times New Roman" w:cs="Times New Roman"/>
          <w:noProof/>
          <w:sz w:val="20"/>
          <w:szCs w:val="24"/>
        </w:rPr>
        <w:t xml:space="preserve">There have been three survey waves so far, on which the data </w:t>
      </w:r>
      <w:r w:rsidR="008B75C2">
        <w:rPr>
          <w:rFonts w:ascii="Times New Roman" w:hAnsi="Times New Roman" w:cs="Times New Roman"/>
          <w:noProof/>
          <w:sz w:val="20"/>
          <w:szCs w:val="24"/>
        </w:rPr>
        <w:t>were</w:t>
      </w:r>
      <w:r w:rsidR="008B75C2" w:rsidRPr="008B75C2">
        <w:rPr>
          <w:rFonts w:ascii="Times New Roman" w:hAnsi="Times New Roman" w:cs="Times New Roman"/>
          <w:noProof/>
          <w:sz w:val="20"/>
          <w:szCs w:val="24"/>
        </w:rPr>
        <w:t xml:space="preserve"> released in April 2013, December 2016 and March 2020</w:t>
      </w:r>
      <w:r w:rsidR="008B75C2">
        <w:rPr>
          <w:rFonts w:ascii="Times New Roman" w:hAnsi="Times New Roman" w:cs="Times New Roman"/>
          <w:noProof/>
          <w:sz w:val="20"/>
          <w:szCs w:val="24"/>
        </w:rPr>
        <w:t>,</w:t>
      </w:r>
      <w:r w:rsidR="008B75C2" w:rsidRPr="008B75C2">
        <w:rPr>
          <w:rFonts w:ascii="Times New Roman" w:hAnsi="Times New Roman" w:cs="Times New Roman"/>
          <w:noProof/>
          <w:sz w:val="20"/>
          <w:szCs w:val="24"/>
        </w:rPr>
        <w:t xml:space="preserve"> respectively</w:t>
      </w:r>
      <w:r w:rsidR="008B75C2">
        <w:rPr>
          <w:rFonts w:ascii="Times New Roman" w:hAnsi="Times New Roman" w:cs="Times New Roman"/>
          <w:noProof/>
          <w:sz w:val="20"/>
          <w:szCs w:val="24"/>
        </w:rPr>
        <w:t>.</w:t>
      </w:r>
    </w:p>
    <w:p w14:paraId="6B742B2B" w14:textId="77777777" w:rsidR="008166A5" w:rsidRPr="003D46C0" w:rsidRDefault="008166A5" w:rsidP="00823E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0"/>
          <w:szCs w:val="24"/>
        </w:rPr>
      </w:pPr>
    </w:p>
    <w:p w14:paraId="1E0B1E3A" w14:textId="3789B92A" w:rsidR="00F24FB3" w:rsidRPr="006866E4" w:rsidRDefault="00F24FB3" w:rsidP="00823E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0"/>
          <w:szCs w:val="24"/>
        </w:rPr>
      </w:pPr>
      <w:r w:rsidRPr="003D46C0">
        <w:rPr>
          <w:rFonts w:ascii="Times New Roman" w:hAnsi="Times New Roman" w:cs="Times New Roman"/>
          <w:noProof/>
          <w:sz w:val="20"/>
          <w:szCs w:val="24"/>
        </w:rPr>
        <w:t>The HFCS questionnaire consists of two main parts:</w:t>
      </w:r>
      <w:r w:rsidR="00D86B06" w:rsidRPr="003D46C0">
        <w:rPr>
          <w:rFonts w:ascii="Times New Roman" w:hAnsi="Times New Roman" w:cs="Times New Roman"/>
          <w:noProof/>
          <w:sz w:val="20"/>
          <w:szCs w:val="24"/>
        </w:rPr>
        <w:t xml:space="preserve"> (i) </w:t>
      </w:r>
      <w:r w:rsidRPr="003D46C0">
        <w:rPr>
          <w:rFonts w:ascii="Times New Roman" w:hAnsi="Times New Roman" w:cs="Times New Roman"/>
          <w:noProof/>
          <w:sz w:val="20"/>
          <w:szCs w:val="24"/>
        </w:rPr>
        <w:t>questions relating to the household as a whole, including questions on real assets and their financing, other liabilities and credit constraints, private businesses, financial assets, intergenerational transfers and gifts, and consumption and saving;</w:t>
      </w:r>
      <w:r w:rsidR="00D86B06" w:rsidRPr="003D46C0">
        <w:rPr>
          <w:rFonts w:ascii="Times New Roman" w:hAnsi="Times New Roman" w:cs="Times New Roman"/>
          <w:noProof/>
          <w:sz w:val="20"/>
          <w:szCs w:val="24"/>
        </w:rPr>
        <w:t xml:space="preserve"> (ii) </w:t>
      </w:r>
      <w:r w:rsidRPr="003D46C0">
        <w:rPr>
          <w:rFonts w:ascii="Times New Roman" w:hAnsi="Times New Roman" w:cs="Times New Roman"/>
          <w:noProof/>
          <w:sz w:val="20"/>
          <w:szCs w:val="24"/>
        </w:rPr>
        <w:t>questions relating to individual household members, covering demographics (for all household members), employment, future pension entitlements and income (for household members aged 16 and over).</w:t>
      </w:r>
    </w:p>
    <w:p w14:paraId="2630C9AE" w14:textId="77777777" w:rsidR="00D86B06" w:rsidRDefault="00D86B06" w:rsidP="006866E4">
      <w:pPr>
        <w:spacing w:after="0"/>
        <w:jc w:val="both"/>
        <w:rPr>
          <w:rFonts w:ascii="Times New Roman" w:hAnsi="Times New Roman" w:cs="Times New Roman"/>
          <w:b/>
          <w:i/>
          <w:noProof/>
          <w:sz w:val="24"/>
          <w:szCs w:val="24"/>
        </w:rPr>
      </w:pPr>
    </w:p>
    <w:p w14:paraId="1B9D1AD5" w14:textId="7293ABC0" w:rsidR="00D56E53" w:rsidRPr="008F1389" w:rsidRDefault="00D56E53" w:rsidP="00D56E53">
      <w:pPr>
        <w:jc w:val="both"/>
        <w:rPr>
          <w:rFonts w:ascii="Times New Roman" w:hAnsi="Times New Roman" w:cs="Times New Roman"/>
          <w:b/>
          <w:i/>
          <w:noProof/>
          <w:sz w:val="24"/>
          <w:szCs w:val="24"/>
        </w:rPr>
      </w:pPr>
      <w:r w:rsidRPr="008F1389">
        <w:rPr>
          <w:rFonts w:ascii="Times New Roman" w:hAnsi="Times New Roman" w:cs="Times New Roman"/>
          <w:b/>
          <w:i/>
          <w:noProof/>
          <w:sz w:val="24"/>
          <w:szCs w:val="24"/>
        </w:rPr>
        <w:t>Administrative data</w:t>
      </w:r>
    </w:p>
    <w:p w14:paraId="751B2B3A" w14:textId="127AB4C1" w:rsidR="00D56E53" w:rsidRDefault="00D56E53" w:rsidP="00D56E53">
      <w:pPr>
        <w:jc w:val="both"/>
        <w:rPr>
          <w:rFonts w:ascii="Times New Roman" w:hAnsi="Times New Roman" w:cs="Times New Roman"/>
          <w:noProof/>
          <w:sz w:val="24"/>
          <w:szCs w:val="24"/>
        </w:rPr>
      </w:pPr>
      <w:r w:rsidRPr="00AE78A7">
        <w:rPr>
          <w:rFonts w:ascii="Times New Roman" w:hAnsi="Times New Roman" w:cs="Times New Roman"/>
          <w:b/>
          <w:noProof/>
          <w:sz w:val="24"/>
          <w:szCs w:val="24"/>
        </w:rPr>
        <w:t xml:space="preserve">The main advantages of administrative data include the </w:t>
      </w:r>
      <w:r w:rsidR="001B5749">
        <w:rPr>
          <w:rFonts w:ascii="Times New Roman" w:hAnsi="Times New Roman" w:cs="Times New Roman"/>
          <w:b/>
          <w:noProof/>
          <w:sz w:val="24"/>
          <w:szCs w:val="24"/>
        </w:rPr>
        <w:t xml:space="preserve">larger sample size </w:t>
      </w:r>
      <w:r w:rsidRPr="00AE78A7">
        <w:rPr>
          <w:rFonts w:ascii="Times New Roman" w:hAnsi="Times New Roman" w:cs="Times New Roman"/>
          <w:b/>
          <w:noProof/>
          <w:sz w:val="24"/>
          <w:szCs w:val="24"/>
        </w:rPr>
        <w:t>higher level of disaggregation and accuracy of incomes</w:t>
      </w:r>
      <w:r w:rsidRPr="00D56E53">
        <w:rPr>
          <w:rFonts w:ascii="Times New Roman" w:hAnsi="Times New Roman" w:cs="Times New Roman"/>
          <w:noProof/>
          <w:sz w:val="24"/>
          <w:szCs w:val="24"/>
        </w:rPr>
        <w:t xml:space="preserve"> (even though in practice, analysis is often carried out using synthetic data to protect taxpayer anonymity For example, BELMOD, the new </w:t>
      </w:r>
      <w:r w:rsidR="00DD3FD4">
        <w:rPr>
          <w:rFonts w:ascii="Times New Roman" w:hAnsi="Times New Roman" w:cs="Times New Roman"/>
          <w:noProof/>
          <w:sz w:val="24"/>
          <w:szCs w:val="24"/>
        </w:rPr>
        <w:t xml:space="preserve">EUROMOD-based </w:t>
      </w:r>
      <w:r w:rsidRPr="00D56E53">
        <w:rPr>
          <w:rFonts w:ascii="Times New Roman" w:hAnsi="Times New Roman" w:cs="Times New Roman"/>
          <w:noProof/>
          <w:sz w:val="24"/>
          <w:szCs w:val="24"/>
        </w:rPr>
        <w:t>microsimulation model developed in Belgium</w:t>
      </w:r>
      <w:r w:rsidR="008166A5">
        <w:rPr>
          <w:rFonts w:ascii="Times New Roman" w:hAnsi="Times New Roman" w:cs="Times New Roman"/>
          <w:noProof/>
          <w:sz w:val="24"/>
          <w:szCs w:val="24"/>
        </w:rPr>
        <w:t>,</w:t>
      </w:r>
      <w:r w:rsidRPr="00D56E53">
        <w:rPr>
          <w:rFonts w:ascii="Times New Roman" w:hAnsi="Times New Roman" w:cs="Times New Roman"/>
          <w:noProof/>
          <w:sz w:val="24"/>
          <w:szCs w:val="24"/>
        </w:rPr>
        <w:t xml:space="preserve"> incorporates administrative data based on a sample of almost 9% of the total population.</w:t>
      </w:r>
    </w:p>
    <w:p w14:paraId="72855079" w14:textId="087500D2" w:rsidR="006B36AA" w:rsidRPr="00606515" w:rsidRDefault="006B36AA" w:rsidP="006B36AA">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0"/>
          <w:szCs w:val="24"/>
        </w:rPr>
      </w:pPr>
      <w:r w:rsidRPr="00606515">
        <w:rPr>
          <w:rFonts w:ascii="Times New Roman" w:hAnsi="Times New Roman" w:cs="Times New Roman"/>
          <w:b/>
          <w:noProof/>
          <w:sz w:val="20"/>
          <w:szCs w:val="24"/>
        </w:rPr>
        <w:t>Box</w:t>
      </w:r>
      <w:r w:rsidR="00C37617">
        <w:rPr>
          <w:rFonts w:ascii="Times New Roman" w:hAnsi="Times New Roman" w:cs="Times New Roman"/>
          <w:b/>
          <w:noProof/>
          <w:sz w:val="20"/>
          <w:szCs w:val="24"/>
        </w:rPr>
        <w:t xml:space="preserve"> </w:t>
      </w:r>
      <w:r w:rsidR="00ED285A">
        <w:rPr>
          <w:rFonts w:ascii="Times New Roman" w:hAnsi="Times New Roman" w:cs="Times New Roman"/>
          <w:b/>
          <w:noProof/>
          <w:sz w:val="20"/>
          <w:szCs w:val="24"/>
        </w:rPr>
        <w:t>8</w:t>
      </w:r>
      <w:r w:rsidRPr="00606515">
        <w:rPr>
          <w:rFonts w:ascii="Times New Roman" w:hAnsi="Times New Roman" w:cs="Times New Roman"/>
          <w:b/>
          <w:noProof/>
          <w:sz w:val="20"/>
          <w:szCs w:val="24"/>
        </w:rPr>
        <w:t>: Data used for DIA in Finland</w:t>
      </w:r>
    </w:p>
    <w:p w14:paraId="7F6D32E8" w14:textId="77777777" w:rsidR="006B36AA" w:rsidRDefault="006B36AA" w:rsidP="006B36AA">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B35FD6">
        <w:rPr>
          <w:rFonts w:ascii="Times New Roman" w:hAnsi="Times New Roman" w:cs="Times New Roman"/>
          <w:noProof/>
          <w:sz w:val="20"/>
          <w:szCs w:val="24"/>
        </w:rPr>
        <w:t xml:space="preserve">The SISU model used for DIA in </w:t>
      </w:r>
      <w:r w:rsidRPr="00B35FD6">
        <w:rPr>
          <w:rFonts w:ascii="Times New Roman" w:hAnsi="Times New Roman" w:cs="Times New Roman"/>
          <w:b/>
          <w:noProof/>
          <w:sz w:val="20"/>
          <w:szCs w:val="24"/>
        </w:rPr>
        <w:t>Finland</w:t>
      </w:r>
      <w:r w:rsidRPr="00B35FD6">
        <w:rPr>
          <w:rFonts w:ascii="Times New Roman" w:hAnsi="Times New Roman" w:cs="Times New Roman"/>
          <w:noProof/>
          <w:sz w:val="20"/>
          <w:szCs w:val="24"/>
        </w:rPr>
        <w:t xml:space="preserve"> relies on </w:t>
      </w:r>
      <w:r>
        <w:rPr>
          <w:rFonts w:ascii="Times New Roman" w:hAnsi="Times New Roman" w:cs="Times New Roman"/>
          <w:noProof/>
          <w:sz w:val="20"/>
          <w:szCs w:val="24"/>
        </w:rPr>
        <w:t xml:space="preserve">administrative </w:t>
      </w:r>
      <w:r w:rsidRPr="00B35FD6">
        <w:rPr>
          <w:rFonts w:ascii="Times New Roman" w:hAnsi="Times New Roman" w:cs="Times New Roman"/>
          <w:noProof/>
          <w:sz w:val="20"/>
          <w:szCs w:val="24"/>
        </w:rPr>
        <w:t xml:space="preserve">data representing a sample of 15% of the whole population, which is a high proportion by international comparison. The data based on income distribution statistics collected by Statistics Finland comes from various administrative sources such as the Population Register, Tax Administration, </w:t>
      </w:r>
      <w:r>
        <w:rPr>
          <w:rFonts w:ascii="Times New Roman" w:hAnsi="Times New Roman" w:cs="Times New Roman"/>
          <w:noProof/>
          <w:sz w:val="20"/>
          <w:szCs w:val="24"/>
        </w:rPr>
        <w:t>t</w:t>
      </w:r>
      <w:r w:rsidRPr="00B35FD6">
        <w:rPr>
          <w:rFonts w:ascii="Times New Roman" w:hAnsi="Times New Roman" w:cs="Times New Roman"/>
          <w:noProof/>
          <w:sz w:val="20"/>
          <w:szCs w:val="24"/>
        </w:rPr>
        <w:t xml:space="preserve">he Social Insurance Institution, Centre for Pensions and </w:t>
      </w:r>
      <w:r>
        <w:rPr>
          <w:rFonts w:ascii="Times New Roman" w:hAnsi="Times New Roman" w:cs="Times New Roman"/>
          <w:noProof/>
          <w:sz w:val="20"/>
          <w:szCs w:val="24"/>
        </w:rPr>
        <w:t>t</w:t>
      </w:r>
      <w:r w:rsidRPr="00B35FD6">
        <w:rPr>
          <w:rFonts w:ascii="Times New Roman" w:hAnsi="Times New Roman" w:cs="Times New Roman"/>
          <w:noProof/>
          <w:sz w:val="20"/>
          <w:szCs w:val="24"/>
        </w:rPr>
        <w:t xml:space="preserve">he Financial Supervisory Authority. The housing costs are imputed based on a regression model. The data is published with a lag of 1.5 years, </w:t>
      </w:r>
      <w:r>
        <w:rPr>
          <w:rFonts w:ascii="Times New Roman" w:hAnsi="Times New Roman" w:cs="Times New Roman"/>
          <w:noProof/>
          <w:sz w:val="20"/>
          <w:szCs w:val="24"/>
        </w:rPr>
        <w:t xml:space="preserve">and </w:t>
      </w:r>
      <w:r w:rsidRPr="00B35FD6">
        <w:rPr>
          <w:rFonts w:ascii="Times New Roman" w:hAnsi="Times New Roman" w:cs="Times New Roman"/>
          <w:noProof/>
          <w:sz w:val="20"/>
          <w:szCs w:val="24"/>
        </w:rPr>
        <w:t>Statistics Finland publishe</w:t>
      </w:r>
      <w:r>
        <w:rPr>
          <w:rFonts w:ascii="Times New Roman" w:hAnsi="Times New Roman" w:cs="Times New Roman"/>
          <w:noProof/>
          <w:sz w:val="20"/>
          <w:szCs w:val="24"/>
        </w:rPr>
        <w:t>s</w:t>
      </w:r>
      <w:r w:rsidRPr="00B35FD6">
        <w:rPr>
          <w:rFonts w:ascii="Times New Roman" w:hAnsi="Times New Roman" w:cs="Times New Roman"/>
          <w:noProof/>
          <w:sz w:val="20"/>
          <w:szCs w:val="24"/>
        </w:rPr>
        <w:t xml:space="preserve"> nowcasted and forecasted data (adjustments e.g. to incomes and employment rates used in the budget process</w:t>
      </w:r>
      <w:r>
        <w:rPr>
          <w:rFonts w:ascii="Times New Roman" w:hAnsi="Times New Roman" w:cs="Times New Roman"/>
          <w:noProof/>
          <w:sz w:val="20"/>
          <w:szCs w:val="24"/>
        </w:rPr>
        <w:t>)</w:t>
      </w:r>
      <w:r w:rsidRPr="00B35FD6">
        <w:rPr>
          <w:rFonts w:ascii="Times New Roman" w:hAnsi="Times New Roman" w:cs="Times New Roman"/>
          <w:noProof/>
          <w:sz w:val="24"/>
          <w:szCs w:val="24"/>
        </w:rPr>
        <w:t>.</w:t>
      </w:r>
    </w:p>
    <w:p w14:paraId="2E5645B6" w14:textId="712D8068" w:rsidR="0050499E" w:rsidRDefault="00D56E53" w:rsidP="00D56E53">
      <w:pPr>
        <w:jc w:val="both"/>
        <w:rPr>
          <w:rFonts w:ascii="Times New Roman" w:hAnsi="Times New Roman" w:cs="Times New Roman"/>
          <w:noProof/>
          <w:sz w:val="24"/>
          <w:szCs w:val="24"/>
        </w:rPr>
      </w:pPr>
      <w:r w:rsidRPr="00FA6942">
        <w:rPr>
          <w:rFonts w:ascii="Times New Roman" w:hAnsi="Times New Roman" w:cs="Times New Roman"/>
          <w:b/>
          <w:noProof/>
          <w:sz w:val="24"/>
          <w:szCs w:val="24"/>
        </w:rPr>
        <w:t xml:space="preserve">Some drawbacks to administrative data include the limited </w:t>
      </w:r>
      <w:r w:rsidR="00FA6942" w:rsidRPr="00FA6942">
        <w:rPr>
          <w:rFonts w:ascii="Times New Roman" w:hAnsi="Times New Roman" w:cs="Times New Roman"/>
          <w:b/>
          <w:noProof/>
          <w:sz w:val="24"/>
          <w:szCs w:val="24"/>
        </w:rPr>
        <w:t>socio-</w:t>
      </w:r>
      <w:r w:rsidRPr="00FA6942">
        <w:rPr>
          <w:rFonts w:ascii="Times New Roman" w:hAnsi="Times New Roman" w:cs="Times New Roman"/>
          <w:b/>
          <w:noProof/>
          <w:sz w:val="24"/>
          <w:szCs w:val="24"/>
        </w:rPr>
        <w:t>demographic information they contain.</w:t>
      </w:r>
      <w:r w:rsidRPr="00D56E53">
        <w:rPr>
          <w:rFonts w:ascii="Times New Roman" w:hAnsi="Times New Roman" w:cs="Times New Roman"/>
          <w:noProof/>
          <w:sz w:val="24"/>
          <w:szCs w:val="24"/>
        </w:rPr>
        <w:t xml:space="preserve"> Administrative data may also be skewed by tax evasion. Sometimes, the data must be used on the Virtual Desktop Interface (VDI) of a statistical agency with a statistician charged with checking that statistical disclosure rules are not violated before results are transferred to the user’s own PC</w:t>
      </w:r>
      <w:r w:rsidR="00ED285A">
        <w:rPr>
          <w:rFonts w:ascii="Times New Roman" w:hAnsi="Times New Roman" w:cs="Times New Roman"/>
          <w:noProof/>
          <w:sz w:val="24"/>
          <w:szCs w:val="24"/>
        </w:rPr>
        <w:t xml:space="preserve"> (s</w:t>
      </w:r>
      <w:r w:rsidR="005549B1">
        <w:rPr>
          <w:rFonts w:ascii="Times New Roman" w:hAnsi="Times New Roman" w:cs="Times New Roman"/>
          <w:noProof/>
          <w:sz w:val="24"/>
          <w:szCs w:val="24"/>
        </w:rPr>
        <w:t xml:space="preserve">ee </w:t>
      </w:r>
      <w:r w:rsidR="00851BA8">
        <w:rPr>
          <w:rFonts w:ascii="Times New Roman" w:hAnsi="Times New Roman" w:cs="Times New Roman"/>
          <w:noProof/>
          <w:sz w:val="24"/>
          <w:szCs w:val="24"/>
        </w:rPr>
        <w:t>B</w:t>
      </w:r>
      <w:r w:rsidR="005549B1">
        <w:rPr>
          <w:rFonts w:ascii="Times New Roman" w:hAnsi="Times New Roman" w:cs="Times New Roman"/>
          <w:noProof/>
          <w:sz w:val="24"/>
          <w:szCs w:val="24"/>
        </w:rPr>
        <w:t xml:space="preserve">ox </w:t>
      </w:r>
      <w:r w:rsidR="00ED285A">
        <w:rPr>
          <w:rFonts w:ascii="Times New Roman" w:hAnsi="Times New Roman" w:cs="Times New Roman"/>
          <w:noProof/>
          <w:sz w:val="24"/>
          <w:szCs w:val="24"/>
        </w:rPr>
        <w:t>9</w:t>
      </w:r>
      <w:r w:rsidR="005549B1">
        <w:rPr>
          <w:rFonts w:ascii="Times New Roman" w:hAnsi="Times New Roman" w:cs="Times New Roman"/>
          <w:noProof/>
          <w:sz w:val="24"/>
          <w:szCs w:val="24"/>
        </w:rPr>
        <w:t xml:space="preserve"> for more details on the pros and cons of using administrative data</w:t>
      </w:r>
      <w:r w:rsidR="00ED285A">
        <w:rPr>
          <w:rFonts w:ascii="Times New Roman" w:hAnsi="Times New Roman" w:cs="Times New Roman"/>
          <w:noProof/>
          <w:sz w:val="24"/>
          <w:szCs w:val="24"/>
        </w:rPr>
        <w:t>)</w:t>
      </w:r>
      <w:r w:rsidR="005549B1">
        <w:rPr>
          <w:rFonts w:ascii="Times New Roman" w:hAnsi="Times New Roman" w:cs="Times New Roman"/>
          <w:noProof/>
          <w:sz w:val="24"/>
          <w:szCs w:val="24"/>
        </w:rPr>
        <w:t>.</w:t>
      </w:r>
    </w:p>
    <w:p w14:paraId="3C95A43C" w14:textId="79A40C04" w:rsidR="00143F9E" w:rsidRPr="00C37617" w:rsidRDefault="00143F9E" w:rsidP="00504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sz w:val="20"/>
          <w:szCs w:val="20"/>
        </w:rPr>
      </w:pPr>
      <w:r w:rsidRPr="00C37617">
        <w:rPr>
          <w:rFonts w:ascii="Times New Roman" w:hAnsi="Times New Roman" w:cs="Times New Roman"/>
          <w:b/>
          <w:noProof/>
          <w:sz w:val="20"/>
          <w:szCs w:val="20"/>
        </w:rPr>
        <w:t>Box</w:t>
      </w:r>
      <w:r w:rsidR="00E41B42" w:rsidRPr="00C37617">
        <w:rPr>
          <w:rFonts w:ascii="Times New Roman" w:hAnsi="Times New Roman" w:cs="Times New Roman"/>
          <w:b/>
          <w:noProof/>
          <w:sz w:val="20"/>
          <w:szCs w:val="20"/>
        </w:rPr>
        <w:t xml:space="preserve"> </w:t>
      </w:r>
      <w:r w:rsidR="00ED285A">
        <w:rPr>
          <w:rFonts w:ascii="Times New Roman" w:hAnsi="Times New Roman" w:cs="Times New Roman"/>
          <w:b/>
          <w:noProof/>
          <w:sz w:val="20"/>
          <w:szCs w:val="20"/>
        </w:rPr>
        <w:t>9</w:t>
      </w:r>
      <w:r w:rsidRPr="00C37617">
        <w:rPr>
          <w:rFonts w:ascii="Times New Roman" w:hAnsi="Times New Roman" w:cs="Times New Roman"/>
          <w:b/>
          <w:noProof/>
          <w:sz w:val="20"/>
          <w:szCs w:val="20"/>
        </w:rPr>
        <w:t xml:space="preserve">: </w:t>
      </w:r>
      <w:r w:rsidR="00446757" w:rsidRPr="00C37617">
        <w:rPr>
          <w:rFonts w:ascii="Times New Roman" w:hAnsi="Times New Roman" w:cs="Times New Roman"/>
          <w:b/>
          <w:noProof/>
          <w:sz w:val="20"/>
          <w:szCs w:val="20"/>
        </w:rPr>
        <w:t>Advantages and disadvantages</w:t>
      </w:r>
      <w:r w:rsidRPr="00C37617">
        <w:rPr>
          <w:rFonts w:ascii="Times New Roman" w:hAnsi="Times New Roman" w:cs="Times New Roman"/>
          <w:b/>
          <w:noProof/>
          <w:sz w:val="20"/>
          <w:szCs w:val="20"/>
        </w:rPr>
        <w:t xml:space="preserve"> of using administrative data</w:t>
      </w:r>
    </w:p>
    <w:p w14:paraId="0149EB92" w14:textId="77777777" w:rsidR="0050499E" w:rsidRPr="00446757" w:rsidRDefault="0050499E" w:rsidP="00504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sz w:val="24"/>
          <w:szCs w:val="24"/>
        </w:rPr>
      </w:pPr>
    </w:p>
    <w:p w14:paraId="31C82E05" w14:textId="77777777" w:rsidR="0050499E" w:rsidRPr="006E3A08" w:rsidRDefault="0050499E" w:rsidP="00504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noProof/>
          <w:sz w:val="20"/>
          <w:szCs w:val="20"/>
        </w:rPr>
      </w:pPr>
      <w:r w:rsidRPr="006E3A08">
        <w:rPr>
          <w:rFonts w:ascii="Times New Roman" w:hAnsi="Times New Roman" w:cs="Times New Roman"/>
          <w:i/>
          <w:noProof/>
          <w:sz w:val="20"/>
          <w:szCs w:val="20"/>
        </w:rPr>
        <w:t>Opportunities of administrative data</w:t>
      </w:r>
    </w:p>
    <w:p w14:paraId="679A3FB2" w14:textId="77777777" w:rsidR="0050499E" w:rsidRPr="006E3A08" w:rsidRDefault="0050499E" w:rsidP="00504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noProof/>
          <w:sz w:val="20"/>
          <w:szCs w:val="20"/>
        </w:rPr>
      </w:pPr>
    </w:p>
    <w:p w14:paraId="238A6D40" w14:textId="77777777" w:rsidR="0050499E" w:rsidRPr="006E3A08" w:rsidRDefault="0050499E" w:rsidP="005049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0"/>
          <w:szCs w:val="20"/>
        </w:rPr>
      </w:pPr>
      <w:r w:rsidRPr="006E3A08">
        <w:rPr>
          <w:rFonts w:ascii="Times New Roman" w:hAnsi="Times New Roman" w:cs="Times New Roman"/>
          <w:noProof/>
          <w:sz w:val="20"/>
          <w:szCs w:val="20"/>
        </w:rPr>
        <w:t>Using administrative data allows for more precise simulation of policy reforms, improving the accuracy of simulated outcomes. This is due, among others, to a larger coverage of population, availability of work histories, the possibility to study small subgroups (e.g. persons with disabilities) or rare events (e.g. multiple births); and a more accurate recording of information (no misreporting, sampling errors, etc.). Analysis based on administrative allows assessing crucial policy matters such as sustainability of pension systems or labour market transitions (especially atypical workers). Administrative data also</w:t>
      </w:r>
      <w:r w:rsidRPr="006E3A08">
        <w:rPr>
          <w:noProof/>
        </w:rPr>
        <w:t xml:space="preserve"> </w:t>
      </w:r>
      <w:r w:rsidRPr="006E3A08">
        <w:rPr>
          <w:rFonts w:ascii="Times New Roman" w:hAnsi="Times New Roman" w:cs="Times New Roman"/>
          <w:noProof/>
          <w:sz w:val="20"/>
          <w:szCs w:val="20"/>
        </w:rPr>
        <w:t>help simulate subnational policies better as it can provide more geographical details, allowing to zoom in on the geographical distribution of income beyond the usual regional disaggregation (e.g. at local level). This is also important as in-kind transfers are often provided through local services.</w:t>
      </w:r>
    </w:p>
    <w:p w14:paraId="108E0512" w14:textId="77777777" w:rsidR="0050499E" w:rsidRPr="006E3A08" w:rsidRDefault="0050499E" w:rsidP="005049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0"/>
          <w:szCs w:val="20"/>
        </w:rPr>
      </w:pPr>
    </w:p>
    <w:p w14:paraId="33654EB1" w14:textId="77777777" w:rsidR="0050499E" w:rsidRPr="006E3A08" w:rsidRDefault="0050499E" w:rsidP="005049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noProof/>
          <w:sz w:val="20"/>
          <w:szCs w:val="20"/>
        </w:rPr>
      </w:pPr>
      <w:r w:rsidRPr="006E3A08">
        <w:rPr>
          <w:rFonts w:ascii="Times New Roman" w:hAnsi="Times New Roman" w:cs="Times New Roman"/>
          <w:i/>
          <w:noProof/>
          <w:sz w:val="20"/>
          <w:szCs w:val="20"/>
        </w:rPr>
        <w:t>Challenges of administrative data</w:t>
      </w:r>
    </w:p>
    <w:p w14:paraId="5088BD42" w14:textId="77777777" w:rsidR="0050499E" w:rsidRPr="006E3A08" w:rsidRDefault="0050499E" w:rsidP="005049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0"/>
          <w:szCs w:val="20"/>
        </w:rPr>
      </w:pPr>
    </w:p>
    <w:p w14:paraId="28D16877" w14:textId="31D1C300" w:rsidR="0050499E" w:rsidRPr="006E3A08" w:rsidRDefault="0050499E" w:rsidP="005049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0"/>
          <w:szCs w:val="20"/>
        </w:rPr>
      </w:pPr>
      <w:r w:rsidRPr="006E3A08">
        <w:rPr>
          <w:rFonts w:ascii="Times New Roman" w:hAnsi="Times New Roman" w:cs="Times New Roman"/>
          <w:noProof/>
          <w:sz w:val="20"/>
          <w:szCs w:val="20"/>
        </w:rPr>
        <w:t>However, using administrative dat</w:t>
      </w:r>
      <w:r w:rsidR="00C54BFC">
        <w:rPr>
          <w:rFonts w:ascii="Times New Roman" w:hAnsi="Times New Roman" w:cs="Times New Roman"/>
          <w:noProof/>
          <w:sz w:val="20"/>
          <w:szCs w:val="20"/>
        </w:rPr>
        <w:t>a</w:t>
      </w:r>
      <w:r w:rsidRPr="006E3A08">
        <w:rPr>
          <w:rFonts w:ascii="Times New Roman" w:hAnsi="Times New Roman" w:cs="Times New Roman"/>
          <w:noProof/>
          <w:sz w:val="20"/>
          <w:szCs w:val="20"/>
        </w:rPr>
        <w:t xml:space="preserve"> has also its challenges due a number of aspects, such as gaining access can be difficult and time consuming, privacy concerns when the data is used by researchers, clear and informative accompanying documentation is often missing, understanding the units included in administrative sources may not be straightforward (and requires communication with data provider), policy changes may lead to changes in data collection, there may be computational issues given the size of administrative datasets, suitable “background” variables (e.g. sociodemographic characteristics) might be lacking as compared to survey data.</w:t>
      </w:r>
    </w:p>
    <w:p w14:paraId="04A16EC2" w14:textId="77777777" w:rsidR="0050499E" w:rsidRPr="006E3A08" w:rsidRDefault="0050499E" w:rsidP="005049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0"/>
          <w:szCs w:val="20"/>
        </w:rPr>
      </w:pPr>
    </w:p>
    <w:p w14:paraId="4022AD91" w14:textId="1BB969A5" w:rsidR="0050499E" w:rsidRPr="00C54BFC" w:rsidRDefault="0050499E" w:rsidP="0050499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0"/>
          <w:szCs w:val="20"/>
        </w:rPr>
      </w:pPr>
      <w:r w:rsidRPr="006E3A08">
        <w:rPr>
          <w:rFonts w:ascii="Times New Roman" w:hAnsi="Times New Roman" w:cs="Times New Roman"/>
          <w:i/>
          <w:noProof/>
          <w:sz w:val="20"/>
          <w:szCs w:val="20"/>
        </w:rPr>
        <w:t xml:space="preserve">Typical national administrative datasets </w:t>
      </w:r>
      <w:r w:rsidRPr="006E3A08">
        <w:rPr>
          <w:rFonts w:ascii="Times New Roman" w:hAnsi="Times New Roman" w:cs="Times New Roman"/>
          <w:noProof/>
          <w:sz w:val="20"/>
          <w:szCs w:val="20"/>
        </w:rPr>
        <w:t xml:space="preserve">that are useful for DIA include records of taxpayers of Personal Income Tax, other records of taxpayers (wealth taxes, immovable property taxes, inheritance and gift taxes, etc.), databases of recipients of social benefits, pensioners, unemployment benefits, records of social insurance contributions paid by employees, self-employed and employers. </w:t>
      </w:r>
    </w:p>
    <w:p w14:paraId="3EBD117D" w14:textId="68A505C0" w:rsidR="00D56E53" w:rsidRPr="008F1389" w:rsidRDefault="003A43CD" w:rsidP="008F1389">
      <w:pPr>
        <w:spacing w:before="240"/>
        <w:jc w:val="both"/>
        <w:rPr>
          <w:rFonts w:ascii="Times New Roman" w:hAnsi="Times New Roman" w:cs="Times New Roman"/>
          <w:b/>
          <w:i/>
          <w:noProof/>
          <w:sz w:val="24"/>
          <w:szCs w:val="24"/>
        </w:rPr>
      </w:pPr>
      <w:r w:rsidRPr="008F1389">
        <w:rPr>
          <w:rFonts w:ascii="Times New Roman" w:hAnsi="Times New Roman" w:cs="Times New Roman"/>
          <w:b/>
          <w:i/>
          <w:noProof/>
          <w:sz w:val="24"/>
          <w:szCs w:val="24"/>
        </w:rPr>
        <w:t>Combin</w:t>
      </w:r>
      <w:r w:rsidR="00105FD1" w:rsidRPr="008F1389">
        <w:rPr>
          <w:rFonts w:ascii="Times New Roman" w:hAnsi="Times New Roman" w:cs="Times New Roman"/>
          <w:b/>
          <w:i/>
          <w:noProof/>
          <w:sz w:val="24"/>
          <w:szCs w:val="24"/>
        </w:rPr>
        <w:t>ing</w:t>
      </w:r>
      <w:r w:rsidR="00D56E53" w:rsidRPr="008F1389">
        <w:rPr>
          <w:rFonts w:ascii="Times New Roman" w:hAnsi="Times New Roman" w:cs="Times New Roman"/>
          <w:b/>
          <w:i/>
          <w:noProof/>
          <w:sz w:val="24"/>
          <w:szCs w:val="24"/>
        </w:rPr>
        <w:t xml:space="preserve"> survey and administrative data</w:t>
      </w:r>
    </w:p>
    <w:p w14:paraId="7654AEFD" w14:textId="58193947" w:rsidR="00D56E53" w:rsidRPr="00D56E53" w:rsidRDefault="00105FD1" w:rsidP="00D56E53">
      <w:pPr>
        <w:jc w:val="both"/>
        <w:rPr>
          <w:rFonts w:ascii="Times New Roman" w:hAnsi="Times New Roman" w:cs="Times New Roman"/>
          <w:noProof/>
          <w:sz w:val="24"/>
          <w:szCs w:val="24"/>
        </w:rPr>
      </w:pPr>
      <w:r>
        <w:rPr>
          <w:rFonts w:ascii="Times New Roman" w:hAnsi="Times New Roman" w:cs="Times New Roman"/>
          <w:b/>
          <w:noProof/>
          <w:sz w:val="24"/>
          <w:szCs w:val="24"/>
        </w:rPr>
        <w:t>Using</w:t>
      </w:r>
      <w:r w:rsidR="00D56E53" w:rsidRPr="00FA6942">
        <w:rPr>
          <w:rFonts w:ascii="Times New Roman" w:hAnsi="Times New Roman" w:cs="Times New Roman"/>
          <w:b/>
          <w:noProof/>
          <w:sz w:val="24"/>
          <w:szCs w:val="24"/>
        </w:rPr>
        <w:t xml:space="preserve"> survey</w:t>
      </w:r>
      <w:r>
        <w:rPr>
          <w:rFonts w:ascii="Times New Roman" w:hAnsi="Times New Roman" w:cs="Times New Roman"/>
          <w:b/>
          <w:noProof/>
          <w:sz w:val="24"/>
          <w:szCs w:val="24"/>
        </w:rPr>
        <w:t xml:space="preserve"> data next to</w:t>
      </w:r>
      <w:r w:rsidR="00D56E53" w:rsidRPr="00FA6942">
        <w:rPr>
          <w:rFonts w:ascii="Times New Roman" w:hAnsi="Times New Roman" w:cs="Times New Roman"/>
          <w:b/>
          <w:noProof/>
          <w:sz w:val="24"/>
          <w:szCs w:val="24"/>
        </w:rPr>
        <w:t xml:space="preserve"> administrative data </w:t>
      </w:r>
      <w:r>
        <w:rPr>
          <w:rFonts w:ascii="Times New Roman" w:hAnsi="Times New Roman" w:cs="Times New Roman"/>
          <w:b/>
          <w:noProof/>
          <w:sz w:val="24"/>
          <w:szCs w:val="24"/>
        </w:rPr>
        <w:t>can enhance the quality of</w:t>
      </w:r>
      <w:r w:rsidR="00D56E53" w:rsidRPr="00FA6942">
        <w:rPr>
          <w:rFonts w:ascii="Times New Roman" w:hAnsi="Times New Roman" w:cs="Times New Roman"/>
          <w:b/>
          <w:noProof/>
          <w:sz w:val="24"/>
          <w:szCs w:val="24"/>
        </w:rPr>
        <w:t xml:space="preserve"> DIA</w:t>
      </w:r>
      <w:r>
        <w:rPr>
          <w:rFonts w:ascii="Times New Roman" w:hAnsi="Times New Roman" w:cs="Times New Roman"/>
          <w:b/>
          <w:noProof/>
          <w:sz w:val="24"/>
          <w:szCs w:val="24"/>
        </w:rPr>
        <w:t xml:space="preserve"> results</w:t>
      </w:r>
      <w:r w:rsidR="00D56E53" w:rsidRPr="00FA6942">
        <w:rPr>
          <w:rFonts w:ascii="Times New Roman" w:hAnsi="Times New Roman" w:cs="Times New Roman"/>
          <w:b/>
          <w:noProof/>
          <w:sz w:val="24"/>
          <w:szCs w:val="24"/>
        </w:rPr>
        <w:t>.</w:t>
      </w:r>
      <w:r w:rsidR="00D56E53" w:rsidRPr="00D56E53">
        <w:rPr>
          <w:rFonts w:ascii="Times New Roman" w:hAnsi="Times New Roman" w:cs="Times New Roman"/>
          <w:noProof/>
          <w:sz w:val="24"/>
          <w:szCs w:val="24"/>
        </w:rPr>
        <w:t xml:space="preserve"> </w:t>
      </w:r>
      <w:r w:rsidR="003A43CD">
        <w:rPr>
          <w:rFonts w:ascii="Times New Roman" w:hAnsi="Times New Roman" w:cs="Times New Roman"/>
          <w:noProof/>
          <w:sz w:val="24"/>
          <w:szCs w:val="24"/>
        </w:rPr>
        <w:t>Comb</w:t>
      </w:r>
      <w:r w:rsidR="00D56E53" w:rsidRPr="00D56E53">
        <w:rPr>
          <w:rFonts w:ascii="Times New Roman" w:hAnsi="Times New Roman" w:cs="Times New Roman"/>
          <w:noProof/>
          <w:sz w:val="24"/>
          <w:szCs w:val="24"/>
        </w:rPr>
        <w:t xml:space="preserve">ing a survey dataset, such as SILC, </w:t>
      </w:r>
      <w:r w:rsidR="003A43CD">
        <w:rPr>
          <w:rFonts w:ascii="Times New Roman" w:hAnsi="Times New Roman" w:cs="Times New Roman"/>
          <w:noProof/>
          <w:sz w:val="24"/>
          <w:szCs w:val="24"/>
        </w:rPr>
        <w:t>with</w:t>
      </w:r>
      <w:r w:rsidR="00D56E53" w:rsidRPr="00D56E53">
        <w:rPr>
          <w:rFonts w:ascii="Times New Roman" w:hAnsi="Times New Roman" w:cs="Times New Roman"/>
          <w:noProof/>
          <w:sz w:val="24"/>
          <w:szCs w:val="24"/>
        </w:rPr>
        <w:t xml:space="preserve"> administrative records relating to income, welfare and taxation can often provide a solution to some of the drawbacks of either survey or administrative data used alone. The SWITCH model used by the Economic and Social Research Institute and government departments in Ireland is an example of a national microsimulation model based on linked survey and administrative data. </w:t>
      </w:r>
    </w:p>
    <w:p w14:paraId="29CA2429" w14:textId="1D61CC70" w:rsidR="00D56E53" w:rsidRDefault="00D56E53" w:rsidP="00EA23CB">
      <w:pPr>
        <w:jc w:val="both"/>
        <w:rPr>
          <w:rFonts w:ascii="Times New Roman" w:hAnsi="Times New Roman" w:cs="Times New Roman"/>
          <w:noProof/>
          <w:sz w:val="24"/>
          <w:szCs w:val="24"/>
        </w:rPr>
      </w:pPr>
      <w:r w:rsidRPr="00FA6942">
        <w:rPr>
          <w:rFonts w:ascii="Times New Roman" w:hAnsi="Times New Roman" w:cs="Times New Roman"/>
          <w:b/>
          <w:noProof/>
          <w:sz w:val="24"/>
          <w:szCs w:val="24"/>
        </w:rPr>
        <w:t>Administrative data is best seen as a complement to surveys such as EU-SILC, rather than a replacement.</w:t>
      </w:r>
      <w:r w:rsidRPr="00D56E53">
        <w:rPr>
          <w:rFonts w:ascii="Times New Roman" w:hAnsi="Times New Roman" w:cs="Times New Roman"/>
          <w:noProof/>
          <w:sz w:val="24"/>
          <w:szCs w:val="24"/>
        </w:rPr>
        <w:t xml:space="preserve"> Simulations using administrative data allow for more accurate modelling of social security contribution history and certain policies.</w:t>
      </w:r>
      <w:r w:rsidRPr="00D56E53">
        <w:rPr>
          <w:noProof/>
        </w:rPr>
        <w:t xml:space="preserve"> </w:t>
      </w:r>
      <w:r w:rsidRPr="00D56E53">
        <w:rPr>
          <w:rFonts w:ascii="Times New Roman" w:hAnsi="Times New Roman" w:cs="Times New Roman"/>
          <w:noProof/>
          <w:sz w:val="24"/>
          <w:szCs w:val="24"/>
        </w:rPr>
        <w:t>The adaptability of EUROMOD to be compatible with national level administrative data is a significant advantage. In the Greek case, this has been particularly advantageous as EUROMOD has been twinned with rich administrative tax data, which is generally considered as more robust than EU-SILC in some key aspects, most notably revenue estimation.</w:t>
      </w:r>
    </w:p>
    <w:p w14:paraId="28BD629D" w14:textId="0369ED33" w:rsidR="00D56E53" w:rsidRDefault="00D56E53" w:rsidP="00D56E53">
      <w:pPr>
        <w:jc w:val="both"/>
        <w:rPr>
          <w:rFonts w:ascii="Times New Roman" w:hAnsi="Times New Roman" w:cs="Times New Roman"/>
          <w:noProof/>
          <w:sz w:val="24"/>
          <w:szCs w:val="24"/>
          <w:lang w:val="en-US"/>
        </w:rPr>
      </w:pPr>
      <w:r w:rsidRPr="00A5330C">
        <w:rPr>
          <w:rFonts w:ascii="Times New Roman" w:hAnsi="Times New Roman" w:cs="Times New Roman"/>
          <w:b/>
          <w:noProof/>
          <w:sz w:val="24"/>
          <w:szCs w:val="24"/>
          <w:lang w:val="en-US"/>
        </w:rPr>
        <w:t xml:space="preserve">It is </w:t>
      </w:r>
      <w:r w:rsidR="000E7301">
        <w:rPr>
          <w:rFonts w:ascii="Times New Roman" w:hAnsi="Times New Roman" w:cs="Times New Roman"/>
          <w:b/>
          <w:noProof/>
          <w:sz w:val="24"/>
          <w:szCs w:val="24"/>
          <w:lang w:val="en-US"/>
        </w:rPr>
        <w:t xml:space="preserve">also </w:t>
      </w:r>
      <w:r w:rsidRPr="00A5330C">
        <w:rPr>
          <w:rFonts w:ascii="Times New Roman" w:hAnsi="Times New Roman" w:cs="Times New Roman"/>
          <w:b/>
          <w:noProof/>
          <w:sz w:val="24"/>
          <w:szCs w:val="24"/>
          <w:lang w:val="en-US"/>
        </w:rPr>
        <w:t>important to stress the crucial role on the national statistics institutes in providing timely, comprehensive and detailed data that can be used for running DIA analysis.</w:t>
      </w:r>
      <w:r w:rsidRPr="00115577">
        <w:rPr>
          <w:rFonts w:ascii="Times New Roman" w:hAnsi="Times New Roman" w:cs="Times New Roman"/>
          <w:noProof/>
          <w:sz w:val="24"/>
          <w:szCs w:val="24"/>
          <w:lang w:val="en-US"/>
        </w:rPr>
        <w:t xml:space="preserve"> </w:t>
      </w:r>
      <w:r w:rsidR="008D4F90">
        <w:rPr>
          <w:rFonts w:ascii="Times New Roman" w:hAnsi="Times New Roman" w:cs="Times New Roman"/>
          <w:noProof/>
          <w:sz w:val="24"/>
          <w:szCs w:val="24"/>
          <w:lang w:val="en-US"/>
        </w:rPr>
        <w:t xml:space="preserve">Further efforts should be made in that respect. </w:t>
      </w:r>
      <w:r w:rsidR="00C54BFC">
        <w:rPr>
          <w:rFonts w:ascii="Times New Roman" w:hAnsi="Times New Roman" w:cs="Times New Roman"/>
          <w:noProof/>
          <w:sz w:val="24"/>
          <w:szCs w:val="24"/>
          <w:lang w:val="en-US"/>
        </w:rPr>
        <w:t>O</w:t>
      </w:r>
      <w:r w:rsidR="008D4F90">
        <w:rPr>
          <w:rFonts w:ascii="Times New Roman" w:hAnsi="Times New Roman" w:cs="Times New Roman"/>
          <w:noProof/>
          <w:sz w:val="24"/>
          <w:szCs w:val="24"/>
          <w:lang w:val="en-US"/>
        </w:rPr>
        <w:t xml:space="preserve">fficials in </w:t>
      </w:r>
      <w:r w:rsidR="00250541" w:rsidRPr="00250541">
        <w:rPr>
          <w:rFonts w:ascii="Times New Roman" w:hAnsi="Times New Roman" w:cs="Times New Roman"/>
          <w:noProof/>
          <w:sz w:val="24"/>
          <w:szCs w:val="24"/>
          <w:lang w:val="en-US"/>
        </w:rPr>
        <w:t xml:space="preserve">France and Finland </w:t>
      </w:r>
      <w:r w:rsidR="008D4F90">
        <w:rPr>
          <w:rFonts w:ascii="Times New Roman" w:hAnsi="Times New Roman" w:cs="Times New Roman"/>
          <w:noProof/>
          <w:sz w:val="24"/>
          <w:szCs w:val="24"/>
          <w:lang w:val="en-US"/>
        </w:rPr>
        <w:t>pointed at</w:t>
      </w:r>
      <w:r w:rsidR="00250541" w:rsidRPr="00250541">
        <w:rPr>
          <w:rFonts w:ascii="Times New Roman" w:hAnsi="Times New Roman" w:cs="Times New Roman"/>
          <w:noProof/>
          <w:sz w:val="24"/>
          <w:szCs w:val="24"/>
          <w:lang w:val="en-US"/>
        </w:rPr>
        <w:t xml:space="preserve"> the lack of variables in available data that would enable DIA to be carried out for more policies. More precisely, in France, the issue is that income data are only available on yearly income, while monthly information would be useful for performing DIA on some specific social benefits. In Finland, the survey data on consumption lacks variables about the consumption of alcohol and tobacco.</w:t>
      </w:r>
    </w:p>
    <w:p w14:paraId="0DBC7E3B" w14:textId="256DE792" w:rsidR="00D56E53" w:rsidRPr="004B203D" w:rsidRDefault="00352799" w:rsidP="008F1389">
      <w:pPr>
        <w:pStyle w:val="Heading2"/>
        <w:numPr>
          <w:ilvl w:val="0"/>
          <w:numId w:val="28"/>
        </w:numPr>
        <w:spacing w:before="120" w:after="120"/>
        <w:ind w:left="714" w:hanging="357"/>
        <w:rPr>
          <w:rFonts w:ascii="Times New Roman" w:hAnsi="Times New Roman" w:cs="Times New Roman"/>
          <w:noProof/>
        </w:rPr>
      </w:pPr>
      <w:bookmarkStart w:id="10" w:name="_Toc114470590"/>
      <w:r>
        <w:rPr>
          <w:rFonts w:ascii="Times New Roman" w:hAnsi="Times New Roman" w:cs="Times New Roman"/>
          <w:noProof/>
        </w:rPr>
        <w:t>What indicators to use?</w:t>
      </w:r>
      <w:bookmarkEnd w:id="10"/>
      <w:r>
        <w:rPr>
          <w:rFonts w:ascii="Times New Roman" w:hAnsi="Times New Roman" w:cs="Times New Roman"/>
          <w:noProof/>
        </w:rPr>
        <w:t xml:space="preserve"> </w:t>
      </w:r>
    </w:p>
    <w:p w14:paraId="13435A21" w14:textId="40A3852E" w:rsidR="00D56E53" w:rsidRDefault="005054F7" w:rsidP="00D56E53">
      <w:pPr>
        <w:jc w:val="both"/>
        <w:rPr>
          <w:rFonts w:ascii="Times New Roman" w:hAnsi="Times New Roman" w:cs="Times New Roman"/>
          <w:noProof/>
          <w:sz w:val="24"/>
          <w:szCs w:val="24"/>
        </w:rPr>
      </w:pPr>
      <w:r>
        <w:rPr>
          <w:rFonts w:ascii="Times New Roman" w:hAnsi="Times New Roman" w:cs="Times New Roman"/>
          <w:b/>
          <w:noProof/>
          <w:sz w:val="24"/>
          <w:szCs w:val="24"/>
        </w:rPr>
        <w:t>A</w:t>
      </w:r>
      <w:r w:rsidR="00D56E53" w:rsidRPr="008767ED">
        <w:rPr>
          <w:rFonts w:ascii="Times New Roman" w:hAnsi="Times New Roman" w:cs="Times New Roman"/>
          <w:b/>
          <w:noProof/>
          <w:sz w:val="24"/>
          <w:szCs w:val="24"/>
        </w:rPr>
        <w:t xml:space="preserve"> number of indicators </w:t>
      </w:r>
      <w:r>
        <w:rPr>
          <w:rFonts w:ascii="Times New Roman" w:hAnsi="Times New Roman" w:cs="Times New Roman"/>
          <w:b/>
          <w:noProof/>
          <w:sz w:val="24"/>
          <w:szCs w:val="24"/>
        </w:rPr>
        <w:t>lend themselves</w:t>
      </w:r>
      <w:r w:rsidR="00D56E53" w:rsidRPr="008767ED">
        <w:rPr>
          <w:rFonts w:ascii="Times New Roman" w:hAnsi="Times New Roman" w:cs="Times New Roman"/>
          <w:b/>
          <w:noProof/>
          <w:sz w:val="24"/>
          <w:szCs w:val="24"/>
        </w:rPr>
        <w:t xml:space="preserve"> to </w:t>
      </w:r>
      <w:r>
        <w:rPr>
          <w:rFonts w:ascii="Times New Roman" w:hAnsi="Times New Roman" w:cs="Times New Roman"/>
          <w:b/>
          <w:noProof/>
          <w:sz w:val="24"/>
          <w:szCs w:val="24"/>
        </w:rPr>
        <w:t>illustrate</w:t>
      </w:r>
      <w:r w:rsidR="00D56E53" w:rsidRPr="008767ED">
        <w:rPr>
          <w:rFonts w:ascii="Times New Roman" w:hAnsi="Times New Roman" w:cs="Times New Roman"/>
          <w:b/>
          <w:noProof/>
          <w:sz w:val="24"/>
          <w:szCs w:val="24"/>
        </w:rPr>
        <w:t xml:space="preserve"> the distributional impact of policy reforms.</w:t>
      </w:r>
      <w:r w:rsidR="00D56E53" w:rsidRPr="00D56E53">
        <w:rPr>
          <w:rFonts w:ascii="Times New Roman" w:hAnsi="Times New Roman" w:cs="Times New Roman"/>
          <w:noProof/>
          <w:sz w:val="24"/>
          <w:szCs w:val="24"/>
        </w:rPr>
        <w:t xml:space="preserve"> </w:t>
      </w:r>
      <w:r w:rsidR="00D86412">
        <w:rPr>
          <w:rFonts w:ascii="Times New Roman" w:hAnsi="Times New Roman" w:cs="Times New Roman"/>
          <w:noProof/>
          <w:sz w:val="24"/>
          <w:szCs w:val="24"/>
        </w:rPr>
        <w:t xml:space="preserve"> These are typically those that capture the impact of policy changes on the household income along the income distribution as well as on the levels of inequality and poverty</w:t>
      </w:r>
      <w:r w:rsidR="0040222C">
        <w:rPr>
          <w:rStyle w:val="FootnoteReference"/>
          <w:rFonts w:ascii="Times New Roman" w:hAnsi="Times New Roman" w:cs="Times New Roman"/>
          <w:noProof/>
          <w:sz w:val="24"/>
          <w:szCs w:val="24"/>
        </w:rPr>
        <w:footnoteReference w:id="52"/>
      </w:r>
      <w:r w:rsidR="00D86412">
        <w:rPr>
          <w:rFonts w:ascii="Times New Roman" w:hAnsi="Times New Roman" w:cs="Times New Roman"/>
          <w:noProof/>
          <w:sz w:val="24"/>
          <w:szCs w:val="24"/>
        </w:rPr>
        <w:t xml:space="preserve">. </w:t>
      </w:r>
      <w:r w:rsidR="00560057">
        <w:rPr>
          <w:rFonts w:ascii="Times New Roman" w:hAnsi="Times New Roman" w:cs="Times New Roman"/>
          <w:noProof/>
          <w:sz w:val="24"/>
          <w:szCs w:val="24"/>
        </w:rPr>
        <w:t xml:space="preserve">Using the </w:t>
      </w:r>
      <w:r w:rsidR="006630A1">
        <w:rPr>
          <w:rFonts w:ascii="Times New Roman" w:hAnsi="Times New Roman" w:cs="Times New Roman"/>
          <w:noProof/>
          <w:sz w:val="24"/>
          <w:szCs w:val="24"/>
        </w:rPr>
        <w:t xml:space="preserve">common </w:t>
      </w:r>
      <w:r w:rsidR="00560057">
        <w:rPr>
          <w:rFonts w:ascii="Times New Roman" w:hAnsi="Times New Roman" w:cs="Times New Roman"/>
          <w:noProof/>
          <w:sz w:val="24"/>
          <w:szCs w:val="24"/>
        </w:rPr>
        <w:t xml:space="preserve">indicators agreed at the EU level makes comparisons across Member States easier. </w:t>
      </w:r>
    </w:p>
    <w:p w14:paraId="0E9E424C" w14:textId="0E9C3A60" w:rsidR="00186CFA" w:rsidRPr="00186CFA" w:rsidRDefault="00186CFA" w:rsidP="00186CFA">
      <w:pPr>
        <w:jc w:val="both"/>
        <w:rPr>
          <w:rFonts w:ascii="Times New Roman" w:hAnsi="Times New Roman" w:cs="Times New Roman"/>
          <w:noProof/>
          <w:sz w:val="24"/>
          <w:szCs w:val="24"/>
        </w:rPr>
      </w:pPr>
      <w:r w:rsidRPr="00186CFA">
        <w:rPr>
          <w:rFonts w:ascii="Times New Roman" w:hAnsi="Times New Roman" w:cs="Times New Roman"/>
          <w:b/>
          <w:noProof/>
          <w:sz w:val="24"/>
          <w:szCs w:val="24"/>
        </w:rPr>
        <w:t>In order to illustrate the impact on household income distribution, the decile (or quintile) impact</w:t>
      </w:r>
      <w:r w:rsidRPr="00186CFA">
        <w:rPr>
          <w:rFonts w:ascii="Times New Roman" w:hAnsi="Times New Roman" w:cs="Times New Roman"/>
          <w:noProof/>
          <w:sz w:val="24"/>
          <w:szCs w:val="24"/>
        </w:rPr>
        <w:t xml:space="preserve"> </w:t>
      </w:r>
      <w:r w:rsidRPr="00186CFA">
        <w:rPr>
          <w:rFonts w:ascii="Times New Roman" w:hAnsi="Times New Roman" w:cs="Times New Roman"/>
          <w:b/>
          <w:noProof/>
          <w:sz w:val="24"/>
          <w:szCs w:val="24"/>
        </w:rPr>
        <w:t>of policy reform are commonly used to show how reforms affect low-income and high-income households differently.</w:t>
      </w:r>
      <w:r w:rsidRPr="00186CFA">
        <w:rPr>
          <w:rFonts w:ascii="Times New Roman" w:hAnsi="Times New Roman" w:cs="Times New Roman"/>
          <w:noProof/>
          <w:sz w:val="24"/>
          <w:szCs w:val="24"/>
        </w:rPr>
        <w:t xml:space="preserve"> It is suggested to use mean equivalised (i.e. adjusted for household composition) disposable income, meaning income after direct taxes have been paid and benefits have been received. This has the benefit of being comprehensive and comparable between individuals and households. Having such clear view on the impact of a measure on the deciles’ mean disposable incomes also enables to shows the impact of </w:t>
      </w:r>
      <w:r w:rsidR="00AA6E2D">
        <w:rPr>
          <w:rFonts w:ascii="Times New Roman" w:hAnsi="Times New Roman" w:cs="Times New Roman"/>
          <w:noProof/>
          <w:sz w:val="24"/>
          <w:szCs w:val="24"/>
        </w:rPr>
        <w:t>policie</w:t>
      </w:r>
      <w:r w:rsidRPr="00186CFA">
        <w:rPr>
          <w:rFonts w:ascii="Times New Roman" w:hAnsi="Times New Roman" w:cs="Times New Roman"/>
          <w:noProof/>
          <w:sz w:val="24"/>
          <w:szCs w:val="24"/>
        </w:rPr>
        <w:t xml:space="preserve">s on households’ purchasing power along the income distribution. </w:t>
      </w:r>
    </w:p>
    <w:p w14:paraId="6862296F" w14:textId="376856CB" w:rsidR="00186CFA" w:rsidRPr="00186CFA" w:rsidRDefault="00186CFA" w:rsidP="00186CFA">
      <w:pPr>
        <w:jc w:val="both"/>
        <w:rPr>
          <w:rFonts w:ascii="Times New Roman" w:hAnsi="Times New Roman" w:cs="Times New Roman"/>
          <w:noProof/>
          <w:sz w:val="24"/>
          <w:szCs w:val="24"/>
        </w:rPr>
      </w:pPr>
      <w:r w:rsidRPr="00186CFA">
        <w:rPr>
          <w:rFonts w:ascii="Times New Roman" w:hAnsi="Times New Roman" w:cs="Times New Roman"/>
          <w:b/>
          <w:noProof/>
          <w:sz w:val="24"/>
          <w:szCs w:val="24"/>
        </w:rPr>
        <w:t>DIA analysis should also show the impact of policy reform on the level of inequality</w:t>
      </w:r>
      <w:r w:rsidRPr="00186CFA">
        <w:rPr>
          <w:rFonts w:ascii="Times New Roman" w:hAnsi="Times New Roman" w:cs="Times New Roman"/>
          <w:noProof/>
          <w:sz w:val="24"/>
          <w:szCs w:val="24"/>
        </w:rPr>
        <w:t xml:space="preserve"> by relying on (a selection of) key indicators, such as the income quintile share ratio (S80/S20) that is the share of income going to the richest 20 per cent compared to the poorest 20 per cent of the population), which is the related European Pillar of Social Rights Scoreboard indicator (as well as its decomposition between the upper part S80/S50 and lower part S50/S20 of the income distribution</w:t>
      </w:r>
      <w:r w:rsidR="00DA31C3">
        <w:rPr>
          <w:rFonts w:ascii="Times New Roman" w:hAnsi="Times New Roman" w:cs="Times New Roman"/>
          <w:noProof/>
          <w:sz w:val="24"/>
          <w:szCs w:val="24"/>
        </w:rPr>
        <w:t>)</w:t>
      </w:r>
      <w:r w:rsidRPr="00186CFA">
        <w:rPr>
          <w:rFonts w:ascii="Times New Roman" w:hAnsi="Times New Roman" w:cs="Times New Roman"/>
          <w:noProof/>
          <w:sz w:val="24"/>
          <w:szCs w:val="24"/>
        </w:rPr>
        <w:t xml:space="preserve">. It can be complemented by the income share of the bottom 40% of the population along the income distribution (S40) or the Gini index (which is the most widely used </w:t>
      </w:r>
      <w:r w:rsidR="0040222C">
        <w:rPr>
          <w:rFonts w:ascii="Times New Roman" w:hAnsi="Times New Roman" w:cs="Times New Roman"/>
          <w:noProof/>
          <w:sz w:val="24"/>
          <w:szCs w:val="24"/>
        </w:rPr>
        <w:t>aggregated</w:t>
      </w:r>
      <w:r w:rsidRPr="00186CFA">
        <w:rPr>
          <w:rFonts w:ascii="Times New Roman" w:hAnsi="Times New Roman" w:cs="Times New Roman"/>
          <w:noProof/>
          <w:sz w:val="24"/>
          <w:szCs w:val="24"/>
        </w:rPr>
        <w:t xml:space="preserve"> measure of income inequality, capturing what percentage of the domestic income of a country each cumulative percentile of the population owns and converting it into an index). Such</w:t>
      </w:r>
      <w:r w:rsidRPr="00186CFA">
        <w:rPr>
          <w:noProof/>
        </w:rPr>
        <w:t xml:space="preserve"> </w:t>
      </w:r>
      <w:r w:rsidRPr="00186CFA">
        <w:rPr>
          <w:rFonts w:ascii="Times New Roman" w:hAnsi="Times New Roman" w:cs="Times New Roman"/>
          <w:noProof/>
          <w:sz w:val="24"/>
          <w:szCs w:val="24"/>
        </w:rPr>
        <w:t>summary measures of income inequality can be used to illustrate the effect of policy reform on the income distribution, but at the same time they can mask heterogeneity at different points of the income distribution, which decile and quantile impact assessments pick up on.</w:t>
      </w:r>
    </w:p>
    <w:p w14:paraId="18DC80A3" w14:textId="2BD0C58C" w:rsidR="00186CFA" w:rsidRPr="00186CFA" w:rsidRDefault="00186CFA" w:rsidP="00186CFA">
      <w:pPr>
        <w:jc w:val="both"/>
        <w:rPr>
          <w:rFonts w:ascii="Times New Roman" w:hAnsi="Times New Roman" w:cs="Times New Roman"/>
          <w:noProof/>
          <w:sz w:val="24"/>
          <w:szCs w:val="24"/>
        </w:rPr>
      </w:pPr>
      <w:r w:rsidRPr="00186CFA">
        <w:rPr>
          <w:rFonts w:ascii="Times New Roman" w:hAnsi="Times New Roman" w:cs="Times New Roman"/>
          <w:b/>
          <w:noProof/>
          <w:sz w:val="24"/>
          <w:szCs w:val="24"/>
        </w:rPr>
        <w:t>DIA results should also capture the impact on the level of poverty.</w:t>
      </w:r>
      <w:r w:rsidRPr="00186CFA">
        <w:rPr>
          <w:rFonts w:ascii="Times New Roman" w:hAnsi="Times New Roman" w:cs="Times New Roman"/>
          <w:noProof/>
          <w:sz w:val="24"/>
          <w:szCs w:val="24"/>
        </w:rPr>
        <w:t xml:space="preserve"> It is suggested to use the at-risk-of-poverty (AROP) rate and the relative</w:t>
      </w:r>
      <w:r w:rsidR="0040222C">
        <w:rPr>
          <w:rFonts w:ascii="Times New Roman" w:hAnsi="Times New Roman" w:cs="Times New Roman"/>
          <w:noProof/>
          <w:sz w:val="24"/>
          <w:szCs w:val="24"/>
        </w:rPr>
        <w:t xml:space="preserve"> median</w:t>
      </w:r>
      <w:r w:rsidRPr="00186CFA">
        <w:rPr>
          <w:rFonts w:ascii="Times New Roman" w:hAnsi="Times New Roman" w:cs="Times New Roman"/>
          <w:noProof/>
          <w:sz w:val="24"/>
          <w:szCs w:val="24"/>
        </w:rPr>
        <w:t xml:space="preserve"> at-risk-of-poverty gap. The first one is calculated as the share of persons with an annual equivalised disposable income below 60 per cent of the median annual equivalised disposable income and is the main component of the AROPE indicator that underpins the EU target of reduction of poverty and exclusion by 2030. The relative</w:t>
      </w:r>
      <w:r w:rsidR="0040222C">
        <w:rPr>
          <w:rFonts w:ascii="Times New Roman" w:hAnsi="Times New Roman" w:cs="Times New Roman"/>
          <w:noProof/>
          <w:sz w:val="24"/>
          <w:szCs w:val="24"/>
        </w:rPr>
        <w:t xml:space="preserve"> median</w:t>
      </w:r>
      <w:r w:rsidRPr="00186CFA">
        <w:rPr>
          <w:rFonts w:ascii="Times New Roman" w:hAnsi="Times New Roman" w:cs="Times New Roman"/>
          <w:noProof/>
          <w:sz w:val="24"/>
          <w:szCs w:val="24"/>
        </w:rPr>
        <w:t xml:space="preserve"> at-risk-of-poverty gap shows how far below the poverty line the median person in poverty is</w:t>
      </w:r>
      <w:r w:rsidR="0040222C">
        <w:rPr>
          <w:rFonts w:ascii="Times New Roman" w:hAnsi="Times New Roman" w:cs="Times New Roman"/>
          <w:noProof/>
          <w:sz w:val="24"/>
          <w:szCs w:val="24"/>
        </w:rPr>
        <w:t xml:space="preserve"> </w:t>
      </w:r>
      <w:r w:rsidR="0040222C" w:rsidRPr="0040222C">
        <w:rPr>
          <w:rFonts w:ascii="Times New Roman" w:hAnsi="Times New Roman" w:cs="Times New Roman"/>
          <w:noProof/>
          <w:sz w:val="24"/>
          <w:szCs w:val="24"/>
        </w:rPr>
        <w:t>as a share of the value of the poverty line.</w:t>
      </w:r>
      <w:r w:rsidRPr="00186CFA">
        <w:rPr>
          <w:rFonts w:ascii="Times New Roman" w:hAnsi="Times New Roman" w:cs="Times New Roman"/>
          <w:noProof/>
          <w:sz w:val="24"/>
          <w:szCs w:val="24"/>
        </w:rPr>
        <w:t xml:space="preserve"> </w:t>
      </w:r>
    </w:p>
    <w:p w14:paraId="33B0C988" w14:textId="77777777" w:rsidR="008767ED" w:rsidRDefault="008767ED" w:rsidP="00D56E53">
      <w:pPr>
        <w:contextualSpacing/>
        <w:jc w:val="both"/>
        <w:rPr>
          <w:rFonts w:ascii="Times New Roman" w:hAnsi="Times New Roman" w:cs="Times New Roman"/>
          <w:noProof/>
          <w:sz w:val="24"/>
          <w:szCs w:val="24"/>
        </w:rPr>
      </w:pPr>
    </w:p>
    <w:p w14:paraId="17F6DF2B" w14:textId="462BD81F" w:rsidR="004B1963" w:rsidRPr="00C37617" w:rsidRDefault="004B1963" w:rsidP="00740A2A">
      <w:pPr>
        <w:pBdr>
          <w:top w:val="single" w:sz="4" w:space="1" w:color="auto"/>
          <w:left w:val="single" w:sz="4" w:space="4" w:color="auto"/>
          <w:bottom w:val="single" w:sz="4" w:space="1" w:color="auto"/>
          <w:right w:val="single" w:sz="4" w:space="4" w:color="auto"/>
        </w:pBdr>
        <w:rPr>
          <w:rFonts w:ascii="Times New Roman" w:hAnsi="Times New Roman" w:cs="Times New Roman"/>
          <w:b/>
          <w:noProof/>
          <w:sz w:val="20"/>
          <w:szCs w:val="20"/>
        </w:rPr>
      </w:pPr>
      <w:r w:rsidRPr="00C37617">
        <w:rPr>
          <w:rFonts w:ascii="Times New Roman" w:hAnsi="Times New Roman" w:cs="Times New Roman"/>
          <w:b/>
          <w:noProof/>
          <w:sz w:val="20"/>
          <w:szCs w:val="20"/>
        </w:rPr>
        <w:t>Box</w:t>
      </w:r>
      <w:r w:rsidR="00E41B42" w:rsidRPr="00C37617">
        <w:rPr>
          <w:rFonts w:ascii="Times New Roman" w:hAnsi="Times New Roman" w:cs="Times New Roman"/>
          <w:b/>
          <w:noProof/>
          <w:sz w:val="20"/>
          <w:szCs w:val="20"/>
        </w:rPr>
        <w:t xml:space="preserve"> </w:t>
      </w:r>
      <w:r w:rsidR="00ED285A">
        <w:rPr>
          <w:rFonts w:ascii="Times New Roman" w:hAnsi="Times New Roman" w:cs="Times New Roman"/>
          <w:b/>
          <w:noProof/>
          <w:sz w:val="20"/>
          <w:szCs w:val="20"/>
        </w:rPr>
        <w:t>10</w:t>
      </w:r>
      <w:r w:rsidRPr="00C37617">
        <w:rPr>
          <w:rFonts w:ascii="Times New Roman" w:hAnsi="Times New Roman" w:cs="Times New Roman"/>
          <w:b/>
          <w:noProof/>
          <w:sz w:val="20"/>
          <w:szCs w:val="20"/>
        </w:rPr>
        <w:t>: A</w:t>
      </w:r>
      <w:r w:rsidR="006F0B54" w:rsidRPr="00C37617">
        <w:rPr>
          <w:rFonts w:ascii="Times New Roman" w:hAnsi="Times New Roman" w:cs="Times New Roman"/>
          <w:b/>
          <w:noProof/>
          <w:sz w:val="20"/>
          <w:szCs w:val="20"/>
        </w:rPr>
        <w:t>dditional</w:t>
      </w:r>
      <w:r w:rsidRPr="00C37617">
        <w:rPr>
          <w:rFonts w:ascii="Times New Roman" w:hAnsi="Times New Roman" w:cs="Times New Roman"/>
          <w:b/>
          <w:noProof/>
          <w:sz w:val="20"/>
          <w:szCs w:val="20"/>
        </w:rPr>
        <w:t xml:space="preserve"> indicators</w:t>
      </w:r>
      <w:r w:rsidR="008767ED" w:rsidRPr="00C37617">
        <w:rPr>
          <w:rFonts w:ascii="Times New Roman" w:hAnsi="Times New Roman" w:cs="Times New Roman"/>
          <w:b/>
          <w:noProof/>
          <w:sz w:val="20"/>
          <w:szCs w:val="20"/>
        </w:rPr>
        <w:t xml:space="preserve"> of inequality</w:t>
      </w:r>
    </w:p>
    <w:p w14:paraId="2B7B4C55" w14:textId="17D428F8" w:rsidR="004B1963" w:rsidRPr="00C11D08" w:rsidRDefault="004B1963" w:rsidP="008767ED">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4"/>
        </w:rPr>
      </w:pPr>
      <w:r w:rsidRPr="00C11D08">
        <w:rPr>
          <w:rFonts w:ascii="Times New Roman" w:hAnsi="Times New Roman" w:cs="Times New Roman"/>
          <w:noProof/>
          <w:sz w:val="20"/>
          <w:szCs w:val="24"/>
        </w:rPr>
        <w:t>A</w:t>
      </w:r>
      <w:r w:rsidR="0040222C">
        <w:rPr>
          <w:rFonts w:ascii="Times New Roman" w:hAnsi="Times New Roman" w:cs="Times New Roman"/>
          <w:noProof/>
          <w:sz w:val="20"/>
          <w:szCs w:val="24"/>
        </w:rPr>
        <w:t>dditional</w:t>
      </w:r>
      <w:r w:rsidRPr="00C11D08">
        <w:rPr>
          <w:rFonts w:ascii="Times New Roman" w:hAnsi="Times New Roman" w:cs="Times New Roman"/>
          <w:noProof/>
          <w:sz w:val="20"/>
          <w:szCs w:val="24"/>
        </w:rPr>
        <w:t xml:space="preserve"> measures</w:t>
      </w:r>
      <w:r w:rsidR="008767ED" w:rsidRPr="00C11D08">
        <w:rPr>
          <w:rFonts w:ascii="Times New Roman" w:hAnsi="Times New Roman" w:cs="Times New Roman"/>
          <w:noProof/>
          <w:sz w:val="20"/>
          <w:szCs w:val="24"/>
        </w:rPr>
        <w:t xml:space="preserve"> of income inequality</w:t>
      </w:r>
      <w:r w:rsidRPr="00C11D08">
        <w:rPr>
          <w:rFonts w:ascii="Times New Roman" w:hAnsi="Times New Roman" w:cs="Times New Roman"/>
          <w:noProof/>
          <w:sz w:val="20"/>
          <w:szCs w:val="24"/>
        </w:rPr>
        <w:t xml:space="preserve"> such as the Atkinson Index or Theil Index (or other general entropy measure) do not display some of the known weaknesses of the Gini Index, such as being more sensitive to changes in the middle of the income distribution than </w:t>
      </w:r>
      <w:r w:rsidR="00100F22">
        <w:rPr>
          <w:rFonts w:ascii="Times New Roman" w:hAnsi="Times New Roman" w:cs="Times New Roman"/>
          <w:noProof/>
          <w:sz w:val="20"/>
          <w:szCs w:val="24"/>
        </w:rPr>
        <w:t>to changes at the top or bottom</w:t>
      </w:r>
      <w:r w:rsidRPr="00C11D08">
        <w:rPr>
          <w:rFonts w:ascii="Times New Roman" w:hAnsi="Times New Roman" w:cs="Times New Roman"/>
          <w:noProof/>
          <w:sz w:val="20"/>
          <w:szCs w:val="24"/>
        </w:rPr>
        <w:t xml:space="preserve">, but are seldom used. </w:t>
      </w:r>
    </w:p>
    <w:p w14:paraId="40ABB24A" w14:textId="07310A00" w:rsidR="00740A2A" w:rsidRPr="00C11D08" w:rsidRDefault="00740A2A" w:rsidP="00740A2A">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4"/>
        </w:rPr>
      </w:pPr>
      <w:r w:rsidRPr="00100F22">
        <w:rPr>
          <w:rFonts w:ascii="Times New Roman" w:hAnsi="Times New Roman" w:cs="Times New Roman"/>
          <w:b/>
          <w:noProof/>
          <w:sz w:val="20"/>
          <w:szCs w:val="24"/>
        </w:rPr>
        <w:t>Atkinson Index:</w:t>
      </w:r>
      <w:r w:rsidRPr="00C11D08">
        <w:rPr>
          <w:rFonts w:ascii="Times New Roman" w:hAnsi="Times New Roman" w:cs="Times New Roman"/>
          <w:noProof/>
          <w:sz w:val="20"/>
          <w:szCs w:val="24"/>
        </w:rPr>
        <w:t xml:space="preserve"> A measure of income inequality that includes the level of aversion to inequality (measured in the coefficient ϵ), which weights incomes along with the distribution differently. Depending on the level of inequality aversion, the index becomes more or less sensitive to changes at different ends of the distribution. For example, if the inequality aversion is high, the marginal social welfare of an increase in income is higher for the lower end of the distribution. If there is no aversion (ϵ=0), the marginal social welfare for an income increase for the lower end of the income distribution is the same as for an increase for the higher end. </w:t>
      </w:r>
    </w:p>
    <w:p w14:paraId="15E385F8" w14:textId="6CF9F6D0" w:rsidR="00740A2A" w:rsidRPr="00C11D08" w:rsidRDefault="00740A2A" w:rsidP="00740A2A">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4"/>
        </w:rPr>
      </w:pPr>
      <w:r w:rsidRPr="00100F22">
        <w:rPr>
          <w:rFonts w:ascii="Times New Roman" w:hAnsi="Times New Roman" w:cs="Times New Roman"/>
          <w:b/>
          <w:noProof/>
          <w:sz w:val="20"/>
          <w:szCs w:val="24"/>
        </w:rPr>
        <w:t>Theil Index:</w:t>
      </w:r>
      <w:r w:rsidRPr="00C11D08">
        <w:rPr>
          <w:rFonts w:ascii="Times New Roman" w:hAnsi="Times New Roman" w:cs="Times New Roman"/>
          <w:noProof/>
          <w:sz w:val="20"/>
          <w:szCs w:val="24"/>
        </w:rPr>
        <w:t xml:space="preserve"> A measure of income inequality that is built on statistical information theory and belongs to the generalised entropy family of inequality indices. The Theil index, like all members of the generalised entropy family, can be exactly decomposed in between and within the inequality of mutually exclusive groups. The value of the index can range from 0 (perfect equality) to infinity. </w:t>
      </w:r>
    </w:p>
    <w:p w14:paraId="549740B4" w14:textId="4C7E869E" w:rsidR="00740A2A" w:rsidRPr="00C11D08" w:rsidRDefault="00740A2A" w:rsidP="00740A2A">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4"/>
        </w:rPr>
      </w:pPr>
      <w:r w:rsidRPr="00100F22">
        <w:rPr>
          <w:rFonts w:ascii="Times New Roman" w:hAnsi="Times New Roman" w:cs="Times New Roman"/>
          <w:b/>
          <w:noProof/>
          <w:sz w:val="20"/>
          <w:szCs w:val="24"/>
        </w:rPr>
        <w:t>Reynolds-Smolensky Index:</w:t>
      </w:r>
      <w:r w:rsidRPr="00C11D08">
        <w:rPr>
          <w:rFonts w:ascii="Times New Roman" w:hAnsi="Times New Roman" w:cs="Times New Roman"/>
          <w:noProof/>
          <w:sz w:val="20"/>
          <w:szCs w:val="24"/>
        </w:rPr>
        <w:t xml:space="preserve"> The most commonly used index of redistribution. It measures redistribution as the difference between the Gini index of income before tax and the concentration index of post-tax income.</w:t>
      </w:r>
    </w:p>
    <w:p w14:paraId="4E6860D1" w14:textId="0576E3EC" w:rsidR="00C73EC6" w:rsidRDefault="00740A2A" w:rsidP="008767ED">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4"/>
        </w:rPr>
      </w:pPr>
      <w:r w:rsidRPr="00100F22">
        <w:rPr>
          <w:rFonts w:ascii="Times New Roman" w:hAnsi="Times New Roman" w:cs="Times New Roman"/>
          <w:b/>
          <w:noProof/>
          <w:sz w:val="20"/>
          <w:szCs w:val="24"/>
        </w:rPr>
        <w:t>Kakwani Index:</w:t>
      </w:r>
      <w:r w:rsidRPr="00C11D08">
        <w:rPr>
          <w:rFonts w:ascii="Times New Roman" w:hAnsi="Times New Roman" w:cs="Times New Roman"/>
          <w:noProof/>
          <w:sz w:val="20"/>
          <w:szCs w:val="24"/>
        </w:rPr>
        <w:t xml:space="preserve"> </w:t>
      </w:r>
      <w:r w:rsidR="00C73EC6">
        <w:rPr>
          <w:rFonts w:ascii="Times New Roman" w:hAnsi="Times New Roman" w:cs="Times New Roman"/>
          <w:noProof/>
          <w:sz w:val="20"/>
          <w:szCs w:val="24"/>
        </w:rPr>
        <w:t>It</w:t>
      </w:r>
      <w:r w:rsidR="00C73EC6" w:rsidRPr="00C73EC6">
        <w:rPr>
          <w:rFonts w:ascii="Times New Roman" w:hAnsi="Times New Roman" w:cs="Times New Roman"/>
          <w:noProof/>
          <w:sz w:val="20"/>
          <w:szCs w:val="24"/>
        </w:rPr>
        <w:t xml:space="preserve"> uses the Gini framework to measure how progressive a social intervention is. It is equal to the difference between the Gini index for the social intervention, and the Gini index for incomes before imposition of the policy intervention. Theoretically, the Kakwani index can vary between −1 to 1; the larger the index is, the more progressive is the social intervention.</w:t>
      </w:r>
    </w:p>
    <w:p w14:paraId="7D30FD2D" w14:textId="14551B79" w:rsidR="002C3CAB" w:rsidRDefault="008767ED" w:rsidP="002C3CAB">
      <w:pPr>
        <w:spacing w:before="120" w:after="120"/>
        <w:jc w:val="both"/>
        <w:rPr>
          <w:rFonts w:ascii="Times New Roman" w:hAnsi="Times New Roman" w:cs="Times New Roman"/>
          <w:noProof/>
          <w:sz w:val="24"/>
          <w:szCs w:val="24"/>
        </w:rPr>
      </w:pPr>
      <w:r w:rsidRPr="002C3CAB">
        <w:rPr>
          <w:rFonts w:ascii="Times New Roman" w:eastAsia="Arial" w:hAnsi="Times New Roman" w:cs="Times New Roman"/>
          <w:b/>
          <w:noProof/>
          <w:sz w:val="24"/>
          <w:szCs w:val="24"/>
        </w:rPr>
        <w:t>T</w:t>
      </w:r>
      <w:r w:rsidR="00C724AF" w:rsidRPr="002C3CAB">
        <w:rPr>
          <w:rFonts w:ascii="Times New Roman" w:eastAsia="Arial" w:hAnsi="Times New Roman" w:cs="Times New Roman"/>
          <w:b/>
          <w:noProof/>
          <w:sz w:val="24"/>
          <w:szCs w:val="24"/>
        </w:rPr>
        <w:t>he mean disposable income by income group and the Gini coefficient are the most frequently used indicators for</w:t>
      </w:r>
      <w:r w:rsidR="002C3CAB" w:rsidRPr="002C3CAB">
        <w:rPr>
          <w:rFonts w:ascii="Times New Roman" w:eastAsia="Arial" w:hAnsi="Times New Roman" w:cs="Times New Roman"/>
          <w:b/>
          <w:noProof/>
          <w:sz w:val="24"/>
          <w:szCs w:val="24"/>
        </w:rPr>
        <w:t xml:space="preserve"> prese</w:t>
      </w:r>
      <w:r w:rsidR="002C3CAB">
        <w:rPr>
          <w:rFonts w:ascii="Times New Roman" w:eastAsia="Arial" w:hAnsi="Times New Roman" w:cs="Times New Roman"/>
          <w:b/>
          <w:noProof/>
          <w:sz w:val="24"/>
          <w:szCs w:val="24"/>
        </w:rPr>
        <w:t>n</w:t>
      </w:r>
      <w:r w:rsidR="002C3CAB" w:rsidRPr="002C3CAB">
        <w:rPr>
          <w:rFonts w:ascii="Times New Roman" w:eastAsia="Arial" w:hAnsi="Times New Roman" w:cs="Times New Roman"/>
          <w:b/>
          <w:noProof/>
          <w:sz w:val="24"/>
          <w:szCs w:val="24"/>
        </w:rPr>
        <w:t>ting</w:t>
      </w:r>
      <w:r w:rsidR="00C724AF" w:rsidRPr="002C3CAB">
        <w:rPr>
          <w:rFonts w:ascii="Times New Roman" w:eastAsia="Arial" w:hAnsi="Times New Roman" w:cs="Times New Roman"/>
          <w:b/>
          <w:noProof/>
          <w:sz w:val="24"/>
          <w:szCs w:val="24"/>
        </w:rPr>
        <w:t xml:space="preserve"> DIA</w:t>
      </w:r>
      <w:r w:rsidR="002C3CAB" w:rsidRPr="002C3CAB">
        <w:rPr>
          <w:rFonts w:ascii="Times New Roman" w:eastAsia="Arial" w:hAnsi="Times New Roman" w:cs="Times New Roman"/>
          <w:b/>
          <w:noProof/>
          <w:sz w:val="24"/>
          <w:szCs w:val="24"/>
        </w:rPr>
        <w:t xml:space="preserve"> results</w:t>
      </w:r>
      <w:r w:rsidR="00C724AF" w:rsidRPr="002C3CAB">
        <w:rPr>
          <w:rFonts w:ascii="Times New Roman" w:eastAsia="Arial" w:hAnsi="Times New Roman" w:cs="Times New Roman"/>
          <w:b/>
          <w:noProof/>
          <w:sz w:val="24"/>
          <w:szCs w:val="24"/>
        </w:rPr>
        <w:t xml:space="preserve"> in DBPs</w:t>
      </w:r>
      <w:r w:rsidR="00C724AF" w:rsidRPr="00E13CD2">
        <w:rPr>
          <w:rFonts w:ascii="Times New Roman" w:eastAsia="Arial" w:hAnsi="Times New Roman" w:cs="Times New Roman"/>
          <w:noProof/>
          <w:sz w:val="24"/>
          <w:szCs w:val="24"/>
        </w:rPr>
        <w:t xml:space="preserve"> (</w:t>
      </w:r>
      <w:r w:rsidR="002C3CAB">
        <w:rPr>
          <w:rFonts w:ascii="Times New Roman" w:eastAsia="Arial" w:hAnsi="Times New Roman" w:cs="Times New Roman"/>
          <w:noProof/>
          <w:sz w:val="24"/>
          <w:szCs w:val="24"/>
        </w:rPr>
        <w:t xml:space="preserve">Figure </w:t>
      </w:r>
      <w:r w:rsidR="005C7789">
        <w:rPr>
          <w:rFonts w:ascii="Times New Roman" w:eastAsia="Arial" w:hAnsi="Times New Roman" w:cs="Times New Roman"/>
          <w:noProof/>
          <w:sz w:val="24"/>
          <w:szCs w:val="24"/>
        </w:rPr>
        <w:t>6</w:t>
      </w:r>
      <w:r w:rsidR="00C724AF" w:rsidRPr="00E13CD2">
        <w:rPr>
          <w:rFonts w:ascii="Times New Roman" w:eastAsia="Arial" w:hAnsi="Times New Roman" w:cs="Times New Roman"/>
          <w:noProof/>
          <w:sz w:val="24"/>
          <w:szCs w:val="24"/>
        </w:rPr>
        <w:t xml:space="preserve">). </w:t>
      </w:r>
      <w:r w:rsidR="004C369B">
        <w:rPr>
          <w:rFonts w:ascii="Times New Roman" w:eastAsia="Arial" w:hAnsi="Times New Roman" w:cs="Times New Roman"/>
          <w:noProof/>
          <w:sz w:val="24"/>
          <w:szCs w:val="24"/>
        </w:rPr>
        <w:t>Over the period 2018-2020, t</w:t>
      </w:r>
      <w:r w:rsidR="00C724AF" w:rsidRPr="00E13CD2">
        <w:rPr>
          <w:rFonts w:ascii="Times New Roman" w:eastAsia="Arial" w:hAnsi="Times New Roman" w:cs="Times New Roman"/>
          <w:noProof/>
          <w:sz w:val="24"/>
          <w:szCs w:val="24"/>
        </w:rPr>
        <w:t>hree countries use</w:t>
      </w:r>
      <w:r w:rsidR="00C73EC6">
        <w:rPr>
          <w:rFonts w:ascii="Times New Roman" w:eastAsia="Arial" w:hAnsi="Times New Roman" w:cs="Times New Roman"/>
          <w:noProof/>
          <w:sz w:val="24"/>
          <w:szCs w:val="24"/>
        </w:rPr>
        <w:t>d</w:t>
      </w:r>
      <w:r w:rsidR="00C724AF" w:rsidRPr="00E13CD2">
        <w:rPr>
          <w:rFonts w:ascii="Times New Roman" w:eastAsia="Arial" w:hAnsi="Times New Roman" w:cs="Times New Roman"/>
          <w:noProof/>
          <w:sz w:val="24"/>
          <w:szCs w:val="24"/>
        </w:rPr>
        <w:t xml:space="preserve"> the AROP rate, the relative median at-risk-of-poverty gap and performed a “winners and losers” analysis</w:t>
      </w:r>
      <w:r w:rsidR="00C724AF" w:rsidRPr="00E13CD2">
        <w:rPr>
          <w:rFonts w:ascii="Times New Roman" w:hAnsi="Times New Roman" w:cs="Times New Roman"/>
          <w:noProof/>
          <w:sz w:val="24"/>
          <w:szCs w:val="24"/>
          <w:vertAlign w:val="superscript"/>
        </w:rPr>
        <w:footnoteReference w:id="53"/>
      </w:r>
      <w:r w:rsidR="00C724AF" w:rsidRPr="00E13CD2">
        <w:rPr>
          <w:rFonts w:ascii="Times New Roman" w:eastAsia="Arial" w:hAnsi="Times New Roman" w:cs="Times New Roman"/>
          <w:noProof/>
          <w:sz w:val="24"/>
          <w:szCs w:val="24"/>
        </w:rPr>
        <w:t xml:space="preserve"> from the implemented policy across different income groups. Two countries </w:t>
      </w:r>
      <w:r w:rsidR="002C3CAB">
        <w:rPr>
          <w:rFonts w:ascii="Times New Roman" w:eastAsia="Arial" w:hAnsi="Times New Roman" w:cs="Times New Roman"/>
          <w:noProof/>
          <w:sz w:val="24"/>
          <w:szCs w:val="24"/>
        </w:rPr>
        <w:t>include</w:t>
      </w:r>
      <w:r w:rsidR="00C73EC6">
        <w:rPr>
          <w:rFonts w:ascii="Times New Roman" w:eastAsia="Arial" w:hAnsi="Times New Roman" w:cs="Times New Roman"/>
          <w:noProof/>
          <w:sz w:val="24"/>
          <w:szCs w:val="24"/>
        </w:rPr>
        <w:t>d</w:t>
      </w:r>
      <w:r w:rsidR="00C724AF" w:rsidRPr="00E13CD2">
        <w:rPr>
          <w:rFonts w:ascii="Times New Roman" w:eastAsia="Arial" w:hAnsi="Times New Roman" w:cs="Times New Roman"/>
          <w:noProof/>
          <w:sz w:val="24"/>
          <w:szCs w:val="24"/>
        </w:rPr>
        <w:t xml:space="preserve"> </w:t>
      </w:r>
      <w:r w:rsidR="002C3CAB" w:rsidRPr="002C3CAB">
        <w:rPr>
          <w:rFonts w:ascii="Times New Roman" w:eastAsia="Arial" w:hAnsi="Times New Roman" w:cs="Times New Roman"/>
          <w:noProof/>
          <w:sz w:val="24"/>
          <w:szCs w:val="24"/>
        </w:rPr>
        <w:t xml:space="preserve">the total share of income of the bottom </w:t>
      </w:r>
      <w:r w:rsidR="002C3CAB">
        <w:rPr>
          <w:rFonts w:ascii="Times New Roman" w:eastAsia="Arial" w:hAnsi="Times New Roman" w:cs="Times New Roman"/>
          <w:noProof/>
          <w:sz w:val="24"/>
          <w:szCs w:val="24"/>
        </w:rPr>
        <w:t>80% in the income distribution</w:t>
      </w:r>
      <w:r w:rsidR="00C724AF" w:rsidRPr="00E13CD2">
        <w:rPr>
          <w:rFonts w:ascii="Times New Roman" w:eastAsia="Arial" w:hAnsi="Times New Roman" w:cs="Times New Roman"/>
          <w:noProof/>
          <w:sz w:val="24"/>
          <w:szCs w:val="24"/>
        </w:rPr>
        <w:t xml:space="preserve"> </w:t>
      </w:r>
      <w:r w:rsidR="004C369B">
        <w:rPr>
          <w:rFonts w:ascii="Times New Roman" w:eastAsia="Arial" w:hAnsi="Times New Roman" w:cs="Times New Roman"/>
          <w:noProof/>
          <w:sz w:val="24"/>
          <w:szCs w:val="24"/>
        </w:rPr>
        <w:t>(</w:t>
      </w:r>
      <w:r w:rsidR="00C724AF" w:rsidRPr="00E13CD2">
        <w:rPr>
          <w:rFonts w:ascii="Times New Roman" w:eastAsia="Arial" w:hAnsi="Times New Roman" w:cs="Times New Roman"/>
          <w:noProof/>
          <w:sz w:val="24"/>
          <w:szCs w:val="24"/>
        </w:rPr>
        <w:t>S80</w:t>
      </w:r>
      <w:r w:rsidR="004C369B">
        <w:rPr>
          <w:rFonts w:ascii="Times New Roman" w:eastAsia="Arial" w:hAnsi="Times New Roman" w:cs="Times New Roman"/>
          <w:noProof/>
          <w:sz w:val="24"/>
          <w:szCs w:val="24"/>
        </w:rPr>
        <w:t>)</w:t>
      </w:r>
      <w:r w:rsidR="00C724AF" w:rsidRPr="00E13CD2">
        <w:rPr>
          <w:rFonts w:ascii="Times New Roman" w:eastAsia="Arial" w:hAnsi="Times New Roman" w:cs="Times New Roman"/>
          <w:noProof/>
          <w:sz w:val="24"/>
          <w:szCs w:val="24"/>
        </w:rPr>
        <w:t xml:space="preserve">, while Theil index, Atkinson indices and wealth inequality indicators </w:t>
      </w:r>
      <w:r w:rsidR="000D6449">
        <w:rPr>
          <w:rFonts w:ascii="Times New Roman" w:eastAsia="Arial" w:hAnsi="Times New Roman" w:cs="Times New Roman"/>
          <w:noProof/>
          <w:sz w:val="24"/>
          <w:szCs w:val="24"/>
        </w:rPr>
        <w:t>are</w:t>
      </w:r>
      <w:r w:rsidR="000D6449" w:rsidRPr="00E13CD2">
        <w:rPr>
          <w:rFonts w:ascii="Times New Roman" w:eastAsia="Arial" w:hAnsi="Times New Roman" w:cs="Times New Roman"/>
          <w:noProof/>
          <w:sz w:val="24"/>
          <w:szCs w:val="24"/>
        </w:rPr>
        <w:t xml:space="preserve"> </w:t>
      </w:r>
      <w:r w:rsidR="00C724AF" w:rsidRPr="00E13CD2">
        <w:rPr>
          <w:rFonts w:ascii="Times New Roman" w:eastAsia="Arial" w:hAnsi="Times New Roman" w:cs="Times New Roman"/>
          <w:noProof/>
          <w:sz w:val="24"/>
          <w:szCs w:val="24"/>
        </w:rPr>
        <w:t xml:space="preserve">used by only one country. </w:t>
      </w:r>
    </w:p>
    <w:p w14:paraId="279B2A60" w14:textId="77777777" w:rsidR="00C724AF" w:rsidRDefault="00C724AF" w:rsidP="00C724AF">
      <w:pPr>
        <w:pStyle w:val="ListParagraph"/>
        <w:spacing w:before="120" w:after="120"/>
        <w:ind w:left="360"/>
        <w:rPr>
          <w:rFonts w:ascii="Arial" w:eastAsia="Times New Roman" w:hAnsi="Arial" w:cs="Times New Roman"/>
          <w:b/>
          <w:noProof/>
          <w:color w:val="325BAA"/>
          <w:lang w:eastAsia="en-GB"/>
        </w:rPr>
      </w:pPr>
    </w:p>
    <w:p w14:paraId="06B56564" w14:textId="0A45DE19" w:rsidR="00C724AF" w:rsidRPr="00347053" w:rsidRDefault="00C724AF" w:rsidP="00851BA8">
      <w:pPr>
        <w:pStyle w:val="ListParagraph"/>
        <w:keepNext/>
        <w:keepLines/>
        <w:spacing w:before="120" w:after="120"/>
        <w:ind w:left="360"/>
        <w:jc w:val="both"/>
        <w:rPr>
          <w:rFonts w:ascii="Times New Roman" w:eastAsia="Times New Roman" w:hAnsi="Times New Roman" w:cs="Times New Roman"/>
          <w:b/>
          <w:noProof/>
          <w:sz w:val="24"/>
          <w:szCs w:val="24"/>
          <w:lang w:eastAsia="en-GB"/>
        </w:rPr>
      </w:pPr>
      <w:r w:rsidRPr="00347053">
        <w:rPr>
          <w:rFonts w:ascii="Times New Roman" w:eastAsia="Times New Roman" w:hAnsi="Times New Roman" w:cs="Times New Roman"/>
          <w:b/>
          <w:noProof/>
          <w:sz w:val="24"/>
          <w:szCs w:val="24"/>
          <w:lang w:eastAsia="en-GB"/>
        </w:rPr>
        <w:t xml:space="preserve">Figure </w:t>
      </w:r>
      <w:r w:rsidR="005C7789">
        <w:rPr>
          <w:rFonts w:ascii="Times New Roman" w:eastAsia="Times New Roman" w:hAnsi="Times New Roman" w:cs="Times New Roman"/>
          <w:b/>
          <w:noProof/>
          <w:sz w:val="24"/>
          <w:szCs w:val="24"/>
          <w:lang w:eastAsia="en-GB"/>
        </w:rPr>
        <w:t>6</w:t>
      </w:r>
      <w:r w:rsidRPr="00347053">
        <w:rPr>
          <w:rFonts w:ascii="Times New Roman" w:eastAsia="Times New Roman" w:hAnsi="Times New Roman" w:cs="Times New Roman"/>
          <w:b/>
          <w:noProof/>
          <w:sz w:val="24"/>
          <w:szCs w:val="24"/>
          <w:lang w:eastAsia="en-GB"/>
        </w:rPr>
        <w:t xml:space="preserve"> –Types of DIA analysis</w:t>
      </w:r>
      <w:r w:rsidR="002C3CAB" w:rsidRPr="00347053">
        <w:rPr>
          <w:rFonts w:ascii="Times New Roman" w:eastAsia="Times New Roman" w:hAnsi="Times New Roman" w:cs="Times New Roman"/>
          <w:b/>
          <w:noProof/>
          <w:sz w:val="24"/>
          <w:szCs w:val="24"/>
          <w:lang w:eastAsia="en-GB"/>
        </w:rPr>
        <w:t xml:space="preserve"> by euro area Member States</w:t>
      </w:r>
      <w:r w:rsidRPr="00347053">
        <w:rPr>
          <w:rFonts w:ascii="Times New Roman" w:eastAsia="Times New Roman" w:hAnsi="Times New Roman" w:cs="Times New Roman"/>
          <w:b/>
          <w:noProof/>
          <w:sz w:val="24"/>
          <w:szCs w:val="24"/>
          <w:lang w:eastAsia="en-GB"/>
        </w:rPr>
        <w:t xml:space="preserve"> in DBP </w:t>
      </w:r>
      <w:r w:rsidR="002C3CAB" w:rsidRPr="00347053">
        <w:rPr>
          <w:rFonts w:ascii="Times New Roman" w:eastAsia="Times New Roman" w:hAnsi="Times New Roman" w:cs="Times New Roman"/>
          <w:b/>
          <w:noProof/>
          <w:sz w:val="24"/>
          <w:szCs w:val="24"/>
          <w:lang w:eastAsia="en-GB"/>
        </w:rPr>
        <w:t>(</w:t>
      </w:r>
      <w:r w:rsidRPr="00347053">
        <w:rPr>
          <w:rFonts w:ascii="Times New Roman" w:eastAsia="Times New Roman" w:hAnsi="Times New Roman" w:cs="Times New Roman"/>
          <w:b/>
          <w:noProof/>
          <w:sz w:val="24"/>
          <w:szCs w:val="24"/>
          <w:lang w:eastAsia="en-GB"/>
        </w:rPr>
        <w:t>2018-2020</w:t>
      </w:r>
      <w:r w:rsidR="002C3CAB" w:rsidRPr="00347053">
        <w:rPr>
          <w:rFonts w:ascii="Times New Roman" w:eastAsia="Times New Roman" w:hAnsi="Times New Roman" w:cs="Times New Roman"/>
          <w:b/>
          <w:noProof/>
          <w:sz w:val="24"/>
          <w:szCs w:val="24"/>
          <w:lang w:eastAsia="en-GB"/>
        </w:rPr>
        <w:t xml:space="preserve">) </w:t>
      </w:r>
      <w:r w:rsidRPr="00347053">
        <w:rPr>
          <w:rFonts w:ascii="Times New Roman" w:eastAsia="Times New Roman" w:hAnsi="Times New Roman" w:cs="Times New Roman"/>
          <w:b/>
          <w:noProof/>
          <w:sz w:val="24"/>
          <w:szCs w:val="24"/>
          <w:lang w:eastAsia="en-GB"/>
        </w:rPr>
        <w:t>(N=9)</w:t>
      </w:r>
    </w:p>
    <w:p w14:paraId="77FF6FDD" w14:textId="77777777" w:rsidR="00C724AF" w:rsidRPr="00064A2C" w:rsidRDefault="00C724AF" w:rsidP="00851BA8">
      <w:pPr>
        <w:keepNext/>
        <w:keepLines/>
        <w:jc w:val="center"/>
        <w:rPr>
          <w:rFonts w:ascii="Arial" w:eastAsia="Arial" w:hAnsi="Arial" w:cs="Arial"/>
          <w:noProof/>
          <w:lang w:eastAsia="it-IT"/>
        </w:rPr>
      </w:pPr>
      <w:r>
        <w:rPr>
          <w:noProof/>
          <w:lang w:eastAsia="en-GB"/>
        </w:rPr>
        <w:drawing>
          <wp:inline distT="0" distB="0" distL="0" distR="0" wp14:anchorId="6CCAC8B6" wp14:editId="1D8E3F9F">
            <wp:extent cx="5205742" cy="5205742"/>
            <wp:effectExtent l="0" t="0" r="0" b="0"/>
            <wp:docPr id="7" name="Picture 7" descr="Graph bar displaying how many European Member States (x-axis) performed different types of indicators used for DIA analysis within DBPs (y-axis). Concerning the indicators, the majority of MS used Gini and Disposable income, followed by AROP gap and rate and winners and losers. Two MS use the S80 indicator and only 1 MS relies on wealth indicators and on Atkinson, Theil and tax burden inde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png" descr="Graph bar displaying how many European Member States (x-axis) performed different types of indicators used for DIA analysis within DBPs (y-axis). Concerning the indicators, the majority of MS used Gini and Disposable income, followed by AROP gap and rate and winners and losers. Two MS use the S80 indicator and only 1 MS relies on wealth indicators and on Atkinson, Theil and tax burden index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12783" cy="5212783"/>
                    </a:xfrm>
                    <a:prstGeom prst="rect">
                      <a:avLst/>
                    </a:prstGeom>
                    <a:noFill/>
                    <a:ln>
                      <a:noFill/>
                    </a:ln>
                  </pic:spPr>
                </pic:pic>
              </a:graphicData>
            </a:graphic>
          </wp:inline>
        </w:drawing>
      </w:r>
    </w:p>
    <w:p w14:paraId="6A401BEE" w14:textId="1A783A56" w:rsidR="001D2878" w:rsidRPr="008F1389" w:rsidRDefault="00C724AF" w:rsidP="008F1389">
      <w:pPr>
        <w:pStyle w:val="TableNote"/>
        <w:keepNext/>
        <w:keepLines/>
        <w:jc w:val="both"/>
        <w:rPr>
          <w:rFonts w:ascii="Times New Roman" w:hAnsi="Times New Roman"/>
          <w:noProof/>
          <w:sz w:val="20"/>
          <w:szCs w:val="20"/>
        </w:rPr>
      </w:pPr>
      <w:r w:rsidRPr="008F1389">
        <w:rPr>
          <w:rFonts w:ascii="Times New Roman" w:hAnsi="Times New Roman"/>
          <w:noProof/>
          <w:sz w:val="20"/>
          <w:szCs w:val="20"/>
        </w:rPr>
        <w:t>Note: The analysis includes only Estonia, Finland, France, Greece, Ireland, Latvia, Lithuania, Malta and the Netherlands, as they are the only Euro Area Member States that performed at least one DIA occurrence in their DPB in 2018-2020. Respondents are allowed to choose multiple answers.</w:t>
      </w:r>
      <w:r w:rsidR="004763BA">
        <w:rPr>
          <w:rFonts w:ascii="Times New Roman" w:hAnsi="Times New Roman"/>
          <w:i/>
          <w:noProof/>
          <w:sz w:val="20"/>
          <w:szCs w:val="20"/>
          <w:lang w:val="en-IE"/>
        </w:rPr>
        <w:t xml:space="preserve"> </w:t>
      </w:r>
      <w:r w:rsidR="00DB3191" w:rsidRPr="008F1389">
        <w:rPr>
          <w:rFonts w:ascii="Times New Roman" w:hAnsi="Times New Roman"/>
          <w:noProof/>
          <w:sz w:val="20"/>
          <w:szCs w:val="20"/>
          <w:lang w:val="en-IE"/>
        </w:rPr>
        <w:t>Source: Study on Distribution Impact Assessment by the University of Milan, finan</w:t>
      </w:r>
      <w:r w:rsidR="001D2878" w:rsidRPr="008F1389">
        <w:rPr>
          <w:rFonts w:ascii="Times New Roman" w:hAnsi="Times New Roman"/>
          <w:noProof/>
          <w:sz w:val="20"/>
          <w:szCs w:val="20"/>
          <w:lang w:val="en-IE"/>
        </w:rPr>
        <w:t xml:space="preserve">ced by the Commission (DG EMPL): </w:t>
      </w:r>
      <w:hyperlink r:id="rId30" w:tgtFrame="_blank" w:history="1">
        <w:r w:rsidR="001D2878" w:rsidRPr="008F1389">
          <w:rPr>
            <w:rStyle w:val="Hyperlink"/>
            <w:rFonts w:ascii="Times New Roman" w:hAnsi="Times New Roman"/>
            <w:bCs/>
            <w:noProof/>
            <w:color w:val="000000"/>
            <w:sz w:val="20"/>
            <w:szCs w:val="20"/>
            <w:shd w:val="clear" w:color="auto" w:fill="FFFFFF"/>
          </w:rPr>
          <w:t>https://data.europa.eu/doi/10.2767/511644</w:t>
        </w:r>
      </w:hyperlink>
      <w:r w:rsidR="004763BA">
        <w:rPr>
          <w:rStyle w:val="Hyperlink"/>
          <w:rFonts w:ascii="Times New Roman" w:hAnsi="Times New Roman"/>
          <w:bCs/>
          <w:noProof/>
          <w:color w:val="000000"/>
          <w:sz w:val="20"/>
          <w:szCs w:val="20"/>
          <w:shd w:val="clear" w:color="auto" w:fill="FFFFFF"/>
        </w:rPr>
        <w:t xml:space="preserve"> </w:t>
      </w:r>
    </w:p>
    <w:p w14:paraId="3B3AB60F" w14:textId="2CE774C3" w:rsidR="002C3CAB" w:rsidRPr="00FF3A81" w:rsidRDefault="002C3CAB" w:rsidP="002C3CAB">
      <w:pPr>
        <w:spacing w:before="120" w:after="120"/>
        <w:jc w:val="both"/>
        <w:rPr>
          <w:rFonts w:ascii="Times New Roman" w:hAnsi="Times New Roman" w:cs="Times New Roman"/>
          <w:noProof/>
          <w:sz w:val="24"/>
          <w:szCs w:val="24"/>
        </w:rPr>
      </w:pPr>
      <w:r w:rsidRPr="002C3CAB">
        <w:rPr>
          <w:rFonts w:ascii="Times New Roman" w:hAnsi="Times New Roman" w:cs="Times New Roman"/>
          <w:b/>
          <w:noProof/>
          <w:sz w:val="24"/>
          <w:szCs w:val="24"/>
        </w:rPr>
        <w:t>Outside the DBPs, the majority of Member States conducting DIA used winner</w:t>
      </w:r>
      <w:r w:rsidR="008D5ED9">
        <w:rPr>
          <w:rFonts w:ascii="Times New Roman" w:hAnsi="Times New Roman" w:cs="Times New Roman"/>
          <w:b/>
          <w:noProof/>
          <w:sz w:val="24"/>
          <w:szCs w:val="24"/>
        </w:rPr>
        <w:t>s</w:t>
      </w:r>
      <w:r w:rsidRPr="002C3CAB">
        <w:rPr>
          <w:rFonts w:ascii="Times New Roman" w:hAnsi="Times New Roman" w:cs="Times New Roman"/>
          <w:b/>
          <w:noProof/>
          <w:sz w:val="24"/>
          <w:szCs w:val="24"/>
        </w:rPr>
        <w:t xml:space="preserve"> and losers across different income groups</w:t>
      </w:r>
      <w:r w:rsidR="00CD1E43">
        <w:rPr>
          <w:rFonts w:ascii="Times New Roman" w:hAnsi="Times New Roman" w:cs="Times New Roman"/>
          <w:b/>
          <w:noProof/>
          <w:sz w:val="24"/>
          <w:szCs w:val="24"/>
        </w:rPr>
        <w:t xml:space="preserve"> </w:t>
      </w:r>
      <w:r w:rsidR="00CD1E43" w:rsidRPr="00CD1E43">
        <w:rPr>
          <w:rFonts w:ascii="Times New Roman" w:hAnsi="Times New Roman" w:cs="Times New Roman"/>
          <w:b/>
          <w:noProof/>
          <w:sz w:val="24"/>
          <w:szCs w:val="24"/>
        </w:rPr>
        <w:t>(changes in income levels for various groups, such as income deciles or quintiles)</w:t>
      </w:r>
      <w:r w:rsidRPr="002C3CAB">
        <w:rPr>
          <w:rFonts w:ascii="Times New Roman" w:hAnsi="Times New Roman" w:cs="Times New Roman"/>
          <w:b/>
          <w:noProof/>
          <w:sz w:val="24"/>
          <w:szCs w:val="24"/>
        </w:rPr>
        <w:t>, Gini coefficient, average tax burden by income group, at-risk-of-poverty rate and mean disposable income by income group to present the results</w:t>
      </w:r>
      <w:r w:rsidR="004C369B">
        <w:rPr>
          <w:rFonts w:ascii="Times New Roman" w:hAnsi="Times New Roman" w:cs="Times New Roman"/>
          <w:b/>
          <w:noProof/>
          <w:sz w:val="24"/>
          <w:szCs w:val="24"/>
        </w:rPr>
        <w:t xml:space="preserve"> </w:t>
      </w:r>
      <w:r w:rsidR="004C369B" w:rsidRPr="004C369B">
        <w:rPr>
          <w:rFonts w:ascii="Times New Roman" w:hAnsi="Times New Roman" w:cs="Times New Roman"/>
          <w:noProof/>
          <w:sz w:val="24"/>
          <w:szCs w:val="24"/>
        </w:rPr>
        <w:t xml:space="preserve">(Figure </w:t>
      </w:r>
      <w:r w:rsidR="005C7789">
        <w:rPr>
          <w:rFonts w:ascii="Times New Roman" w:hAnsi="Times New Roman" w:cs="Times New Roman"/>
          <w:noProof/>
          <w:sz w:val="24"/>
          <w:szCs w:val="24"/>
        </w:rPr>
        <w:t>7</w:t>
      </w:r>
      <w:r w:rsidR="004C369B" w:rsidRPr="004C369B">
        <w:rPr>
          <w:rFonts w:ascii="Times New Roman" w:hAnsi="Times New Roman" w:cs="Times New Roman"/>
          <w:noProof/>
          <w:sz w:val="24"/>
          <w:szCs w:val="24"/>
        </w:rPr>
        <w:t>)</w:t>
      </w:r>
      <w:r w:rsidRPr="002C3CAB">
        <w:rPr>
          <w:rFonts w:ascii="Times New Roman" w:hAnsi="Times New Roman" w:cs="Times New Roman"/>
          <w:b/>
          <w:noProof/>
          <w:sz w:val="24"/>
          <w:szCs w:val="24"/>
        </w:rPr>
        <w:t>.</w:t>
      </w:r>
      <w:r>
        <w:rPr>
          <w:rFonts w:ascii="Times New Roman" w:hAnsi="Times New Roman" w:cs="Times New Roman"/>
          <w:noProof/>
          <w:sz w:val="24"/>
          <w:szCs w:val="24"/>
        </w:rPr>
        <w:t xml:space="preserve"> About half of Member States included the </w:t>
      </w:r>
      <w:r w:rsidRPr="002C3CAB">
        <w:rPr>
          <w:rFonts w:ascii="Times New Roman" w:hAnsi="Times New Roman" w:cs="Times New Roman"/>
          <w:noProof/>
          <w:sz w:val="24"/>
          <w:szCs w:val="24"/>
        </w:rPr>
        <w:t>total share of income of the bottom 80% in the income distribution, S80, and at-risk-of-poverty gap</w:t>
      </w:r>
      <w:r w:rsidR="00CF5B7F">
        <w:rPr>
          <w:rFonts w:ascii="Times New Roman" w:hAnsi="Times New Roman" w:cs="Times New Roman"/>
          <w:noProof/>
          <w:sz w:val="24"/>
          <w:szCs w:val="24"/>
        </w:rPr>
        <w:t>. O</w:t>
      </w:r>
      <w:r w:rsidRPr="002C3CAB">
        <w:rPr>
          <w:rFonts w:ascii="Times New Roman" w:hAnsi="Times New Roman" w:cs="Times New Roman"/>
          <w:noProof/>
          <w:sz w:val="24"/>
          <w:szCs w:val="24"/>
        </w:rPr>
        <w:t>nly a few M</w:t>
      </w:r>
      <w:r w:rsidR="00CF5B7F">
        <w:rPr>
          <w:rFonts w:ascii="Times New Roman" w:hAnsi="Times New Roman" w:cs="Times New Roman"/>
          <w:noProof/>
          <w:sz w:val="24"/>
          <w:szCs w:val="24"/>
        </w:rPr>
        <w:t xml:space="preserve">ember </w:t>
      </w:r>
      <w:r w:rsidRPr="002C3CAB">
        <w:rPr>
          <w:rFonts w:ascii="Times New Roman" w:hAnsi="Times New Roman" w:cs="Times New Roman"/>
          <w:noProof/>
          <w:sz w:val="24"/>
          <w:szCs w:val="24"/>
        </w:rPr>
        <w:t>S</w:t>
      </w:r>
      <w:r w:rsidR="00CF5B7F">
        <w:rPr>
          <w:rFonts w:ascii="Times New Roman" w:hAnsi="Times New Roman" w:cs="Times New Roman"/>
          <w:noProof/>
          <w:sz w:val="24"/>
          <w:szCs w:val="24"/>
        </w:rPr>
        <w:t xml:space="preserve">tates based its analysis on </w:t>
      </w:r>
      <w:r w:rsidRPr="002C3CAB">
        <w:rPr>
          <w:rFonts w:ascii="Times New Roman" w:hAnsi="Times New Roman" w:cs="Times New Roman"/>
          <w:noProof/>
          <w:sz w:val="24"/>
          <w:szCs w:val="24"/>
        </w:rPr>
        <w:t>Kakwani index, wealth inequality indicators, Reynolds-Smolensky index, Theil index, total share of income of the bottom 40% in the income distribution and Atkinson index.</w:t>
      </w:r>
    </w:p>
    <w:p w14:paraId="75782987" w14:textId="044FD4B1" w:rsidR="00D346E3" w:rsidRPr="00347053" w:rsidRDefault="00D346E3" w:rsidP="008F1389">
      <w:pPr>
        <w:keepNext/>
        <w:keepLines/>
        <w:spacing w:before="120" w:after="120" w:line="240" w:lineRule="auto"/>
        <w:rPr>
          <w:rFonts w:ascii="Times New Roman" w:eastAsia="Times New Roman" w:hAnsi="Times New Roman" w:cs="Times New Roman"/>
          <w:b/>
          <w:noProof/>
          <w:sz w:val="24"/>
          <w:szCs w:val="24"/>
          <w:lang w:eastAsia="en-GB"/>
        </w:rPr>
      </w:pPr>
      <w:r w:rsidRPr="00347053">
        <w:rPr>
          <w:rFonts w:ascii="Times New Roman" w:eastAsia="Times New Roman" w:hAnsi="Times New Roman" w:cs="Times New Roman"/>
          <w:b/>
          <w:noProof/>
          <w:sz w:val="24"/>
          <w:szCs w:val="24"/>
          <w:lang w:eastAsia="en-GB"/>
        </w:rPr>
        <w:t xml:space="preserve">Figure </w:t>
      </w:r>
      <w:r w:rsidR="005C7789">
        <w:rPr>
          <w:rFonts w:ascii="Times New Roman" w:eastAsia="Times New Roman" w:hAnsi="Times New Roman" w:cs="Times New Roman"/>
          <w:b/>
          <w:noProof/>
          <w:sz w:val="24"/>
          <w:szCs w:val="24"/>
          <w:lang w:eastAsia="en-GB"/>
        </w:rPr>
        <w:t>7</w:t>
      </w:r>
      <w:r w:rsidRPr="00347053">
        <w:rPr>
          <w:rFonts w:ascii="Times New Roman" w:eastAsia="Times New Roman" w:hAnsi="Times New Roman" w:cs="Times New Roman"/>
          <w:b/>
          <w:noProof/>
          <w:sz w:val="24"/>
          <w:szCs w:val="24"/>
          <w:lang w:eastAsia="en-GB"/>
        </w:rPr>
        <w:t xml:space="preserve"> – Types of indicators used for DIA analysis outside DBPs </w:t>
      </w:r>
      <w:r w:rsidR="00CF5B7F" w:rsidRPr="00347053">
        <w:rPr>
          <w:rFonts w:ascii="Times New Roman" w:eastAsia="Times New Roman" w:hAnsi="Times New Roman" w:cs="Times New Roman"/>
          <w:b/>
          <w:noProof/>
          <w:sz w:val="24"/>
          <w:szCs w:val="24"/>
          <w:lang w:eastAsia="en-GB"/>
        </w:rPr>
        <w:t>(</w:t>
      </w:r>
      <w:r w:rsidRPr="00347053">
        <w:rPr>
          <w:rFonts w:ascii="Times New Roman" w:eastAsia="Times New Roman" w:hAnsi="Times New Roman" w:cs="Times New Roman"/>
          <w:b/>
          <w:noProof/>
          <w:sz w:val="24"/>
          <w:szCs w:val="24"/>
          <w:lang w:eastAsia="en-GB"/>
        </w:rPr>
        <w:t>2019-2020</w:t>
      </w:r>
      <w:r w:rsidR="00CF5B7F" w:rsidRPr="00347053">
        <w:rPr>
          <w:rFonts w:ascii="Times New Roman" w:eastAsia="Times New Roman" w:hAnsi="Times New Roman" w:cs="Times New Roman"/>
          <w:b/>
          <w:noProof/>
          <w:sz w:val="24"/>
          <w:szCs w:val="24"/>
          <w:lang w:eastAsia="en-GB"/>
        </w:rPr>
        <w:t xml:space="preserve">) - </w:t>
      </w:r>
      <w:r w:rsidRPr="00347053">
        <w:rPr>
          <w:rFonts w:ascii="Times New Roman" w:eastAsia="Times New Roman" w:hAnsi="Times New Roman" w:cs="Times New Roman"/>
          <w:b/>
          <w:noProof/>
          <w:sz w:val="24"/>
          <w:szCs w:val="24"/>
          <w:lang w:eastAsia="en-GB"/>
        </w:rPr>
        <w:t>E</w:t>
      </w:r>
      <w:r w:rsidR="00CF5B7F" w:rsidRPr="00347053">
        <w:rPr>
          <w:rFonts w:ascii="Times New Roman" w:eastAsia="Times New Roman" w:hAnsi="Times New Roman" w:cs="Times New Roman"/>
          <w:b/>
          <w:noProof/>
          <w:sz w:val="24"/>
          <w:szCs w:val="24"/>
          <w:lang w:eastAsia="en-GB"/>
        </w:rPr>
        <w:t>U</w:t>
      </w:r>
      <w:r w:rsidRPr="00347053">
        <w:rPr>
          <w:rFonts w:ascii="Times New Roman" w:eastAsia="Times New Roman" w:hAnsi="Times New Roman" w:cs="Times New Roman"/>
          <w:b/>
          <w:noProof/>
          <w:sz w:val="24"/>
          <w:szCs w:val="24"/>
          <w:lang w:eastAsia="en-GB"/>
        </w:rPr>
        <w:t xml:space="preserve"> </w:t>
      </w:r>
      <w:r w:rsidR="00347053">
        <w:rPr>
          <w:rFonts w:ascii="Times New Roman" w:eastAsia="Times New Roman" w:hAnsi="Times New Roman" w:cs="Times New Roman"/>
          <w:b/>
          <w:noProof/>
          <w:sz w:val="24"/>
          <w:szCs w:val="24"/>
          <w:lang w:eastAsia="en-GB"/>
        </w:rPr>
        <w:t xml:space="preserve">Member </w:t>
      </w:r>
      <w:r w:rsidRPr="00347053">
        <w:rPr>
          <w:rFonts w:ascii="Times New Roman" w:eastAsia="Times New Roman" w:hAnsi="Times New Roman" w:cs="Times New Roman"/>
          <w:b/>
          <w:noProof/>
          <w:sz w:val="24"/>
          <w:szCs w:val="24"/>
          <w:lang w:eastAsia="en-GB"/>
        </w:rPr>
        <w:t>States (N=23)</w:t>
      </w:r>
    </w:p>
    <w:p w14:paraId="3AC0DC48" w14:textId="75BABE1F" w:rsidR="00D346E3" w:rsidRDefault="00D346E3" w:rsidP="00851BA8">
      <w:pPr>
        <w:keepNext/>
        <w:keepLines/>
        <w:jc w:val="both"/>
        <w:rPr>
          <w:rFonts w:ascii="Times New Roman" w:hAnsi="Times New Roman" w:cs="Times New Roman"/>
          <w:noProof/>
          <w:sz w:val="24"/>
          <w:szCs w:val="24"/>
        </w:rPr>
      </w:pPr>
      <w:r>
        <w:rPr>
          <w:rFonts w:ascii="Arial" w:eastAsia="Arial" w:hAnsi="Arial" w:cs="Arial"/>
          <w:noProof/>
          <w:color w:val="000000"/>
          <w:lang w:eastAsia="en-GB"/>
        </w:rPr>
        <w:drawing>
          <wp:inline distT="0" distB="0" distL="0" distR="0" wp14:anchorId="181CA759" wp14:editId="7E3DE4B5">
            <wp:extent cx="5590088" cy="4427144"/>
            <wp:effectExtent l="0" t="0" r="0" b="0"/>
            <wp:docPr id="12" name="Picture 12" descr="Graph bar displaying how many European Member States (x-axis) performed different types of indicators used for DIA analysis outside DBPs (y-axis). For what concerns the indicators, the majority of MS used winner and losers across different income groups, Gini coefficient, average tax burden by income group, at-risk-of-poverty rate and mean disposable income by income group; about half the MS used total share of income of the bottom 80% in the income distribution, S80, and at-risk-of-poverty gap while Kakwani index, wealth inequality indicators, Reynolds-Smolensky index, Theil index, total share of income of the bottom 40% in the income distribution and Atkinson index are used by only a few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png" descr="Graph bar displaying how many European Member States (x-axis) performed different types of indicators used for DIA analysis outside DBPs (y-axis). For what concerns the indicators, the majority of MS used winner and losers across different income groups, Gini coefficient, average tax burden by income group, at-risk-of-poverty rate and mean disposable income by income group; about half the MS used total share of income of the bottom 80% in the income distribution, S80, and at-risk-of-poverty gap while Kakwani index, wealth inequality indicators, Reynolds-Smolensky index, Theil index, total share of income of the bottom 40% in the income distribution and Atkinson index are used by only a few 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95028" cy="4431056"/>
                    </a:xfrm>
                    <a:prstGeom prst="rect">
                      <a:avLst/>
                    </a:prstGeom>
                    <a:noFill/>
                    <a:ln>
                      <a:noFill/>
                    </a:ln>
                  </pic:spPr>
                </pic:pic>
              </a:graphicData>
            </a:graphic>
          </wp:inline>
        </w:drawing>
      </w:r>
    </w:p>
    <w:p w14:paraId="2B7AC723" w14:textId="1162B755" w:rsidR="001D2878" w:rsidRPr="008F1389" w:rsidRDefault="008A71BD" w:rsidP="008F1389">
      <w:pPr>
        <w:pStyle w:val="TableNote"/>
        <w:keepNext/>
        <w:keepLines/>
        <w:rPr>
          <w:rFonts w:ascii="Times New Roman" w:hAnsi="Times New Roman"/>
          <w:noProof/>
          <w:sz w:val="20"/>
          <w:szCs w:val="20"/>
        </w:rPr>
      </w:pPr>
      <w:r w:rsidRPr="008F1389">
        <w:rPr>
          <w:rFonts w:ascii="Times New Roman" w:hAnsi="Times New Roman"/>
          <w:noProof/>
          <w:sz w:val="20"/>
          <w:szCs w:val="20"/>
        </w:rPr>
        <w:t xml:space="preserve">Note: Cyprus, Romania and Luxembourg do not perform any DIA outside DBPs.  For Bulgaria, information is missing. </w:t>
      </w:r>
      <w:r w:rsidR="00DB3191" w:rsidRPr="008F1389">
        <w:rPr>
          <w:rFonts w:ascii="Times New Roman" w:hAnsi="Times New Roman"/>
          <w:noProof/>
          <w:sz w:val="20"/>
          <w:szCs w:val="20"/>
          <w:lang w:val="en-IE"/>
        </w:rPr>
        <w:t>Source: Study on Distribution Impact Assessment by the University of Milan, financed by the C</w:t>
      </w:r>
      <w:r w:rsidR="001D2878" w:rsidRPr="008F1389">
        <w:rPr>
          <w:rFonts w:ascii="Times New Roman" w:hAnsi="Times New Roman"/>
          <w:noProof/>
          <w:sz w:val="20"/>
          <w:szCs w:val="20"/>
          <w:lang w:val="en-IE"/>
        </w:rPr>
        <w:t xml:space="preserve">ommission (DG EMPL): </w:t>
      </w:r>
      <w:hyperlink r:id="rId32" w:tgtFrame="_blank" w:history="1">
        <w:r w:rsidR="001D2878" w:rsidRPr="008F1389">
          <w:rPr>
            <w:rStyle w:val="Hyperlink"/>
            <w:rFonts w:ascii="Times New Roman" w:hAnsi="Times New Roman"/>
            <w:bCs/>
            <w:noProof/>
            <w:color w:val="000000"/>
            <w:sz w:val="20"/>
            <w:szCs w:val="20"/>
            <w:shd w:val="clear" w:color="auto" w:fill="FFFFFF"/>
          </w:rPr>
          <w:t>https://data.europa.eu/doi/10.2767/511644</w:t>
        </w:r>
      </w:hyperlink>
    </w:p>
    <w:p w14:paraId="221BA376" w14:textId="59BCA2DC" w:rsidR="005D614F" w:rsidRDefault="005D614F" w:rsidP="004C369B">
      <w:pPr>
        <w:spacing w:before="120" w:after="120" w:line="252" w:lineRule="auto"/>
        <w:jc w:val="both"/>
        <w:rPr>
          <w:rFonts w:ascii="Times New Roman" w:eastAsia="Arial" w:hAnsi="Times New Roman" w:cs="Times New Roman"/>
          <w:noProof/>
          <w:sz w:val="24"/>
          <w:szCs w:val="24"/>
        </w:rPr>
      </w:pPr>
      <w:r w:rsidRPr="00A560A8">
        <w:rPr>
          <w:rFonts w:ascii="Times New Roman" w:eastAsia="Arial" w:hAnsi="Times New Roman" w:cs="Times New Roman"/>
          <w:b/>
          <w:noProof/>
          <w:sz w:val="24"/>
          <w:szCs w:val="24"/>
        </w:rPr>
        <w:t>Besides comparing the types of DIA indicators used both in and outside DBPs, it is also interesting to compare the number of those different indicators</w:t>
      </w:r>
      <w:r w:rsidRPr="00A560A8">
        <w:rPr>
          <w:rFonts w:ascii="Times New Roman" w:eastAsia="Arial" w:hAnsi="Times New Roman" w:cs="Times New Roman"/>
          <w:b/>
          <w:noProof/>
          <w:sz w:val="24"/>
          <w:szCs w:val="24"/>
          <w:vertAlign w:val="superscript"/>
        </w:rPr>
        <w:footnoteReference w:id="54"/>
      </w:r>
      <w:r w:rsidRPr="00A560A8">
        <w:rPr>
          <w:rFonts w:ascii="Times New Roman" w:eastAsia="Arial" w:hAnsi="Times New Roman" w:cs="Times New Roman"/>
          <w:b/>
          <w:noProof/>
          <w:sz w:val="24"/>
          <w:szCs w:val="24"/>
        </w:rPr>
        <w:t xml:space="preserve"> used</w:t>
      </w:r>
      <w:r w:rsidRPr="00E13CD2">
        <w:rPr>
          <w:rFonts w:ascii="Times New Roman" w:eastAsia="Arial" w:hAnsi="Times New Roman" w:cs="Times New Roman"/>
          <w:noProof/>
          <w:sz w:val="24"/>
          <w:szCs w:val="24"/>
        </w:rPr>
        <w:t xml:space="preserve"> </w:t>
      </w:r>
      <w:r w:rsidRPr="00AE78A7">
        <w:rPr>
          <w:rFonts w:ascii="Times New Roman" w:eastAsia="Arial" w:hAnsi="Times New Roman" w:cs="Times New Roman"/>
          <w:b/>
          <w:noProof/>
          <w:sz w:val="24"/>
          <w:szCs w:val="24"/>
        </w:rPr>
        <w:t xml:space="preserve">by each </w:t>
      </w:r>
      <w:r w:rsidR="00A560A8" w:rsidRPr="00AE78A7">
        <w:rPr>
          <w:rFonts w:ascii="Times New Roman" w:eastAsia="Arial" w:hAnsi="Times New Roman" w:cs="Times New Roman"/>
          <w:b/>
          <w:noProof/>
          <w:sz w:val="24"/>
          <w:szCs w:val="24"/>
        </w:rPr>
        <w:t>e</w:t>
      </w:r>
      <w:r w:rsidRPr="00AE78A7">
        <w:rPr>
          <w:rFonts w:ascii="Times New Roman" w:eastAsia="Arial" w:hAnsi="Times New Roman" w:cs="Times New Roman"/>
          <w:b/>
          <w:noProof/>
          <w:sz w:val="24"/>
          <w:szCs w:val="24"/>
        </w:rPr>
        <w:t xml:space="preserve">uro </w:t>
      </w:r>
      <w:r w:rsidR="00A560A8" w:rsidRPr="00AE78A7">
        <w:rPr>
          <w:rFonts w:ascii="Times New Roman" w:eastAsia="Arial" w:hAnsi="Times New Roman" w:cs="Times New Roman"/>
          <w:b/>
          <w:noProof/>
          <w:sz w:val="24"/>
          <w:szCs w:val="24"/>
        </w:rPr>
        <w:t>a</w:t>
      </w:r>
      <w:r w:rsidRPr="00AE78A7">
        <w:rPr>
          <w:rFonts w:ascii="Times New Roman" w:eastAsia="Arial" w:hAnsi="Times New Roman" w:cs="Times New Roman"/>
          <w:b/>
          <w:noProof/>
          <w:sz w:val="24"/>
          <w:szCs w:val="24"/>
        </w:rPr>
        <w:t>rea Memb</w:t>
      </w:r>
      <w:r w:rsidR="00AE78A7">
        <w:rPr>
          <w:rFonts w:ascii="Times New Roman" w:eastAsia="Arial" w:hAnsi="Times New Roman" w:cs="Times New Roman"/>
          <w:b/>
          <w:noProof/>
          <w:sz w:val="24"/>
          <w:szCs w:val="24"/>
        </w:rPr>
        <w:t>er State in and outside its DBP</w:t>
      </w:r>
      <w:r w:rsidRPr="00E13CD2">
        <w:rPr>
          <w:rFonts w:ascii="Times New Roman" w:eastAsia="Arial" w:hAnsi="Times New Roman" w:cs="Times New Roman"/>
          <w:noProof/>
          <w:sz w:val="24"/>
          <w:szCs w:val="24"/>
        </w:rPr>
        <w:t xml:space="preserve">. Figure </w:t>
      </w:r>
      <w:r w:rsidR="005C7789">
        <w:rPr>
          <w:rFonts w:ascii="Times New Roman" w:eastAsia="Arial" w:hAnsi="Times New Roman" w:cs="Times New Roman"/>
          <w:noProof/>
          <w:sz w:val="24"/>
          <w:szCs w:val="24"/>
        </w:rPr>
        <w:t>8</w:t>
      </w:r>
      <w:r w:rsidR="00A560A8">
        <w:rPr>
          <w:rFonts w:ascii="Times New Roman" w:eastAsia="Arial" w:hAnsi="Times New Roman" w:cs="Times New Roman"/>
          <w:noProof/>
          <w:sz w:val="24"/>
          <w:szCs w:val="24"/>
        </w:rPr>
        <w:t xml:space="preserve"> below</w:t>
      </w:r>
      <w:r w:rsidRPr="00E13CD2">
        <w:rPr>
          <w:rFonts w:ascii="Times New Roman" w:eastAsia="Arial" w:hAnsi="Times New Roman" w:cs="Times New Roman"/>
          <w:noProof/>
          <w:sz w:val="24"/>
          <w:szCs w:val="24"/>
        </w:rPr>
        <w:t xml:space="preserve"> shows this comparison for the year 2020. It appears that, overall, the </w:t>
      </w:r>
      <w:r w:rsidR="00A560A8">
        <w:rPr>
          <w:rFonts w:ascii="Times New Roman" w:eastAsia="Arial" w:hAnsi="Times New Roman" w:cs="Times New Roman"/>
          <w:noProof/>
          <w:sz w:val="24"/>
          <w:szCs w:val="24"/>
        </w:rPr>
        <w:t>e</w:t>
      </w:r>
      <w:r w:rsidRPr="00E13CD2">
        <w:rPr>
          <w:rFonts w:ascii="Times New Roman" w:eastAsia="Arial" w:hAnsi="Times New Roman" w:cs="Times New Roman"/>
          <w:noProof/>
          <w:sz w:val="24"/>
          <w:szCs w:val="24"/>
        </w:rPr>
        <w:t xml:space="preserve">uro </w:t>
      </w:r>
      <w:r w:rsidR="00A560A8">
        <w:rPr>
          <w:rFonts w:ascii="Times New Roman" w:eastAsia="Arial" w:hAnsi="Times New Roman" w:cs="Times New Roman"/>
          <w:noProof/>
          <w:sz w:val="24"/>
          <w:szCs w:val="24"/>
        </w:rPr>
        <w:t>a</w:t>
      </w:r>
      <w:r w:rsidRPr="00E13CD2">
        <w:rPr>
          <w:rFonts w:ascii="Times New Roman" w:eastAsia="Arial" w:hAnsi="Times New Roman" w:cs="Times New Roman"/>
          <w:noProof/>
          <w:sz w:val="24"/>
          <w:szCs w:val="24"/>
        </w:rPr>
        <w:t>rea Member State</w:t>
      </w:r>
      <w:r w:rsidR="00B507E7">
        <w:rPr>
          <w:rFonts w:ascii="Times New Roman" w:eastAsia="Arial" w:hAnsi="Times New Roman" w:cs="Times New Roman"/>
          <w:noProof/>
          <w:sz w:val="24"/>
          <w:szCs w:val="24"/>
        </w:rPr>
        <w:t>s</w:t>
      </w:r>
      <w:r w:rsidRPr="00E13CD2">
        <w:rPr>
          <w:rFonts w:ascii="Times New Roman" w:eastAsia="Arial" w:hAnsi="Times New Roman" w:cs="Times New Roman"/>
          <w:noProof/>
          <w:sz w:val="24"/>
          <w:szCs w:val="24"/>
        </w:rPr>
        <w:t xml:space="preserve"> used a larger number of different DIA indicators outside their DBPs than in their DBPs, with Finland being the only exception. This result is not completely unexpected as the DBPs are mainly centred on macro</w:t>
      </w:r>
      <w:r w:rsidR="00A560A8">
        <w:rPr>
          <w:rFonts w:ascii="Times New Roman" w:eastAsia="Arial" w:hAnsi="Times New Roman" w:cs="Times New Roman"/>
          <w:noProof/>
          <w:sz w:val="24"/>
          <w:szCs w:val="24"/>
        </w:rPr>
        <w:t>economic</w:t>
      </w:r>
      <w:r w:rsidRPr="00E13CD2">
        <w:rPr>
          <w:rFonts w:ascii="Times New Roman" w:eastAsia="Arial" w:hAnsi="Times New Roman" w:cs="Times New Roman"/>
          <w:noProof/>
          <w:sz w:val="24"/>
          <w:szCs w:val="24"/>
        </w:rPr>
        <w:t xml:space="preserve"> issues, with possibly less consideration for distributional concerns than in other types of budget-related documents. These results are consistent with the results shown in </w:t>
      </w:r>
      <w:r w:rsidR="00A560A8">
        <w:rPr>
          <w:rFonts w:ascii="Times New Roman" w:eastAsia="Arial" w:hAnsi="Times New Roman" w:cs="Times New Roman"/>
          <w:noProof/>
          <w:sz w:val="24"/>
          <w:szCs w:val="24"/>
        </w:rPr>
        <w:t xml:space="preserve">Figure </w:t>
      </w:r>
      <w:r w:rsidR="004C369B">
        <w:rPr>
          <w:rFonts w:ascii="Times New Roman" w:eastAsia="Arial" w:hAnsi="Times New Roman" w:cs="Times New Roman"/>
          <w:noProof/>
          <w:sz w:val="24"/>
          <w:szCs w:val="24"/>
        </w:rPr>
        <w:t>2</w:t>
      </w:r>
      <w:r w:rsidRPr="00E13CD2">
        <w:rPr>
          <w:rFonts w:ascii="Times New Roman" w:eastAsia="Arial" w:hAnsi="Times New Roman" w:cs="Times New Roman"/>
          <w:noProof/>
          <w:sz w:val="24"/>
          <w:szCs w:val="24"/>
        </w:rPr>
        <w:t xml:space="preserve"> where, overall across the </w:t>
      </w:r>
      <w:r w:rsidR="00A560A8">
        <w:rPr>
          <w:rFonts w:ascii="Times New Roman" w:eastAsia="Arial" w:hAnsi="Times New Roman" w:cs="Times New Roman"/>
          <w:noProof/>
          <w:sz w:val="24"/>
          <w:szCs w:val="24"/>
        </w:rPr>
        <w:t>e</w:t>
      </w:r>
      <w:r w:rsidRPr="00E13CD2">
        <w:rPr>
          <w:rFonts w:ascii="Times New Roman" w:eastAsia="Arial" w:hAnsi="Times New Roman" w:cs="Times New Roman"/>
          <w:noProof/>
          <w:sz w:val="24"/>
          <w:szCs w:val="24"/>
        </w:rPr>
        <w:t xml:space="preserve">uro </w:t>
      </w:r>
      <w:r w:rsidR="00A560A8">
        <w:rPr>
          <w:rFonts w:ascii="Times New Roman" w:eastAsia="Arial" w:hAnsi="Times New Roman" w:cs="Times New Roman"/>
          <w:noProof/>
          <w:sz w:val="24"/>
          <w:szCs w:val="24"/>
        </w:rPr>
        <w:t>a</w:t>
      </w:r>
      <w:r w:rsidRPr="00E13CD2">
        <w:rPr>
          <w:rFonts w:ascii="Times New Roman" w:eastAsia="Arial" w:hAnsi="Times New Roman" w:cs="Times New Roman"/>
          <w:noProof/>
          <w:sz w:val="24"/>
          <w:szCs w:val="24"/>
        </w:rPr>
        <w:t>rea Member States</w:t>
      </w:r>
      <w:r w:rsidRPr="00E13CD2">
        <w:rPr>
          <w:rFonts w:ascii="Times New Roman" w:eastAsia="Arial" w:hAnsi="Times New Roman" w:cs="Times New Roman"/>
          <w:noProof/>
          <w:sz w:val="24"/>
          <w:szCs w:val="24"/>
          <w:vertAlign w:val="superscript"/>
        </w:rPr>
        <w:footnoteReference w:id="55"/>
      </w:r>
      <w:r w:rsidRPr="00E13CD2">
        <w:rPr>
          <w:rFonts w:ascii="Times New Roman" w:eastAsia="Arial" w:hAnsi="Times New Roman" w:cs="Times New Roman"/>
          <w:noProof/>
          <w:sz w:val="24"/>
          <w:szCs w:val="24"/>
        </w:rPr>
        <w:t xml:space="preserve">, it appears that DIA was more frequently performed outside the DBPs than in the DBPs in the years 2019-2020.  </w:t>
      </w:r>
    </w:p>
    <w:p w14:paraId="195A9A52" w14:textId="0903BC60" w:rsidR="005D614F" w:rsidRPr="002064B6" w:rsidRDefault="005D614F" w:rsidP="005D614F">
      <w:pPr>
        <w:spacing w:before="120" w:after="120" w:line="240" w:lineRule="auto"/>
        <w:jc w:val="center"/>
        <w:rPr>
          <w:rFonts w:ascii="Times New Roman" w:eastAsia="Times New Roman" w:hAnsi="Times New Roman" w:cs="Times New Roman"/>
          <w:b/>
          <w:noProof/>
          <w:sz w:val="24"/>
          <w:szCs w:val="24"/>
          <w:lang w:eastAsia="en-GB"/>
        </w:rPr>
      </w:pPr>
      <w:r w:rsidRPr="002064B6">
        <w:rPr>
          <w:rFonts w:ascii="Times New Roman" w:eastAsia="Times New Roman" w:hAnsi="Times New Roman" w:cs="Times New Roman"/>
          <w:b/>
          <w:noProof/>
          <w:sz w:val="24"/>
          <w:szCs w:val="24"/>
          <w:lang w:eastAsia="en-GB"/>
        </w:rPr>
        <w:t xml:space="preserve">Figure </w:t>
      </w:r>
      <w:r w:rsidR="005C7789">
        <w:rPr>
          <w:rFonts w:ascii="Times New Roman" w:eastAsia="Times New Roman" w:hAnsi="Times New Roman" w:cs="Times New Roman"/>
          <w:b/>
          <w:noProof/>
          <w:sz w:val="24"/>
          <w:szCs w:val="24"/>
          <w:lang w:eastAsia="en-GB"/>
        </w:rPr>
        <w:t>8</w:t>
      </w:r>
      <w:r w:rsidRPr="002064B6">
        <w:rPr>
          <w:rFonts w:ascii="Times New Roman" w:eastAsia="Times New Roman" w:hAnsi="Times New Roman" w:cs="Times New Roman"/>
          <w:b/>
          <w:noProof/>
          <w:sz w:val="24"/>
          <w:szCs w:val="24"/>
          <w:lang w:eastAsia="en-GB"/>
        </w:rPr>
        <w:t xml:space="preserve"> – Number of different types of DIA indicators used in the DBPs and outside the DBPs</w:t>
      </w:r>
      <w:r w:rsidRPr="002064B6">
        <w:rPr>
          <w:rFonts w:ascii="Times New Roman" w:eastAsia="Times New Roman" w:hAnsi="Times New Roman" w:cs="Times New Roman"/>
          <w:b/>
          <w:noProof/>
          <w:sz w:val="24"/>
          <w:szCs w:val="24"/>
          <w:vertAlign w:val="superscript"/>
          <w:lang w:eastAsia="en-GB"/>
        </w:rPr>
        <w:footnoteReference w:id="56"/>
      </w:r>
      <w:r w:rsidRPr="002064B6">
        <w:rPr>
          <w:rFonts w:ascii="Times New Roman" w:eastAsia="Times New Roman" w:hAnsi="Times New Roman" w:cs="Times New Roman"/>
          <w:b/>
          <w:noProof/>
          <w:sz w:val="24"/>
          <w:szCs w:val="24"/>
          <w:lang w:eastAsia="en-GB"/>
        </w:rPr>
        <w:t xml:space="preserve"> in 2020, for those </w:t>
      </w:r>
      <w:r w:rsidR="00A560A8" w:rsidRPr="002064B6">
        <w:rPr>
          <w:rFonts w:ascii="Times New Roman" w:eastAsia="Times New Roman" w:hAnsi="Times New Roman" w:cs="Times New Roman"/>
          <w:b/>
          <w:noProof/>
          <w:sz w:val="24"/>
          <w:szCs w:val="24"/>
          <w:lang w:eastAsia="en-GB"/>
        </w:rPr>
        <w:t>e</w:t>
      </w:r>
      <w:r w:rsidRPr="002064B6">
        <w:rPr>
          <w:rFonts w:ascii="Times New Roman" w:eastAsia="Times New Roman" w:hAnsi="Times New Roman" w:cs="Times New Roman"/>
          <w:b/>
          <w:noProof/>
          <w:sz w:val="24"/>
          <w:szCs w:val="24"/>
          <w:lang w:eastAsia="en-GB"/>
        </w:rPr>
        <w:t xml:space="preserve">uro </w:t>
      </w:r>
      <w:r w:rsidR="00A560A8" w:rsidRPr="002064B6">
        <w:rPr>
          <w:rFonts w:ascii="Times New Roman" w:eastAsia="Times New Roman" w:hAnsi="Times New Roman" w:cs="Times New Roman"/>
          <w:b/>
          <w:noProof/>
          <w:sz w:val="24"/>
          <w:szCs w:val="24"/>
          <w:lang w:eastAsia="en-GB"/>
        </w:rPr>
        <w:t>a</w:t>
      </w:r>
      <w:r w:rsidRPr="002064B6">
        <w:rPr>
          <w:rFonts w:ascii="Times New Roman" w:eastAsia="Times New Roman" w:hAnsi="Times New Roman" w:cs="Times New Roman"/>
          <w:b/>
          <w:noProof/>
          <w:sz w:val="24"/>
          <w:szCs w:val="24"/>
          <w:lang w:eastAsia="en-GB"/>
        </w:rPr>
        <w:t>rea Member States with at least one DIA occurrence in 2020 in their DBPs and/or outside their DBPs (N=9)</w:t>
      </w:r>
    </w:p>
    <w:p w14:paraId="43DEF4F6" w14:textId="77777777" w:rsidR="005D614F" w:rsidRDefault="005D614F" w:rsidP="005D614F">
      <w:pPr>
        <w:spacing w:before="120" w:after="120" w:line="240" w:lineRule="auto"/>
        <w:jc w:val="center"/>
        <w:rPr>
          <w:rFonts w:ascii="Arial" w:eastAsia="Arial" w:hAnsi="Arial" w:cs="Arial"/>
          <w:noProof/>
          <w:sz w:val="24"/>
          <w:lang w:eastAsia="it-IT"/>
        </w:rPr>
      </w:pPr>
      <w:r>
        <w:rPr>
          <w:rFonts w:ascii="Arial" w:eastAsia="Arial" w:hAnsi="Arial" w:cs="Arial"/>
          <w:noProof/>
          <w:color w:val="000000"/>
          <w:lang w:eastAsia="en-GB"/>
        </w:rPr>
        <w:drawing>
          <wp:inline distT="0" distB="0" distL="0" distR="0" wp14:anchorId="5D58D6D3" wp14:editId="5FF603A5">
            <wp:extent cx="5462076" cy="4309449"/>
            <wp:effectExtent l="0" t="0" r="5715" b="0"/>
            <wp:docPr id="13" name="Picture 13" descr="Two graph bars displaying how many different types of DIA indicators (x-axis) Euro Area Member States (y-axis) used in (yellow bar) and outside (light blue bar) the DBPs. The graph presents only Euro Area MS with at least one DIA occurrence in and/or outside their DBPs. Euro Area MS used a larger number of different DIA indicators outside their DBPs than in the DBPs, with Finland being the only exce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png" descr="Two graph bars displaying how many different types of DIA indicators (x-axis) Euro Area Member States (y-axis) used in (yellow bar) and outside (light blue bar) the DBPs. The graph presents only Euro Area MS with at least one DIA occurrence in and/or outside their DBPs. Euro Area MS used a larger number of different DIA indicators outside their DBPs than in the DBPs, with Finland being the only exception. "/>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64354" cy="4311246"/>
                    </a:xfrm>
                    <a:prstGeom prst="rect">
                      <a:avLst/>
                    </a:prstGeom>
                    <a:noFill/>
                    <a:ln>
                      <a:noFill/>
                    </a:ln>
                  </pic:spPr>
                </pic:pic>
              </a:graphicData>
            </a:graphic>
          </wp:inline>
        </w:drawing>
      </w:r>
    </w:p>
    <w:p w14:paraId="65D3F683" w14:textId="131FF34D" w:rsidR="001D2878" w:rsidRPr="008F1389" w:rsidRDefault="005D614F" w:rsidP="008F1389">
      <w:pPr>
        <w:pStyle w:val="TableNote"/>
        <w:rPr>
          <w:rStyle w:val="Hyperlink"/>
          <w:rFonts w:ascii="Times New Roman" w:hAnsi="Times New Roman"/>
          <w:bCs/>
          <w:noProof/>
          <w:color w:val="000000"/>
          <w:sz w:val="20"/>
          <w:szCs w:val="20"/>
          <w:shd w:val="clear" w:color="auto" w:fill="FFFFFF"/>
        </w:rPr>
      </w:pPr>
      <w:r w:rsidRPr="008F1389">
        <w:rPr>
          <w:rFonts w:ascii="Times New Roman" w:hAnsi="Times New Roman"/>
          <w:noProof/>
          <w:sz w:val="20"/>
          <w:szCs w:val="20"/>
        </w:rPr>
        <w:t>Note: Latvia and Malta did not implement any DIA in the DBP 2020.</w:t>
      </w:r>
      <w:r w:rsidR="004763BA">
        <w:rPr>
          <w:rFonts w:ascii="Times New Roman" w:hAnsi="Times New Roman"/>
          <w:noProof/>
          <w:sz w:val="20"/>
          <w:szCs w:val="20"/>
        </w:rPr>
        <w:t xml:space="preserve"> </w:t>
      </w:r>
      <w:r w:rsidR="00DB3191" w:rsidRPr="008F1389">
        <w:rPr>
          <w:rFonts w:ascii="Times New Roman" w:hAnsi="Times New Roman"/>
          <w:noProof/>
          <w:sz w:val="20"/>
          <w:szCs w:val="20"/>
          <w:lang w:val="en-IE"/>
        </w:rPr>
        <w:t>Source: Study on Distribution Impact Assessment by the University of Milan, financed by the C</w:t>
      </w:r>
      <w:r w:rsidR="001D2878" w:rsidRPr="008F1389">
        <w:rPr>
          <w:rFonts w:ascii="Times New Roman" w:hAnsi="Times New Roman"/>
          <w:noProof/>
          <w:sz w:val="20"/>
          <w:szCs w:val="20"/>
          <w:lang w:val="en-IE"/>
        </w:rPr>
        <w:t xml:space="preserve">ommission (DG EMPL): </w:t>
      </w:r>
      <w:hyperlink r:id="rId34" w:tgtFrame="_blank" w:history="1">
        <w:r w:rsidR="001D2878" w:rsidRPr="008F1389">
          <w:rPr>
            <w:rStyle w:val="Hyperlink"/>
            <w:rFonts w:ascii="Times New Roman" w:hAnsi="Times New Roman"/>
            <w:bCs/>
            <w:noProof/>
            <w:color w:val="000000"/>
            <w:sz w:val="20"/>
            <w:szCs w:val="20"/>
            <w:shd w:val="clear" w:color="auto" w:fill="FFFFFF"/>
          </w:rPr>
          <w:t>https://data.europa.eu/doi/10.2767/511644</w:t>
        </w:r>
      </w:hyperlink>
    </w:p>
    <w:p w14:paraId="3428D757" w14:textId="5793AB1A" w:rsidR="005D614F" w:rsidRPr="00347053" w:rsidRDefault="005D614F" w:rsidP="00851BA8">
      <w:pPr>
        <w:keepNext/>
        <w:keepLines/>
        <w:rPr>
          <w:rFonts w:ascii="Times New Roman" w:eastAsia="Times New Roman" w:hAnsi="Times New Roman" w:cs="Times New Roman"/>
          <w:b/>
          <w:noProof/>
          <w:sz w:val="24"/>
          <w:szCs w:val="24"/>
          <w:lang w:eastAsia="en-GB"/>
        </w:rPr>
      </w:pPr>
      <w:r w:rsidRPr="00347053">
        <w:rPr>
          <w:rFonts w:ascii="Times New Roman" w:eastAsia="Times New Roman" w:hAnsi="Times New Roman" w:cs="Times New Roman"/>
          <w:b/>
          <w:noProof/>
          <w:sz w:val="24"/>
          <w:szCs w:val="24"/>
          <w:lang w:eastAsia="en-GB"/>
        </w:rPr>
        <w:t xml:space="preserve">Figure </w:t>
      </w:r>
      <w:r w:rsidR="005C7789">
        <w:rPr>
          <w:rFonts w:ascii="Times New Roman" w:eastAsia="Times New Roman" w:hAnsi="Times New Roman" w:cs="Times New Roman"/>
          <w:b/>
          <w:noProof/>
          <w:sz w:val="24"/>
          <w:szCs w:val="24"/>
          <w:lang w:eastAsia="en-GB"/>
        </w:rPr>
        <w:t>9</w:t>
      </w:r>
      <w:r w:rsidRPr="00347053">
        <w:rPr>
          <w:rFonts w:ascii="Times New Roman" w:eastAsia="Times New Roman" w:hAnsi="Times New Roman" w:cs="Times New Roman"/>
          <w:b/>
          <w:noProof/>
          <w:sz w:val="24"/>
          <w:szCs w:val="24"/>
          <w:lang w:eastAsia="en-GB"/>
        </w:rPr>
        <w:t xml:space="preserve"> – Types of indicators and sub-groups’ decomposition used in the DIA and various aspects of DIA methodology (stage at which DIA is performed and baseline used)</w:t>
      </w:r>
      <w:r w:rsidR="00E40489" w:rsidRPr="00347053">
        <w:rPr>
          <w:rFonts w:ascii="Times New Roman" w:eastAsia="Times New Roman" w:hAnsi="Times New Roman" w:cs="Times New Roman"/>
          <w:b/>
          <w:noProof/>
          <w:sz w:val="24"/>
          <w:szCs w:val="24"/>
          <w:lang w:eastAsia="en-GB"/>
        </w:rPr>
        <w:t xml:space="preserve"> -</w:t>
      </w:r>
      <w:r w:rsidRPr="00347053">
        <w:rPr>
          <w:rFonts w:ascii="Times New Roman" w:eastAsia="Times New Roman" w:hAnsi="Times New Roman" w:cs="Times New Roman"/>
          <w:b/>
          <w:noProof/>
          <w:sz w:val="24"/>
          <w:szCs w:val="24"/>
          <w:lang w:eastAsia="en-GB"/>
        </w:rPr>
        <w:t xml:space="preserve"> </w:t>
      </w:r>
      <w:r w:rsidR="00E40489" w:rsidRPr="00347053">
        <w:rPr>
          <w:rFonts w:ascii="Times New Roman" w:eastAsia="Times New Roman" w:hAnsi="Times New Roman" w:cs="Times New Roman"/>
          <w:b/>
          <w:noProof/>
          <w:sz w:val="24"/>
          <w:szCs w:val="24"/>
          <w:lang w:eastAsia="en-GB"/>
        </w:rPr>
        <w:t>e</w:t>
      </w:r>
      <w:r w:rsidRPr="00347053">
        <w:rPr>
          <w:rFonts w:ascii="Times New Roman" w:eastAsia="Times New Roman" w:hAnsi="Times New Roman" w:cs="Times New Roman"/>
          <w:b/>
          <w:noProof/>
          <w:sz w:val="24"/>
          <w:szCs w:val="24"/>
          <w:lang w:eastAsia="en-GB"/>
        </w:rPr>
        <w:t xml:space="preserve">uro </w:t>
      </w:r>
      <w:r w:rsidR="00E40489" w:rsidRPr="00347053">
        <w:rPr>
          <w:rFonts w:ascii="Times New Roman" w:eastAsia="Times New Roman" w:hAnsi="Times New Roman" w:cs="Times New Roman"/>
          <w:b/>
          <w:noProof/>
          <w:sz w:val="24"/>
          <w:szCs w:val="24"/>
          <w:lang w:eastAsia="en-GB"/>
        </w:rPr>
        <w:t>a</w:t>
      </w:r>
      <w:r w:rsidRPr="00347053">
        <w:rPr>
          <w:rFonts w:ascii="Times New Roman" w:eastAsia="Times New Roman" w:hAnsi="Times New Roman" w:cs="Times New Roman"/>
          <w:b/>
          <w:noProof/>
          <w:sz w:val="24"/>
          <w:szCs w:val="24"/>
          <w:lang w:eastAsia="en-GB"/>
        </w:rPr>
        <w:t>rea Member States</w:t>
      </w:r>
      <w:r w:rsidR="004763BA">
        <w:rPr>
          <w:rFonts w:ascii="Times New Roman" w:eastAsia="Times New Roman" w:hAnsi="Times New Roman" w:cs="Times New Roman"/>
          <w:b/>
          <w:noProof/>
          <w:sz w:val="24"/>
          <w:szCs w:val="24"/>
          <w:lang w:eastAsia="en-GB"/>
        </w:rPr>
        <w:t xml:space="preserve"> </w:t>
      </w:r>
      <w:r w:rsidRPr="00347053">
        <w:rPr>
          <w:rFonts w:ascii="Times New Roman" w:eastAsia="Times New Roman" w:hAnsi="Times New Roman" w:cs="Times New Roman"/>
          <w:b/>
          <w:noProof/>
          <w:sz w:val="24"/>
          <w:szCs w:val="24"/>
          <w:lang w:eastAsia="en-GB"/>
        </w:rPr>
        <w:t>(*) (N=17)</w:t>
      </w:r>
    </w:p>
    <w:p w14:paraId="1DD9F142" w14:textId="77777777" w:rsidR="005D614F" w:rsidRDefault="005D614F" w:rsidP="00851BA8">
      <w:pPr>
        <w:keepNext/>
        <w:keepLines/>
        <w:spacing w:before="120" w:after="120" w:line="240" w:lineRule="auto"/>
        <w:jc w:val="both"/>
        <w:rPr>
          <w:rFonts w:ascii="Arial" w:eastAsia="Arial" w:hAnsi="Arial" w:cs="Arial"/>
          <w:noProof/>
          <w:color w:val="000000"/>
        </w:rPr>
      </w:pPr>
      <w:r>
        <w:rPr>
          <w:rFonts w:ascii="Arial" w:eastAsia="Arial" w:hAnsi="Arial" w:cs="Arial"/>
          <w:noProof/>
          <w:lang w:eastAsia="en-GB"/>
        </w:rPr>
        <w:drawing>
          <wp:inline distT="114300" distB="114300" distL="114300" distR="114300" wp14:anchorId="1FCF6632" wp14:editId="72A446EB">
            <wp:extent cx="5830432" cy="3530852"/>
            <wp:effectExtent l="0" t="0" r="0" b="0"/>
            <wp:docPr id="14" name="image12.png" descr="Bar graphs displaying the number of countries (X-axes) across 4 different aspects of DIA methodology (Y-axes): the types of indicators used (upper-left panel), the types of subgroup analyses performed (upper-right panel), the stage at which DIA is performed (lower-left panel), and the baseline used (lower-right panel). As regards the indicators, GINI, AROP rate and Winner and Losers are the most used, while Theil and Atkinson indices are the least used. Sub-group decomposition is more frequently performed by type of household, age groups and type of employment and less by educational level or type of area. The majority of countries perform DIA before the approval or after the implementation, while few countries do it before the implementation. The most used baseline is the previous year."/>
            <wp:cNvGraphicFramePr/>
            <a:graphic xmlns:a="http://schemas.openxmlformats.org/drawingml/2006/main">
              <a:graphicData uri="http://schemas.openxmlformats.org/drawingml/2006/picture">
                <pic:pic xmlns:pic="http://schemas.openxmlformats.org/drawingml/2006/picture">
                  <pic:nvPicPr>
                    <pic:cNvPr id="438" name="image12.png" descr="Bar graphs displaying the number of countries (X-axes) across 4 different aspects of DIA methodology (Y-axes): the types of indicators used (upper-left panel), the types of subgroup analyses performed (upper-right panel), the stage at which DIA is performed (lower-left panel), and the baseline used (lower-right panel). As regards the indicators, GINI, AROP rate and Winner and Losers are the most used, while Theil and Atkinson indices are the least used. Sub-group decomposition is more frequently performed by type of household, age groups and type of employment and less by educational level or type of area. The majority of countries perform DIA before the approval or after the implementation, while few countries do it before the implementation. The most used baseline is the previous year."/>
                    <pic:cNvPicPr preferRelativeResize="0"/>
                  </pic:nvPicPr>
                  <pic:blipFill>
                    <a:blip r:embed="rId35"/>
                    <a:srcRect/>
                    <a:stretch>
                      <a:fillRect/>
                    </a:stretch>
                  </pic:blipFill>
                  <pic:spPr>
                    <a:xfrm>
                      <a:off x="0" y="0"/>
                      <a:ext cx="5836761" cy="3534685"/>
                    </a:xfrm>
                    <a:prstGeom prst="rect">
                      <a:avLst/>
                    </a:prstGeom>
                    <a:ln/>
                  </pic:spPr>
                </pic:pic>
              </a:graphicData>
            </a:graphic>
          </wp:inline>
        </w:drawing>
      </w:r>
    </w:p>
    <w:p w14:paraId="0E253C01" w14:textId="73B35EBB" w:rsidR="001D2878" w:rsidRPr="008F1389" w:rsidRDefault="005D614F" w:rsidP="008F1389">
      <w:pPr>
        <w:pStyle w:val="TableNote"/>
        <w:keepNext/>
        <w:keepLines/>
        <w:rPr>
          <w:rFonts w:ascii="Times New Roman" w:hAnsi="Times New Roman"/>
          <w:noProof/>
          <w:sz w:val="20"/>
          <w:szCs w:val="20"/>
        </w:rPr>
      </w:pPr>
      <w:r w:rsidRPr="008F1389">
        <w:rPr>
          <w:rFonts w:ascii="Times New Roman" w:hAnsi="Times New Roman"/>
          <w:noProof/>
          <w:sz w:val="20"/>
          <w:szCs w:val="20"/>
        </w:rPr>
        <w:t xml:space="preserve">Note: respondents are allowed to choose multiple answers. </w:t>
      </w:r>
      <w:r w:rsidR="004763BA">
        <w:rPr>
          <w:rFonts w:ascii="Times New Roman" w:hAnsi="Times New Roman"/>
          <w:noProof/>
          <w:sz w:val="20"/>
          <w:szCs w:val="20"/>
        </w:rPr>
        <w:t xml:space="preserve"> </w:t>
      </w:r>
      <w:r w:rsidRPr="008F1389">
        <w:rPr>
          <w:rFonts w:ascii="Times New Roman" w:hAnsi="Times New Roman"/>
          <w:noProof/>
          <w:sz w:val="20"/>
          <w:szCs w:val="20"/>
        </w:rPr>
        <w:t>(*) Cyprus and Luxembourg are excluded since no DIA is performed in these M</w:t>
      </w:r>
      <w:r w:rsidR="00AE7967" w:rsidRPr="008F1389">
        <w:rPr>
          <w:rFonts w:ascii="Times New Roman" w:hAnsi="Times New Roman"/>
          <w:noProof/>
          <w:sz w:val="20"/>
          <w:szCs w:val="20"/>
        </w:rPr>
        <w:t xml:space="preserve">ember </w:t>
      </w:r>
      <w:r w:rsidRPr="008F1389">
        <w:rPr>
          <w:rFonts w:ascii="Times New Roman" w:hAnsi="Times New Roman"/>
          <w:noProof/>
          <w:sz w:val="20"/>
          <w:szCs w:val="20"/>
        </w:rPr>
        <w:t>S</w:t>
      </w:r>
      <w:r w:rsidR="00AE7967" w:rsidRPr="008F1389">
        <w:rPr>
          <w:rFonts w:ascii="Times New Roman" w:hAnsi="Times New Roman"/>
          <w:noProof/>
          <w:sz w:val="20"/>
          <w:szCs w:val="20"/>
        </w:rPr>
        <w:t>tates</w:t>
      </w:r>
      <w:r w:rsidRPr="008F1389">
        <w:rPr>
          <w:rFonts w:ascii="Times New Roman" w:hAnsi="Times New Roman"/>
          <w:noProof/>
          <w:sz w:val="20"/>
          <w:szCs w:val="20"/>
        </w:rPr>
        <w:t>.</w:t>
      </w:r>
      <w:r w:rsidR="004763BA">
        <w:rPr>
          <w:rFonts w:ascii="Times New Roman" w:hAnsi="Times New Roman"/>
          <w:noProof/>
          <w:sz w:val="20"/>
          <w:szCs w:val="20"/>
        </w:rPr>
        <w:t xml:space="preserve"> </w:t>
      </w:r>
      <w:r w:rsidR="00DB3191" w:rsidRPr="008F1389">
        <w:rPr>
          <w:rFonts w:ascii="Times New Roman" w:hAnsi="Times New Roman"/>
          <w:noProof/>
          <w:sz w:val="20"/>
          <w:szCs w:val="20"/>
          <w:lang w:val="en-IE"/>
        </w:rPr>
        <w:t>Source: Study on Distribution Impact Assessment by the University of Milan, financed by the C</w:t>
      </w:r>
      <w:r w:rsidR="001D2878" w:rsidRPr="008F1389">
        <w:rPr>
          <w:rFonts w:ascii="Times New Roman" w:hAnsi="Times New Roman"/>
          <w:noProof/>
          <w:sz w:val="20"/>
          <w:szCs w:val="20"/>
          <w:lang w:val="en-IE"/>
        </w:rPr>
        <w:t xml:space="preserve">ommission (DG EMPL): </w:t>
      </w:r>
      <w:hyperlink r:id="rId36" w:tgtFrame="_blank" w:history="1">
        <w:r w:rsidR="001D2878" w:rsidRPr="008F1389">
          <w:rPr>
            <w:rStyle w:val="Hyperlink"/>
            <w:rFonts w:ascii="Times New Roman" w:hAnsi="Times New Roman"/>
            <w:bCs/>
            <w:noProof/>
            <w:color w:val="000000"/>
            <w:sz w:val="20"/>
            <w:szCs w:val="20"/>
            <w:shd w:val="clear" w:color="auto" w:fill="FFFFFF"/>
          </w:rPr>
          <w:t>https://data.europa.eu/doi/10.2767/511644</w:t>
        </w:r>
      </w:hyperlink>
    </w:p>
    <w:p w14:paraId="70E4C317" w14:textId="6517E5CA" w:rsidR="006B31AB" w:rsidRDefault="00D56E53" w:rsidP="004046E6">
      <w:pPr>
        <w:pStyle w:val="ListParagraph"/>
        <w:ind w:left="0"/>
        <w:contextualSpacing w:val="0"/>
        <w:jc w:val="both"/>
        <w:rPr>
          <w:rFonts w:ascii="Times New Roman" w:hAnsi="Times New Roman" w:cs="Times New Roman"/>
          <w:noProof/>
          <w:sz w:val="24"/>
        </w:rPr>
      </w:pPr>
      <w:r w:rsidRPr="001C541A">
        <w:rPr>
          <w:rFonts w:ascii="Times New Roman" w:hAnsi="Times New Roman" w:cs="Times New Roman"/>
          <w:b/>
          <w:noProof/>
          <w:sz w:val="24"/>
          <w:szCs w:val="24"/>
        </w:rPr>
        <w:t>DIA</w:t>
      </w:r>
      <w:r w:rsidR="00FB5CA2">
        <w:rPr>
          <w:rFonts w:ascii="Times New Roman" w:hAnsi="Times New Roman" w:cs="Times New Roman"/>
          <w:b/>
          <w:noProof/>
          <w:sz w:val="24"/>
          <w:szCs w:val="24"/>
        </w:rPr>
        <w:t xml:space="preserve"> analysis can usefully be complemented by presenting results concerning certain socio-economic groups</w:t>
      </w:r>
      <w:r w:rsidR="004046E6">
        <w:rPr>
          <w:rFonts w:ascii="Times New Roman" w:hAnsi="Times New Roman" w:cs="Times New Roman"/>
          <w:b/>
          <w:noProof/>
          <w:sz w:val="24"/>
          <w:szCs w:val="24"/>
        </w:rPr>
        <w:t xml:space="preserve"> </w:t>
      </w:r>
      <w:r w:rsidR="00D86412">
        <w:rPr>
          <w:rFonts w:ascii="Times New Roman" w:hAnsi="Times New Roman" w:cs="Times New Roman"/>
          <w:b/>
          <w:noProof/>
          <w:sz w:val="24"/>
        </w:rPr>
        <w:t xml:space="preserve">and </w:t>
      </w:r>
      <w:r w:rsidR="0079177B">
        <w:rPr>
          <w:rFonts w:ascii="Times New Roman" w:hAnsi="Times New Roman" w:cs="Times New Roman"/>
          <w:b/>
          <w:noProof/>
          <w:sz w:val="24"/>
        </w:rPr>
        <w:t>the majority</w:t>
      </w:r>
      <w:r w:rsidR="00D86412">
        <w:rPr>
          <w:rFonts w:ascii="Times New Roman" w:hAnsi="Times New Roman" w:cs="Times New Roman"/>
          <w:b/>
          <w:noProof/>
          <w:sz w:val="24"/>
        </w:rPr>
        <w:t xml:space="preserve"> of Member States </w:t>
      </w:r>
      <w:r w:rsidR="006B31AB" w:rsidRPr="00D22B2D">
        <w:rPr>
          <w:rFonts w:ascii="Times New Roman" w:hAnsi="Times New Roman" w:cs="Times New Roman"/>
          <w:b/>
          <w:noProof/>
          <w:sz w:val="24"/>
        </w:rPr>
        <w:t>consider subgroups in the analysis</w:t>
      </w:r>
      <w:r w:rsidR="006B31AB" w:rsidRPr="006B31AB">
        <w:rPr>
          <w:rFonts w:ascii="Times New Roman" w:hAnsi="Times New Roman" w:cs="Times New Roman"/>
          <w:noProof/>
          <w:sz w:val="24"/>
        </w:rPr>
        <w:t xml:space="preserve"> (BE, CZ, DK, DE, EE, IE, EL, ES, FR, HR, IT, LV, LT, HU, MT, NL, PL, RO, SK, FI, SE). Subgroups considered vary between countries and depending on the actual analysis undertaken. Subgroups could include (children, working age, and older people), gender, connection to labour market (employed, self-employed etc</w:t>
      </w:r>
      <w:r w:rsidR="004C7140">
        <w:rPr>
          <w:rFonts w:ascii="Times New Roman" w:hAnsi="Times New Roman" w:cs="Times New Roman"/>
          <w:noProof/>
          <w:sz w:val="24"/>
        </w:rPr>
        <w:t>.</w:t>
      </w:r>
      <w:r w:rsidR="006B31AB" w:rsidRPr="006B31AB">
        <w:rPr>
          <w:rFonts w:ascii="Times New Roman" w:hAnsi="Times New Roman" w:cs="Times New Roman"/>
          <w:noProof/>
          <w:sz w:val="24"/>
        </w:rPr>
        <w:t>) and by level of education. For instance, in B</w:t>
      </w:r>
      <w:r w:rsidR="00280F97">
        <w:rPr>
          <w:rFonts w:ascii="Times New Roman" w:hAnsi="Times New Roman" w:cs="Times New Roman"/>
          <w:noProof/>
          <w:sz w:val="24"/>
        </w:rPr>
        <w:t>elgium</w:t>
      </w:r>
      <w:r w:rsidR="006B31AB" w:rsidRPr="006B31AB">
        <w:rPr>
          <w:rFonts w:ascii="Times New Roman" w:hAnsi="Times New Roman" w:cs="Times New Roman"/>
          <w:noProof/>
          <w:sz w:val="24"/>
        </w:rPr>
        <w:t>, depending on the kind of policy reforms, the subgroups for which some additional results are presented may differ (e.g. regional child benefit reforms versus unemployment benefit reforms). In D</w:t>
      </w:r>
      <w:r w:rsidR="00280F97">
        <w:rPr>
          <w:rFonts w:ascii="Times New Roman" w:hAnsi="Times New Roman" w:cs="Times New Roman"/>
          <w:noProof/>
          <w:sz w:val="24"/>
        </w:rPr>
        <w:t>enmark</w:t>
      </w:r>
      <w:r w:rsidR="006B31AB" w:rsidRPr="006B31AB">
        <w:rPr>
          <w:rFonts w:ascii="Times New Roman" w:hAnsi="Times New Roman" w:cs="Times New Roman"/>
          <w:noProof/>
          <w:sz w:val="24"/>
        </w:rPr>
        <w:t xml:space="preserve">, changes in </w:t>
      </w:r>
      <w:r w:rsidR="004C7140" w:rsidRPr="006B31AB">
        <w:rPr>
          <w:rFonts w:ascii="Times New Roman" w:hAnsi="Times New Roman" w:cs="Times New Roman"/>
          <w:noProof/>
          <w:sz w:val="24"/>
        </w:rPr>
        <w:t>equali</w:t>
      </w:r>
      <w:r w:rsidR="004C7140">
        <w:rPr>
          <w:rFonts w:ascii="Times New Roman" w:hAnsi="Times New Roman" w:cs="Times New Roman"/>
          <w:noProof/>
          <w:sz w:val="24"/>
        </w:rPr>
        <w:t>s</w:t>
      </w:r>
      <w:r w:rsidR="004C7140" w:rsidRPr="006B31AB">
        <w:rPr>
          <w:rFonts w:ascii="Times New Roman" w:hAnsi="Times New Roman" w:cs="Times New Roman"/>
          <w:noProof/>
          <w:sz w:val="24"/>
        </w:rPr>
        <w:t>ed</w:t>
      </w:r>
      <w:r w:rsidR="006B31AB" w:rsidRPr="006B31AB">
        <w:rPr>
          <w:rFonts w:ascii="Times New Roman" w:hAnsi="Times New Roman" w:cs="Times New Roman"/>
          <w:noProof/>
          <w:sz w:val="24"/>
        </w:rPr>
        <w:t xml:space="preserve"> disposable income are presented depending on type of connection to labour market (employees, self-employed, unemployed, </w:t>
      </w:r>
      <w:r w:rsidR="00280F97">
        <w:rPr>
          <w:rFonts w:ascii="Times New Roman" w:hAnsi="Times New Roman" w:cs="Times New Roman"/>
          <w:noProof/>
          <w:sz w:val="24"/>
        </w:rPr>
        <w:t>students, pensioners etc.). In Germany</w:t>
      </w:r>
      <w:r w:rsidR="006B31AB" w:rsidRPr="006B31AB">
        <w:rPr>
          <w:rFonts w:ascii="Times New Roman" w:hAnsi="Times New Roman" w:cs="Times New Roman"/>
          <w:noProof/>
          <w:sz w:val="24"/>
        </w:rPr>
        <w:t xml:space="preserve">, the assessment of effects for households of social benefit recipients and different type of households, based on criteria’s such as such as age, education and migration. In </w:t>
      </w:r>
      <w:r w:rsidR="00280F97">
        <w:rPr>
          <w:rFonts w:ascii="Times New Roman" w:hAnsi="Times New Roman" w:cs="Times New Roman"/>
          <w:noProof/>
          <w:sz w:val="24"/>
        </w:rPr>
        <w:t>Austria</w:t>
      </w:r>
      <w:r w:rsidR="006B31AB" w:rsidRPr="006B31AB">
        <w:rPr>
          <w:rFonts w:ascii="Times New Roman" w:hAnsi="Times New Roman" w:cs="Times New Roman"/>
          <w:noProof/>
          <w:sz w:val="24"/>
        </w:rPr>
        <w:t>, it is assessed whether a proposal has significant impacts on the AROPE</w:t>
      </w:r>
      <w:r w:rsidR="007E6FEA">
        <w:rPr>
          <w:rFonts w:ascii="Times New Roman" w:hAnsi="Times New Roman" w:cs="Times New Roman"/>
          <w:noProof/>
          <w:sz w:val="24"/>
        </w:rPr>
        <w:t xml:space="preserve"> </w:t>
      </w:r>
      <w:r w:rsidR="006B31AB" w:rsidRPr="006B31AB">
        <w:rPr>
          <w:rFonts w:ascii="Times New Roman" w:hAnsi="Times New Roman" w:cs="Times New Roman"/>
          <w:noProof/>
          <w:sz w:val="24"/>
        </w:rPr>
        <w:t>target group. In E</w:t>
      </w:r>
      <w:r w:rsidR="00280F97">
        <w:rPr>
          <w:rFonts w:ascii="Times New Roman" w:hAnsi="Times New Roman" w:cs="Times New Roman"/>
          <w:noProof/>
          <w:sz w:val="24"/>
        </w:rPr>
        <w:t>stonia</w:t>
      </w:r>
      <w:r w:rsidR="006B31AB" w:rsidRPr="006B31AB">
        <w:rPr>
          <w:rFonts w:ascii="Times New Roman" w:hAnsi="Times New Roman" w:cs="Times New Roman"/>
          <w:noProof/>
          <w:sz w:val="24"/>
        </w:rPr>
        <w:t>, the assessment of the impact of benefits on poverty and other monetary variables is made by different age groups, number of children in the household, household type or other socio-demographic characteristics (e.g. impact of unemployment benefits on unemployed persons poverty rates; pensions increase on the pensioners poverty). In P</w:t>
      </w:r>
      <w:r w:rsidR="00280F97">
        <w:rPr>
          <w:rFonts w:ascii="Times New Roman" w:hAnsi="Times New Roman" w:cs="Times New Roman"/>
          <w:noProof/>
          <w:sz w:val="24"/>
        </w:rPr>
        <w:t>oland</w:t>
      </w:r>
      <w:r w:rsidR="006B31AB" w:rsidRPr="006B31AB">
        <w:rPr>
          <w:rFonts w:ascii="Times New Roman" w:hAnsi="Times New Roman" w:cs="Times New Roman"/>
          <w:noProof/>
          <w:sz w:val="24"/>
        </w:rPr>
        <w:t>, regulatory impact assessments estimate the number of households affected by a particular intervention in terms of size and type of households (retirees and pensioners, households with children, single parents with children, households with persons with disabilities); and also age groups (e.g., effects of tax interventions on workers under 26). In R</w:t>
      </w:r>
      <w:r w:rsidR="00280F97">
        <w:rPr>
          <w:rFonts w:ascii="Times New Roman" w:hAnsi="Times New Roman" w:cs="Times New Roman"/>
          <w:noProof/>
          <w:sz w:val="24"/>
        </w:rPr>
        <w:t>omania</w:t>
      </w:r>
      <w:r w:rsidR="006B31AB" w:rsidRPr="006B31AB">
        <w:rPr>
          <w:rFonts w:ascii="Times New Roman" w:hAnsi="Times New Roman" w:cs="Times New Roman"/>
          <w:noProof/>
          <w:sz w:val="24"/>
        </w:rPr>
        <w:t>, the results are usually analysed by age groups, type of househo</w:t>
      </w:r>
      <w:r w:rsidR="00100F22">
        <w:rPr>
          <w:rFonts w:ascii="Times New Roman" w:hAnsi="Times New Roman" w:cs="Times New Roman"/>
          <w:noProof/>
          <w:sz w:val="24"/>
        </w:rPr>
        <w:t>ld (rural/</w:t>
      </w:r>
      <w:r w:rsidR="006B31AB" w:rsidRPr="006B31AB">
        <w:rPr>
          <w:rFonts w:ascii="Times New Roman" w:hAnsi="Times New Roman" w:cs="Times New Roman"/>
          <w:noProof/>
          <w:sz w:val="24"/>
        </w:rPr>
        <w:t>urban, household size, number of children, etc.), region, educational level, employment type. In S</w:t>
      </w:r>
      <w:r w:rsidR="00280F97">
        <w:rPr>
          <w:rFonts w:ascii="Times New Roman" w:hAnsi="Times New Roman" w:cs="Times New Roman"/>
          <w:noProof/>
          <w:sz w:val="24"/>
        </w:rPr>
        <w:t>weden</w:t>
      </w:r>
      <w:r w:rsidR="006B31AB" w:rsidRPr="006B31AB">
        <w:rPr>
          <w:rFonts w:ascii="Times New Roman" w:hAnsi="Times New Roman" w:cs="Times New Roman"/>
          <w:noProof/>
          <w:sz w:val="24"/>
        </w:rPr>
        <w:t>, estimates for subgroups are sometimes used in the budget process (age groups, types of household, educational level, regional level), but are usually not included when the overall effect of all reforms is presented in the budget bill.</w:t>
      </w:r>
    </w:p>
    <w:p w14:paraId="61A78904" w14:textId="3EE57E4C" w:rsidR="00D56E53" w:rsidRDefault="00352799" w:rsidP="008F1389">
      <w:pPr>
        <w:pStyle w:val="Heading2"/>
        <w:numPr>
          <w:ilvl w:val="0"/>
          <w:numId w:val="28"/>
        </w:numPr>
        <w:spacing w:before="120" w:after="120"/>
        <w:ind w:left="714" w:hanging="357"/>
        <w:rPr>
          <w:rFonts w:ascii="Times New Roman" w:hAnsi="Times New Roman" w:cs="Times New Roman"/>
          <w:noProof/>
        </w:rPr>
      </w:pPr>
      <w:bookmarkStart w:id="11" w:name="_Toc114470591"/>
      <w:r>
        <w:rPr>
          <w:rFonts w:ascii="Times New Roman" w:hAnsi="Times New Roman" w:cs="Times New Roman"/>
          <w:noProof/>
        </w:rPr>
        <w:t>How to disseminate DIAs</w:t>
      </w:r>
      <w:r w:rsidR="00851BA8">
        <w:rPr>
          <w:rFonts w:ascii="Times New Roman" w:hAnsi="Times New Roman" w:cs="Times New Roman"/>
          <w:noProof/>
        </w:rPr>
        <w:t>?</w:t>
      </w:r>
      <w:bookmarkEnd w:id="11"/>
    </w:p>
    <w:p w14:paraId="73404EEB" w14:textId="7F876AB1" w:rsidR="00D56E53" w:rsidRPr="00D56E53" w:rsidRDefault="00D56E53" w:rsidP="00F33666">
      <w:pPr>
        <w:spacing w:after="200" w:line="276" w:lineRule="auto"/>
        <w:jc w:val="both"/>
        <w:rPr>
          <w:rFonts w:ascii="Times New Roman" w:hAnsi="Times New Roman" w:cs="Times New Roman"/>
          <w:noProof/>
          <w:sz w:val="24"/>
          <w:szCs w:val="24"/>
        </w:rPr>
      </w:pPr>
      <w:r w:rsidRPr="00A51502">
        <w:rPr>
          <w:rFonts w:ascii="Times New Roman" w:hAnsi="Times New Roman" w:cs="Times New Roman"/>
          <w:b/>
          <w:noProof/>
          <w:sz w:val="24"/>
          <w:szCs w:val="24"/>
        </w:rPr>
        <w:t>Apart from allowing policymakers to make informed decisions, one of the functions of DIA is arguably to give a credible picture to the general public of how policy reforms will affect them.</w:t>
      </w:r>
      <w:r w:rsidRPr="00D56E53">
        <w:rPr>
          <w:rFonts w:ascii="Times New Roman" w:hAnsi="Times New Roman" w:cs="Times New Roman"/>
          <w:noProof/>
          <w:sz w:val="24"/>
          <w:szCs w:val="24"/>
        </w:rPr>
        <w:t xml:space="preserve"> </w:t>
      </w:r>
      <w:r w:rsidR="00A51502" w:rsidRPr="00DC0AEA">
        <w:rPr>
          <w:rFonts w:ascii="Times New Roman" w:hAnsi="Times New Roman" w:cs="Times New Roman"/>
          <w:noProof/>
          <w:sz w:val="24"/>
          <w:szCs w:val="24"/>
        </w:rPr>
        <w:t>In severa</w:t>
      </w:r>
      <w:r w:rsidR="008A3855">
        <w:rPr>
          <w:rFonts w:ascii="Times New Roman" w:hAnsi="Times New Roman" w:cs="Times New Roman"/>
          <w:noProof/>
          <w:sz w:val="24"/>
          <w:szCs w:val="24"/>
        </w:rPr>
        <w:t xml:space="preserve">l Member States, the public </w:t>
      </w:r>
      <w:r w:rsidR="00A51502" w:rsidRPr="00DC0AEA">
        <w:rPr>
          <w:rFonts w:ascii="Times New Roman" w:hAnsi="Times New Roman" w:cs="Times New Roman"/>
          <w:noProof/>
          <w:sz w:val="24"/>
          <w:szCs w:val="24"/>
        </w:rPr>
        <w:t xml:space="preserve">or the media pay </w:t>
      </w:r>
      <w:r w:rsidR="005C7789">
        <w:rPr>
          <w:rFonts w:ascii="Times New Roman" w:hAnsi="Times New Roman" w:cs="Times New Roman"/>
          <w:noProof/>
          <w:sz w:val="24"/>
          <w:szCs w:val="24"/>
        </w:rPr>
        <w:t>significant</w:t>
      </w:r>
      <w:r w:rsidR="00A51502" w:rsidRPr="00DC0AEA">
        <w:rPr>
          <w:rFonts w:ascii="Times New Roman" w:hAnsi="Times New Roman" w:cs="Times New Roman"/>
          <w:noProof/>
          <w:sz w:val="24"/>
          <w:szCs w:val="24"/>
        </w:rPr>
        <w:t xml:space="preserve"> attention to DIA analysis (BE, DK, IE, EL, FR, IT, LT, NL, AT, PL, SE). </w:t>
      </w:r>
    </w:p>
    <w:p w14:paraId="1706825E" w14:textId="38C808DE" w:rsidR="00D56E53" w:rsidRDefault="00EF4B04" w:rsidP="00D56E53">
      <w:pPr>
        <w:jc w:val="both"/>
        <w:rPr>
          <w:rFonts w:ascii="Times New Roman" w:hAnsi="Times New Roman" w:cs="Times New Roman"/>
          <w:noProof/>
          <w:sz w:val="24"/>
          <w:szCs w:val="24"/>
        </w:rPr>
      </w:pPr>
      <w:r w:rsidRPr="00845146">
        <w:rPr>
          <w:rFonts w:ascii="Times New Roman" w:hAnsi="Times New Roman" w:cs="Times New Roman"/>
          <w:b/>
          <w:noProof/>
          <w:sz w:val="24"/>
          <w:szCs w:val="24"/>
        </w:rPr>
        <w:t>A</w:t>
      </w:r>
      <w:r w:rsidR="00D56E53" w:rsidRPr="00845146">
        <w:rPr>
          <w:rFonts w:ascii="Times New Roman" w:hAnsi="Times New Roman" w:cs="Times New Roman"/>
          <w:b/>
          <w:noProof/>
          <w:sz w:val="24"/>
          <w:szCs w:val="24"/>
        </w:rPr>
        <w:t xml:space="preserve"> well-written press</w:t>
      </w:r>
      <w:r w:rsidR="00A51502" w:rsidRPr="00845146">
        <w:rPr>
          <w:rFonts w:ascii="Times New Roman" w:hAnsi="Times New Roman" w:cs="Times New Roman"/>
          <w:b/>
          <w:noProof/>
          <w:sz w:val="24"/>
          <w:szCs w:val="24"/>
        </w:rPr>
        <w:t xml:space="preserve"> </w:t>
      </w:r>
      <w:r w:rsidR="00D56E53" w:rsidRPr="00845146">
        <w:rPr>
          <w:rFonts w:ascii="Times New Roman" w:hAnsi="Times New Roman" w:cs="Times New Roman"/>
          <w:b/>
          <w:noProof/>
          <w:sz w:val="24"/>
          <w:szCs w:val="24"/>
        </w:rPr>
        <w:t xml:space="preserve">release or infographic to accompany the more detailed report or presentation is key to facilitating the reporting of DIA in the media. </w:t>
      </w:r>
      <w:r w:rsidR="00D56E53" w:rsidRPr="00D56E53">
        <w:rPr>
          <w:rFonts w:ascii="Times New Roman" w:hAnsi="Times New Roman" w:cs="Times New Roman"/>
          <w:noProof/>
          <w:sz w:val="24"/>
          <w:szCs w:val="24"/>
        </w:rPr>
        <w:t xml:space="preserve">These communications should focus on the results and what they mean for the general public, without dwelling much on the technical detail of the model documented in the underlying report or presentation. For example, the public is likely to be interested in whether budgetary changes are more beneficial to low- or high-income households and the implications of reforms for poverty rates; income inequality and living standards. An author of the DIA – ideally one who has received media training – could also be made available to speak to the media in the event that clarifications or interviews are requested. </w:t>
      </w:r>
    </w:p>
    <w:p w14:paraId="61E4AD10" w14:textId="77777777" w:rsidR="00BF4745" w:rsidRPr="00186CFA" w:rsidRDefault="00BF4745" w:rsidP="00BF4745">
      <w:pPr>
        <w:jc w:val="both"/>
        <w:rPr>
          <w:rFonts w:ascii="Times New Roman" w:hAnsi="Times New Roman" w:cs="Times New Roman"/>
          <w:noProof/>
          <w:sz w:val="24"/>
          <w:szCs w:val="24"/>
        </w:rPr>
      </w:pPr>
      <w:r w:rsidRPr="00186CFA">
        <w:rPr>
          <w:rFonts w:ascii="Times New Roman" w:hAnsi="Times New Roman" w:cs="Times New Roman"/>
          <w:b/>
          <w:noProof/>
          <w:sz w:val="24"/>
          <w:szCs w:val="24"/>
        </w:rPr>
        <w:t>DIA results gain to be communicated in a way that raises the interest of the media and the public, which is the case in a number of Member States</w:t>
      </w:r>
      <w:r w:rsidRPr="00186CFA">
        <w:rPr>
          <w:rFonts w:ascii="Times New Roman" w:hAnsi="Times New Roman" w:cs="Times New Roman"/>
          <w:noProof/>
          <w:sz w:val="24"/>
          <w:szCs w:val="24"/>
        </w:rPr>
        <w:t xml:space="preserve"> (BE, DK, IE, EL, FR, IT, LT, NL, AT, PL, SE). There is also coverage of distributional considerations of programmes of political parties in the run-up to parliamentary elections (BE, FI). The media attention may depend on the size of expected distributional impact of proposed measures (CZ, AT, SK). DIA considerations often feature high during parliamentary debates (BE, CZ, DK, DE, FR, IE, IT, LV, LT, AT, PL, FI, SE). </w:t>
      </w:r>
    </w:p>
    <w:p w14:paraId="1627D4F2" w14:textId="28968EED" w:rsidR="00DC0AEA" w:rsidRDefault="00DC0AEA" w:rsidP="00DC0AEA">
      <w:pPr>
        <w:spacing w:after="200" w:line="276" w:lineRule="auto"/>
        <w:jc w:val="both"/>
        <w:rPr>
          <w:rFonts w:ascii="Times New Roman" w:hAnsi="Times New Roman" w:cs="Times New Roman"/>
          <w:noProof/>
          <w:sz w:val="24"/>
          <w:szCs w:val="24"/>
        </w:rPr>
      </w:pPr>
      <w:r w:rsidRPr="00A51502">
        <w:rPr>
          <w:rFonts w:ascii="Times New Roman" w:hAnsi="Times New Roman" w:cs="Times New Roman"/>
          <w:b/>
          <w:noProof/>
          <w:sz w:val="24"/>
          <w:szCs w:val="24"/>
        </w:rPr>
        <w:t xml:space="preserve">Where they are disseminated publicly, DIA results are usually included in budgetary documents and other documents either proposing or implementing reforms </w:t>
      </w:r>
      <w:r w:rsidRPr="00DC0AEA">
        <w:rPr>
          <w:rFonts w:ascii="Times New Roman" w:hAnsi="Times New Roman" w:cs="Times New Roman"/>
          <w:noProof/>
          <w:sz w:val="24"/>
          <w:szCs w:val="24"/>
        </w:rPr>
        <w:t>(CZ, DK, EE, ES, FR, IT, LV, LT, NL, AT, PL, FI and SE). Other than that, DIA results are presented in annual reports published by public institutions sometimes presented during press conferences (e.g. Study Commission on Ageing in BE). Greece appears to be the only country where the DBP is the only document where DIA results are publicly disseminated on a regular basis. DIA results are occasion</w:t>
      </w:r>
      <w:r w:rsidR="008A3855">
        <w:rPr>
          <w:rFonts w:ascii="Times New Roman" w:hAnsi="Times New Roman" w:cs="Times New Roman"/>
          <w:noProof/>
          <w:sz w:val="24"/>
          <w:szCs w:val="24"/>
        </w:rPr>
        <w:t xml:space="preserve">ally published as policy briefs or </w:t>
      </w:r>
      <w:r w:rsidRPr="00DC0AEA">
        <w:rPr>
          <w:rFonts w:ascii="Times New Roman" w:hAnsi="Times New Roman" w:cs="Times New Roman"/>
          <w:noProof/>
          <w:sz w:val="24"/>
          <w:szCs w:val="24"/>
        </w:rPr>
        <w:t xml:space="preserve">analytical reports (IT, LV, LT, HU, MT and SK). In the Netherlands, DIA calculations on policy measures included in the coalition agreements are also published. In some Member States, DIA results are only disseminated internally and mainly used to guide policy discussions behind closed doors where specific reform scenarios are being considered (EE, PT and RO). </w:t>
      </w:r>
    </w:p>
    <w:p w14:paraId="780D4A71" w14:textId="0560BEC5" w:rsidR="00DC0AEA" w:rsidRPr="00DC0AEA" w:rsidRDefault="00DC0AEA" w:rsidP="00DC0AEA">
      <w:pPr>
        <w:spacing w:after="200" w:line="276" w:lineRule="auto"/>
        <w:jc w:val="both"/>
        <w:rPr>
          <w:rFonts w:ascii="Times New Roman" w:hAnsi="Times New Roman" w:cs="Times New Roman"/>
          <w:noProof/>
          <w:sz w:val="24"/>
          <w:szCs w:val="24"/>
        </w:rPr>
      </w:pPr>
      <w:r w:rsidRPr="00A51502">
        <w:rPr>
          <w:rFonts w:ascii="Times New Roman" w:hAnsi="Times New Roman" w:cs="Times New Roman"/>
          <w:b/>
          <w:noProof/>
          <w:sz w:val="24"/>
          <w:szCs w:val="24"/>
        </w:rPr>
        <w:t>DIA results presented to the public are usually accompanied by very brief comments, while details are presented in the form of a table or a graph.</w:t>
      </w:r>
      <w:r w:rsidRPr="00DC0AEA">
        <w:rPr>
          <w:rFonts w:ascii="Times New Roman" w:hAnsi="Times New Roman" w:cs="Times New Roman"/>
          <w:noProof/>
          <w:sz w:val="24"/>
          <w:szCs w:val="24"/>
        </w:rPr>
        <w:t xml:space="preserve"> In Malta, the results are presented with a short explanation as to which cohorts and deciles are expected to be mostly impacted by the reform. In Denmark, if deemed relevant, M</w:t>
      </w:r>
      <w:r w:rsidR="00071BA6">
        <w:rPr>
          <w:rFonts w:ascii="Times New Roman" w:hAnsi="Times New Roman" w:cs="Times New Roman"/>
          <w:noProof/>
          <w:sz w:val="24"/>
          <w:szCs w:val="24"/>
        </w:rPr>
        <w:t>embers of Parliament</w:t>
      </w:r>
      <w:r w:rsidRPr="00DC0AEA">
        <w:rPr>
          <w:rFonts w:ascii="Times New Roman" w:hAnsi="Times New Roman" w:cs="Times New Roman"/>
          <w:noProof/>
          <w:sz w:val="24"/>
          <w:szCs w:val="24"/>
        </w:rPr>
        <w:t xml:space="preserve"> can request more detailed analysis and comments. No comments are provided on the results of the DIA analysis that are included in the Greek DBP.</w:t>
      </w:r>
    </w:p>
    <w:p w14:paraId="30EDBCF3" w14:textId="6709852E" w:rsidR="00DC0AEA" w:rsidRDefault="00DC0AEA" w:rsidP="00DC0AEA">
      <w:pPr>
        <w:spacing w:after="200" w:line="276" w:lineRule="auto"/>
        <w:jc w:val="both"/>
        <w:rPr>
          <w:rFonts w:ascii="Times New Roman" w:hAnsi="Times New Roman" w:cs="Times New Roman"/>
          <w:noProof/>
          <w:sz w:val="24"/>
          <w:szCs w:val="24"/>
        </w:rPr>
      </w:pPr>
      <w:r w:rsidRPr="00A51502">
        <w:rPr>
          <w:rFonts w:ascii="Times New Roman" w:hAnsi="Times New Roman" w:cs="Times New Roman"/>
          <w:b/>
          <w:noProof/>
          <w:sz w:val="24"/>
          <w:szCs w:val="24"/>
        </w:rPr>
        <w:t>Member States differ in terms of the extent to which the models and the underpinning data are made available to researchers and analysts on the one hand and the public on the other.</w:t>
      </w:r>
      <w:r w:rsidRPr="00DC0AEA">
        <w:rPr>
          <w:rFonts w:ascii="Times New Roman" w:hAnsi="Times New Roman" w:cs="Times New Roman"/>
          <w:noProof/>
          <w:sz w:val="24"/>
          <w:szCs w:val="24"/>
        </w:rPr>
        <w:t xml:space="preserve"> Generally speaking</w:t>
      </w:r>
      <w:r w:rsidR="00A51502">
        <w:rPr>
          <w:rFonts w:ascii="Times New Roman" w:hAnsi="Times New Roman" w:cs="Times New Roman"/>
          <w:noProof/>
          <w:sz w:val="24"/>
          <w:szCs w:val="24"/>
        </w:rPr>
        <w:t>,</w:t>
      </w:r>
      <w:r w:rsidRPr="00DC0AEA">
        <w:rPr>
          <w:rFonts w:ascii="Times New Roman" w:hAnsi="Times New Roman" w:cs="Times New Roman"/>
          <w:noProof/>
          <w:sz w:val="24"/>
          <w:szCs w:val="24"/>
        </w:rPr>
        <w:t xml:space="preserve"> access seems to be more restricted in Member States that use country-specific models, as opposed to those using EUROMOD which is by definition available to all users. For example, in Finland, the microsimulation models and datasets used in the analysis are accessible to researchers and analysts, but not to the general public. In Denmark models as such are not available to researchers, media or M</w:t>
      </w:r>
      <w:r w:rsidR="00071BA6">
        <w:rPr>
          <w:rFonts w:ascii="Times New Roman" w:hAnsi="Times New Roman" w:cs="Times New Roman"/>
          <w:noProof/>
          <w:sz w:val="24"/>
          <w:szCs w:val="24"/>
        </w:rPr>
        <w:t xml:space="preserve">embers of </w:t>
      </w:r>
      <w:r w:rsidRPr="00DC0AEA">
        <w:rPr>
          <w:rFonts w:ascii="Times New Roman" w:hAnsi="Times New Roman" w:cs="Times New Roman"/>
          <w:noProof/>
          <w:sz w:val="24"/>
          <w:szCs w:val="24"/>
        </w:rPr>
        <w:t>P</w:t>
      </w:r>
      <w:r w:rsidR="00071BA6">
        <w:rPr>
          <w:rFonts w:ascii="Times New Roman" w:hAnsi="Times New Roman" w:cs="Times New Roman"/>
          <w:noProof/>
          <w:sz w:val="24"/>
          <w:szCs w:val="24"/>
        </w:rPr>
        <w:t>arliament</w:t>
      </w:r>
      <w:r w:rsidRPr="00DC0AEA">
        <w:rPr>
          <w:rFonts w:ascii="Times New Roman" w:hAnsi="Times New Roman" w:cs="Times New Roman"/>
          <w:noProof/>
          <w:sz w:val="24"/>
          <w:szCs w:val="24"/>
        </w:rPr>
        <w:t>. However, the latter can request to have results of (in principle any) type of reform proposal.</w:t>
      </w:r>
      <w:r w:rsidRPr="00DC0AEA">
        <w:rPr>
          <w:noProof/>
        </w:rPr>
        <w:t xml:space="preserve"> </w:t>
      </w:r>
      <w:r w:rsidRPr="00DC0AEA">
        <w:rPr>
          <w:rFonts w:ascii="Times New Roman" w:hAnsi="Times New Roman" w:cs="Times New Roman"/>
          <w:noProof/>
          <w:sz w:val="24"/>
          <w:szCs w:val="24"/>
        </w:rPr>
        <w:t>In Sweden,</w:t>
      </w:r>
      <w:r w:rsidRPr="00DC0AEA">
        <w:rPr>
          <w:noProof/>
        </w:rPr>
        <w:t xml:space="preserve"> a</w:t>
      </w:r>
      <w:r w:rsidRPr="00DC0AEA">
        <w:rPr>
          <w:rFonts w:ascii="Times New Roman" w:hAnsi="Times New Roman" w:cs="Times New Roman"/>
          <w:noProof/>
          <w:sz w:val="24"/>
          <w:szCs w:val="24"/>
        </w:rPr>
        <w:t>cademia, research institutes and other state authorities than the government offices can request access to the entire model including data</w:t>
      </w:r>
      <w:r w:rsidR="005664A5">
        <w:rPr>
          <w:rFonts w:ascii="Times New Roman" w:hAnsi="Times New Roman" w:cs="Times New Roman"/>
          <w:noProof/>
          <w:sz w:val="24"/>
          <w:szCs w:val="24"/>
        </w:rPr>
        <w:t>.</w:t>
      </w:r>
    </w:p>
    <w:p w14:paraId="6A0B6219" w14:textId="395A626B" w:rsidR="005664A5" w:rsidRPr="00DD0906" w:rsidRDefault="005664A5" w:rsidP="005664A5">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0"/>
          <w:szCs w:val="20"/>
        </w:rPr>
      </w:pPr>
      <w:r w:rsidRPr="00DD0906">
        <w:rPr>
          <w:rFonts w:ascii="Times New Roman" w:hAnsi="Times New Roman" w:cs="Times New Roman"/>
          <w:b/>
          <w:noProof/>
          <w:sz w:val="20"/>
          <w:szCs w:val="20"/>
        </w:rPr>
        <w:t>Box</w:t>
      </w:r>
      <w:r w:rsidR="00C37617">
        <w:rPr>
          <w:rFonts w:ascii="Times New Roman" w:hAnsi="Times New Roman" w:cs="Times New Roman"/>
          <w:b/>
          <w:noProof/>
          <w:sz w:val="20"/>
          <w:szCs w:val="20"/>
        </w:rPr>
        <w:t xml:space="preserve"> 11</w:t>
      </w:r>
      <w:r w:rsidRPr="00DD0906">
        <w:rPr>
          <w:rFonts w:ascii="Times New Roman" w:hAnsi="Times New Roman" w:cs="Times New Roman"/>
          <w:b/>
          <w:noProof/>
          <w:sz w:val="20"/>
          <w:szCs w:val="20"/>
        </w:rPr>
        <w:t>: National examples of DIA dissemination</w:t>
      </w:r>
    </w:p>
    <w:p w14:paraId="51BF4773" w14:textId="77777777" w:rsidR="005664A5" w:rsidRPr="00B35FD6" w:rsidRDefault="005664A5" w:rsidP="005664A5">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sidRPr="00B35FD6">
        <w:rPr>
          <w:rFonts w:ascii="Times New Roman" w:hAnsi="Times New Roman" w:cs="Times New Roman"/>
          <w:noProof/>
          <w:sz w:val="20"/>
          <w:szCs w:val="20"/>
        </w:rPr>
        <w:t xml:space="preserve">In </w:t>
      </w:r>
      <w:r w:rsidRPr="00B35FD6">
        <w:rPr>
          <w:rFonts w:ascii="Times New Roman" w:hAnsi="Times New Roman" w:cs="Times New Roman"/>
          <w:b/>
          <w:noProof/>
          <w:sz w:val="20"/>
          <w:szCs w:val="20"/>
        </w:rPr>
        <w:t>Ireland</w:t>
      </w:r>
      <w:r w:rsidRPr="00B35FD6">
        <w:rPr>
          <w:rFonts w:ascii="Times New Roman" w:hAnsi="Times New Roman" w:cs="Times New Roman"/>
          <w:noProof/>
          <w:sz w:val="20"/>
          <w:szCs w:val="20"/>
        </w:rPr>
        <w:t>, the Department of Finance regularly publishes DIA results on the day the budget package is announced. Ireland has committed to a multi-year budgetary package of increasing carbon taxes, so there is an onus to produce DIA to show that the direct tax and welfare system is offsetting the regressive pattern of losses induced by carbon taxes. The Ministry also produce</w:t>
      </w:r>
      <w:r>
        <w:rPr>
          <w:rFonts w:ascii="Times New Roman" w:hAnsi="Times New Roman" w:cs="Times New Roman"/>
          <w:noProof/>
          <w:sz w:val="20"/>
          <w:szCs w:val="20"/>
        </w:rPr>
        <w:t>s</w:t>
      </w:r>
      <w:r w:rsidRPr="00B35FD6">
        <w:rPr>
          <w:rFonts w:ascii="Times New Roman" w:hAnsi="Times New Roman" w:cs="Times New Roman"/>
          <w:noProof/>
          <w:sz w:val="20"/>
          <w:szCs w:val="20"/>
        </w:rPr>
        <w:t xml:space="preserve"> backward-looking analysis examining how tax changes affect measures such as the Gini coefficient as well as hypothetical household examples. The Irish Economic and Social Research Institute publishes its own DIA results in the days following the presentation of the budget by the government. Hereby ESRI acts in its role of an independent analyst and commentator. The ESRI also undertake</w:t>
      </w:r>
      <w:r>
        <w:rPr>
          <w:rFonts w:ascii="Times New Roman" w:hAnsi="Times New Roman" w:cs="Times New Roman"/>
          <w:noProof/>
          <w:sz w:val="20"/>
          <w:szCs w:val="20"/>
        </w:rPr>
        <w:t>s</w:t>
      </w:r>
      <w:r w:rsidRPr="00B35FD6">
        <w:rPr>
          <w:rFonts w:ascii="Times New Roman" w:hAnsi="Times New Roman" w:cs="Times New Roman"/>
          <w:noProof/>
          <w:sz w:val="20"/>
          <w:szCs w:val="20"/>
        </w:rPr>
        <w:t xml:space="preserve"> a public briefing on their DIA. </w:t>
      </w:r>
    </w:p>
    <w:p w14:paraId="3224F5F9" w14:textId="77777777" w:rsidR="005664A5" w:rsidRPr="00B35FD6" w:rsidRDefault="005664A5" w:rsidP="005664A5">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sidRPr="00B35FD6">
        <w:rPr>
          <w:rFonts w:ascii="Times New Roman" w:hAnsi="Times New Roman" w:cs="Times New Roman"/>
          <w:noProof/>
          <w:sz w:val="20"/>
          <w:szCs w:val="20"/>
        </w:rPr>
        <w:t xml:space="preserve">In </w:t>
      </w:r>
      <w:r w:rsidRPr="00B35FD6">
        <w:rPr>
          <w:rFonts w:ascii="Times New Roman" w:hAnsi="Times New Roman" w:cs="Times New Roman"/>
          <w:b/>
          <w:noProof/>
          <w:sz w:val="20"/>
          <w:szCs w:val="20"/>
        </w:rPr>
        <w:t>Greece</w:t>
      </w:r>
      <w:r w:rsidRPr="00B35FD6">
        <w:rPr>
          <w:rFonts w:ascii="Times New Roman" w:hAnsi="Times New Roman" w:cs="Times New Roman"/>
          <w:noProof/>
          <w:sz w:val="20"/>
          <w:szCs w:val="20"/>
        </w:rPr>
        <w:t xml:space="preserve">, outputs produced by the Ministry of Finance each year for their DBP are standardised to save time and allow automation. When communicating the results, the interpretation and analysis by the Ministry remains minimal. Media coverage of this analysis is relatively extensive. </w:t>
      </w:r>
    </w:p>
    <w:p w14:paraId="4EFD1A36" w14:textId="77777777" w:rsidR="005664A5" w:rsidRPr="00B35FD6" w:rsidRDefault="005664A5" w:rsidP="005664A5">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0"/>
          <w:szCs w:val="20"/>
        </w:rPr>
      </w:pPr>
      <w:r w:rsidRPr="00B35FD6">
        <w:rPr>
          <w:rFonts w:ascii="Times New Roman" w:hAnsi="Times New Roman" w:cs="Times New Roman"/>
          <w:noProof/>
          <w:sz w:val="20"/>
          <w:szCs w:val="20"/>
        </w:rPr>
        <w:t xml:space="preserve">An interesting example of a succinct form of presentation is the key output from the </w:t>
      </w:r>
      <w:r w:rsidRPr="00B35FD6">
        <w:rPr>
          <w:rFonts w:ascii="Times New Roman" w:hAnsi="Times New Roman" w:cs="Times New Roman"/>
          <w:b/>
          <w:noProof/>
          <w:sz w:val="20"/>
          <w:szCs w:val="20"/>
        </w:rPr>
        <w:t>Dutch</w:t>
      </w:r>
      <w:r w:rsidRPr="00B35FD6">
        <w:rPr>
          <w:rFonts w:ascii="Times New Roman" w:hAnsi="Times New Roman" w:cs="Times New Roman"/>
          <w:noProof/>
          <w:sz w:val="20"/>
          <w:szCs w:val="20"/>
        </w:rPr>
        <w:t xml:space="preserve"> model MIMOSI, is a boxplot of the purchasing power growth year-to-year. The boxplot is shown for all households, by gross income quintile and for those working, pensioners and social welfare recipients separately. Households with and without children alongside singles, double-earner and single-earner households are also shown. A scatterplot of purchasing power growth is also shown. This gives more detailed insights as each data point in the plot represents a household.</w:t>
      </w:r>
    </w:p>
    <w:p w14:paraId="144C7D6B" w14:textId="1DE622CF" w:rsidR="00D26954" w:rsidRDefault="00D26954">
      <w:pPr>
        <w:rPr>
          <w:rFonts w:ascii="Times New Roman" w:hAnsi="Times New Roman" w:cs="Times New Roman"/>
          <w:noProof/>
          <w:sz w:val="24"/>
          <w:szCs w:val="24"/>
        </w:rPr>
      </w:pPr>
      <w:r>
        <w:rPr>
          <w:rFonts w:ascii="Times New Roman" w:hAnsi="Times New Roman" w:cs="Times New Roman"/>
          <w:noProof/>
          <w:sz w:val="24"/>
          <w:szCs w:val="24"/>
        </w:rPr>
        <w:br w:type="page"/>
      </w:r>
    </w:p>
    <w:p w14:paraId="1311F60E" w14:textId="3B4B134F" w:rsidR="00B13B32" w:rsidRPr="004B203D" w:rsidRDefault="00E0024D" w:rsidP="00CC653F">
      <w:pPr>
        <w:pStyle w:val="Heading1"/>
        <w:numPr>
          <w:ilvl w:val="0"/>
          <w:numId w:val="27"/>
        </w:numPr>
        <w:rPr>
          <w:rFonts w:ascii="Times New Roman" w:hAnsi="Times New Roman" w:cs="Times New Roman"/>
          <w:noProof/>
        </w:rPr>
      </w:pPr>
      <w:bookmarkStart w:id="12" w:name="_Toc114470592"/>
      <w:r w:rsidRPr="004B203D">
        <w:rPr>
          <w:rFonts w:ascii="Times New Roman" w:hAnsi="Times New Roman" w:cs="Times New Roman"/>
          <w:noProof/>
        </w:rPr>
        <w:t>Conclusion</w:t>
      </w:r>
      <w:bookmarkEnd w:id="12"/>
      <w:r w:rsidR="00F47EEE" w:rsidRPr="004B203D">
        <w:rPr>
          <w:rFonts w:ascii="Times New Roman" w:hAnsi="Times New Roman" w:cs="Times New Roman"/>
          <w:noProof/>
        </w:rPr>
        <w:t xml:space="preserve"> </w:t>
      </w:r>
    </w:p>
    <w:p w14:paraId="203FE663" w14:textId="77777777" w:rsidR="00845146" w:rsidRDefault="00845146" w:rsidP="00030B5E">
      <w:pPr>
        <w:contextualSpacing/>
        <w:jc w:val="both"/>
        <w:rPr>
          <w:rFonts w:ascii="Times New Roman" w:hAnsi="Times New Roman" w:cs="Times New Roman"/>
          <w:noProof/>
          <w:sz w:val="24"/>
          <w:szCs w:val="24"/>
        </w:rPr>
      </w:pPr>
    </w:p>
    <w:p w14:paraId="3AA65271" w14:textId="0914FD44" w:rsidR="00E94510" w:rsidRDefault="007E6FEA" w:rsidP="00373F13">
      <w:pPr>
        <w:contextualSpacing/>
        <w:jc w:val="both"/>
        <w:rPr>
          <w:rFonts w:ascii="Times New Roman" w:hAnsi="Times New Roman" w:cs="Times New Roman"/>
          <w:b/>
          <w:noProof/>
          <w:sz w:val="24"/>
          <w:szCs w:val="24"/>
        </w:rPr>
      </w:pPr>
      <w:r>
        <w:rPr>
          <w:rFonts w:ascii="Times New Roman" w:hAnsi="Times New Roman" w:cs="Times New Roman"/>
          <w:b/>
          <w:noProof/>
          <w:sz w:val="24"/>
          <w:szCs w:val="24"/>
        </w:rPr>
        <w:t>V</w:t>
      </w:r>
      <w:r w:rsidR="00030B5E" w:rsidRPr="00845146">
        <w:rPr>
          <w:rFonts w:ascii="Times New Roman" w:hAnsi="Times New Roman" w:cs="Times New Roman"/>
          <w:b/>
          <w:noProof/>
          <w:sz w:val="24"/>
          <w:szCs w:val="24"/>
        </w:rPr>
        <w:t xml:space="preserve">arious considerations need to be taken into account while conducting DIAs and disseminating their results. </w:t>
      </w:r>
      <w:r w:rsidR="00030B5E" w:rsidRPr="00030B5E">
        <w:rPr>
          <w:rFonts w:ascii="Times New Roman" w:hAnsi="Times New Roman" w:cs="Times New Roman"/>
          <w:noProof/>
          <w:sz w:val="24"/>
          <w:szCs w:val="24"/>
        </w:rPr>
        <w:t>Obtaining accurate DIA results hinges on using a well-developed microsimulation model, which ideally goes beyond the static analysis and includes behavioural responses or a longer term perspective. For the model to deliver accurate results, it needs to be fed with comprehensive and timely data. It is hence essential to make such data available both to various public administration entities but also to external researchers, also to allow that the analysis can be replicated. To the extent that data allow, the choice of policy reforms on which DIAs are run can be gradually extended beyond the tax-benefit measures, which is the core of DIA. The dissemination of the analysis can take different channels, but it is important to ensure that the main results are made available in a synthesised and easy to read manner. The information provided above constitutes a snapshot of existing tools and methods, but is important to note that these should and can be further developed in order to provide sound DIA results disseminated to a broader audience</w:t>
      </w:r>
      <w:r w:rsidR="006C75CF">
        <w:rPr>
          <w:rFonts w:ascii="Times New Roman" w:hAnsi="Times New Roman" w:cs="Times New Roman"/>
          <w:noProof/>
          <w:sz w:val="24"/>
          <w:szCs w:val="24"/>
        </w:rPr>
        <w:t>, including social partners and civil society</w:t>
      </w:r>
      <w:r w:rsidR="00030B5E" w:rsidRPr="00030B5E">
        <w:rPr>
          <w:rFonts w:ascii="Times New Roman" w:hAnsi="Times New Roman" w:cs="Times New Roman"/>
          <w:noProof/>
          <w:sz w:val="24"/>
          <w:szCs w:val="24"/>
        </w:rPr>
        <w:t xml:space="preserve">. </w:t>
      </w:r>
      <w:r w:rsidR="00E94510">
        <w:rPr>
          <w:rFonts w:ascii="Times New Roman" w:hAnsi="Times New Roman" w:cs="Times New Roman"/>
          <w:b/>
          <w:noProof/>
          <w:sz w:val="24"/>
          <w:szCs w:val="24"/>
        </w:rPr>
        <w:br w:type="page"/>
      </w:r>
    </w:p>
    <w:p w14:paraId="603872A9" w14:textId="77777777" w:rsidR="00D05780" w:rsidRDefault="00030B5E" w:rsidP="00851BA8">
      <w:pPr>
        <w:pStyle w:val="Heading1"/>
        <w:keepNext w:val="0"/>
        <w:keepLines w:val="0"/>
        <w:spacing w:after="240"/>
        <w:rPr>
          <w:rFonts w:ascii="Times New Roman" w:hAnsi="Times New Roman" w:cs="Times New Roman"/>
          <w:noProof/>
        </w:rPr>
      </w:pPr>
      <w:bookmarkStart w:id="13" w:name="_Toc114470593"/>
      <w:r w:rsidRPr="004B203D">
        <w:rPr>
          <w:rFonts w:ascii="Times New Roman" w:hAnsi="Times New Roman" w:cs="Times New Roman"/>
          <w:noProof/>
        </w:rPr>
        <w:t>Annex</w:t>
      </w:r>
      <w:bookmarkEnd w:id="13"/>
    </w:p>
    <w:p w14:paraId="07CB0BDB" w14:textId="77777777" w:rsidR="00030B5E" w:rsidRPr="00851BA8" w:rsidRDefault="00030B5E">
      <w:pPr>
        <w:widowControl w:val="0"/>
        <w:spacing w:line="257" w:lineRule="auto"/>
        <w:jc w:val="both"/>
        <w:rPr>
          <w:rFonts w:ascii="Times New Roman" w:hAnsi="Times New Roman" w:cs="Times New Roman"/>
          <w:b/>
          <w:noProof/>
          <w:sz w:val="28"/>
          <w:szCs w:val="28"/>
        </w:rPr>
      </w:pPr>
      <w:r w:rsidRPr="00CF63E1">
        <w:rPr>
          <w:rFonts w:ascii="Times New Roman" w:hAnsi="Times New Roman" w:cs="Times New Roman"/>
          <w:b/>
          <w:noProof/>
          <w:sz w:val="28"/>
          <w:szCs w:val="28"/>
        </w:rPr>
        <w:t>Discussions with the Council Committees</w:t>
      </w:r>
    </w:p>
    <w:p w14:paraId="13928DA1" w14:textId="641D47AB" w:rsidR="00030B5E" w:rsidRPr="00D63DD8" w:rsidRDefault="00030B5E" w:rsidP="00030B5E">
      <w:pPr>
        <w:widowControl w:val="0"/>
        <w:spacing w:line="257" w:lineRule="auto"/>
        <w:jc w:val="both"/>
        <w:rPr>
          <w:rFonts w:ascii="Times New Roman" w:hAnsi="Times New Roman" w:cs="Times New Roman"/>
          <w:noProof/>
          <w:sz w:val="24"/>
          <w:szCs w:val="24"/>
        </w:rPr>
      </w:pPr>
      <w:r w:rsidRPr="006D317E">
        <w:rPr>
          <w:rFonts w:ascii="Times New Roman" w:hAnsi="Times New Roman" w:cs="Times New Roman"/>
          <w:noProof/>
          <w:sz w:val="24"/>
          <w:szCs w:val="24"/>
        </w:rPr>
        <w:t xml:space="preserve">During the preparation of the Communication on increasing the use of </w:t>
      </w:r>
      <w:r w:rsidR="00963B62">
        <w:rPr>
          <w:rFonts w:ascii="Times New Roman" w:hAnsi="Times New Roman" w:cs="Times New Roman"/>
          <w:i/>
          <w:noProof/>
          <w:sz w:val="24"/>
          <w:szCs w:val="24"/>
        </w:rPr>
        <w:t>ex</w:t>
      </w:r>
      <w:r w:rsidRPr="006D317E">
        <w:rPr>
          <w:rFonts w:ascii="Times New Roman" w:hAnsi="Times New Roman" w:cs="Times New Roman"/>
          <w:noProof/>
          <w:sz w:val="24"/>
          <w:szCs w:val="24"/>
        </w:rPr>
        <w:t xml:space="preserve"> </w:t>
      </w:r>
      <w:r w:rsidRPr="00963B62">
        <w:rPr>
          <w:rFonts w:ascii="Times New Roman" w:hAnsi="Times New Roman" w:cs="Times New Roman"/>
          <w:i/>
          <w:noProof/>
          <w:sz w:val="24"/>
          <w:szCs w:val="24"/>
        </w:rPr>
        <w:t>ante</w:t>
      </w:r>
      <w:r w:rsidRPr="006D317E">
        <w:rPr>
          <w:rFonts w:ascii="Times New Roman" w:hAnsi="Times New Roman" w:cs="Times New Roman"/>
          <w:noProof/>
          <w:sz w:val="24"/>
          <w:szCs w:val="24"/>
        </w:rPr>
        <w:t xml:space="preserve"> DIAs by Member States, the Commission engaged in a dialogue on the issue with the Employment Committee and Social Protection Committee (advisory committees for the Employment and Social Affairs Council) as well as the Economic Policy Committee (an advisory committee of the Economic and Financial Affairs Council). During the dedicated discussions that took place in March and April 2022, the relevance of conducting </w:t>
      </w:r>
      <w:r w:rsidRPr="006D317E">
        <w:rPr>
          <w:rFonts w:ascii="Times New Roman" w:hAnsi="Times New Roman" w:cs="Times New Roman"/>
          <w:i/>
          <w:noProof/>
          <w:sz w:val="24"/>
          <w:szCs w:val="24"/>
        </w:rPr>
        <w:t>ex ante</w:t>
      </w:r>
      <w:r w:rsidRPr="006D317E">
        <w:rPr>
          <w:rFonts w:ascii="Times New Roman" w:hAnsi="Times New Roman" w:cs="Times New Roman"/>
          <w:noProof/>
          <w:sz w:val="24"/>
          <w:szCs w:val="24"/>
        </w:rPr>
        <w:t xml:space="preserve"> DIAs of budgetary measures and reforms was highlighted and its potential contribution to reducing inequality and poverty was duly acknowledged.</w:t>
      </w:r>
      <w:r>
        <w:rPr>
          <w:rFonts w:ascii="Times New Roman" w:hAnsi="Times New Roman" w:cs="Times New Roman"/>
          <w:noProof/>
          <w:sz w:val="24"/>
          <w:szCs w:val="24"/>
        </w:rPr>
        <w:t xml:space="preserve"> </w:t>
      </w:r>
      <w:r w:rsidR="00CF7E79">
        <w:rPr>
          <w:rFonts w:ascii="Times New Roman" w:hAnsi="Times New Roman" w:cs="Times New Roman"/>
          <w:noProof/>
          <w:sz w:val="24"/>
          <w:szCs w:val="24"/>
        </w:rPr>
        <w:t xml:space="preserve">Members agreed that </w:t>
      </w:r>
      <w:r w:rsidR="00CF7E79" w:rsidRPr="00CF7E79">
        <w:rPr>
          <w:rFonts w:ascii="Times New Roman" w:hAnsi="Times New Roman" w:cs="Times New Roman"/>
          <w:noProof/>
          <w:sz w:val="24"/>
          <w:szCs w:val="24"/>
        </w:rPr>
        <w:t>DIA</w:t>
      </w:r>
      <w:r w:rsidR="00CF7E79">
        <w:rPr>
          <w:rFonts w:ascii="Times New Roman" w:hAnsi="Times New Roman" w:cs="Times New Roman"/>
          <w:noProof/>
          <w:sz w:val="24"/>
          <w:szCs w:val="24"/>
        </w:rPr>
        <w:t>s</w:t>
      </w:r>
      <w:r w:rsidR="00CF7E79" w:rsidRPr="00CF7E79">
        <w:rPr>
          <w:rFonts w:ascii="Times New Roman" w:hAnsi="Times New Roman" w:cs="Times New Roman"/>
          <w:noProof/>
          <w:sz w:val="24"/>
          <w:szCs w:val="24"/>
        </w:rPr>
        <w:t xml:space="preserve"> </w:t>
      </w:r>
      <w:r w:rsidR="00CF7E79">
        <w:rPr>
          <w:rFonts w:ascii="Times New Roman" w:hAnsi="Times New Roman" w:cs="Times New Roman"/>
          <w:noProof/>
          <w:sz w:val="24"/>
          <w:szCs w:val="24"/>
        </w:rPr>
        <w:t>were</w:t>
      </w:r>
      <w:r w:rsidR="00CF7E79" w:rsidRPr="00CF7E79">
        <w:rPr>
          <w:rFonts w:ascii="Times New Roman" w:hAnsi="Times New Roman" w:cs="Times New Roman"/>
          <w:noProof/>
          <w:sz w:val="24"/>
          <w:szCs w:val="24"/>
        </w:rPr>
        <w:t xml:space="preserve"> </w:t>
      </w:r>
      <w:r w:rsidR="00CF7E79">
        <w:rPr>
          <w:rFonts w:ascii="Times New Roman" w:hAnsi="Times New Roman" w:cs="Times New Roman"/>
          <w:noProof/>
          <w:sz w:val="24"/>
          <w:szCs w:val="24"/>
        </w:rPr>
        <w:t>important</w:t>
      </w:r>
      <w:r w:rsidR="00CF7E79" w:rsidRPr="00CF7E79">
        <w:rPr>
          <w:rFonts w:ascii="Times New Roman" w:hAnsi="Times New Roman" w:cs="Times New Roman"/>
          <w:noProof/>
          <w:sz w:val="24"/>
          <w:szCs w:val="24"/>
        </w:rPr>
        <w:t xml:space="preserve"> for the Committees</w:t>
      </w:r>
      <w:r w:rsidR="00CF7E79">
        <w:rPr>
          <w:rFonts w:ascii="Times New Roman" w:hAnsi="Times New Roman" w:cs="Times New Roman"/>
          <w:noProof/>
          <w:sz w:val="24"/>
          <w:szCs w:val="24"/>
        </w:rPr>
        <w:t>’</w:t>
      </w:r>
      <w:r w:rsidR="00CF7E79" w:rsidRPr="00CF7E79">
        <w:rPr>
          <w:rFonts w:ascii="Times New Roman" w:hAnsi="Times New Roman" w:cs="Times New Roman"/>
          <w:noProof/>
          <w:sz w:val="24"/>
          <w:szCs w:val="24"/>
        </w:rPr>
        <w:t xml:space="preserve"> work in view of the various major transitions at play. The discussion</w:t>
      </w:r>
      <w:r w:rsidR="00CF7E79">
        <w:rPr>
          <w:rFonts w:ascii="Times New Roman" w:hAnsi="Times New Roman" w:cs="Times New Roman"/>
          <w:noProof/>
          <w:sz w:val="24"/>
          <w:szCs w:val="24"/>
        </w:rPr>
        <w:t>s</w:t>
      </w:r>
      <w:r w:rsidR="00CF7E79" w:rsidRPr="00CF7E79">
        <w:rPr>
          <w:rFonts w:ascii="Times New Roman" w:hAnsi="Times New Roman" w:cs="Times New Roman"/>
          <w:noProof/>
          <w:sz w:val="24"/>
          <w:szCs w:val="24"/>
        </w:rPr>
        <w:t xml:space="preserve"> confirmed the obstacles to more systematic use of DIA (in </w:t>
      </w:r>
      <w:r w:rsidR="00DF35CA">
        <w:rPr>
          <w:rFonts w:ascii="Times New Roman" w:hAnsi="Times New Roman" w:cs="Times New Roman"/>
          <w:noProof/>
          <w:sz w:val="24"/>
          <w:szCs w:val="24"/>
        </w:rPr>
        <w:t>particular, tight timelines and lack of sufficient human resources</w:t>
      </w:r>
      <w:r w:rsidR="00CF7E79" w:rsidRPr="00CF7E79">
        <w:rPr>
          <w:rFonts w:ascii="Times New Roman" w:hAnsi="Times New Roman" w:cs="Times New Roman"/>
          <w:noProof/>
          <w:sz w:val="24"/>
          <w:szCs w:val="24"/>
        </w:rPr>
        <w:t xml:space="preserve"> as well as lack of a specific request) but also pointed at the problem of missing sufficiently granular data (among others due to data protection rules). There </w:t>
      </w:r>
      <w:r w:rsidR="00DF35CA">
        <w:rPr>
          <w:rFonts w:ascii="Times New Roman" w:hAnsi="Times New Roman" w:cs="Times New Roman"/>
          <w:noProof/>
          <w:sz w:val="24"/>
          <w:szCs w:val="24"/>
        </w:rPr>
        <w:t>wa</w:t>
      </w:r>
      <w:r w:rsidR="00CF7E79" w:rsidRPr="00CF7E79">
        <w:rPr>
          <w:rFonts w:ascii="Times New Roman" w:hAnsi="Times New Roman" w:cs="Times New Roman"/>
          <w:noProof/>
          <w:sz w:val="24"/>
          <w:szCs w:val="24"/>
        </w:rPr>
        <w:t xml:space="preserve">s an interest among the Member States to exchange more on using DIA, in particular in the context of the poverty reduction target as well as the transitions, energy prices hikes and associated compensatory measures. Discussions on new developments in terms of DIA methodologies would be appreciated. </w:t>
      </w:r>
    </w:p>
    <w:p w14:paraId="3244CEF2" w14:textId="77777777" w:rsidR="00030B5E" w:rsidRPr="00CF63E1" w:rsidRDefault="00030B5E" w:rsidP="00030B5E">
      <w:pPr>
        <w:widowControl w:val="0"/>
        <w:spacing w:line="257" w:lineRule="auto"/>
        <w:jc w:val="both"/>
        <w:rPr>
          <w:rFonts w:ascii="Times New Roman" w:hAnsi="Times New Roman" w:cs="Times New Roman"/>
          <w:b/>
          <w:noProof/>
          <w:sz w:val="28"/>
          <w:szCs w:val="28"/>
        </w:rPr>
      </w:pPr>
      <w:r w:rsidRPr="00CF63E1">
        <w:rPr>
          <w:rFonts w:ascii="Times New Roman" w:hAnsi="Times New Roman" w:cs="Times New Roman"/>
          <w:b/>
          <w:noProof/>
          <w:sz w:val="28"/>
          <w:szCs w:val="28"/>
        </w:rPr>
        <w:t>Call for evidence on the Commission initiative on DIA</w:t>
      </w:r>
    </w:p>
    <w:p w14:paraId="14C3F1CF" w14:textId="0ADC2F4D" w:rsidR="00030B5E" w:rsidRDefault="00030B5E" w:rsidP="00030B5E">
      <w:pPr>
        <w:widowControl w:val="0"/>
        <w:spacing w:line="257" w:lineRule="auto"/>
        <w:jc w:val="both"/>
        <w:rPr>
          <w:rFonts w:ascii="Times New Roman" w:hAnsi="Times New Roman" w:cs="Times New Roman"/>
          <w:noProof/>
          <w:sz w:val="24"/>
          <w:szCs w:val="24"/>
        </w:rPr>
      </w:pPr>
      <w:r w:rsidRPr="00B11B72">
        <w:rPr>
          <w:rFonts w:ascii="Times New Roman" w:hAnsi="Times New Roman" w:cs="Times New Roman"/>
          <w:noProof/>
          <w:sz w:val="24"/>
          <w:szCs w:val="24"/>
        </w:rPr>
        <w:t xml:space="preserve">In April 2022, the Commission launched a call for evidence regarding the guidance to Member States on increasing the use of </w:t>
      </w:r>
      <w:r w:rsidRPr="00B11B72">
        <w:rPr>
          <w:rFonts w:ascii="Times New Roman" w:hAnsi="Times New Roman" w:cs="Times New Roman"/>
          <w:i/>
          <w:noProof/>
          <w:sz w:val="24"/>
          <w:szCs w:val="24"/>
        </w:rPr>
        <w:t>ex ante</w:t>
      </w:r>
      <w:r w:rsidRPr="00B11B72">
        <w:rPr>
          <w:rFonts w:ascii="Times New Roman" w:hAnsi="Times New Roman" w:cs="Times New Roman"/>
          <w:noProof/>
          <w:sz w:val="24"/>
          <w:szCs w:val="24"/>
        </w:rPr>
        <w:t xml:space="preserve"> DIA</w:t>
      </w:r>
      <w:r>
        <w:rPr>
          <w:rFonts w:ascii="Times New Roman" w:hAnsi="Times New Roman" w:cs="Times New Roman"/>
          <w:noProof/>
          <w:sz w:val="24"/>
          <w:szCs w:val="24"/>
        </w:rPr>
        <w:t>s</w:t>
      </w:r>
      <w:r w:rsidRPr="00B11B72">
        <w:rPr>
          <w:rFonts w:ascii="Times New Roman" w:hAnsi="Times New Roman" w:cs="Times New Roman"/>
          <w:noProof/>
          <w:sz w:val="24"/>
          <w:szCs w:val="24"/>
        </w:rPr>
        <w:t xml:space="preserve"> and as a result received 35 contribution</w:t>
      </w:r>
      <w:r w:rsidR="008A3855">
        <w:rPr>
          <w:rFonts w:ascii="Times New Roman" w:hAnsi="Times New Roman" w:cs="Times New Roman"/>
          <w:noProof/>
          <w:sz w:val="24"/>
          <w:szCs w:val="24"/>
        </w:rPr>
        <w:t>s</w:t>
      </w:r>
      <w:r w:rsidRPr="00B11B72">
        <w:rPr>
          <w:rFonts w:ascii="Times New Roman" w:hAnsi="Times New Roman" w:cs="Times New Roman"/>
          <w:noProof/>
          <w:sz w:val="24"/>
          <w:szCs w:val="24"/>
        </w:rPr>
        <w:t xml:space="preserve"> coming from 12 Member States</w:t>
      </w:r>
      <w:r>
        <w:rPr>
          <w:rFonts w:ascii="Times New Roman" w:hAnsi="Times New Roman" w:cs="Times New Roman"/>
          <w:noProof/>
          <w:sz w:val="24"/>
          <w:szCs w:val="24"/>
        </w:rPr>
        <w:t xml:space="preserve"> and Iran</w:t>
      </w:r>
      <w:r w:rsidRPr="00B11B72">
        <w:rPr>
          <w:rFonts w:ascii="Times New Roman" w:hAnsi="Times New Roman" w:cs="Times New Roman"/>
          <w:noProof/>
          <w:sz w:val="24"/>
          <w:szCs w:val="24"/>
        </w:rPr>
        <w:t>. More than half of them were submitted by EU citizens (see Figure</w:t>
      </w:r>
      <w:r w:rsidR="0040412B">
        <w:rPr>
          <w:rFonts w:ascii="Times New Roman" w:hAnsi="Times New Roman" w:cs="Times New Roman"/>
          <w:noProof/>
          <w:sz w:val="24"/>
          <w:szCs w:val="24"/>
        </w:rPr>
        <w:t xml:space="preserve"> 10</w:t>
      </w:r>
      <w:r w:rsidRPr="00B11B72">
        <w:rPr>
          <w:rFonts w:ascii="Times New Roman" w:hAnsi="Times New Roman" w:cs="Times New Roman"/>
          <w:noProof/>
          <w:sz w:val="24"/>
          <w:szCs w:val="24"/>
        </w:rPr>
        <w:t xml:space="preserve"> below), whereas non-governmental organisations (representing various sectors of society) were responsible for almost a quarter of the contributions. There were also submissions by public authorities and trade unions’ organisation. </w:t>
      </w:r>
    </w:p>
    <w:p w14:paraId="3C204826" w14:textId="08E00E3B" w:rsidR="00030B5E" w:rsidRPr="00CF63E1" w:rsidRDefault="00030B5E" w:rsidP="00030B5E">
      <w:pPr>
        <w:widowControl w:val="0"/>
        <w:spacing w:line="257" w:lineRule="auto"/>
        <w:jc w:val="both"/>
        <w:rPr>
          <w:rFonts w:ascii="Times New Roman" w:hAnsi="Times New Roman" w:cs="Times New Roman"/>
          <w:b/>
          <w:noProof/>
          <w:sz w:val="24"/>
          <w:szCs w:val="24"/>
        </w:rPr>
      </w:pPr>
      <w:r w:rsidRPr="00CF63E1">
        <w:rPr>
          <w:rFonts w:ascii="Times New Roman" w:hAnsi="Times New Roman" w:cs="Times New Roman"/>
          <w:b/>
          <w:noProof/>
          <w:sz w:val="24"/>
          <w:szCs w:val="24"/>
        </w:rPr>
        <w:t>Figure</w:t>
      </w:r>
      <w:r w:rsidR="0040412B">
        <w:rPr>
          <w:rFonts w:ascii="Times New Roman" w:hAnsi="Times New Roman" w:cs="Times New Roman"/>
          <w:b/>
          <w:noProof/>
          <w:sz w:val="24"/>
          <w:szCs w:val="24"/>
        </w:rPr>
        <w:t xml:space="preserve"> 10</w:t>
      </w:r>
      <w:r w:rsidRPr="00CF63E1">
        <w:rPr>
          <w:rFonts w:ascii="Times New Roman" w:hAnsi="Times New Roman" w:cs="Times New Roman"/>
          <w:b/>
          <w:noProof/>
          <w:sz w:val="24"/>
          <w:szCs w:val="24"/>
        </w:rPr>
        <w:t>: Response to the Call for Evidence by category of respondents</w:t>
      </w:r>
    </w:p>
    <w:p w14:paraId="3D7CAB41" w14:textId="77777777" w:rsidR="00030B5E" w:rsidRPr="00B11B72" w:rsidRDefault="00030B5E" w:rsidP="00030B5E">
      <w:pPr>
        <w:widowControl w:val="0"/>
        <w:spacing w:line="257" w:lineRule="auto"/>
        <w:jc w:val="both"/>
        <w:rPr>
          <w:rFonts w:ascii="Times New Roman" w:hAnsi="Times New Roman" w:cs="Times New Roman"/>
          <w:noProof/>
          <w:sz w:val="24"/>
          <w:szCs w:val="24"/>
        </w:rPr>
      </w:pPr>
      <w:r>
        <w:rPr>
          <w:noProof/>
          <w:lang w:eastAsia="en-GB"/>
        </w:rPr>
        <w:drawing>
          <wp:inline distT="0" distB="0" distL="0" distR="0" wp14:anchorId="6029B0D1" wp14:editId="050A9AEE">
            <wp:extent cx="5214796" cy="2734146"/>
            <wp:effectExtent l="0" t="0" r="508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2C2A118" w14:textId="77777777" w:rsidR="00030B5E" w:rsidRDefault="00030B5E" w:rsidP="00030B5E">
      <w:pPr>
        <w:widowControl w:val="0"/>
        <w:spacing w:line="257" w:lineRule="auto"/>
        <w:jc w:val="both"/>
        <w:rPr>
          <w:rFonts w:ascii="Times New Roman" w:hAnsi="Times New Roman" w:cs="Times New Roman"/>
          <w:noProof/>
          <w:sz w:val="24"/>
          <w:szCs w:val="24"/>
        </w:rPr>
      </w:pPr>
      <w:r w:rsidRPr="00B11B72">
        <w:rPr>
          <w:rFonts w:ascii="Times New Roman" w:hAnsi="Times New Roman" w:cs="Times New Roman"/>
          <w:noProof/>
          <w:sz w:val="24"/>
          <w:szCs w:val="24"/>
        </w:rPr>
        <w:t>Consulted parties acknowledged DIA</w:t>
      </w:r>
      <w:r>
        <w:rPr>
          <w:rFonts w:ascii="Times New Roman" w:hAnsi="Times New Roman" w:cs="Times New Roman"/>
          <w:noProof/>
          <w:sz w:val="24"/>
          <w:szCs w:val="24"/>
        </w:rPr>
        <w:t>s</w:t>
      </w:r>
      <w:r w:rsidRPr="00B11B72">
        <w:rPr>
          <w:rFonts w:ascii="Times New Roman" w:hAnsi="Times New Roman" w:cs="Times New Roman"/>
          <w:noProof/>
          <w:sz w:val="24"/>
          <w:szCs w:val="24"/>
        </w:rPr>
        <w:t xml:space="preserve">’ </w:t>
      </w:r>
      <w:r w:rsidRPr="007A08EB">
        <w:rPr>
          <w:rFonts w:ascii="Times New Roman" w:hAnsi="Times New Roman" w:cs="Times New Roman"/>
          <w:noProof/>
          <w:sz w:val="24"/>
          <w:szCs w:val="24"/>
        </w:rPr>
        <w:t>useful</w:t>
      </w:r>
      <w:r w:rsidRPr="00D63DD8">
        <w:rPr>
          <w:rFonts w:ascii="Times New Roman" w:hAnsi="Times New Roman" w:cs="Times New Roman"/>
          <w:b/>
          <w:noProof/>
          <w:sz w:val="24"/>
          <w:szCs w:val="24"/>
        </w:rPr>
        <w:t xml:space="preserve"> contribution to evidence-based policymaking</w:t>
      </w:r>
      <w:r w:rsidRPr="00B11B72">
        <w:rPr>
          <w:rFonts w:ascii="Times New Roman" w:hAnsi="Times New Roman" w:cs="Times New Roman"/>
          <w:noProof/>
          <w:sz w:val="24"/>
          <w:szCs w:val="24"/>
        </w:rPr>
        <w:t xml:space="preserve"> </w:t>
      </w:r>
      <w:r>
        <w:rPr>
          <w:rFonts w:ascii="Times New Roman" w:hAnsi="Times New Roman" w:cs="Times New Roman"/>
          <w:noProof/>
          <w:sz w:val="24"/>
          <w:szCs w:val="24"/>
        </w:rPr>
        <w:t xml:space="preserve">and </w:t>
      </w:r>
      <w:r w:rsidRPr="00B11B72">
        <w:rPr>
          <w:rFonts w:ascii="Times New Roman" w:hAnsi="Times New Roman" w:cs="Times New Roman"/>
          <w:noProof/>
          <w:sz w:val="24"/>
          <w:szCs w:val="24"/>
        </w:rPr>
        <w:t>stressed the importance of conducting DIA</w:t>
      </w:r>
      <w:r>
        <w:rPr>
          <w:rFonts w:ascii="Times New Roman" w:hAnsi="Times New Roman" w:cs="Times New Roman"/>
          <w:noProof/>
          <w:sz w:val="24"/>
          <w:szCs w:val="24"/>
        </w:rPr>
        <w:t>s</w:t>
      </w:r>
      <w:r w:rsidRPr="00B11B72">
        <w:rPr>
          <w:rFonts w:ascii="Times New Roman" w:hAnsi="Times New Roman" w:cs="Times New Roman"/>
          <w:noProof/>
          <w:sz w:val="24"/>
          <w:szCs w:val="24"/>
        </w:rPr>
        <w:t xml:space="preserve"> with a view to stepping up public investment in social infrastructure. </w:t>
      </w:r>
      <w:r>
        <w:rPr>
          <w:rFonts w:ascii="Times New Roman" w:hAnsi="Times New Roman" w:cs="Times New Roman"/>
          <w:noProof/>
          <w:sz w:val="24"/>
          <w:szCs w:val="24"/>
        </w:rPr>
        <w:t>They also stressed that DIAs were of particular importance in the context of economic</w:t>
      </w:r>
      <w:r w:rsidRPr="00CF63E1">
        <w:rPr>
          <w:rFonts w:ascii="Times New Roman" w:hAnsi="Times New Roman" w:cs="Times New Roman"/>
          <w:noProof/>
          <w:sz w:val="24"/>
          <w:szCs w:val="24"/>
        </w:rPr>
        <w:t xml:space="preserve"> inequalities and social vulnerabilities</w:t>
      </w:r>
      <w:r>
        <w:rPr>
          <w:rFonts w:ascii="Times New Roman" w:hAnsi="Times New Roman" w:cs="Times New Roman"/>
          <w:noProof/>
          <w:sz w:val="24"/>
          <w:szCs w:val="24"/>
        </w:rPr>
        <w:t xml:space="preserve"> that were rising</w:t>
      </w:r>
      <w:r w:rsidRPr="00CF63E1">
        <w:rPr>
          <w:rFonts w:ascii="Times New Roman" w:hAnsi="Times New Roman" w:cs="Times New Roman"/>
          <w:noProof/>
          <w:sz w:val="24"/>
          <w:szCs w:val="24"/>
        </w:rPr>
        <w:t xml:space="preserve"> across the continent</w:t>
      </w:r>
      <w:r>
        <w:rPr>
          <w:rFonts w:ascii="Times New Roman" w:hAnsi="Times New Roman" w:cs="Times New Roman"/>
          <w:noProof/>
          <w:sz w:val="24"/>
          <w:szCs w:val="24"/>
        </w:rPr>
        <w:t>. At the same time, the i</w:t>
      </w:r>
      <w:r w:rsidRPr="00870C19">
        <w:rPr>
          <w:rFonts w:ascii="Times New Roman" w:hAnsi="Times New Roman" w:cs="Times New Roman"/>
          <w:noProof/>
          <w:sz w:val="24"/>
          <w:szCs w:val="24"/>
        </w:rPr>
        <w:t>mportance of supporting economic growth for reducing inequality and poverty</w:t>
      </w:r>
      <w:r>
        <w:rPr>
          <w:rFonts w:ascii="Times New Roman" w:hAnsi="Times New Roman" w:cs="Times New Roman"/>
          <w:noProof/>
          <w:sz w:val="24"/>
          <w:szCs w:val="24"/>
        </w:rPr>
        <w:t xml:space="preserve"> was also underlined. </w:t>
      </w:r>
    </w:p>
    <w:p w14:paraId="2FAB16AC" w14:textId="77777777" w:rsidR="00030B5E" w:rsidRDefault="00030B5E" w:rsidP="00030B5E">
      <w:pPr>
        <w:widowControl w:val="0"/>
        <w:spacing w:line="257" w:lineRule="auto"/>
        <w:jc w:val="both"/>
        <w:rPr>
          <w:rFonts w:ascii="Times New Roman" w:hAnsi="Times New Roman" w:cs="Times New Roman"/>
          <w:noProof/>
          <w:sz w:val="24"/>
          <w:szCs w:val="24"/>
        </w:rPr>
      </w:pPr>
      <w:r w:rsidRPr="00B11B72">
        <w:rPr>
          <w:rFonts w:ascii="Times New Roman" w:hAnsi="Times New Roman" w:cs="Times New Roman"/>
          <w:noProof/>
          <w:sz w:val="24"/>
          <w:szCs w:val="24"/>
        </w:rPr>
        <w:t>DIA</w:t>
      </w:r>
      <w:r>
        <w:rPr>
          <w:rFonts w:ascii="Times New Roman" w:hAnsi="Times New Roman" w:cs="Times New Roman"/>
          <w:noProof/>
          <w:sz w:val="24"/>
          <w:szCs w:val="24"/>
        </w:rPr>
        <w:t>s</w:t>
      </w:r>
      <w:r w:rsidRPr="00B11B72">
        <w:rPr>
          <w:rFonts w:ascii="Times New Roman" w:hAnsi="Times New Roman" w:cs="Times New Roman"/>
          <w:noProof/>
          <w:sz w:val="24"/>
          <w:szCs w:val="24"/>
        </w:rPr>
        <w:t xml:space="preserve"> should cover not only economic impacts of policy reforms, but also include social and environmental considerations. </w:t>
      </w:r>
      <w:r>
        <w:rPr>
          <w:rFonts w:ascii="Times New Roman" w:hAnsi="Times New Roman" w:cs="Times New Roman"/>
          <w:noProof/>
          <w:sz w:val="24"/>
          <w:szCs w:val="24"/>
        </w:rPr>
        <w:t xml:space="preserve">However, </w:t>
      </w:r>
      <w:r w:rsidRPr="00055F03">
        <w:rPr>
          <w:rFonts w:ascii="Times New Roman" w:hAnsi="Times New Roman" w:cs="Times New Roman"/>
          <w:b/>
          <w:noProof/>
          <w:sz w:val="24"/>
          <w:szCs w:val="24"/>
        </w:rPr>
        <w:t>combatting social and economic inequalities</w:t>
      </w:r>
      <w:r w:rsidRPr="00A44A91">
        <w:rPr>
          <w:rFonts w:ascii="Times New Roman" w:hAnsi="Times New Roman" w:cs="Times New Roman"/>
          <w:noProof/>
          <w:sz w:val="24"/>
          <w:szCs w:val="24"/>
        </w:rPr>
        <w:t xml:space="preserve"> should not be viewed only as an underpinning dimension of the green </w:t>
      </w:r>
      <w:r>
        <w:rPr>
          <w:rFonts w:ascii="Times New Roman" w:hAnsi="Times New Roman" w:cs="Times New Roman"/>
          <w:noProof/>
          <w:sz w:val="24"/>
          <w:szCs w:val="24"/>
        </w:rPr>
        <w:t>and</w:t>
      </w:r>
      <w:r w:rsidRPr="00A44A91">
        <w:rPr>
          <w:rFonts w:ascii="Times New Roman" w:hAnsi="Times New Roman" w:cs="Times New Roman"/>
          <w:noProof/>
          <w:sz w:val="24"/>
          <w:szCs w:val="24"/>
        </w:rPr>
        <w:t xml:space="preserve"> digital transitions, or as a bottleneck to economic growth, b</w:t>
      </w:r>
      <w:r>
        <w:rPr>
          <w:rFonts w:ascii="Times New Roman" w:hAnsi="Times New Roman" w:cs="Times New Roman"/>
          <w:noProof/>
          <w:sz w:val="24"/>
          <w:szCs w:val="24"/>
        </w:rPr>
        <w:t xml:space="preserve">ut as a </w:t>
      </w:r>
      <w:r w:rsidRPr="00055F03">
        <w:rPr>
          <w:rFonts w:ascii="Times New Roman" w:hAnsi="Times New Roman" w:cs="Times New Roman"/>
          <w:b/>
          <w:noProof/>
          <w:sz w:val="24"/>
          <w:szCs w:val="24"/>
        </w:rPr>
        <w:t>key objective in its own right</w:t>
      </w:r>
      <w:r>
        <w:rPr>
          <w:rFonts w:ascii="Times New Roman" w:hAnsi="Times New Roman" w:cs="Times New Roman"/>
          <w:noProof/>
          <w:sz w:val="24"/>
          <w:szCs w:val="24"/>
        </w:rPr>
        <w:t>.</w:t>
      </w:r>
      <w:r w:rsidRPr="00055F03">
        <w:rPr>
          <w:noProof/>
        </w:rPr>
        <w:t xml:space="preserve"> </w:t>
      </w:r>
      <w:r w:rsidRPr="00055F03">
        <w:rPr>
          <w:rFonts w:ascii="Times New Roman" w:hAnsi="Times New Roman" w:cs="Times New Roman"/>
          <w:noProof/>
          <w:sz w:val="24"/>
          <w:szCs w:val="24"/>
        </w:rPr>
        <w:t>DIAs’ relevance was recognised in the context of scaling back the emergency measures adopted to cushion the impact of the pandemic.</w:t>
      </w:r>
    </w:p>
    <w:p w14:paraId="51918F30" w14:textId="77777777" w:rsidR="00030B5E" w:rsidRPr="00B11B72" w:rsidRDefault="00030B5E" w:rsidP="00030B5E">
      <w:pPr>
        <w:widowControl w:val="0"/>
        <w:spacing w:line="257"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It was stipulated that DIAs should </w:t>
      </w:r>
      <w:r w:rsidRPr="00055F03">
        <w:rPr>
          <w:rFonts w:ascii="Times New Roman" w:hAnsi="Times New Roman" w:cs="Times New Roman"/>
          <w:b/>
          <w:noProof/>
          <w:sz w:val="24"/>
          <w:szCs w:val="24"/>
        </w:rPr>
        <w:t>acknowledge</w:t>
      </w:r>
      <w:r>
        <w:rPr>
          <w:rFonts w:ascii="Times New Roman" w:hAnsi="Times New Roman" w:cs="Times New Roman"/>
          <w:noProof/>
          <w:sz w:val="24"/>
          <w:szCs w:val="24"/>
        </w:rPr>
        <w:t xml:space="preserve">, among others, </w:t>
      </w:r>
      <w:r w:rsidRPr="00055F03">
        <w:rPr>
          <w:rFonts w:ascii="Times New Roman" w:hAnsi="Times New Roman" w:cs="Times New Roman"/>
          <w:b/>
          <w:noProof/>
          <w:sz w:val="24"/>
          <w:szCs w:val="24"/>
        </w:rPr>
        <w:t>the contribution of social integration enterprises to the reduction of poverty and inequality</w:t>
      </w:r>
      <w:r>
        <w:rPr>
          <w:rFonts w:ascii="Times New Roman" w:hAnsi="Times New Roman" w:cs="Times New Roman"/>
          <w:noProof/>
          <w:sz w:val="24"/>
          <w:szCs w:val="24"/>
        </w:rPr>
        <w:t>. It was also suggested that DIAs could help</w:t>
      </w:r>
      <w:r w:rsidRPr="00A44A91">
        <w:rPr>
          <w:noProof/>
        </w:rPr>
        <w:t xml:space="preserve"> </w:t>
      </w:r>
      <w:r w:rsidRPr="00A44A91">
        <w:rPr>
          <w:rFonts w:ascii="Times New Roman" w:hAnsi="Times New Roman" w:cs="Times New Roman"/>
          <w:noProof/>
          <w:sz w:val="24"/>
          <w:szCs w:val="24"/>
        </w:rPr>
        <w:t>tackl</w:t>
      </w:r>
      <w:r>
        <w:rPr>
          <w:rFonts w:ascii="Times New Roman" w:hAnsi="Times New Roman" w:cs="Times New Roman"/>
          <w:noProof/>
          <w:sz w:val="24"/>
          <w:szCs w:val="24"/>
        </w:rPr>
        <w:t>e</w:t>
      </w:r>
      <w:r w:rsidRPr="00A44A91">
        <w:rPr>
          <w:rFonts w:ascii="Times New Roman" w:hAnsi="Times New Roman" w:cs="Times New Roman"/>
          <w:noProof/>
          <w:sz w:val="24"/>
          <w:szCs w:val="24"/>
        </w:rPr>
        <w:t xml:space="preserve"> administrative barriers to access</w:t>
      </w:r>
      <w:r>
        <w:rPr>
          <w:rFonts w:ascii="Times New Roman" w:hAnsi="Times New Roman" w:cs="Times New Roman"/>
          <w:noProof/>
          <w:sz w:val="24"/>
          <w:szCs w:val="24"/>
        </w:rPr>
        <w:t>ing</w:t>
      </w:r>
      <w:r w:rsidRPr="00A44A91">
        <w:rPr>
          <w:rFonts w:ascii="Times New Roman" w:hAnsi="Times New Roman" w:cs="Times New Roman"/>
          <w:noProof/>
          <w:sz w:val="24"/>
          <w:szCs w:val="24"/>
        </w:rPr>
        <w:t xml:space="preserve"> social benefits</w:t>
      </w:r>
      <w:r>
        <w:rPr>
          <w:rFonts w:ascii="Times New Roman" w:hAnsi="Times New Roman" w:cs="Times New Roman"/>
          <w:noProof/>
          <w:sz w:val="24"/>
          <w:szCs w:val="24"/>
        </w:rPr>
        <w:t xml:space="preserve">. </w:t>
      </w:r>
      <w:r w:rsidRPr="00B11B72">
        <w:rPr>
          <w:rFonts w:ascii="Times New Roman" w:hAnsi="Times New Roman" w:cs="Times New Roman"/>
          <w:noProof/>
          <w:sz w:val="24"/>
          <w:szCs w:val="24"/>
        </w:rPr>
        <w:t xml:space="preserve">It was also highlighted that using DIA was of particular importance for regional governments to inform their decision-making processes. The importance of </w:t>
      </w:r>
      <w:r w:rsidRPr="00B11B72">
        <w:rPr>
          <w:rFonts w:ascii="Times New Roman" w:hAnsi="Times New Roman" w:cs="Times New Roman"/>
          <w:i/>
          <w:noProof/>
          <w:sz w:val="24"/>
          <w:szCs w:val="24"/>
        </w:rPr>
        <w:t>ex post</w:t>
      </w:r>
      <w:r w:rsidRPr="00B11B72">
        <w:rPr>
          <w:rFonts w:ascii="Times New Roman" w:hAnsi="Times New Roman" w:cs="Times New Roman"/>
          <w:noProof/>
          <w:sz w:val="24"/>
          <w:szCs w:val="24"/>
        </w:rPr>
        <w:t xml:space="preserve"> DIA</w:t>
      </w:r>
      <w:r>
        <w:rPr>
          <w:rFonts w:ascii="Times New Roman" w:hAnsi="Times New Roman" w:cs="Times New Roman"/>
          <w:noProof/>
          <w:sz w:val="24"/>
          <w:szCs w:val="24"/>
        </w:rPr>
        <w:t>s</w:t>
      </w:r>
      <w:r w:rsidRPr="00B11B72">
        <w:rPr>
          <w:rFonts w:ascii="Times New Roman" w:hAnsi="Times New Roman" w:cs="Times New Roman"/>
          <w:noProof/>
          <w:sz w:val="24"/>
          <w:szCs w:val="24"/>
        </w:rPr>
        <w:t xml:space="preserve"> was also noted as it could set a strong foundation for a potential </w:t>
      </w:r>
      <w:r w:rsidRPr="00B11B72">
        <w:rPr>
          <w:rFonts w:ascii="Times New Roman" w:hAnsi="Times New Roman" w:cs="Times New Roman"/>
          <w:i/>
          <w:noProof/>
          <w:sz w:val="24"/>
          <w:szCs w:val="24"/>
        </w:rPr>
        <w:t>ex ante</w:t>
      </w:r>
      <w:r w:rsidRPr="00B11B72">
        <w:rPr>
          <w:rFonts w:ascii="Times New Roman" w:hAnsi="Times New Roman" w:cs="Times New Roman"/>
          <w:noProof/>
          <w:sz w:val="24"/>
          <w:szCs w:val="24"/>
        </w:rPr>
        <w:t xml:space="preserve"> DIA of another similar project.</w:t>
      </w:r>
    </w:p>
    <w:p w14:paraId="582F01F2" w14:textId="77777777" w:rsidR="00030B5E" w:rsidRPr="00B11B72" w:rsidRDefault="00030B5E" w:rsidP="00030B5E">
      <w:pPr>
        <w:widowControl w:val="0"/>
        <w:spacing w:line="257" w:lineRule="auto"/>
        <w:jc w:val="both"/>
        <w:rPr>
          <w:rFonts w:ascii="Times New Roman" w:hAnsi="Times New Roman" w:cs="Times New Roman"/>
          <w:noProof/>
          <w:sz w:val="24"/>
          <w:szCs w:val="24"/>
        </w:rPr>
      </w:pPr>
      <w:r w:rsidRPr="00D63DD8">
        <w:rPr>
          <w:rFonts w:ascii="Times New Roman" w:hAnsi="Times New Roman" w:cs="Times New Roman"/>
          <w:b/>
          <w:noProof/>
          <w:sz w:val="24"/>
          <w:szCs w:val="24"/>
        </w:rPr>
        <w:t xml:space="preserve">Disseminating DIA results was pointed at as </w:t>
      </w:r>
      <w:r>
        <w:rPr>
          <w:rFonts w:ascii="Times New Roman" w:hAnsi="Times New Roman" w:cs="Times New Roman"/>
          <w:b/>
          <w:noProof/>
          <w:sz w:val="24"/>
          <w:szCs w:val="24"/>
        </w:rPr>
        <w:t xml:space="preserve">a </w:t>
      </w:r>
      <w:r w:rsidRPr="00D63DD8">
        <w:rPr>
          <w:rFonts w:ascii="Times New Roman" w:hAnsi="Times New Roman" w:cs="Times New Roman"/>
          <w:b/>
          <w:noProof/>
          <w:sz w:val="24"/>
          <w:szCs w:val="24"/>
        </w:rPr>
        <w:t>crucial aspect</w:t>
      </w:r>
      <w:r w:rsidRPr="00B11B72">
        <w:rPr>
          <w:rFonts w:ascii="Times New Roman" w:hAnsi="Times New Roman" w:cs="Times New Roman"/>
          <w:noProof/>
          <w:sz w:val="24"/>
          <w:szCs w:val="24"/>
        </w:rPr>
        <w:t xml:space="preserve">. </w:t>
      </w:r>
      <w:r>
        <w:rPr>
          <w:rFonts w:ascii="Times New Roman" w:hAnsi="Times New Roman" w:cs="Times New Roman"/>
          <w:noProof/>
          <w:sz w:val="24"/>
          <w:szCs w:val="24"/>
        </w:rPr>
        <w:t>It was underlined that t</w:t>
      </w:r>
      <w:r w:rsidRPr="00B11B72">
        <w:rPr>
          <w:rFonts w:ascii="Times New Roman" w:hAnsi="Times New Roman" w:cs="Times New Roman"/>
          <w:noProof/>
          <w:sz w:val="24"/>
          <w:szCs w:val="24"/>
        </w:rPr>
        <w:t>hese results should not be presented only in budgetary documents, which usually fall outside the scope of the interest of the public</w:t>
      </w:r>
      <w:r>
        <w:rPr>
          <w:rFonts w:ascii="Times New Roman" w:hAnsi="Times New Roman" w:cs="Times New Roman"/>
          <w:noProof/>
          <w:sz w:val="24"/>
          <w:szCs w:val="24"/>
        </w:rPr>
        <w:t xml:space="preserve"> And that e</w:t>
      </w:r>
      <w:r w:rsidRPr="00B11B72">
        <w:rPr>
          <w:rFonts w:ascii="Times New Roman" w:hAnsi="Times New Roman" w:cs="Times New Roman"/>
          <w:noProof/>
          <w:sz w:val="24"/>
          <w:szCs w:val="24"/>
        </w:rPr>
        <w:t xml:space="preserve">fforts should be made to communicate the results using fora and language easily accessible to European citizens and in particular the youth. </w:t>
      </w:r>
    </w:p>
    <w:p w14:paraId="1E6A9521" w14:textId="77777777" w:rsidR="00030B5E" w:rsidRPr="00B11B72" w:rsidRDefault="00030B5E" w:rsidP="00030B5E">
      <w:pPr>
        <w:widowControl w:val="0"/>
        <w:spacing w:line="257" w:lineRule="auto"/>
        <w:jc w:val="both"/>
        <w:rPr>
          <w:rFonts w:ascii="Times New Roman" w:hAnsi="Times New Roman" w:cs="Times New Roman"/>
          <w:noProof/>
          <w:sz w:val="24"/>
          <w:szCs w:val="24"/>
        </w:rPr>
      </w:pPr>
      <w:r w:rsidRPr="00B11B72">
        <w:rPr>
          <w:rFonts w:ascii="Times New Roman" w:hAnsi="Times New Roman" w:cs="Times New Roman"/>
          <w:noProof/>
          <w:sz w:val="24"/>
          <w:szCs w:val="24"/>
        </w:rPr>
        <w:t xml:space="preserve">Some organisations called for </w:t>
      </w:r>
      <w:r w:rsidRPr="00D63DD8">
        <w:rPr>
          <w:rFonts w:ascii="Times New Roman" w:hAnsi="Times New Roman" w:cs="Times New Roman"/>
          <w:b/>
          <w:noProof/>
          <w:sz w:val="24"/>
          <w:szCs w:val="24"/>
        </w:rPr>
        <w:t>making DIA analysis more uniform across Member States</w:t>
      </w:r>
      <w:r w:rsidRPr="00B11B72">
        <w:rPr>
          <w:rFonts w:ascii="Times New Roman" w:hAnsi="Times New Roman" w:cs="Times New Roman"/>
          <w:noProof/>
          <w:sz w:val="24"/>
          <w:szCs w:val="24"/>
        </w:rPr>
        <w:t xml:space="preserve"> so that they could be easier to compare. At the same time this should be done acknowledging the specific national contexts. The importance of providing for independence to those conducting DIA analysis was also stressed so that the results would be deemed credible. The issue of access to data as well as their quality and timeliness was pointed at as a major enabler of </w:t>
      </w:r>
      <w:r>
        <w:rPr>
          <w:rFonts w:ascii="Times New Roman" w:hAnsi="Times New Roman" w:cs="Times New Roman"/>
          <w:noProof/>
          <w:sz w:val="24"/>
          <w:szCs w:val="24"/>
        </w:rPr>
        <w:t xml:space="preserve">robust </w:t>
      </w:r>
      <w:r w:rsidRPr="00B11B72">
        <w:rPr>
          <w:rFonts w:ascii="Times New Roman" w:hAnsi="Times New Roman" w:cs="Times New Roman"/>
          <w:noProof/>
          <w:sz w:val="24"/>
          <w:szCs w:val="24"/>
        </w:rPr>
        <w:t>DIA results. A call was also made for making models and data easily accessible to researchers, thereby allowing replicability which in turn could enhance the credibility of results. A suggestion was also made to set aside some European funds for supporting organisations involved in conducting DIA</w:t>
      </w:r>
      <w:r>
        <w:rPr>
          <w:rFonts w:ascii="Times New Roman" w:hAnsi="Times New Roman" w:cs="Times New Roman"/>
          <w:noProof/>
          <w:sz w:val="24"/>
          <w:szCs w:val="24"/>
        </w:rPr>
        <w:t>s</w:t>
      </w:r>
      <w:r w:rsidRPr="00B11B72">
        <w:rPr>
          <w:rFonts w:ascii="Times New Roman" w:hAnsi="Times New Roman" w:cs="Times New Roman"/>
          <w:noProof/>
          <w:sz w:val="24"/>
          <w:szCs w:val="24"/>
        </w:rPr>
        <w:t xml:space="preserve">.  </w:t>
      </w:r>
    </w:p>
    <w:p w14:paraId="79E7E242" w14:textId="77777777" w:rsidR="00030B5E" w:rsidRPr="00B11B72" w:rsidRDefault="00030B5E" w:rsidP="00030B5E">
      <w:pPr>
        <w:widowControl w:val="0"/>
        <w:spacing w:line="257" w:lineRule="auto"/>
        <w:jc w:val="both"/>
        <w:rPr>
          <w:rFonts w:ascii="Times New Roman" w:hAnsi="Times New Roman" w:cs="Times New Roman"/>
          <w:noProof/>
          <w:sz w:val="24"/>
          <w:szCs w:val="24"/>
        </w:rPr>
      </w:pPr>
      <w:r w:rsidRPr="00B11B72">
        <w:rPr>
          <w:rFonts w:ascii="Times New Roman" w:hAnsi="Times New Roman" w:cs="Times New Roman"/>
          <w:noProof/>
          <w:sz w:val="24"/>
          <w:szCs w:val="24"/>
        </w:rPr>
        <w:t xml:space="preserve">Several respondents called for the Commission to provide further </w:t>
      </w:r>
      <w:r w:rsidRPr="00D63DD8">
        <w:rPr>
          <w:rFonts w:ascii="Times New Roman" w:hAnsi="Times New Roman" w:cs="Times New Roman"/>
          <w:b/>
          <w:noProof/>
          <w:sz w:val="24"/>
          <w:szCs w:val="24"/>
        </w:rPr>
        <w:t>support to Member States to assist them in developing their DIA processes</w:t>
      </w:r>
      <w:r w:rsidRPr="00B11B72">
        <w:rPr>
          <w:rFonts w:ascii="Times New Roman" w:hAnsi="Times New Roman" w:cs="Times New Roman"/>
          <w:noProof/>
          <w:sz w:val="24"/>
          <w:szCs w:val="24"/>
        </w:rPr>
        <w:t xml:space="preserve">, in particular by identifying best practices and facilitating exchanges between national experts. Moreover, </w:t>
      </w:r>
      <w:r>
        <w:rPr>
          <w:rFonts w:ascii="Times New Roman" w:hAnsi="Times New Roman" w:cs="Times New Roman"/>
          <w:noProof/>
          <w:sz w:val="24"/>
          <w:szCs w:val="24"/>
        </w:rPr>
        <w:t xml:space="preserve">it was mentioned that </w:t>
      </w:r>
      <w:r w:rsidRPr="00B11B72">
        <w:rPr>
          <w:rFonts w:ascii="Times New Roman" w:hAnsi="Times New Roman" w:cs="Times New Roman"/>
          <w:noProof/>
          <w:sz w:val="24"/>
          <w:szCs w:val="24"/>
        </w:rPr>
        <w:t>the Commission guidelines should make clear and explicit that DIA</w:t>
      </w:r>
      <w:r>
        <w:rPr>
          <w:rFonts w:ascii="Times New Roman" w:hAnsi="Times New Roman" w:cs="Times New Roman"/>
          <w:noProof/>
          <w:sz w:val="24"/>
          <w:szCs w:val="24"/>
        </w:rPr>
        <w:t>s</w:t>
      </w:r>
      <w:r w:rsidRPr="00B11B72">
        <w:rPr>
          <w:rFonts w:ascii="Times New Roman" w:hAnsi="Times New Roman" w:cs="Times New Roman"/>
          <w:noProof/>
          <w:sz w:val="24"/>
          <w:szCs w:val="24"/>
        </w:rPr>
        <w:t xml:space="preserve"> should be streamlined and applied in all policy fields. An idea of establishing a dedicated scientific committee was also put forward, which would bring together researchers and decision-makers who would be in charge of reviewing, supplying templates, sharing good practices, and hosting workshops.</w:t>
      </w:r>
    </w:p>
    <w:p w14:paraId="4FE004EC" w14:textId="77777777" w:rsidR="00030B5E" w:rsidRDefault="00030B5E" w:rsidP="00030B5E">
      <w:pPr>
        <w:jc w:val="both"/>
        <w:rPr>
          <w:noProof/>
        </w:rPr>
      </w:pPr>
      <w:r>
        <w:rPr>
          <w:rFonts w:ascii="Times New Roman" w:hAnsi="Times New Roman" w:cs="Times New Roman"/>
          <w:noProof/>
          <w:sz w:val="24"/>
          <w:szCs w:val="24"/>
        </w:rPr>
        <w:t>A view was expressed that the Commission’s guidance</w:t>
      </w:r>
      <w:r w:rsidRPr="00AA3150">
        <w:rPr>
          <w:rFonts w:ascii="Times New Roman" w:hAnsi="Times New Roman" w:cs="Times New Roman"/>
          <w:noProof/>
          <w:sz w:val="24"/>
          <w:szCs w:val="24"/>
        </w:rPr>
        <w:t xml:space="preserve"> issued by means of </w:t>
      </w:r>
      <w:r>
        <w:rPr>
          <w:rFonts w:ascii="Times New Roman" w:hAnsi="Times New Roman" w:cs="Times New Roman"/>
          <w:noProof/>
          <w:sz w:val="24"/>
          <w:szCs w:val="24"/>
        </w:rPr>
        <w:t xml:space="preserve">a </w:t>
      </w:r>
      <w:r w:rsidRPr="00AA3150">
        <w:rPr>
          <w:rFonts w:ascii="Times New Roman" w:hAnsi="Times New Roman" w:cs="Times New Roman"/>
          <w:noProof/>
          <w:sz w:val="24"/>
          <w:szCs w:val="24"/>
        </w:rPr>
        <w:t xml:space="preserve">Communication </w:t>
      </w:r>
      <w:r>
        <w:rPr>
          <w:rFonts w:ascii="Times New Roman" w:hAnsi="Times New Roman" w:cs="Times New Roman"/>
          <w:noProof/>
          <w:sz w:val="24"/>
          <w:szCs w:val="24"/>
        </w:rPr>
        <w:t>was</w:t>
      </w:r>
      <w:r w:rsidRPr="00AA3150">
        <w:rPr>
          <w:rFonts w:ascii="Times New Roman" w:hAnsi="Times New Roman" w:cs="Times New Roman"/>
          <w:noProof/>
          <w:sz w:val="24"/>
          <w:szCs w:val="24"/>
        </w:rPr>
        <w:t xml:space="preserve"> </w:t>
      </w:r>
      <w:r w:rsidRPr="00F17679">
        <w:rPr>
          <w:rFonts w:ascii="Times New Roman" w:hAnsi="Times New Roman" w:cs="Times New Roman"/>
          <w:noProof/>
          <w:sz w:val="24"/>
          <w:szCs w:val="24"/>
        </w:rPr>
        <w:t>not as effective as binding targets or a directive/a regulation.</w:t>
      </w:r>
      <w:r w:rsidRPr="00AA3150">
        <w:rPr>
          <w:rFonts w:ascii="Times New Roman" w:hAnsi="Times New Roman" w:cs="Times New Roman"/>
          <w:noProof/>
          <w:sz w:val="24"/>
          <w:szCs w:val="24"/>
        </w:rPr>
        <w:t xml:space="preserve"> </w:t>
      </w:r>
      <w:r>
        <w:rPr>
          <w:rFonts w:ascii="Times New Roman" w:hAnsi="Times New Roman" w:cs="Times New Roman"/>
          <w:noProof/>
          <w:sz w:val="24"/>
          <w:szCs w:val="24"/>
        </w:rPr>
        <w:t xml:space="preserve">Therefore, the </w:t>
      </w:r>
      <w:r w:rsidRPr="00AA3150">
        <w:rPr>
          <w:rFonts w:ascii="Times New Roman" w:hAnsi="Times New Roman" w:cs="Times New Roman"/>
          <w:noProof/>
          <w:sz w:val="24"/>
          <w:szCs w:val="24"/>
        </w:rPr>
        <w:t xml:space="preserve">envisaged </w:t>
      </w:r>
      <w:r w:rsidRPr="00055F03">
        <w:rPr>
          <w:rFonts w:ascii="Times New Roman" w:hAnsi="Times New Roman" w:cs="Times New Roman"/>
          <w:b/>
          <w:noProof/>
          <w:sz w:val="24"/>
          <w:szCs w:val="24"/>
        </w:rPr>
        <w:t>monitoring process</w:t>
      </w:r>
      <w:r w:rsidRPr="00AA3150">
        <w:rPr>
          <w:rFonts w:ascii="Times New Roman" w:hAnsi="Times New Roman" w:cs="Times New Roman"/>
          <w:noProof/>
          <w:sz w:val="24"/>
          <w:szCs w:val="24"/>
        </w:rPr>
        <w:t xml:space="preserve"> of the implementation of DIAs by the Member States</w:t>
      </w:r>
      <w:r>
        <w:rPr>
          <w:rFonts w:ascii="Times New Roman" w:hAnsi="Times New Roman" w:cs="Times New Roman"/>
          <w:noProof/>
          <w:sz w:val="24"/>
          <w:szCs w:val="24"/>
        </w:rPr>
        <w:t xml:space="preserve"> by the Commission </w:t>
      </w:r>
      <w:r w:rsidRPr="00055F03">
        <w:rPr>
          <w:rFonts w:ascii="Times New Roman" w:hAnsi="Times New Roman" w:cs="Times New Roman"/>
          <w:b/>
          <w:noProof/>
          <w:sz w:val="24"/>
          <w:szCs w:val="24"/>
        </w:rPr>
        <w:t>could be usefully strengthened</w:t>
      </w:r>
      <w:r>
        <w:rPr>
          <w:rFonts w:ascii="Times New Roman" w:hAnsi="Times New Roman" w:cs="Times New Roman"/>
          <w:noProof/>
          <w:sz w:val="24"/>
          <w:szCs w:val="24"/>
        </w:rPr>
        <w:t xml:space="preserve"> beyond</w:t>
      </w:r>
      <w:r w:rsidRPr="00AA3150">
        <w:rPr>
          <w:rFonts w:ascii="Times New Roman" w:hAnsi="Times New Roman" w:cs="Times New Roman"/>
          <w:noProof/>
          <w:sz w:val="24"/>
          <w:szCs w:val="24"/>
        </w:rPr>
        <w:t xml:space="preserve"> regular information provided to the Social Protection Committee and the Employment Committee and regular reviews of DIA practice in Member States and mutual learning events aimed at further improving tools and methodologies used to conduct DIAs. </w:t>
      </w:r>
    </w:p>
    <w:p w14:paraId="3333BA6A" w14:textId="4EF37BE5" w:rsidR="00030B5E" w:rsidRDefault="00030B5E" w:rsidP="00262840">
      <w:pPr>
        <w:widowControl w:val="0"/>
        <w:spacing w:line="257" w:lineRule="auto"/>
        <w:jc w:val="both"/>
        <w:rPr>
          <w:rFonts w:ascii="Times New Roman" w:hAnsi="Times New Roman" w:cs="Times New Roman"/>
          <w:b/>
          <w:noProof/>
          <w:sz w:val="24"/>
          <w:szCs w:val="24"/>
        </w:rPr>
      </w:pPr>
    </w:p>
    <w:sectPr w:rsidR="00030B5E" w:rsidSect="005541DB">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2489D" w14:textId="77777777" w:rsidR="00C70422" w:rsidRDefault="00C70422" w:rsidP="001046B5">
      <w:pPr>
        <w:spacing w:after="0" w:line="240" w:lineRule="auto"/>
      </w:pPr>
      <w:r>
        <w:separator/>
      </w:r>
    </w:p>
  </w:endnote>
  <w:endnote w:type="continuationSeparator" w:id="0">
    <w:p w14:paraId="267A2864" w14:textId="77777777" w:rsidR="00C70422" w:rsidRDefault="00C70422" w:rsidP="001046B5">
      <w:pPr>
        <w:spacing w:after="0" w:line="240" w:lineRule="auto"/>
      </w:pPr>
      <w:r>
        <w:continuationSeparator/>
      </w:r>
    </w:p>
  </w:endnote>
  <w:endnote w:type="continuationNotice" w:id="1">
    <w:p w14:paraId="4ECADE51" w14:textId="77777777" w:rsidR="00C70422" w:rsidRDefault="00C70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F906" w14:textId="77777777" w:rsidR="005C5377" w:rsidRPr="005C5377" w:rsidRDefault="005C5377" w:rsidP="005C5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0C1A3" w14:textId="4ADE329A" w:rsidR="009D5BA1" w:rsidRPr="005C5377" w:rsidRDefault="005C5377" w:rsidP="005C5377">
    <w:pPr>
      <w:pStyle w:val="FooterCoverPage"/>
      <w:rPr>
        <w:rFonts w:ascii="Arial" w:hAnsi="Arial" w:cs="Arial"/>
        <w:b/>
        <w:sz w:val="48"/>
      </w:rPr>
    </w:pPr>
    <w:r w:rsidRPr="005C5377">
      <w:rPr>
        <w:rFonts w:ascii="Arial" w:hAnsi="Arial" w:cs="Arial"/>
        <w:b/>
        <w:sz w:val="48"/>
      </w:rPr>
      <w:t>EN</w:t>
    </w:r>
    <w:r w:rsidRPr="005C5377">
      <w:rPr>
        <w:rFonts w:ascii="Arial" w:hAnsi="Arial" w:cs="Arial"/>
        <w:b/>
        <w:sz w:val="48"/>
      </w:rPr>
      <w:tab/>
    </w:r>
    <w:r w:rsidRPr="005C5377">
      <w:rPr>
        <w:rFonts w:ascii="Arial" w:hAnsi="Arial" w:cs="Arial"/>
        <w:b/>
        <w:sz w:val="48"/>
      </w:rPr>
      <w:tab/>
    </w:r>
    <w:r w:rsidRPr="005C5377">
      <w:tab/>
    </w:r>
    <w:r w:rsidRPr="005C537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9006D" w14:textId="77777777" w:rsidR="005C5377" w:rsidRPr="005C5377" w:rsidRDefault="005C5377" w:rsidP="005C537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AE1E" w14:textId="77777777" w:rsidR="004E1045" w:rsidRDefault="004E10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341010"/>
      <w:docPartObj>
        <w:docPartGallery w:val="Page Numbers (Bottom of Page)"/>
        <w:docPartUnique/>
      </w:docPartObj>
    </w:sdtPr>
    <w:sdtEndPr>
      <w:rPr>
        <w:noProof/>
      </w:rPr>
    </w:sdtEndPr>
    <w:sdtContent>
      <w:p w14:paraId="3965158B" w14:textId="676049CD" w:rsidR="004E1045" w:rsidRDefault="004E1045">
        <w:pPr>
          <w:pStyle w:val="Footer"/>
          <w:jc w:val="center"/>
        </w:pPr>
        <w:r>
          <w:fldChar w:fldCharType="begin"/>
        </w:r>
        <w:r>
          <w:instrText xml:space="preserve"> PAGE   \* MERGEFORMAT </w:instrText>
        </w:r>
        <w:r>
          <w:fldChar w:fldCharType="separate"/>
        </w:r>
        <w:r w:rsidR="005C5377">
          <w:rPr>
            <w:noProof/>
          </w:rPr>
          <w:t>1</w:t>
        </w:r>
        <w:r>
          <w:rPr>
            <w:noProof/>
          </w:rPr>
          <w:fldChar w:fldCharType="end"/>
        </w:r>
      </w:p>
    </w:sdtContent>
  </w:sdt>
  <w:p w14:paraId="06DBA4EA" w14:textId="77777777" w:rsidR="004E1045" w:rsidRDefault="004E10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5577B" w14:textId="77777777" w:rsidR="004E1045" w:rsidRDefault="004E1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EAEEF" w14:textId="77777777" w:rsidR="00C70422" w:rsidRDefault="00C70422" w:rsidP="001046B5">
      <w:pPr>
        <w:spacing w:after="0" w:line="240" w:lineRule="auto"/>
      </w:pPr>
      <w:r>
        <w:separator/>
      </w:r>
    </w:p>
  </w:footnote>
  <w:footnote w:type="continuationSeparator" w:id="0">
    <w:p w14:paraId="13634F20" w14:textId="77777777" w:rsidR="00C70422" w:rsidRDefault="00C70422" w:rsidP="001046B5">
      <w:pPr>
        <w:spacing w:after="0" w:line="240" w:lineRule="auto"/>
      </w:pPr>
      <w:r>
        <w:continuationSeparator/>
      </w:r>
    </w:p>
  </w:footnote>
  <w:footnote w:type="continuationNotice" w:id="1">
    <w:p w14:paraId="0840B6B4" w14:textId="77777777" w:rsidR="00C70422" w:rsidRDefault="00C70422">
      <w:pPr>
        <w:spacing w:after="0" w:line="240" w:lineRule="auto"/>
      </w:pPr>
    </w:p>
  </w:footnote>
  <w:footnote w:id="2">
    <w:p w14:paraId="0B459381" w14:textId="49477D28" w:rsidR="004E1045" w:rsidRPr="003414D9" w:rsidRDefault="004E1045">
      <w:pPr>
        <w:pStyle w:val="FootnoteText"/>
        <w:rPr>
          <w:rFonts w:ascii="Times New Roman" w:hAnsi="Times New Roman" w:cs="Times New Roman"/>
          <w:sz w:val="16"/>
          <w:szCs w:val="16"/>
          <w:lang w:val="fr-BE"/>
        </w:rPr>
      </w:pPr>
      <w:r w:rsidRPr="00C3198C">
        <w:rPr>
          <w:rStyle w:val="FootnoteReference"/>
          <w:rFonts w:ascii="Times New Roman" w:hAnsi="Times New Roman" w:cs="Times New Roman"/>
          <w:sz w:val="16"/>
          <w:szCs w:val="16"/>
        </w:rPr>
        <w:footnoteRef/>
      </w:r>
      <w:r w:rsidRPr="00C3198C">
        <w:rPr>
          <w:rFonts w:ascii="Times New Roman" w:hAnsi="Times New Roman" w:cs="Times New Roman"/>
          <w:sz w:val="16"/>
          <w:szCs w:val="16"/>
        </w:rPr>
        <w:t xml:space="preserve"> </w:t>
      </w:r>
      <w:r>
        <w:rPr>
          <w:rFonts w:ascii="Times New Roman" w:hAnsi="Times New Roman" w:cs="Times New Roman"/>
          <w:sz w:val="16"/>
          <w:szCs w:val="16"/>
        </w:rPr>
        <w:t xml:space="preserve">See for instance </w:t>
      </w:r>
      <w:r w:rsidRPr="00C3198C">
        <w:rPr>
          <w:rFonts w:ascii="Times New Roman" w:hAnsi="Times New Roman" w:cs="Times New Roman"/>
          <w:sz w:val="16"/>
          <w:szCs w:val="16"/>
        </w:rPr>
        <w:t xml:space="preserve">Livermore, M. A. and Rosenberg. </w:t>
      </w:r>
      <w:r w:rsidRPr="00C3198C">
        <w:rPr>
          <w:rFonts w:ascii="Times New Roman" w:hAnsi="Times New Roman" w:cs="Times New Roman"/>
          <w:sz w:val="16"/>
          <w:szCs w:val="16"/>
          <w:lang w:val="fr-BE"/>
        </w:rPr>
        <w:t xml:space="preserve">J. S. (2014) L'analyse distributive dans les études d'impact, ou comment prendre en compte la répartition des conséquences d'une règlementation, Revue française d’administration publique, 149(1), 145-161. </w:t>
      </w:r>
    </w:p>
    <w:p w14:paraId="4A47F29C" w14:textId="39E20D9F" w:rsidR="004E1045" w:rsidRPr="003414D9" w:rsidRDefault="005C5377">
      <w:pPr>
        <w:pStyle w:val="FootnoteText"/>
        <w:rPr>
          <w:rFonts w:ascii="Times New Roman" w:hAnsi="Times New Roman" w:cs="Times New Roman"/>
          <w:sz w:val="16"/>
          <w:szCs w:val="16"/>
          <w:lang w:val="fr-BE"/>
        </w:rPr>
      </w:pPr>
      <w:hyperlink r:id="rId1" w:history="1">
        <w:r w:rsidR="004E1045" w:rsidRPr="003414D9">
          <w:rPr>
            <w:rStyle w:val="Hyperlink"/>
            <w:rFonts w:ascii="Times New Roman" w:hAnsi="Times New Roman" w:cs="Times New Roman"/>
            <w:sz w:val="16"/>
            <w:szCs w:val="16"/>
            <w:lang w:val="fr-BE"/>
          </w:rPr>
          <w:t>https://www.cairn.info/revue-francaise-d-administration-publique-2014-1-page-145.htm</w:t>
        </w:r>
      </w:hyperlink>
      <w:r w:rsidR="004E1045" w:rsidRPr="003414D9">
        <w:rPr>
          <w:rFonts w:ascii="Times New Roman" w:hAnsi="Times New Roman" w:cs="Times New Roman"/>
          <w:sz w:val="16"/>
          <w:szCs w:val="16"/>
          <w:lang w:val="fr-BE"/>
        </w:rPr>
        <w:t xml:space="preserve"> </w:t>
      </w:r>
    </w:p>
  </w:footnote>
  <w:footnote w:id="3">
    <w:p w14:paraId="62F587BE" w14:textId="77777777" w:rsidR="004E1045" w:rsidRPr="0023485A" w:rsidRDefault="004E1045" w:rsidP="00F57CCC">
      <w:pPr>
        <w:pStyle w:val="FootnoteText"/>
        <w:jc w:val="both"/>
        <w:rPr>
          <w:rFonts w:ascii="Times New Roman" w:eastAsia="Calibri" w:hAnsi="Times New Roman" w:cs="Times New Roman"/>
          <w:sz w:val="16"/>
          <w:szCs w:val="16"/>
          <w:lang w:val="en-US" w:eastAsia="en-US"/>
        </w:rPr>
      </w:pPr>
      <w:r w:rsidRPr="0023485A">
        <w:rPr>
          <w:rStyle w:val="FootnoteReference"/>
          <w:rFonts w:ascii="Times New Roman" w:hAnsi="Times New Roman" w:cs="Times New Roman"/>
          <w:sz w:val="16"/>
          <w:szCs w:val="16"/>
        </w:rPr>
        <w:footnoteRef/>
      </w:r>
      <w:r w:rsidRPr="0023485A">
        <w:rPr>
          <w:rFonts w:ascii="Times New Roman" w:hAnsi="Times New Roman" w:cs="Times New Roman"/>
          <w:sz w:val="16"/>
          <w:szCs w:val="16"/>
        </w:rPr>
        <w:t xml:space="preserve"> </w:t>
      </w:r>
      <w:r w:rsidRPr="0023485A">
        <w:rPr>
          <w:rFonts w:ascii="Times New Roman" w:eastAsia="Calibri" w:hAnsi="Times New Roman" w:cs="Times New Roman"/>
          <w:sz w:val="16"/>
          <w:szCs w:val="16"/>
          <w:lang w:val="en-US" w:eastAsia="en-US"/>
        </w:rPr>
        <w:t xml:space="preserve">Eurobarometer on Fairness, inequality and inter-generational mobility (April 2018) </w:t>
      </w:r>
      <w:hyperlink r:id="rId2" w:history="1">
        <w:r w:rsidRPr="0023485A">
          <w:rPr>
            <w:rFonts w:ascii="Times New Roman" w:eastAsia="Calibri" w:hAnsi="Times New Roman" w:cs="Times New Roman"/>
            <w:color w:val="0000FF"/>
            <w:sz w:val="16"/>
            <w:szCs w:val="16"/>
            <w:u w:val="single"/>
            <w:lang w:val="en-US" w:eastAsia="en-US"/>
          </w:rPr>
          <w:t>https://europa.eu/eurobarometer/surveys/detail/2166</w:t>
        </w:r>
      </w:hyperlink>
    </w:p>
    <w:p w14:paraId="4E893988" w14:textId="3E9F4B6E" w:rsidR="004E1045" w:rsidRPr="00B3112B" w:rsidRDefault="004E1045" w:rsidP="00F57CCC">
      <w:pPr>
        <w:suppressAutoHyphens/>
        <w:autoSpaceDN w:val="0"/>
        <w:spacing w:after="0" w:line="240" w:lineRule="auto"/>
        <w:jc w:val="both"/>
        <w:textAlignment w:val="baseline"/>
        <w:rPr>
          <w:lang w:val="en-US"/>
        </w:rPr>
      </w:pPr>
      <w:r w:rsidRPr="0023485A">
        <w:rPr>
          <w:rFonts w:ascii="Times New Roman" w:eastAsia="Calibri" w:hAnsi="Times New Roman" w:cs="Times New Roman"/>
          <w:sz w:val="16"/>
          <w:szCs w:val="16"/>
          <w:lang w:val="en-US"/>
        </w:rPr>
        <w:t xml:space="preserve">Eurobarometer on Social Issues (March 2021) </w:t>
      </w:r>
      <w:hyperlink r:id="rId3" w:history="1">
        <w:r w:rsidRPr="0023485A">
          <w:rPr>
            <w:rFonts w:ascii="Times New Roman" w:hAnsi="Times New Roman" w:cs="Times New Roman"/>
            <w:color w:val="0000FF"/>
            <w:sz w:val="16"/>
            <w:szCs w:val="16"/>
            <w:u w:val="single"/>
          </w:rPr>
          <w:t>Social issues - March 2021 - - Eurobarometer survey (europa.eu)</w:t>
        </w:r>
      </w:hyperlink>
    </w:p>
  </w:footnote>
  <w:footnote w:id="4">
    <w:p w14:paraId="46B5FCB9" w14:textId="070C66F6" w:rsidR="004E1045" w:rsidRPr="00460495" w:rsidRDefault="004E1045" w:rsidP="00F57CCC">
      <w:pPr>
        <w:pStyle w:val="FootnoteText"/>
        <w:jc w:val="both"/>
        <w:rPr>
          <w:rFonts w:ascii="Times New Roman" w:hAnsi="Times New Roman" w:cs="Times New Roman"/>
          <w:sz w:val="16"/>
          <w:szCs w:val="16"/>
        </w:rPr>
      </w:pPr>
      <w:r w:rsidRPr="00460495">
        <w:rPr>
          <w:rStyle w:val="FootnoteReference"/>
          <w:rFonts w:ascii="Times New Roman" w:hAnsi="Times New Roman" w:cs="Times New Roman"/>
          <w:sz w:val="16"/>
          <w:szCs w:val="16"/>
        </w:rPr>
        <w:footnoteRef/>
      </w:r>
      <w:r w:rsidRPr="00460495">
        <w:rPr>
          <w:rFonts w:ascii="Times New Roman" w:hAnsi="Times New Roman" w:cs="Times New Roman"/>
          <w:sz w:val="16"/>
          <w:szCs w:val="16"/>
        </w:rPr>
        <w:t xml:space="preserve"> </w:t>
      </w:r>
      <w:r>
        <w:rPr>
          <w:rFonts w:ascii="Times New Roman" w:hAnsi="Times New Roman" w:cs="Times New Roman"/>
          <w:sz w:val="16"/>
          <w:szCs w:val="16"/>
        </w:rPr>
        <w:t xml:space="preserve">See Joint employment report 2022 and </w:t>
      </w:r>
      <w:r w:rsidRPr="00460495">
        <w:rPr>
          <w:rFonts w:ascii="Times New Roman" w:hAnsi="Times New Roman" w:cs="Times New Roman"/>
          <w:sz w:val="16"/>
          <w:szCs w:val="16"/>
        </w:rPr>
        <w:t>EU-SILC income inequality indicators, “Income quintile share ratio S80/S20 for disposable income” (</w:t>
      </w:r>
      <w:hyperlink r:id="rId4" w:history="1">
        <w:r w:rsidRPr="00460495">
          <w:rPr>
            <w:rStyle w:val="Hyperlink"/>
            <w:rFonts w:ascii="Times New Roman" w:hAnsi="Times New Roman" w:cs="Times New Roman"/>
            <w:sz w:val="16"/>
            <w:szCs w:val="16"/>
          </w:rPr>
          <w:t>ilc_di11</w:t>
        </w:r>
      </w:hyperlink>
      <w:r w:rsidRPr="00460495">
        <w:rPr>
          <w:rFonts w:ascii="Times New Roman" w:hAnsi="Times New Roman" w:cs="Times New Roman"/>
          <w:sz w:val="16"/>
          <w:szCs w:val="16"/>
        </w:rPr>
        <w:t>) and “Gini coefficient of equivalised disposable income” (</w:t>
      </w:r>
      <w:hyperlink r:id="rId5" w:history="1">
        <w:r w:rsidRPr="00460495">
          <w:rPr>
            <w:rStyle w:val="Hyperlink"/>
            <w:rFonts w:ascii="Times New Roman" w:hAnsi="Times New Roman" w:cs="Times New Roman"/>
            <w:sz w:val="16"/>
            <w:szCs w:val="16"/>
          </w:rPr>
          <w:t>ilc_di12</w:t>
        </w:r>
      </w:hyperlink>
      <w:r w:rsidRPr="00460495">
        <w:rPr>
          <w:rFonts w:ascii="Times New Roman" w:hAnsi="Times New Roman" w:cs="Times New Roman"/>
          <w:sz w:val="16"/>
          <w:szCs w:val="16"/>
        </w:rPr>
        <w:t xml:space="preserve">). </w:t>
      </w:r>
      <w:r>
        <w:rPr>
          <w:rFonts w:ascii="Times New Roman" w:hAnsi="Times New Roman" w:cs="Times New Roman"/>
          <w:sz w:val="16"/>
          <w:szCs w:val="16"/>
        </w:rPr>
        <w:t xml:space="preserve">and </w:t>
      </w:r>
      <w:r w:rsidRPr="00460495">
        <w:rPr>
          <w:rFonts w:ascii="Times New Roman" w:hAnsi="Times New Roman" w:cs="Times New Roman"/>
          <w:sz w:val="16"/>
          <w:szCs w:val="16"/>
        </w:rPr>
        <w:t xml:space="preserve">“Income quintile share ratio” definition and related terms for more information </w:t>
      </w:r>
      <w:hyperlink r:id="rId6" w:history="1">
        <w:r>
          <w:rPr>
            <w:rStyle w:val="Hyperlink"/>
            <w:rFonts w:ascii="Times New Roman" w:hAnsi="Times New Roman" w:cs="Times New Roman"/>
            <w:sz w:val="16"/>
            <w:szCs w:val="16"/>
          </w:rPr>
          <w:t>Link</w:t>
        </w:r>
      </w:hyperlink>
      <w:r>
        <w:rPr>
          <w:rFonts w:ascii="Times New Roman" w:hAnsi="Times New Roman" w:cs="Times New Roman"/>
          <w:sz w:val="16"/>
          <w:szCs w:val="16"/>
        </w:rPr>
        <w:t xml:space="preserve"> </w:t>
      </w:r>
    </w:p>
  </w:footnote>
  <w:footnote w:id="5">
    <w:p w14:paraId="2B553D24" w14:textId="26C65F5A" w:rsidR="004E1045" w:rsidRPr="00460495" w:rsidRDefault="004E1045" w:rsidP="00F57CCC">
      <w:pPr>
        <w:pStyle w:val="FootnoteText"/>
        <w:jc w:val="both"/>
        <w:rPr>
          <w:rFonts w:ascii="Times New Roman" w:hAnsi="Times New Roman" w:cs="Times New Roman"/>
          <w:sz w:val="16"/>
          <w:szCs w:val="16"/>
        </w:rPr>
      </w:pPr>
      <w:r w:rsidRPr="00460495">
        <w:rPr>
          <w:rStyle w:val="FootnoteReference"/>
          <w:rFonts w:ascii="Times New Roman" w:hAnsi="Times New Roman" w:cs="Times New Roman"/>
          <w:sz w:val="16"/>
          <w:szCs w:val="16"/>
        </w:rPr>
        <w:footnoteRef/>
      </w:r>
      <w:r w:rsidRPr="00460495">
        <w:rPr>
          <w:rFonts w:ascii="Times New Roman" w:hAnsi="Times New Roman" w:cs="Times New Roman"/>
          <w:sz w:val="16"/>
          <w:szCs w:val="16"/>
        </w:rPr>
        <w:t xml:space="preserve"> Income quintile share ratio S50/S20 for disposable income by sex and age group - EU-SILC survey (</w:t>
      </w:r>
      <w:hyperlink r:id="rId7" w:history="1">
        <w:r w:rsidRPr="00460495">
          <w:rPr>
            <w:rStyle w:val="Hyperlink"/>
            <w:rFonts w:ascii="Times New Roman" w:hAnsi="Times New Roman" w:cs="Times New Roman"/>
            <w:sz w:val="16"/>
            <w:szCs w:val="16"/>
          </w:rPr>
          <w:t>ilc_di11e</w:t>
        </w:r>
      </w:hyperlink>
      <w:r w:rsidRPr="00460495">
        <w:rPr>
          <w:rFonts w:ascii="Times New Roman" w:hAnsi="Times New Roman" w:cs="Times New Roman"/>
          <w:sz w:val="16"/>
          <w:szCs w:val="16"/>
        </w:rPr>
        <w:t>)</w:t>
      </w:r>
    </w:p>
  </w:footnote>
  <w:footnote w:id="6">
    <w:p w14:paraId="0FBC040E" w14:textId="2AE3FC2E" w:rsidR="004E1045" w:rsidRPr="00460495" w:rsidRDefault="004E1045" w:rsidP="00F57CCC">
      <w:pPr>
        <w:pStyle w:val="FootnoteText"/>
        <w:jc w:val="both"/>
        <w:rPr>
          <w:rFonts w:ascii="Times New Roman" w:hAnsi="Times New Roman" w:cs="Times New Roman"/>
          <w:sz w:val="16"/>
          <w:szCs w:val="16"/>
        </w:rPr>
      </w:pPr>
      <w:r w:rsidRPr="00460495">
        <w:rPr>
          <w:rStyle w:val="FootnoteReference"/>
          <w:rFonts w:ascii="Times New Roman" w:hAnsi="Times New Roman" w:cs="Times New Roman"/>
          <w:sz w:val="16"/>
          <w:szCs w:val="16"/>
        </w:rPr>
        <w:footnoteRef/>
      </w:r>
      <w:r w:rsidRPr="00460495">
        <w:rPr>
          <w:rFonts w:ascii="Times New Roman" w:hAnsi="Times New Roman" w:cs="Times New Roman"/>
          <w:sz w:val="16"/>
          <w:szCs w:val="16"/>
        </w:rPr>
        <w:t xml:space="preserve"> Income quintile share ratio S40/S100 for disposable income by sex and age group - EU-SILC survey (ilc_di11f) </w:t>
      </w:r>
    </w:p>
  </w:footnote>
  <w:footnote w:id="7">
    <w:p w14:paraId="35B7EA9E" w14:textId="3EAB275A" w:rsidR="004E1045" w:rsidRPr="00460495" w:rsidRDefault="004E1045" w:rsidP="00F57CCC">
      <w:pPr>
        <w:pStyle w:val="FootnoteText"/>
        <w:jc w:val="both"/>
        <w:rPr>
          <w:rFonts w:ascii="Times New Roman" w:hAnsi="Times New Roman" w:cs="Times New Roman"/>
          <w:sz w:val="16"/>
          <w:szCs w:val="16"/>
        </w:rPr>
      </w:pPr>
      <w:r w:rsidRPr="00460495">
        <w:rPr>
          <w:rStyle w:val="FootnoteReference"/>
          <w:rFonts w:ascii="Times New Roman" w:hAnsi="Times New Roman" w:cs="Times New Roman"/>
          <w:sz w:val="16"/>
          <w:szCs w:val="16"/>
        </w:rPr>
        <w:footnoteRef/>
      </w:r>
      <w:r w:rsidRPr="00460495">
        <w:rPr>
          <w:rFonts w:ascii="Times New Roman" w:hAnsi="Times New Roman" w:cs="Times New Roman"/>
          <w:sz w:val="16"/>
          <w:szCs w:val="16"/>
        </w:rPr>
        <w:t xml:space="preserve"> See Joint Employment Report 2022 (https://op.europa.eu/en/publication-detail/-/publication/316112f2-fda1-11ec-b94a-01aa75ed71a1/language-en/format-PDF) and the SPC Annual Report 2021 (https://ec.europa.eu/social/main.jsp?catId=738&amp;langId=en&amp;pubId=8432&amp;furtherPubs=yes)</w:t>
      </w:r>
    </w:p>
  </w:footnote>
  <w:footnote w:id="8">
    <w:p w14:paraId="0170EBD5" w14:textId="5342E4A4" w:rsidR="004E1045" w:rsidRPr="0023485A" w:rsidRDefault="004E1045" w:rsidP="00F57CCC">
      <w:pPr>
        <w:pStyle w:val="FootnoteText"/>
        <w:jc w:val="both"/>
        <w:rPr>
          <w:rFonts w:ascii="Times New Roman" w:hAnsi="Times New Roman" w:cs="Times New Roman"/>
          <w:sz w:val="16"/>
          <w:szCs w:val="16"/>
        </w:rPr>
      </w:pPr>
      <w:r w:rsidRPr="0023485A">
        <w:rPr>
          <w:rStyle w:val="FootnoteReference"/>
          <w:rFonts w:ascii="Times New Roman" w:hAnsi="Times New Roman" w:cs="Times New Roman"/>
          <w:sz w:val="16"/>
          <w:szCs w:val="16"/>
        </w:rPr>
        <w:footnoteRef/>
      </w:r>
      <w:r w:rsidRPr="0023485A">
        <w:rPr>
          <w:rFonts w:ascii="Times New Roman" w:hAnsi="Times New Roman" w:cs="Times New Roman"/>
          <w:sz w:val="16"/>
          <w:szCs w:val="16"/>
        </w:rPr>
        <w:t xml:space="preserve"> OECD (2021), Tax and Fiscal Policies after the COVID-19 Crisis: OECD Report for the G20 Finance Ministers and Central Bank Governors, October 2021, Italy, OECD, Paris, </w:t>
      </w:r>
      <w:hyperlink r:id="rId8" w:history="1">
        <w:r w:rsidRPr="0023485A">
          <w:rPr>
            <w:rStyle w:val="Hyperlink"/>
            <w:rFonts w:ascii="Times New Roman" w:hAnsi="Times New Roman" w:cs="Times New Roman"/>
            <w:sz w:val="16"/>
            <w:szCs w:val="16"/>
          </w:rPr>
          <w:t>www.oecd.org/tax/tax-policy/tax-and-fiscal-policies-after-the-covid-19-crisis.htm</w:t>
        </w:r>
      </w:hyperlink>
      <w:r w:rsidRPr="0023485A">
        <w:rPr>
          <w:rFonts w:ascii="Times New Roman" w:hAnsi="Times New Roman" w:cs="Times New Roman"/>
          <w:sz w:val="16"/>
          <w:szCs w:val="16"/>
        </w:rPr>
        <w:t xml:space="preserve"> </w:t>
      </w:r>
    </w:p>
  </w:footnote>
  <w:footnote w:id="9">
    <w:p w14:paraId="26882AA2" w14:textId="6AC6EE25" w:rsidR="004E1045" w:rsidRPr="00255680" w:rsidRDefault="004E1045" w:rsidP="00F57CCC">
      <w:pPr>
        <w:pStyle w:val="FootnoteText"/>
        <w:jc w:val="both"/>
        <w:rPr>
          <w:rFonts w:ascii="Times New Roman" w:hAnsi="Times New Roman" w:cs="Times New Roman"/>
          <w:sz w:val="16"/>
          <w:szCs w:val="16"/>
        </w:rPr>
      </w:pPr>
      <w:r w:rsidRPr="00255680">
        <w:rPr>
          <w:rStyle w:val="FootnoteReference"/>
          <w:rFonts w:ascii="Times New Roman" w:hAnsi="Times New Roman" w:cs="Times New Roman"/>
          <w:sz w:val="16"/>
          <w:szCs w:val="16"/>
        </w:rPr>
        <w:footnoteRef/>
      </w:r>
      <w:r w:rsidRPr="00255680">
        <w:rPr>
          <w:rFonts w:ascii="Times New Roman" w:hAnsi="Times New Roman" w:cs="Times New Roman"/>
          <w:sz w:val="16"/>
          <w:szCs w:val="16"/>
        </w:rPr>
        <w:t xml:space="preserve"> Released in July 2021, available on Eurostat website. The full data for 2020 will be available in the autumn 2022. It is noteworthy that top incomes/capital incomes in EU-SILC (as in all income surveys as opposed to administrative data) are underestimated, hence national inequality estimates are underestimated too.</w:t>
      </w:r>
    </w:p>
  </w:footnote>
  <w:footnote w:id="10">
    <w:p w14:paraId="6636F893" w14:textId="074E4C21" w:rsidR="004E1045" w:rsidRPr="002B219F" w:rsidRDefault="004E1045" w:rsidP="00F57CCC">
      <w:pPr>
        <w:spacing w:after="0"/>
        <w:jc w:val="both"/>
        <w:rPr>
          <w:lang w:val="en-US"/>
        </w:rPr>
      </w:pPr>
      <w:r w:rsidRPr="002B219F">
        <w:rPr>
          <w:rStyle w:val="FootnoteReference"/>
          <w:rFonts w:ascii="Times New Roman" w:hAnsi="Times New Roman" w:cs="Times New Roman"/>
          <w:sz w:val="16"/>
          <w:szCs w:val="16"/>
        </w:rPr>
        <w:footnoteRef/>
      </w:r>
      <w:r w:rsidRPr="002B219F">
        <w:rPr>
          <w:rFonts w:ascii="Times New Roman" w:hAnsi="Times New Roman" w:cs="Times New Roman"/>
          <w:sz w:val="16"/>
          <w:szCs w:val="16"/>
        </w:rPr>
        <w:t xml:space="preserve"> For examples of analysis distributional effects of environmental and climate policies see:  </w:t>
      </w:r>
      <w:r w:rsidRPr="002B219F">
        <w:rPr>
          <w:rFonts w:ascii="Times New Roman" w:hAnsi="Times New Roman" w:cs="Times New Roman"/>
          <w:sz w:val="16"/>
          <w:szCs w:val="16"/>
          <w:lang w:val="en-US"/>
        </w:rPr>
        <w:t>Vona, F. (2021), "Managing the distributional effects of environmental and climate policies: The narrow path for a triple dividend", OECD Environment Working Papers, No. 188, OECD Publishing, Paris,</w:t>
      </w:r>
      <w:r w:rsidRPr="00CC0780">
        <w:t xml:space="preserve"> </w:t>
      </w:r>
      <w:hyperlink r:id="rId9" w:history="1">
        <w:r w:rsidRPr="008A3D12">
          <w:rPr>
            <w:rStyle w:val="Hyperlink"/>
            <w:rFonts w:ascii="Times New Roman" w:hAnsi="Times New Roman" w:cs="Times New Roman"/>
            <w:sz w:val="16"/>
            <w:szCs w:val="16"/>
            <w:lang w:val="en-US"/>
          </w:rPr>
          <w:t>https://one.oecd.org/document/ENV/WKP(2021)20/en/pdf</w:t>
        </w:r>
      </w:hyperlink>
      <w:r>
        <w:rPr>
          <w:rFonts w:ascii="Times New Roman" w:hAnsi="Times New Roman" w:cs="Times New Roman"/>
          <w:sz w:val="16"/>
          <w:szCs w:val="16"/>
          <w:lang w:val="en-US"/>
        </w:rPr>
        <w:t xml:space="preserve"> </w:t>
      </w:r>
      <w:r w:rsidRPr="00CC0780">
        <w:rPr>
          <w:rFonts w:ascii="Times New Roman" w:eastAsia="Garamond" w:hAnsi="Times New Roman" w:cs="Times New Roman"/>
          <w:sz w:val="16"/>
          <w:szCs w:val="16"/>
          <w:lang w:eastAsia="it-IT"/>
        </w:rPr>
        <w:t>and Shang, B. (2021). The Poverty and Distributional Impacts of Carbon Pricing: Channels and Policy Implications. IMF Working Papers, 2021(172)</w:t>
      </w:r>
      <w:r>
        <w:rPr>
          <w:rFonts w:ascii="Times New Roman" w:hAnsi="Times New Roman" w:cs="Times New Roman"/>
          <w:color w:val="0563C1" w:themeColor="hyperlink"/>
          <w:sz w:val="16"/>
          <w:szCs w:val="16"/>
          <w:u w:val="single"/>
        </w:rPr>
        <w:t xml:space="preserve"> </w:t>
      </w:r>
      <w:hyperlink r:id="rId10" w:history="1">
        <w:r w:rsidRPr="008A3D12">
          <w:rPr>
            <w:rStyle w:val="Hyperlink"/>
            <w:rFonts w:ascii="Times New Roman" w:hAnsi="Times New Roman" w:cs="Times New Roman"/>
            <w:sz w:val="16"/>
            <w:szCs w:val="16"/>
            <w:lang w:val="en-US"/>
          </w:rPr>
          <w:t>https://www.elibrary.imf.org/view/journals/001/2021/172/article-A001-en.xml</w:t>
        </w:r>
      </w:hyperlink>
      <w:r>
        <w:rPr>
          <w:rFonts w:ascii="Times New Roman" w:hAnsi="Times New Roman" w:cs="Times New Roman"/>
          <w:color w:val="0563C1" w:themeColor="hyperlink"/>
          <w:sz w:val="16"/>
          <w:szCs w:val="16"/>
          <w:u w:val="single"/>
          <w:lang w:val="en-US"/>
        </w:rPr>
        <w:t xml:space="preserve"> </w:t>
      </w:r>
    </w:p>
  </w:footnote>
  <w:footnote w:id="11">
    <w:p w14:paraId="54F5CDA1" w14:textId="318DB778" w:rsidR="004E1045" w:rsidRPr="002C312F" w:rsidRDefault="004E1045" w:rsidP="00F57CCC">
      <w:pPr>
        <w:pStyle w:val="FootnoteText"/>
        <w:jc w:val="both"/>
        <w:rPr>
          <w:rFonts w:ascii="Times New Roman" w:hAnsi="Times New Roman" w:cs="Times New Roman"/>
          <w:sz w:val="16"/>
          <w:szCs w:val="16"/>
        </w:rPr>
      </w:pPr>
      <w:r w:rsidRPr="00DE6379">
        <w:rPr>
          <w:rStyle w:val="FootnoteReference"/>
          <w:rFonts w:ascii="Times New Roman" w:hAnsi="Times New Roman" w:cs="Times New Roman"/>
          <w:sz w:val="16"/>
          <w:szCs w:val="16"/>
        </w:rPr>
        <w:footnoteRef/>
      </w:r>
      <w:r w:rsidRPr="002C312F">
        <w:rPr>
          <w:rFonts w:ascii="Times New Roman" w:hAnsi="Times New Roman" w:cs="Times New Roman"/>
          <w:sz w:val="16"/>
          <w:szCs w:val="16"/>
        </w:rPr>
        <w:t xml:space="preserve"> </w:t>
      </w:r>
      <w:hyperlink r:id="rId11" w:history="1">
        <w:r w:rsidRPr="008A3D12">
          <w:rPr>
            <w:rStyle w:val="Hyperlink"/>
            <w:rFonts w:ascii="Times New Roman" w:hAnsi="Times New Roman" w:cs="Times New Roman"/>
            <w:sz w:val="16"/>
            <w:szCs w:val="16"/>
          </w:rPr>
          <w:t>https://ec.europa.eu/commission/presscorner/detail/en/qanda_21_6823</w:t>
        </w:r>
      </w:hyperlink>
      <w:r>
        <w:rPr>
          <w:rFonts w:ascii="Times New Roman" w:hAnsi="Times New Roman" w:cs="Times New Roman"/>
          <w:sz w:val="16"/>
          <w:szCs w:val="16"/>
        </w:rPr>
        <w:t xml:space="preserve"> </w:t>
      </w:r>
    </w:p>
  </w:footnote>
  <w:footnote w:id="12">
    <w:p w14:paraId="32CD8434" w14:textId="48BC3778" w:rsidR="004E1045" w:rsidRPr="00DE6379" w:rsidRDefault="004E1045" w:rsidP="00430B4A">
      <w:pPr>
        <w:spacing w:line="240" w:lineRule="auto"/>
        <w:jc w:val="both"/>
        <w:rPr>
          <w:rFonts w:ascii="Times New Roman" w:hAnsi="Times New Roman" w:cs="Times New Roman"/>
          <w:sz w:val="16"/>
          <w:szCs w:val="16"/>
          <w:lang w:val="en-IE"/>
        </w:rPr>
      </w:pPr>
      <w:r w:rsidRPr="00DE6379">
        <w:rPr>
          <w:rStyle w:val="FootnoteReference"/>
          <w:rFonts w:ascii="Times New Roman" w:hAnsi="Times New Roman" w:cs="Times New Roman"/>
          <w:sz w:val="16"/>
          <w:szCs w:val="16"/>
        </w:rPr>
        <w:footnoteRef/>
      </w:r>
      <w:r w:rsidRPr="00DE6379">
        <w:rPr>
          <w:rFonts w:ascii="Times New Roman" w:hAnsi="Times New Roman" w:cs="Times New Roman"/>
          <w:sz w:val="16"/>
          <w:szCs w:val="16"/>
        </w:rPr>
        <w:t xml:space="preserve"> Aphecetche, T., Canton E., Garrone M. and Hobza A. (2022) Understanding the Political Economy of Reforms. Lessons from the EU, Economic Brief 70, </w:t>
      </w:r>
      <w:r w:rsidRPr="00DE6379">
        <w:rPr>
          <w:rFonts w:ascii="Times New Roman" w:hAnsi="Times New Roman" w:cs="Times New Roman"/>
          <w:sz w:val="16"/>
          <w:szCs w:val="16"/>
          <w:lang w:val="en-IE"/>
        </w:rPr>
        <w:t>European Commission</w:t>
      </w:r>
      <w:r>
        <w:rPr>
          <w:rFonts w:ascii="Times New Roman" w:hAnsi="Times New Roman" w:cs="Times New Roman"/>
          <w:sz w:val="16"/>
          <w:szCs w:val="16"/>
          <w:lang w:val="en-IE"/>
        </w:rPr>
        <w:t xml:space="preserve">: </w:t>
      </w:r>
      <w:hyperlink r:id="rId12" w:history="1">
        <w:r w:rsidRPr="008A3D12">
          <w:rPr>
            <w:rStyle w:val="Hyperlink"/>
            <w:rFonts w:ascii="Times New Roman" w:hAnsi="Times New Roman" w:cs="Times New Roman"/>
            <w:sz w:val="16"/>
            <w:szCs w:val="16"/>
            <w:lang w:val="en-IE"/>
          </w:rPr>
          <w:t>https://ec.europa.eu/info/publications/understanding-political-economy-reforms-lessons-eu_en</w:t>
        </w:r>
      </w:hyperlink>
      <w:r>
        <w:rPr>
          <w:rFonts w:ascii="Times New Roman" w:hAnsi="Times New Roman" w:cs="Times New Roman"/>
          <w:sz w:val="16"/>
          <w:szCs w:val="16"/>
          <w:lang w:val="en-IE"/>
        </w:rPr>
        <w:t xml:space="preserve"> </w:t>
      </w:r>
    </w:p>
    <w:p w14:paraId="148AE095" w14:textId="730C4E92" w:rsidR="004E1045" w:rsidRPr="00816ADB" w:rsidRDefault="004E1045" w:rsidP="00430B4A">
      <w:pPr>
        <w:pStyle w:val="FootnoteText"/>
      </w:pPr>
    </w:p>
  </w:footnote>
  <w:footnote w:id="13">
    <w:p w14:paraId="3DC6D9CF" w14:textId="77777777" w:rsidR="004E1045" w:rsidRPr="00A776E3" w:rsidRDefault="004E1045" w:rsidP="0036791A">
      <w:pPr>
        <w:spacing w:after="0" w:line="240" w:lineRule="auto"/>
        <w:jc w:val="both"/>
        <w:rPr>
          <w:rFonts w:ascii="Times New Roman" w:hAnsi="Times New Roman" w:cs="Times New Roman"/>
          <w:color w:val="000000"/>
          <w:sz w:val="16"/>
          <w:szCs w:val="16"/>
        </w:rPr>
      </w:pPr>
      <w:r w:rsidRPr="00A776E3">
        <w:rPr>
          <w:rFonts w:ascii="Times New Roman" w:hAnsi="Times New Roman" w:cs="Times New Roman"/>
          <w:sz w:val="16"/>
          <w:szCs w:val="16"/>
          <w:vertAlign w:val="superscript"/>
        </w:rPr>
        <w:footnoteRef/>
      </w:r>
      <w:r w:rsidRPr="00A776E3">
        <w:rPr>
          <w:rFonts w:ascii="Times New Roman" w:hAnsi="Times New Roman" w:cs="Times New Roman"/>
          <w:color w:val="000000"/>
          <w:sz w:val="16"/>
          <w:szCs w:val="16"/>
        </w:rPr>
        <w:t xml:space="preserve"> Here as well, a DIA occurrence can refer to the inclusion of the DIA analysis(es) itself in the document or to only the inclusion of comments on the results of this/these DIA analysis/es.</w:t>
      </w:r>
    </w:p>
  </w:footnote>
  <w:footnote w:id="14">
    <w:p w14:paraId="109EABB7" w14:textId="77777777" w:rsidR="004E1045" w:rsidRPr="00A776E3" w:rsidRDefault="004E1045" w:rsidP="00347053">
      <w:pPr>
        <w:spacing w:after="120" w:line="240" w:lineRule="auto"/>
        <w:jc w:val="both"/>
        <w:rPr>
          <w:rFonts w:ascii="Times New Roman" w:hAnsi="Times New Roman" w:cs="Times New Roman"/>
          <w:sz w:val="16"/>
          <w:szCs w:val="16"/>
        </w:rPr>
      </w:pPr>
      <w:r w:rsidRPr="00A776E3">
        <w:rPr>
          <w:rFonts w:ascii="Times New Roman" w:hAnsi="Times New Roman" w:cs="Times New Roman"/>
          <w:sz w:val="16"/>
          <w:szCs w:val="16"/>
          <w:vertAlign w:val="superscript"/>
        </w:rPr>
        <w:footnoteRef/>
      </w:r>
      <w:r w:rsidRPr="00A776E3">
        <w:rPr>
          <w:rFonts w:ascii="Times New Roman" w:hAnsi="Times New Roman" w:cs="Times New Roman"/>
          <w:sz w:val="16"/>
          <w:szCs w:val="16"/>
        </w:rPr>
        <w:t xml:space="preserve"> In the European Semester, the European Commission requires MS to publish macroeconomic forecasts and constantly assesses progress towards the European 2020 targets.</w:t>
      </w:r>
    </w:p>
  </w:footnote>
  <w:footnote w:id="15">
    <w:p w14:paraId="38CDEC9C" w14:textId="441751A7" w:rsidR="004E1045" w:rsidRPr="003414D9" w:rsidRDefault="004E1045" w:rsidP="00F57CCC">
      <w:pPr>
        <w:pStyle w:val="FootnoteText"/>
        <w:jc w:val="both"/>
        <w:rPr>
          <w:rFonts w:ascii="Times New Roman" w:hAnsi="Times New Roman"/>
          <w:sz w:val="16"/>
          <w:szCs w:val="16"/>
        </w:rPr>
      </w:pPr>
      <w:r w:rsidRPr="001161EA">
        <w:rPr>
          <w:rStyle w:val="FootnoteReference"/>
          <w:rFonts w:ascii="Times New Roman" w:hAnsi="Times New Roman"/>
          <w:sz w:val="16"/>
          <w:szCs w:val="16"/>
        </w:rPr>
        <w:footnoteRef/>
      </w:r>
      <w:r w:rsidRPr="001161EA">
        <w:rPr>
          <w:rFonts w:ascii="Times New Roman" w:hAnsi="Times New Roman"/>
          <w:sz w:val="16"/>
          <w:szCs w:val="16"/>
        </w:rPr>
        <w:t xml:space="preserve"> According to ”</w:t>
      </w:r>
      <w:r>
        <w:rPr>
          <w:rFonts w:ascii="Times New Roman" w:hAnsi="Times New Roman"/>
          <w:sz w:val="16"/>
          <w:szCs w:val="16"/>
        </w:rPr>
        <w:t>S</w:t>
      </w:r>
      <w:r w:rsidRPr="001161EA">
        <w:rPr>
          <w:rFonts w:ascii="Times New Roman" w:hAnsi="Times New Roman"/>
          <w:sz w:val="16"/>
          <w:szCs w:val="16"/>
        </w:rPr>
        <w:t>tudy on Distributional Impact Assessment” by the University of Milan</w:t>
      </w:r>
      <w:r>
        <w:rPr>
          <w:rFonts w:ascii="Times New Roman" w:hAnsi="Times New Roman"/>
          <w:sz w:val="16"/>
          <w:szCs w:val="16"/>
        </w:rPr>
        <w:t xml:space="preserve"> 2022 </w:t>
      </w:r>
      <w:hyperlink r:id="rId13" w:tgtFrame="_blank" w:history="1">
        <w:r w:rsidRPr="003414D9">
          <w:rPr>
            <w:rStyle w:val="Hyperlink"/>
            <w:rFonts w:ascii="Times New Roman" w:hAnsi="Times New Roman" w:cs="Times New Roman"/>
            <w:b/>
            <w:bCs/>
            <w:color w:val="000000"/>
            <w:sz w:val="16"/>
            <w:szCs w:val="16"/>
            <w:shd w:val="clear" w:color="auto" w:fill="FFFFFF"/>
          </w:rPr>
          <w:t>https://data.europa.eu/doi/10.2767/511644</w:t>
        </w:r>
      </w:hyperlink>
    </w:p>
  </w:footnote>
  <w:footnote w:id="16">
    <w:p w14:paraId="4EFAFC34" w14:textId="56B695E5" w:rsidR="004E1045" w:rsidRPr="001161EA" w:rsidRDefault="004E1045" w:rsidP="00F57CCC">
      <w:pPr>
        <w:pStyle w:val="FootnoteText"/>
        <w:jc w:val="both"/>
        <w:rPr>
          <w:rFonts w:ascii="Times New Roman" w:hAnsi="Times New Roman"/>
          <w:sz w:val="16"/>
          <w:szCs w:val="16"/>
          <w:lang w:val="en-IE"/>
        </w:rPr>
      </w:pPr>
      <w:r w:rsidRPr="001161EA">
        <w:rPr>
          <w:rStyle w:val="FootnoteReference"/>
          <w:rFonts w:ascii="Times New Roman" w:hAnsi="Times New Roman"/>
          <w:sz w:val="16"/>
          <w:szCs w:val="16"/>
        </w:rPr>
        <w:footnoteRef/>
      </w:r>
      <w:r w:rsidRPr="001161EA">
        <w:rPr>
          <w:rFonts w:ascii="Times New Roman" w:hAnsi="Times New Roman"/>
          <w:sz w:val="16"/>
          <w:szCs w:val="16"/>
        </w:rPr>
        <w:t xml:space="preserve"> See </w:t>
      </w:r>
      <w:r>
        <w:rPr>
          <w:rFonts w:ascii="Times New Roman" w:hAnsi="Times New Roman"/>
          <w:sz w:val="16"/>
          <w:szCs w:val="16"/>
        </w:rPr>
        <w:t>“S</w:t>
      </w:r>
      <w:r w:rsidRPr="001161EA">
        <w:rPr>
          <w:rFonts w:ascii="Times New Roman" w:hAnsi="Times New Roman"/>
          <w:sz w:val="16"/>
          <w:szCs w:val="16"/>
        </w:rPr>
        <w:t>tudy on DIA</w:t>
      </w:r>
      <w:r>
        <w:rPr>
          <w:rFonts w:ascii="Times New Roman" w:hAnsi="Times New Roman"/>
          <w:sz w:val="16"/>
          <w:szCs w:val="16"/>
        </w:rPr>
        <w:t>” by the University of Milan 2022 above</w:t>
      </w:r>
    </w:p>
  </w:footnote>
  <w:footnote w:id="17">
    <w:p w14:paraId="70EDEC65" w14:textId="77777777" w:rsidR="004E1045" w:rsidRPr="00A72281" w:rsidRDefault="004E1045" w:rsidP="00F57CCC">
      <w:pPr>
        <w:pStyle w:val="FootnoteText"/>
        <w:jc w:val="both"/>
        <w:rPr>
          <w:rFonts w:ascii="Times New Roman" w:hAnsi="Times New Roman"/>
          <w:sz w:val="16"/>
          <w:szCs w:val="16"/>
        </w:rPr>
      </w:pPr>
      <w:r w:rsidRPr="00A72281">
        <w:rPr>
          <w:rStyle w:val="FootnoteReference"/>
          <w:rFonts w:ascii="Times New Roman" w:hAnsi="Times New Roman"/>
          <w:sz w:val="16"/>
          <w:szCs w:val="16"/>
        </w:rPr>
        <w:footnoteRef/>
      </w:r>
      <w:r w:rsidRPr="00A72281">
        <w:rPr>
          <w:rFonts w:ascii="Times New Roman" w:hAnsi="Times New Roman"/>
          <w:sz w:val="16"/>
          <w:szCs w:val="16"/>
        </w:rPr>
        <w:t xml:space="preserve"> A link to the full documentation of the analyses undertaken in the budget is also provided (https://www.gov.ie/en/publication/7599a-budget-publications/).</w:t>
      </w:r>
    </w:p>
  </w:footnote>
  <w:footnote w:id="18">
    <w:p w14:paraId="023755ED" w14:textId="77777777" w:rsidR="004E1045" w:rsidRPr="001161EA" w:rsidRDefault="004E1045" w:rsidP="00F57CCC">
      <w:pPr>
        <w:pStyle w:val="FootnoteText"/>
        <w:jc w:val="both"/>
        <w:rPr>
          <w:rFonts w:ascii="Times New Roman" w:hAnsi="Times New Roman"/>
          <w:sz w:val="16"/>
          <w:szCs w:val="16"/>
          <w:lang w:val="en-IE"/>
        </w:rPr>
      </w:pPr>
      <w:r w:rsidRPr="001161EA">
        <w:rPr>
          <w:rStyle w:val="FootnoteReference"/>
          <w:rFonts w:ascii="Times New Roman" w:hAnsi="Times New Roman"/>
          <w:sz w:val="16"/>
          <w:szCs w:val="16"/>
        </w:rPr>
        <w:footnoteRef/>
      </w:r>
      <w:r w:rsidRPr="001161EA">
        <w:rPr>
          <w:rFonts w:ascii="Times New Roman" w:hAnsi="Times New Roman"/>
          <w:sz w:val="16"/>
          <w:szCs w:val="16"/>
        </w:rPr>
        <w:t xml:space="preserve"> </w:t>
      </w:r>
      <w:r>
        <w:rPr>
          <w:rFonts w:ascii="Times New Roman" w:hAnsi="Times New Roman"/>
          <w:sz w:val="16"/>
          <w:szCs w:val="16"/>
        </w:rPr>
        <w:t>According to the “S</w:t>
      </w:r>
      <w:r w:rsidRPr="001161EA">
        <w:rPr>
          <w:rFonts w:ascii="Times New Roman" w:hAnsi="Times New Roman"/>
          <w:sz w:val="16"/>
          <w:szCs w:val="16"/>
        </w:rPr>
        <w:t>tudy</w:t>
      </w:r>
      <w:r>
        <w:rPr>
          <w:rFonts w:ascii="Times New Roman" w:hAnsi="Times New Roman"/>
          <w:sz w:val="16"/>
          <w:szCs w:val="16"/>
        </w:rPr>
        <w:t xml:space="preserve"> on Distributional Impact Assessment”</w:t>
      </w:r>
      <w:r w:rsidRPr="001161EA">
        <w:rPr>
          <w:rFonts w:ascii="Times New Roman" w:hAnsi="Times New Roman"/>
          <w:sz w:val="16"/>
          <w:szCs w:val="16"/>
        </w:rPr>
        <w:t xml:space="preserve"> by</w:t>
      </w:r>
      <w:r>
        <w:rPr>
          <w:rFonts w:ascii="Times New Roman" w:hAnsi="Times New Roman"/>
          <w:sz w:val="16"/>
          <w:szCs w:val="16"/>
        </w:rPr>
        <w:t xml:space="preserve"> the</w:t>
      </w:r>
      <w:r w:rsidRPr="001161EA">
        <w:rPr>
          <w:rFonts w:ascii="Times New Roman" w:hAnsi="Times New Roman"/>
          <w:sz w:val="16"/>
          <w:szCs w:val="16"/>
        </w:rPr>
        <w:t xml:space="preserve"> University</w:t>
      </w:r>
      <w:r>
        <w:rPr>
          <w:rFonts w:ascii="Times New Roman" w:hAnsi="Times New Roman"/>
          <w:sz w:val="16"/>
          <w:szCs w:val="16"/>
        </w:rPr>
        <w:t xml:space="preserve"> of Milan which looks at </w:t>
      </w:r>
      <w:r w:rsidRPr="001161EA">
        <w:rPr>
          <w:rFonts w:ascii="Times New Roman" w:hAnsi="Times New Roman"/>
          <w:sz w:val="16"/>
          <w:szCs w:val="16"/>
        </w:rPr>
        <w:t>the DIA use</w:t>
      </w:r>
      <w:r>
        <w:rPr>
          <w:rFonts w:ascii="Times New Roman" w:hAnsi="Times New Roman"/>
          <w:sz w:val="16"/>
          <w:szCs w:val="16"/>
        </w:rPr>
        <w:t xml:space="preserve"> in the DBPs and</w:t>
      </w:r>
      <w:r w:rsidRPr="001161EA">
        <w:rPr>
          <w:rFonts w:ascii="Times New Roman" w:hAnsi="Times New Roman"/>
          <w:sz w:val="16"/>
          <w:szCs w:val="16"/>
        </w:rPr>
        <w:t xml:space="preserve"> in budget-related documents at the national level, such as National Growth Strategy, progress towards EU2020 indicators, progress in implementing country-Specific recommendations, national document introducing expenditure and revenue measures and documents with an </w:t>
      </w:r>
      <w:r w:rsidRPr="001161EA">
        <w:rPr>
          <w:rFonts w:ascii="Times New Roman" w:hAnsi="Times New Roman"/>
          <w:i/>
          <w:sz w:val="16"/>
          <w:szCs w:val="16"/>
        </w:rPr>
        <w:t>ex</w:t>
      </w:r>
      <w:r w:rsidRPr="001161EA">
        <w:rPr>
          <w:rFonts w:ascii="Times New Roman" w:hAnsi="Times New Roman"/>
          <w:sz w:val="16"/>
          <w:szCs w:val="16"/>
        </w:rPr>
        <w:t>-</w:t>
      </w:r>
      <w:r w:rsidRPr="001161EA">
        <w:rPr>
          <w:rFonts w:ascii="Times New Roman" w:hAnsi="Times New Roman"/>
          <w:i/>
          <w:sz w:val="16"/>
          <w:szCs w:val="16"/>
        </w:rPr>
        <w:t xml:space="preserve"> ante</w:t>
      </w:r>
      <w:r w:rsidRPr="001161EA">
        <w:rPr>
          <w:rFonts w:ascii="Times New Roman" w:hAnsi="Times New Roman"/>
          <w:sz w:val="16"/>
          <w:szCs w:val="16"/>
        </w:rPr>
        <w:t xml:space="preserve"> or </w:t>
      </w:r>
      <w:r w:rsidRPr="001161EA">
        <w:rPr>
          <w:rFonts w:ascii="Times New Roman" w:hAnsi="Times New Roman"/>
          <w:i/>
          <w:sz w:val="16"/>
          <w:szCs w:val="16"/>
        </w:rPr>
        <w:t>ex</w:t>
      </w:r>
      <w:r w:rsidRPr="001161EA">
        <w:rPr>
          <w:rFonts w:ascii="Times New Roman" w:hAnsi="Times New Roman"/>
          <w:sz w:val="16"/>
          <w:szCs w:val="16"/>
        </w:rPr>
        <w:t>-</w:t>
      </w:r>
      <w:r w:rsidRPr="001161EA">
        <w:rPr>
          <w:rFonts w:ascii="Times New Roman" w:hAnsi="Times New Roman"/>
          <w:i/>
          <w:sz w:val="16"/>
          <w:szCs w:val="16"/>
        </w:rPr>
        <w:t xml:space="preserve"> post</w:t>
      </w:r>
      <w:r w:rsidRPr="001161EA">
        <w:rPr>
          <w:rFonts w:ascii="Times New Roman" w:hAnsi="Times New Roman"/>
          <w:sz w:val="16"/>
          <w:szCs w:val="16"/>
        </w:rPr>
        <w:t xml:space="preserve"> evaluation of budgetary measures.</w:t>
      </w:r>
    </w:p>
  </w:footnote>
  <w:footnote w:id="19">
    <w:p w14:paraId="1FE828FC" w14:textId="77777777" w:rsidR="004E1045" w:rsidRPr="001161EA" w:rsidRDefault="004E1045" w:rsidP="00F57CCC">
      <w:pPr>
        <w:pStyle w:val="FootnoteText"/>
        <w:jc w:val="both"/>
        <w:rPr>
          <w:rFonts w:ascii="Times New Roman" w:hAnsi="Times New Roman"/>
          <w:sz w:val="16"/>
          <w:szCs w:val="16"/>
        </w:rPr>
      </w:pPr>
      <w:r w:rsidRPr="001161EA">
        <w:rPr>
          <w:rStyle w:val="FootnoteReference"/>
          <w:rFonts w:ascii="Times New Roman" w:hAnsi="Times New Roman"/>
          <w:sz w:val="16"/>
          <w:szCs w:val="16"/>
        </w:rPr>
        <w:footnoteRef/>
      </w:r>
      <w:r w:rsidRPr="001161EA">
        <w:rPr>
          <w:rFonts w:ascii="Times New Roman" w:hAnsi="Times New Roman"/>
          <w:sz w:val="16"/>
          <w:szCs w:val="16"/>
        </w:rPr>
        <w:t xml:space="preserve"> </w:t>
      </w:r>
      <w:r w:rsidRPr="0017750B">
        <w:rPr>
          <w:rFonts w:ascii="Times New Roman" w:hAnsi="Times New Roman"/>
          <w:sz w:val="16"/>
          <w:szCs w:val="16"/>
        </w:rPr>
        <w:t>CY, LU and RO a</w:t>
      </w:r>
      <w:r w:rsidRPr="001161EA">
        <w:rPr>
          <w:rFonts w:ascii="Times New Roman" w:hAnsi="Times New Roman"/>
          <w:sz w:val="16"/>
          <w:szCs w:val="16"/>
        </w:rPr>
        <w:t>ccording to</w:t>
      </w:r>
      <w:r>
        <w:rPr>
          <w:rFonts w:ascii="Times New Roman" w:hAnsi="Times New Roman"/>
          <w:sz w:val="16"/>
          <w:szCs w:val="16"/>
        </w:rPr>
        <w:t xml:space="preserve"> the </w:t>
      </w:r>
      <w:r>
        <w:t>“</w:t>
      </w:r>
      <w:r w:rsidRPr="000B52C6">
        <w:rPr>
          <w:rFonts w:ascii="Times New Roman" w:hAnsi="Times New Roman"/>
          <w:sz w:val="16"/>
          <w:szCs w:val="16"/>
        </w:rPr>
        <w:t>Study on Distributional Impact Assessment</w:t>
      </w:r>
      <w:r>
        <w:rPr>
          <w:rFonts w:ascii="Times New Roman" w:hAnsi="Times New Roman"/>
          <w:sz w:val="16"/>
          <w:szCs w:val="16"/>
        </w:rPr>
        <w:t>”</w:t>
      </w:r>
      <w:r w:rsidRPr="001161EA">
        <w:rPr>
          <w:rFonts w:ascii="Times New Roman" w:hAnsi="Times New Roman"/>
          <w:sz w:val="16"/>
          <w:szCs w:val="16"/>
        </w:rPr>
        <w:t xml:space="preserve"> by the University of Milan</w:t>
      </w:r>
      <w:r>
        <w:rPr>
          <w:rFonts w:ascii="Times New Roman" w:hAnsi="Times New Roman"/>
          <w:sz w:val="16"/>
          <w:szCs w:val="16"/>
        </w:rPr>
        <w:t>.</w:t>
      </w:r>
    </w:p>
  </w:footnote>
  <w:footnote w:id="20">
    <w:p w14:paraId="029382BC" w14:textId="61CB322D" w:rsidR="004E1045" w:rsidRPr="00F70E03" w:rsidRDefault="004E1045" w:rsidP="00F57CCC">
      <w:pPr>
        <w:spacing w:after="0" w:line="240" w:lineRule="auto"/>
        <w:jc w:val="both"/>
        <w:rPr>
          <w:lang w:val="en-IE"/>
        </w:rPr>
      </w:pPr>
      <w:r>
        <w:rPr>
          <w:rStyle w:val="FootnoteReference"/>
        </w:rPr>
        <w:footnoteRef/>
      </w:r>
      <w:r>
        <w:t xml:space="preserve"> </w:t>
      </w:r>
      <w:r w:rsidRPr="00F70E03">
        <w:rPr>
          <w:rFonts w:ascii="Times New Roman" w:eastAsia="Garamond" w:hAnsi="Times New Roman" w:cs="Garamond"/>
          <w:sz w:val="16"/>
          <w:szCs w:val="16"/>
          <w:lang w:eastAsia="it-IT"/>
        </w:rPr>
        <w:t xml:space="preserve">For instance, as part of the </w:t>
      </w:r>
      <w:r>
        <w:rPr>
          <w:rFonts w:ascii="Times New Roman" w:eastAsia="Garamond" w:hAnsi="Times New Roman" w:cs="Garamond"/>
          <w:sz w:val="16"/>
          <w:szCs w:val="16"/>
          <w:lang w:eastAsia="it-IT"/>
        </w:rPr>
        <w:t>S</w:t>
      </w:r>
      <w:r w:rsidRPr="00F70E03">
        <w:rPr>
          <w:rFonts w:ascii="Times New Roman" w:eastAsia="Garamond" w:hAnsi="Times New Roman" w:cs="Garamond"/>
          <w:sz w:val="16"/>
          <w:szCs w:val="16"/>
          <w:lang w:eastAsia="it-IT"/>
        </w:rPr>
        <w:t>emester cycle, some analysis has been done of the impact of the introduction of a minimum wage (such as in Cyprus, see European Commission Staff Working Document 2022, Country Report – Cyprus, accompanying the document Recommendation for a COUNCIL RECOMMENDATION on the 2022 National Reform Programme of Cyprus and delivering a Council opinion on the 2022 Stability Programme of Cyprus {COM(2022) 604 final} - {SWD(2022) 640 final}, p. 47.</w:t>
      </w:r>
      <w:r>
        <w:rPr>
          <w:rFonts w:ascii="Times New Roman" w:eastAsia="Garamond" w:hAnsi="Times New Roman" w:cs="Garamond"/>
          <w:sz w:val="16"/>
          <w:szCs w:val="16"/>
          <w:lang w:eastAsia="it-IT"/>
        </w:rPr>
        <w:t>)</w:t>
      </w:r>
    </w:p>
  </w:footnote>
  <w:footnote w:id="21">
    <w:p w14:paraId="665D6507" w14:textId="7AA3C851" w:rsidR="004E1045" w:rsidRPr="0020098F" w:rsidRDefault="004E1045" w:rsidP="00F57CCC">
      <w:pPr>
        <w:pStyle w:val="FootnoteText"/>
        <w:jc w:val="both"/>
      </w:pPr>
      <w:r>
        <w:rPr>
          <w:rStyle w:val="FootnoteReference"/>
        </w:rPr>
        <w:footnoteRef/>
      </w:r>
      <w:r>
        <w:t xml:space="preserve"> </w:t>
      </w:r>
      <w:r>
        <w:rPr>
          <w:rFonts w:ascii="Times New Roman" w:hAnsi="Times New Roman"/>
          <w:sz w:val="16"/>
          <w:szCs w:val="16"/>
        </w:rPr>
        <w:t>See for instance</w:t>
      </w:r>
      <w:r w:rsidRPr="00F70E03">
        <w:rPr>
          <w:rFonts w:ascii="Times New Roman" w:hAnsi="Times New Roman"/>
          <w:sz w:val="16"/>
          <w:szCs w:val="16"/>
        </w:rPr>
        <w:t xml:space="preserve"> Aaltonen K, Tervola J &amp; Heino P (2021). Analysing the effects of healthcare payment policies in conjunction with tax-benefit policies: A microsimulation study with real-world healthcare data. INVEST working paper 34/2021.</w:t>
      </w:r>
    </w:p>
  </w:footnote>
  <w:footnote w:id="22">
    <w:p w14:paraId="06FB0936" w14:textId="650E6E51" w:rsidR="004E1045" w:rsidRPr="00845146" w:rsidRDefault="004E1045">
      <w:pPr>
        <w:pStyle w:val="FootnoteText"/>
        <w:rPr>
          <w:rFonts w:ascii="Times New Roman" w:hAnsi="Times New Roman" w:cs="Times New Roman"/>
          <w:sz w:val="16"/>
          <w:szCs w:val="16"/>
        </w:rPr>
      </w:pPr>
      <w:r w:rsidRPr="00845146">
        <w:rPr>
          <w:rStyle w:val="FootnoteReference"/>
          <w:rFonts w:ascii="Times New Roman" w:hAnsi="Times New Roman" w:cs="Times New Roman"/>
          <w:sz w:val="16"/>
          <w:szCs w:val="16"/>
        </w:rPr>
        <w:footnoteRef/>
      </w:r>
      <w:r w:rsidRPr="00845146">
        <w:rPr>
          <w:rFonts w:ascii="Times New Roman" w:hAnsi="Times New Roman" w:cs="Times New Roman"/>
          <w:sz w:val="16"/>
          <w:szCs w:val="16"/>
        </w:rPr>
        <w:t xml:space="preserve"> Bargain, O., &amp; Callan, T., (2010). Analysing the effects of tax-benefit reforms on income distribution: a decomposition approach. Journal of Inc</w:t>
      </w:r>
      <w:r>
        <w:rPr>
          <w:rFonts w:ascii="Times New Roman" w:hAnsi="Times New Roman" w:cs="Times New Roman"/>
          <w:sz w:val="16"/>
          <w:szCs w:val="16"/>
        </w:rPr>
        <w:t>ome Inequality. Vol. 8.pp. 1-21:</w:t>
      </w:r>
      <w:r w:rsidRPr="001D2878">
        <w:t xml:space="preserve"> </w:t>
      </w:r>
      <w:hyperlink r:id="rId14" w:history="1">
        <w:r w:rsidRPr="008A3D12">
          <w:rPr>
            <w:rStyle w:val="Hyperlink"/>
            <w:rFonts w:ascii="Times New Roman" w:hAnsi="Times New Roman" w:cs="Times New Roman"/>
            <w:sz w:val="16"/>
            <w:szCs w:val="16"/>
          </w:rPr>
          <w:t>https://link.springer.com/article/10.1007/s10888-008-9101-4</w:t>
        </w:r>
      </w:hyperlink>
      <w:r>
        <w:rPr>
          <w:rFonts w:ascii="Times New Roman" w:hAnsi="Times New Roman" w:cs="Times New Roman"/>
          <w:sz w:val="16"/>
          <w:szCs w:val="16"/>
        </w:rPr>
        <w:t xml:space="preserve"> </w:t>
      </w:r>
    </w:p>
    <w:p w14:paraId="0F8D01F6" w14:textId="77777777" w:rsidR="004E1045" w:rsidRPr="00845146" w:rsidRDefault="004E1045">
      <w:pPr>
        <w:pStyle w:val="FootnoteText"/>
        <w:rPr>
          <w:rFonts w:ascii="Times New Roman" w:hAnsi="Times New Roman" w:cs="Times New Roman"/>
          <w:sz w:val="16"/>
          <w:szCs w:val="16"/>
        </w:rPr>
      </w:pPr>
    </w:p>
  </w:footnote>
  <w:footnote w:id="23">
    <w:p w14:paraId="55C75C6B" w14:textId="49A98B75" w:rsidR="004E1045" w:rsidRPr="00426478" w:rsidRDefault="004E1045" w:rsidP="00350270">
      <w:pPr>
        <w:rPr>
          <w:rFonts w:ascii="Times New Roman" w:hAnsi="Times New Roman" w:cs="Times New Roman"/>
          <w:sz w:val="16"/>
          <w:szCs w:val="16"/>
        </w:rPr>
      </w:pPr>
      <w:r w:rsidRPr="002B219F">
        <w:rPr>
          <w:rStyle w:val="FootnoteReference"/>
          <w:rFonts w:ascii="Times New Roman" w:hAnsi="Times New Roman" w:cs="Times New Roman"/>
          <w:sz w:val="16"/>
          <w:szCs w:val="16"/>
        </w:rPr>
        <w:footnoteRef/>
      </w:r>
      <w:r w:rsidRPr="003414D9">
        <w:rPr>
          <w:rFonts w:ascii="Times New Roman" w:hAnsi="Times New Roman" w:cs="Times New Roman"/>
          <w:sz w:val="16"/>
          <w:szCs w:val="16"/>
          <w:lang w:val="fr-BE"/>
        </w:rPr>
        <w:t xml:space="preserve"> </w:t>
      </w:r>
      <w:r w:rsidRPr="003414D9">
        <w:rPr>
          <w:rFonts w:ascii="Times New Roman" w:eastAsia="Garamond" w:hAnsi="Times New Roman" w:cs="Times New Roman"/>
          <w:sz w:val="16"/>
          <w:szCs w:val="16"/>
          <w:lang w:val="fr-BE" w:eastAsia="it-IT"/>
        </w:rPr>
        <w:t xml:space="preserve">Paulus, Alari &amp; Tasseva, Iva V. 2020. </w:t>
      </w:r>
      <w:r w:rsidRPr="002B219F">
        <w:rPr>
          <w:rFonts w:ascii="Times New Roman" w:eastAsia="Garamond" w:hAnsi="Times New Roman" w:cs="Times New Roman"/>
          <w:sz w:val="16"/>
          <w:szCs w:val="16"/>
          <w:lang w:eastAsia="it-IT"/>
        </w:rPr>
        <w:t>"Europe Through the Crisis: Discretionary Policy Changes and Automatic Stabilizers," Oxford Bulletin of Economics and Statistics, Department of Economics, University of Oxford, vol. 82(4), pages 864-888, August</w:t>
      </w:r>
      <w:r>
        <w:rPr>
          <w:rFonts w:ascii="Times New Roman" w:eastAsia="Garamond" w:hAnsi="Times New Roman" w:cs="Times New Roman"/>
          <w:sz w:val="16"/>
          <w:szCs w:val="16"/>
          <w:lang w:eastAsia="it-IT"/>
        </w:rPr>
        <w:t xml:space="preserve">: </w:t>
      </w:r>
      <w:hyperlink r:id="rId15" w:history="1">
        <w:r w:rsidRPr="008A3D12">
          <w:rPr>
            <w:rStyle w:val="Hyperlink"/>
            <w:rFonts w:ascii="Times New Roman" w:eastAsia="Garamond" w:hAnsi="Times New Roman" w:cs="Times New Roman"/>
            <w:sz w:val="16"/>
            <w:szCs w:val="16"/>
            <w:lang w:eastAsia="it-IT"/>
          </w:rPr>
          <w:t>https://ideas.repec.org/a/bla/obuest/v82y2020i4p864-888.html</w:t>
        </w:r>
      </w:hyperlink>
      <w:r>
        <w:rPr>
          <w:rFonts w:ascii="Times New Roman" w:eastAsia="Garamond" w:hAnsi="Times New Roman" w:cs="Times New Roman"/>
          <w:sz w:val="16"/>
          <w:szCs w:val="16"/>
          <w:lang w:eastAsia="it-IT"/>
        </w:rPr>
        <w:t xml:space="preserve"> </w:t>
      </w:r>
    </w:p>
  </w:footnote>
  <w:footnote w:id="24">
    <w:p w14:paraId="069390A8" w14:textId="373C35E7" w:rsidR="004E1045" w:rsidRPr="00350270" w:rsidRDefault="004E1045">
      <w:pPr>
        <w:pStyle w:val="FootnoteText"/>
        <w:rPr>
          <w:rFonts w:ascii="Times New Roman" w:hAnsi="Times New Roman" w:cs="Times New Roman"/>
          <w:sz w:val="16"/>
          <w:szCs w:val="16"/>
        </w:rPr>
      </w:pPr>
      <w:r w:rsidRPr="002B219F">
        <w:rPr>
          <w:rStyle w:val="FootnoteReference"/>
          <w:rFonts w:ascii="Times New Roman" w:hAnsi="Times New Roman" w:cs="Times New Roman"/>
          <w:sz w:val="16"/>
          <w:szCs w:val="16"/>
        </w:rPr>
        <w:footnoteRef/>
      </w:r>
      <w:r w:rsidRPr="002B219F">
        <w:rPr>
          <w:rFonts w:ascii="Times New Roman" w:hAnsi="Times New Roman" w:cs="Times New Roman"/>
          <w:sz w:val="16"/>
          <w:szCs w:val="16"/>
        </w:rPr>
        <w:t xml:space="preserve"> Doorley, K.; Callan, T. &amp; Savage, M. 2021. "What drove income inequality in EU crisis countries during the Great Recession?," Fiscal Studies, John Wiley &amp; Sons, </w:t>
      </w:r>
      <w:r>
        <w:rPr>
          <w:rFonts w:ascii="Times New Roman" w:hAnsi="Times New Roman" w:cs="Times New Roman"/>
          <w:sz w:val="16"/>
          <w:szCs w:val="16"/>
        </w:rPr>
        <w:t>vol. 42(2), pages 319-343, June:</w:t>
      </w:r>
      <w:r w:rsidRPr="001D2878">
        <w:t xml:space="preserve"> </w:t>
      </w:r>
      <w:hyperlink r:id="rId16" w:history="1">
        <w:r w:rsidRPr="008A3D12">
          <w:rPr>
            <w:rStyle w:val="Hyperlink"/>
            <w:rFonts w:ascii="Times New Roman" w:hAnsi="Times New Roman" w:cs="Times New Roman"/>
            <w:sz w:val="16"/>
            <w:szCs w:val="16"/>
          </w:rPr>
          <w:t>https://ideas.repec.org/p/esr/wpaper/rb202102.html</w:t>
        </w:r>
      </w:hyperlink>
      <w:r>
        <w:rPr>
          <w:rFonts w:ascii="Times New Roman" w:hAnsi="Times New Roman" w:cs="Times New Roman"/>
          <w:sz w:val="16"/>
          <w:szCs w:val="16"/>
        </w:rPr>
        <w:t xml:space="preserve"> </w:t>
      </w:r>
    </w:p>
  </w:footnote>
  <w:footnote w:id="25">
    <w:p w14:paraId="75D7ADA1" w14:textId="01FFFB66" w:rsidR="004E1045" w:rsidRPr="00350270" w:rsidRDefault="004E1045">
      <w:pPr>
        <w:pStyle w:val="FootnoteText"/>
        <w:rPr>
          <w:rFonts w:ascii="Times New Roman" w:hAnsi="Times New Roman" w:cs="Times New Roman"/>
          <w:sz w:val="16"/>
          <w:szCs w:val="16"/>
        </w:rPr>
      </w:pPr>
      <w:r w:rsidRPr="00350270">
        <w:rPr>
          <w:rStyle w:val="FootnoteReference"/>
          <w:rFonts w:ascii="Times New Roman" w:hAnsi="Times New Roman" w:cs="Times New Roman"/>
          <w:sz w:val="16"/>
          <w:szCs w:val="16"/>
        </w:rPr>
        <w:footnoteRef/>
      </w:r>
      <w:r w:rsidRPr="00460495">
        <w:rPr>
          <w:rFonts w:ascii="Times New Roman" w:hAnsi="Times New Roman" w:cs="Times New Roman"/>
          <w:sz w:val="16"/>
          <w:szCs w:val="16"/>
          <w:lang w:val="es-ES"/>
        </w:rPr>
        <w:t xml:space="preserve"> Fioramanti, M., González Cabanillas. L., Roelstraete, B.,and &amp; Ferrandis Vallterra, A., (2016).   </w:t>
      </w:r>
      <w:r w:rsidRPr="00350270">
        <w:rPr>
          <w:rFonts w:ascii="Times New Roman" w:hAnsi="Times New Roman" w:cs="Times New Roman"/>
          <w:sz w:val="16"/>
          <w:szCs w:val="16"/>
        </w:rPr>
        <w:t xml:space="preserve">European Commission’s Forecasts Accuracy Revisited: Statistical Properties and Possible Causes of Forecast Errors. European </w:t>
      </w:r>
      <w:r>
        <w:rPr>
          <w:rFonts w:ascii="Times New Roman" w:hAnsi="Times New Roman" w:cs="Times New Roman"/>
          <w:sz w:val="16"/>
          <w:szCs w:val="16"/>
        </w:rPr>
        <w:t>Commission Discussion Paper 027:</w:t>
      </w:r>
      <w:r w:rsidRPr="001D2878">
        <w:t xml:space="preserve"> </w:t>
      </w:r>
      <w:hyperlink r:id="rId17" w:history="1">
        <w:r w:rsidRPr="008A3D12">
          <w:rPr>
            <w:rStyle w:val="Hyperlink"/>
            <w:rFonts w:ascii="Times New Roman" w:hAnsi="Times New Roman" w:cs="Times New Roman"/>
            <w:sz w:val="16"/>
            <w:szCs w:val="16"/>
          </w:rPr>
          <w:t>https://econpapers.repec.org/paper/eufdispap/027.htm</w:t>
        </w:r>
      </w:hyperlink>
      <w:r>
        <w:rPr>
          <w:rFonts w:ascii="Times New Roman" w:hAnsi="Times New Roman" w:cs="Times New Roman"/>
          <w:sz w:val="16"/>
          <w:szCs w:val="16"/>
        </w:rPr>
        <w:t xml:space="preserve"> </w:t>
      </w:r>
    </w:p>
  </w:footnote>
  <w:footnote w:id="26">
    <w:p w14:paraId="574C1214" w14:textId="660310DD" w:rsidR="004E1045" w:rsidRPr="00350270" w:rsidRDefault="004E1045">
      <w:pPr>
        <w:pStyle w:val="FootnoteText"/>
        <w:rPr>
          <w:rFonts w:ascii="Times New Roman" w:hAnsi="Times New Roman" w:cs="Times New Roman"/>
          <w:sz w:val="16"/>
          <w:szCs w:val="16"/>
        </w:rPr>
      </w:pPr>
      <w:r w:rsidRPr="00350270">
        <w:rPr>
          <w:rStyle w:val="FootnoteReference"/>
          <w:rFonts w:ascii="Times New Roman" w:hAnsi="Times New Roman" w:cs="Times New Roman"/>
          <w:sz w:val="16"/>
          <w:szCs w:val="16"/>
        </w:rPr>
        <w:footnoteRef/>
      </w:r>
      <w:r w:rsidRPr="00350270">
        <w:rPr>
          <w:rFonts w:ascii="Times New Roman" w:hAnsi="Times New Roman" w:cs="Times New Roman"/>
          <w:sz w:val="16"/>
          <w:szCs w:val="16"/>
        </w:rPr>
        <w:t xml:space="preserve"> Bargain, O. &amp; Doorley, K. "The Effect of Social Benefits on Youth Employment: Combining Regression Discontinuity and a Behavioral Model." Journal of Human Resources, vo</w:t>
      </w:r>
      <w:r>
        <w:rPr>
          <w:rFonts w:ascii="Times New Roman" w:hAnsi="Times New Roman" w:cs="Times New Roman"/>
          <w:sz w:val="16"/>
          <w:szCs w:val="16"/>
        </w:rPr>
        <w:t>l. 52 no. 4, 2017, p. 1032-1059:</w:t>
      </w:r>
      <w:r w:rsidRPr="001D2878">
        <w:t xml:space="preserve"> </w:t>
      </w:r>
      <w:hyperlink r:id="rId18" w:history="1">
        <w:r w:rsidRPr="008A3D12">
          <w:rPr>
            <w:rStyle w:val="Hyperlink"/>
            <w:rFonts w:ascii="Times New Roman" w:hAnsi="Times New Roman" w:cs="Times New Roman"/>
            <w:sz w:val="16"/>
            <w:szCs w:val="16"/>
          </w:rPr>
          <w:t>https://ideas.repec.org/a/uwp/jhriss/v52y2017i4p1032-1059.html</w:t>
        </w:r>
      </w:hyperlink>
      <w:r>
        <w:rPr>
          <w:rFonts w:ascii="Times New Roman" w:hAnsi="Times New Roman" w:cs="Times New Roman"/>
          <w:sz w:val="16"/>
          <w:szCs w:val="16"/>
        </w:rPr>
        <w:t xml:space="preserve"> </w:t>
      </w:r>
    </w:p>
  </w:footnote>
  <w:footnote w:id="27">
    <w:p w14:paraId="2EA9F90E" w14:textId="784CB647" w:rsidR="004E1045" w:rsidRPr="00350270" w:rsidRDefault="004E1045">
      <w:pPr>
        <w:pStyle w:val="FootnoteText"/>
        <w:rPr>
          <w:rFonts w:ascii="Times New Roman" w:hAnsi="Times New Roman" w:cs="Times New Roman"/>
          <w:sz w:val="16"/>
          <w:szCs w:val="16"/>
        </w:rPr>
      </w:pPr>
      <w:r w:rsidRPr="00350270">
        <w:rPr>
          <w:rStyle w:val="FootnoteReference"/>
          <w:rFonts w:ascii="Times New Roman" w:hAnsi="Times New Roman" w:cs="Times New Roman"/>
          <w:sz w:val="16"/>
          <w:szCs w:val="16"/>
        </w:rPr>
        <w:footnoteRef/>
      </w:r>
      <w:r w:rsidRPr="00350270">
        <w:rPr>
          <w:rFonts w:ascii="Times New Roman" w:hAnsi="Times New Roman" w:cs="Times New Roman"/>
          <w:sz w:val="16"/>
          <w:szCs w:val="16"/>
        </w:rPr>
        <w:t xml:space="preserve"> According to the “Study on Distributional Impact Assessment” by the University of Milan</w:t>
      </w:r>
    </w:p>
  </w:footnote>
  <w:footnote w:id="28">
    <w:p w14:paraId="628C48DD" w14:textId="77777777" w:rsidR="004E1045" w:rsidRPr="00845146" w:rsidRDefault="004E1045" w:rsidP="001917CB">
      <w:pPr>
        <w:pStyle w:val="FootnoteText"/>
        <w:rPr>
          <w:rFonts w:ascii="Times New Roman" w:hAnsi="Times New Roman" w:cs="Times New Roman"/>
          <w:sz w:val="16"/>
          <w:szCs w:val="16"/>
        </w:rPr>
      </w:pPr>
      <w:r w:rsidRPr="00845146">
        <w:rPr>
          <w:rStyle w:val="FootnoteReference"/>
          <w:rFonts w:ascii="Times New Roman" w:hAnsi="Times New Roman" w:cs="Times New Roman"/>
          <w:sz w:val="16"/>
          <w:szCs w:val="16"/>
        </w:rPr>
        <w:footnoteRef/>
      </w:r>
      <w:r w:rsidRPr="00845146">
        <w:rPr>
          <w:rFonts w:ascii="Times New Roman" w:hAnsi="Times New Roman" w:cs="Times New Roman"/>
          <w:sz w:val="16"/>
          <w:szCs w:val="16"/>
        </w:rPr>
        <w:t xml:space="preserve"> Savage, M. (2017). Integrated Modelling of the Impact of Direct and indirect Taxes Using Complementary Datasets. The Economic and Social Review, 48(2), 171-205</w:t>
      </w:r>
      <w:r>
        <w:rPr>
          <w:rFonts w:ascii="Times New Roman" w:hAnsi="Times New Roman" w:cs="Times New Roman"/>
          <w:sz w:val="16"/>
          <w:szCs w:val="16"/>
        </w:rPr>
        <w:t>:</w:t>
      </w:r>
      <w:r w:rsidRPr="001D2878">
        <w:t xml:space="preserve"> </w:t>
      </w:r>
      <w:hyperlink r:id="rId19" w:history="1">
        <w:r w:rsidRPr="008A3D12">
          <w:rPr>
            <w:rStyle w:val="Hyperlink"/>
            <w:rFonts w:ascii="Times New Roman" w:hAnsi="Times New Roman" w:cs="Times New Roman"/>
            <w:sz w:val="16"/>
            <w:szCs w:val="16"/>
          </w:rPr>
          <w:t>https://ideas.repec.org/a/eso/journl/v48y2017i2p171-205.html</w:t>
        </w:r>
      </w:hyperlink>
      <w:r>
        <w:rPr>
          <w:rFonts w:ascii="Times New Roman" w:hAnsi="Times New Roman" w:cs="Times New Roman"/>
          <w:sz w:val="16"/>
          <w:szCs w:val="16"/>
        </w:rPr>
        <w:t xml:space="preserve"> </w:t>
      </w:r>
    </w:p>
  </w:footnote>
  <w:footnote w:id="29">
    <w:p w14:paraId="3AD42C90" w14:textId="77777777" w:rsidR="004E1045" w:rsidRPr="008B75C2" w:rsidRDefault="004E1045" w:rsidP="001917CB">
      <w:pPr>
        <w:pStyle w:val="FootnoteText"/>
        <w:jc w:val="both"/>
        <w:rPr>
          <w:rFonts w:ascii="Times New Roman" w:hAnsi="Times New Roman" w:cs="Times New Roman"/>
          <w:sz w:val="16"/>
          <w:szCs w:val="16"/>
        </w:rPr>
      </w:pPr>
      <w:r w:rsidRPr="00845146">
        <w:rPr>
          <w:rStyle w:val="FootnoteReference"/>
          <w:rFonts w:ascii="Times New Roman" w:hAnsi="Times New Roman" w:cs="Times New Roman"/>
          <w:sz w:val="16"/>
          <w:szCs w:val="16"/>
        </w:rPr>
        <w:footnoteRef/>
      </w:r>
      <w:r w:rsidRPr="00845146">
        <w:rPr>
          <w:rFonts w:ascii="Times New Roman" w:hAnsi="Times New Roman" w:cs="Times New Roman"/>
          <w:sz w:val="16"/>
          <w:szCs w:val="16"/>
        </w:rPr>
        <w:t xml:space="preserve"> Bercholz, M., &amp; Roantree, B. (2019). Carbon Taxes and Compensation Options. </w:t>
      </w:r>
      <w:r w:rsidRPr="008B75C2">
        <w:rPr>
          <w:rFonts w:ascii="Times New Roman" w:hAnsi="Times New Roman" w:cs="Times New Roman"/>
          <w:sz w:val="16"/>
          <w:szCs w:val="16"/>
        </w:rPr>
        <w:t>Budget Perspectives 2020 :</w:t>
      </w:r>
      <w:r w:rsidRPr="008B75C2">
        <w:t xml:space="preserve"> </w:t>
      </w:r>
      <w:hyperlink r:id="rId20" w:history="1">
        <w:r w:rsidRPr="008B75C2">
          <w:rPr>
            <w:rStyle w:val="Hyperlink"/>
            <w:rFonts w:ascii="Times New Roman" w:hAnsi="Times New Roman" w:cs="Times New Roman"/>
            <w:sz w:val="16"/>
            <w:szCs w:val="16"/>
          </w:rPr>
          <w:t>https://www.esri.ie/sites/default/files/media/file-uploads/2019-06/Carbon%20taxes%20and%20compensation%20options.pdf</w:t>
        </w:r>
      </w:hyperlink>
      <w:r w:rsidRPr="008B75C2">
        <w:rPr>
          <w:rFonts w:ascii="Times New Roman" w:hAnsi="Times New Roman" w:cs="Times New Roman"/>
          <w:sz w:val="16"/>
          <w:szCs w:val="16"/>
        </w:rPr>
        <w:t xml:space="preserve">  </w:t>
      </w:r>
    </w:p>
  </w:footnote>
  <w:footnote w:id="30">
    <w:p w14:paraId="78BE67D3" w14:textId="77777777" w:rsidR="004E1045" w:rsidRPr="00845146" w:rsidRDefault="004E1045" w:rsidP="001917CB">
      <w:pPr>
        <w:pStyle w:val="FootnoteText"/>
        <w:jc w:val="both"/>
        <w:rPr>
          <w:rFonts w:ascii="Times New Roman" w:hAnsi="Times New Roman" w:cs="Times New Roman"/>
          <w:sz w:val="16"/>
          <w:szCs w:val="16"/>
        </w:rPr>
      </w:pPr>
      <w:r w:rsidRPr="00845146">
        <w:rPr>
          <w:rStyle w:val="FootnoteReference"/>
          <w:rFonts w:ascii="Times New Roman" w:hAnsi="Times New Roman" w:cs="Times New Roman"/>
          <w:sz w:val="16"/>
          <w:szCs w:val="16"/>
        </w:rPr>
        <w:footnoteRef/>
      </w:r>
      <w:r w:rsidRPr="005549B1">
        <w:rPr>
          <w:rFonts w:ascii="Times New Roman" w:hAnsi="Times New Roman" w:cs="Times New Roman"/>
          <w:sz w:val="16"/>
          <w:szCs w:val="16"/>
          <w:lang w:val="fr-BE"/>
        </w:rPr>
        <w:t xml:space="preserve"> Kuypers, S., Figari, F., Verbist, G., &amp; Verckist, D. (2017). </w:t>
      </w:r>
      <w:r w:rsidRPr="00845146">
        <w:rPr>
          <w:rFonts w:ascii="Times New Roman" w:hAnsi="Times New Roman" w:cs="Times New Roman"/>
          <w:sz w:val="16"/>
          <w:szCs w:val="16"/>
        </w:rPr>
        <w:t>EWIGE- European Wealth data InteGration in EUROMOD. JRC Working Papers on Taxati</w:t>
      </w:r>
      <w:r>
        <w:rPr>
          <w:rFonts w:ascii="Times New Roman" w:hAnsi="Times New Roman" w:cs="Times New Roman"/>
          <w:sz w:val="16"/>
          <w:szCs w:val="16"/>
        </w:rPr>
        <w:t>on and Structural Reforms No. 4:</w:t>
      </w:r>
      <w:r w:rsidRPr="001D2878">
        <w:t xml:space="preserve"> </w:t>
      </w:r>
      <w:hyperlink r:id="rId21" w:history="1">
        <w:r w:rsidRPr="008A3D12">
          <w:rPr>
            <w:rStyle w:val="Hyperlink"/>
            <w:rFonts w:ascii="Times New Roman" w:hAnsi="Times New Roman" w:cs="Times New Roman"/>
            <w:sz w:val="16"/>
            <w:szCs w:val="16"/>
          </w:rPr>
          <w:t>https://ideas.repec.org/p/ipt/taxref/201704.html</w:t>
        </w:r>
      </w:hyperlink>
      <w:r>
        <w:rPr>
          <w:rFonts w:ascii="Times New Roman" w:hAnsi="Times New Roman" w:cs="Times New Roman"/>
          <w:sz w:val="16"/>
          <w:szCs w:val="16"/>
        </w:rPr>
        <w:t xml:space="preserve"> </w:t>
      </w:r>
    </w:p>
  </w:footnote>
  <w:footnote w:id="31">
    <w:p w14:paraId="3BA20FD9" w14:textId="77777777" w:rsidR="004E1045" w:rsidRPr="00845146" w:rsidRDefault="004E1045" w:rsidP="001917CB">
      <w:pPr>
        <w:pStyle w:val="FootnoteText"/>
        <w:jc w:val="both"/>
        <w:rPr>
          <w:rFonts w:ascii="Times New Roman" w:hAnsi="Times New Roman" w:cs="Times New Roman"/>
          <w:sz w:val="16"/>
          <w:szCs w:val="16"/>
        </w:rPr>
      </w:pPr>
      <w:r w:rsidRPr="00845146">
        <w:rPr>
          <w:rStyle w:val="FootnoteReference"/>
          <w:rFonts w:ascii="Times New Roman" w:hAnsi="Times New Roman" w:cs="Times New Roman"/>
          <w:sz w:val="16"/>
          <w:szCs w:val="16"/>
        </w:rPr>
        <w:footnoteRef/>
      </w:r>
      <w:r w:rsidRPr="005549B1">
        <w:rPr>
          <w:rFonts w:ascii="Times New Roman" w:hAnsi="Times New Roman" w:cs="Times New Roman"/>
          <w:sz w:val="16"/>
          <w:szCs w:val="16"/>
          <w:lang w:val="da-DK"/>
        </w:rPr>
        <w:t xml:space="preserve"> Boone, J., Derboven, J., Figari, F., Kuypers, S., &amp; Verbist, G. (2019). </w:t>
      </w:r>
      <w:r w:rsidRPr="00845146">
        <w:rPr>
          <w:rFonts w:ascii="Times New Roman" w:hAnsi="Times New Roman" w:cs="Times New Roman"/>
          <w:sz w:val="16"/>
          <w:szCs w:val="16"/>
        </w:rPr>
        <w:t>EWIGE 2- Update and Extension of the EUROMOD Wealth Taxation Project. JRC Working Papers on Taxat</w:t>
      </w:r>
      <w:r>
        <w:rPr>
          <w:rFonts w:ascii="Times New Roman" w:hAnsi="Times New Roman" w:cs="Times New Roman"/>
          <w:sz w:val="16"/>
          <w:szCs w:val="16"/>
        </w:rPr>
        <w:t>ion and Structural Reform No. 7:</w:t>
      </w:r>
      <w:r w:rsidRPr="001D2878">
        <w:t xml:space="preserve"> </w:t>
      </w:r>
      <w:hyperlink r:id="rId22" w:history="1">
        <w:r w:rsidRPr="008A3D12">
          <w:rPr>
            <w:rStyle w:val="Hyperlink"/>
            <w:rFonts w:ascii="Times New Roman" w:hAnsi="Times New Roman" w:cs="Times New Roman"/>
            <w:sz w:val="16"/>
            <w:szCs w:val="16"/>
          </w:rPr>
          <w:t>https://www.econstor.eu/bitstream/10419/202265/1/jrc-wptsr201907.pdf</w:t>
        </w:r>
      </w:hyperlink>
      <w:r>
        <w:rPr>
          <w:rFonts w:ascii="Times New Roman" w:hAnsi="Times New Roman" w:cs="Times New Roman"/>
          <w:sz w:val="16"/>
          <w:szCs w:val="16"/>
        </w:rPr>
        <w:t xml:space="preserve"> </w:t>
      </w:r>
    </w:p>
  </w:footnote>
  <w:footnote w:id="32">
    <w:p w14:paraId="5346DDF5" w14:textId="77777777" w:rsidR="004E1045" w:rsidRPr="00845146" w:rsidRDefault="004E1045" w:rsidP="001917CB">
      <w:pPr>
        <w:pStyle w:val="FootnoteText"/>
        <w:jc w:val="both"/>
        <w:rPr>
          <w:rFonts w:ascii="Times New Roman" w:hAnsi="Times New Roman" w:cs="Times New Roman"/>
          <w:sz w:val="16"/>
          <w:szCs w:val="16"/>
          <w:lang w:val="en-IE"/>
        </w:rPr>
      </w:pPr>
      <w:r w:rsidRPr="00845146">
        <w:rPr>
          <w:rStyle w:val="FootnoteReference"/>
          <w:rFonts w:ascii="Times New Roman" w:hAnsi="Times New Roman" w:cs="Times New Roman"/>
          <w:sz w:val="16"/>
          <w:szCs w:val="16"/>
        </w:rPr>
        <w:footnoteRef/>
      </w:r>
      <w:r w:rsidRPr="00845146">
        <w:rPr>
          <w:rFonts w:ascii="Times New Roman" w:hAnsi="Times New Roman" w:cs="Times New Roman"/>
          <w:sz w:val="16"/>
          <w:szCs w:val="16"/>
        </w:rPr>
        <w:t xml:space="preserve"> </w:t>
      </w:r>
      <w:r w:rsidRPr="00845146">
        <w:rPr>
          <w:rFonts w:ascii="Times New Roman" w:hAnsi="Times New Roman" w:cs="Times New Roman"/>
          <w:sz w:val="16"/>
          <w:szCs w:val="16"/>
          <w:lang w:val="en-IE"/>
        </w:rPr>
        <w:t xml:space="preserve">These are Austria, Belgium, Cyprus, Estonia, Finland, France, Germany, Greece, Hungary, Ireland, Italy, Luxembourg, Poland, Portugal, Slovakia, Slovenia and Spain. </w:t>
      </w:r>
    </w:p>
  </w:footnote>
  <w:footnote w:id="33">
    <w:p w14:paraId="55B0A99A" w14:textId="786C6C9C" w:rsidR="004E1045" w:rsidRPr="0096317A" w:rsidRDefault="004E1045" w:rsidP="001917CB">
      <w:pPr>
        <w:pStyle w:val="FootnoteText"/>
        <w:jc w:val="both"/>
        <w:rPr>
          <w:rFonts w:ascii="Times New Roman" w:hAnsi="Times New Roman"/>
          <w:sz w:val="16"/>
          <w:szCs w:val="16"/>
        </w:rPr>
      </w:pPr>
      <w:r w:rsidRPr="0096317A">
        <w:rPr>
          <w:rStyle w:val="FootnoteReference"/>
          <w:rFonts w:ascii="Times New Roman" w:hAnsi="Times New Roman"/>
          <w:sz w:val="16"/>
          <w:szCs w:val="16"/>
        </w:rPr>
        <w:footnoteRef/>
      </w:r>
      <w:r w:rsidRPr="0096317A">
        <w:rPr>
          <w:rFonts w:ascii="Times New Roman" w:hAnsi="Times New Roman"/>
          <w:sz w:val="16"/>
          <w:szCs w:val="16"/>
        </w:rPr>
        <w:t xml:space="preserve">EUROMOD does this as a general rule, but has a feature (Full Year Adjustment extension) that allows to take into account the date of implementation. In several countries this extension is used to adjust policies approved before or after 30th June. This is available in the public model. </w:t>
      </w:r>
    </w:p>
    <w:p w14:paraId="7567593A" w14:textId="77777777" w:rsidR="004E1045" w:rsidRPr="00002675" w:rsidRDefault="004E1045" w:rsidP="001917CB">
      <w:pPr>
        <w:pStyle w:val="FootnoteText"/>
      </w:pPr>
    </w:p>
  </w:footnote>
  <w:footnote w:id="34">
    <w:p w14:paraId="290DBF3F" w14:textId="6E499846" w:rsidR="004E1045" w:rsidRPr="00460495" w:rsidRDefault="004E1045" w:rsidP="00F57CCC">
      <w:pPr>
        <w:pStyle w:val="FootnoteText"/>
        <w:jc w:val="both"/>
        <w:rPr>
          <w:rFonts w:ascii="Times New Roman" w:hAnsi="Times New Roman" w:cs="Times New Roman"/>
          <w:sz w:val="16"/>
          <w:szCs w:val="16"/>
          <w:lang w:val="en-IE"/>
        </w:rPr>
      </w:pPr>
      <w:r w:rsidRPr="007A3B76">
        <w:rPr>
          <w:rStyle w:val="FootnoteReference"/>
          <w:rFonts w:ascii="Times New Roman" w:hAnsi="Times New Roman" w:cs="Times New Roman"/>
          <w:sz w:val="16"/>
          <w:szCs w:val="16"/>
        </w:rPr>
        <w:footnoteRef/>
      </w:r>
      <w:r w:rsidRPr="007A3B76">
        <w:rPr>
          <w:rFonts w:ascii="Times New Roman" w:hAnsi="Times New Roman" w:cs="Times New Roman"/>
          <w:sz w:val="16"/>
          <w:szCs w:val="16"/>
        </w:rPr>
        <w:t xml:space="preserve"> More information on HHoT can be found on the EUROMOD website: </w:t>
      </w:r>
      <w:hyperlink r:id="rId23" w:history="1">
        <w:r w:rsidRPr="007A3B76">
          <w:rPr>
            <w:rStyle w:val="Hyperlink"/>
            <w:rFonts w:ascii="Times New Roman" w:hAnsi="Times New Roman" w:cs="Times New Roman"/>
            <w:sz w:val="16"/>
            <w:szCs w:val="16"/>
          </w:rPr>
          <w:t>https://euromod-web.jrc.ec.europa.eu/overview</w:t>
        </w:r>
      </w:hyperlink>
      <w:r w:rsidRPr="007A3B76">
        <w:rPr>
          <w:rFonts w:ascii="Times New Roman" w:hAnsi="Times New Roman" w:cs="Times New Roman"/>
          <w:sz w:val="16"/>
          <w:szCs w:val="16"/>
        </w:rPr>
        <w:t xml:space="preserve">. </w:t>
      </w:r>
    </w:p>
  </w:footnote>
  <w:footnote w:id="35">
    <w:p w14:paraId="281F7F48" w14:textId="728F918F" w:rsidR="004E1045" w:rsidRPr="004D409B" w:rsidRDefault="004E1045" w:rsidP="00F57CCC">
      <w:pPr>
        <w:pStyle w:val="FootnoteText"/>
        <w:jc w:val="both"/>
      </w:pPr>
      <w:r>
        <w:rPr>
          <w:rStyle w:val="FootnoteReference"/>
        </w:rPr>
        <w:footnoteRef/>
      </w:r>
      <w:r>
        <w:t xml:space="preserve"> </w:t>
      </w:r>
      <w:r w:rsidRPr="00851BA8">
        <w:rPr>
          <w:rFonts w:ascii="Times New Roman" w:hAnsi="Times New Roman" w:cs="Times New Roman"/>
          <w:sz w:val="16"/>
          <w:szCs w:val="16"/>
        </w:rPr>
        <w:t xml:space="preserve">Microsimulation models are usually based on a representative set of data for a country’s population (administrative or survey data) as well as a detailed </w:t>
      </w:r>
      <w:r>
        <w:rPr>
          <w:rFonts w:ascii="Times New Roman" w:hAnsi="Times New Roman" w:cs="Times New Roman"/>
          <w:sz w:val="16"/>
          <w:szCs w:val="16"/>
        </w:rPr>
        <w:t xml:space="preserve">modelling </w:t>
      </w:r>
      <w:r w:rsidRPr="00851BA8">
        <w:rPr>
          <w:rFonts w:ascii="Times New Roman" w:hAnsi="Times New Roman" w:cs="Times New Roman"/>
          <w:sz w:val="16"/>
          <w:szCs w:val="16"/>
        </w:rPr>
        <w:t>of the tax and benefit system of a country. These characteristics make them suitable for detailed distributional analyses of changes in tax or benefit systems</w:t>
      </w:r>
      <w:r>
        <w:rPr>
          <w:rFonts w:ascii="Times New Roman" w:hAnsi="Times New Roman" w:cs="Times New Roman"/>
          <w:sz w:val="16"/>
          <w:szCs w:val="16"/>
        </w:rPr>
        <w:t>.</w:t>
      </w:r>
    </w:p>
  </w:footnote>
  <w:footnote w:id="36">
    <w:p w14:paraId="37332E23" w14:textId="5817DC85" w:rsidR="004E1045" w:rsidRPr="007A3B76" w:rsidRDefault="004E1045" w:rsidP="00F57CCC">
      <w:pPr>
        <w:pStyle w:val="FootnoteText"/>
        <w:jc w:val="both"/>
        <w:rPr>
          <w:rFonts w:ascii="Times New Roman" w:hAnsi="Times New Roman" w:cs="Times New Roman"/>
          <w:sz w:val="16"/>
          <w:szCs w:val="16"/>
        </w:rPr>
      </w:pPr>
      <w:r w:rsidRPr="007A3B76">
        <w:rPr>
          <w:rStyle w:val="FootnoteReference"/>
          <w:rFonts w:ascii="Times New Roman" w:hAnsi="Times New Roman" w:cs="Times New Roman"/>
          <w:sz w:val="16"/>
          <w:szCs w:val="16"/>
        </w:rPr>
        <w:footnoteRef/>
      </w:r>
      <w:r w:rsidRPr="007A3B76">
        <w:rPr>
          <w:rFonts w:ascii="Times New Roman" w:hAnsi="Times New Roman" w:cs="Times New Roman"/>
          <w:sz w:val="16"/>
          <w:szCs w:val="16"/>
        </w:rPr>
        <w:t xml:space="preserve"> </w:t>
      </w:r>
      <w:hyperlink r:id="rId24" w:history="1">
        <w:r w:rsidRPr="007A3B76">
          <w:rPr>
            <w:rFonts w:ascii="Times New Roman" w:hAnsi="Times New Roman" w:cs="Times New Roman"/>
            <w:color w:val="0000FF"/>
            <w:sz w:val="16"/>
            <w:szCs w:val="16"/>
            <w:u w:val="single"/>
          </w:rPr>
          <w:t>(PDF) Microsimulation as a tool for evaluating redistribution policies | Amedeo Spadaro and Francois Bourguignon - Academia.edu</w:t>
        </w:r>
      </w:hyperlink>
    </w:p>
  </w:footnote>
  <w:footnote w:id="37">
    <w:p w14:paraId="5ED32D71" w14:textId="4111607F" w:rsidR="004E1045" w:rsidRPr="003B614F" w:rsidRDefault="004E1045" w:rsidP="00F57CCC">
      <w:pPr>
        <w:pStyle w:val="FootnoteText"/>
        <w:jc w:val="both"/>
        <w:rPr>
          <w:rFonts w:ascii="Times New Roman" w:hAnsi="Times New Roman" w:cs="Times New Roman"/>
          <w:sz w:val="16"/>
          <w:szCs w:val="16"/>
          <w:lang w:val="en-IE"/>
        </w:rPr>
      </w:pPr>
      <w:r w:rsidRPr="007A3B76">
        <w:rPr>
          <w:rStyle w:val="FootnoteReference"/>
          <w:rFonts w:ascii="Times New Roman" w:hAnsi="Times New Roman" w:cs="Times New Roman"/>
          <w:sz w:val="16"/>
          <w:szCs w:val="16"/>
        </w:rPr>
        <w:footnoteRef/>
      </w:r>
      <w:r w:rsidRPr="007A3B76">
        <w:rPr>
          <w:rFonts w:ascii="Times New Roman" w:hAnsi="Times New Roman" w:cs="Times New Roman"/>
          <w:sz w:val="16"/>
          <w:szCs w:val="16"/>
        </w:rPr>
        <w:t xml:space="preserve"> For d</w:t>
      </w:r>
      <w:r w:rsidRPr="003B614F">
        <w:rPr>
          <w:rFonts w:ascii="Times New Roman" w:hAnsi="Times New Roman" w:cs="Times New Roman"/>
          <w:sz w:val="16"/>
          <w:szCs w:val="16"/>
          <w:lang w:val="en-IE"/>
        </w:rPr>
        <w:t xml:space="preserve">etailed information about the model and access to it, check the EUROMOD website: </w:t>
      </w:r>
      <w:hyperlink r:id="rId25" w:history="1">
        <w:r w:rsidRPr="003B614F">
          <w:rPr>
            <w:rStyle w:val="Hyperlink"/>
            <w:rFonts w:ascii="Times New Roman" w:hAnsi="Times New Roman" w:cs="Times New Roman"/>
            <w:sz w:val="16"/>
            <w:szCs w:val="16"/>
            <w:lang w:val="en-IE"/>
          </w:rPr>
          <w:t>https://euromod-web.jrc.ec.europa.eu/</w:t>
        </w:r>
      </w:hyperlink>
      <w:r w:rsidRPr="003B614F">
        <w:rPr>
          <w:rFonts w:ascii="Times New Roman" w:hAnsi="Times New Roman" w:cs="Times New Roman"/>
          <w:sz w:val="16"/>
          <w:szCs w:val="16"/>
          <w:lang w:val="en-IE"/>
        </w:rPr>
        <w:t xml:space="preserve">. </w:t>
      </w:r>
    </w:p>
  </w:footnote>
  <w:footnote w:id="38">
    <w:p w14:paraId="7ABF07C3" w14:textId="2029DD3B" w:rsidR="004E1045" w:rsidRPr="003B614F" w:rsidRDefault="004E1045" w:rsidP="00851BA8">
      <w:pPr>
        <w:pStyle w:val="FootnoteText"/>
        <w:jc w:val="both"/>
      </w:pPr>
      <w:r w:rsidRPr="00851BA8">
        <w:rPr>
          <w:rStyle w:val="FootnoteReference"/>
        </w:rPr>
        <w:footnoteRef/>
      </w:r>
      <w:r w:rsidRPr="00851BA8">
        <w:t xml:space="preserve"> </w:t>
      </w:r>
      <w:r w:rsidRPr="00851BA8">
        <w:rPr>
          <w:rFonts w:ascii="Times New Roman" w:hAnsi="Times New Roman"/>
          <w:sz w:val="16"/>
          <w:szCs w:val="16"/>
        </w:rPr>
        <w:t>Microsimulation models often do not account for behavioural responses (such as the estimated effects on labour supply of changes in the income tax) or macroeconomic feedback (for instance increased labour supply may increase GDP and government revenues). Incorporating behavioural responses and macroeconomic feedback can be done by building more advanced models taking into account the various effects (such as incorporating  behavioural replies into a microsimulation model or linking it to a macroeconomic model).</w:t>
      </w:r>
    </w:p>
  </w:footnote>
  <w:footnote w:id="39">
    <w:p w14:paraId="1EFDAA96" w14:textId="51A815DB" w:rsidR="004E1045" w:rsidRPr="003B614F" w:rsidRDefault="004E1045">
      <w:pPr>
        <w:pStyle w:val="FootnoteText"/>
        <w:rPr>
          <w:rFonts w:ascii="Times New Roman" w:hAnsi="Times New Roman" w:cs="Times New Roman"/>
          <w:sz w:val="16"/>
          <w:szCs w:val="16"/>
          <w:lang w:val="en-IE"/>
        </w:rPr>
      </w:pPr>
      <w:r w:rsidRPr="00845146">
        <w:rPr>
          <w:rStyle w:val="FootnoteReference"/>
          <w:rFonts w:ascii="Times New Roman" w:hAnsi="Times New Roman" w:cs="Times New Roman"/>
          <w:sz w:val="16"/>
          <w:szCs w:val="16"/>
        </w:rPr>
        <w:footnoteRef/>
      </w:r>
      <w:r w:rsidRPr="003B614F">
        <w:rPr>
          <w:rFonts w:ascii="Times New Roman" w:hAnsi="Times New Roman" w:cs="Times New Roman"/>
          <w:sz w:val="16"/>
          <w:szCs w:val="16"/>
          <w:lang w:val="en-IE"/>
        </w:rPr>
        <w:t xml:space="preserve"> </w:t>
      </w:r>
      <w:hyperlink r:id="rId26" w:history="1">
        <w:r w:rsidRPr="003B614F">
          <w:rPr>
            <w:rStyle w:val="Hyperlink"/>
            <w:rFonts w:ascii="Times New Roman" w:hAnsi="Times New Roman" w:cs="Times New Roman"/>
            <w:sz w:val="16"/>
            <w:szCs w:val="16"/>
            <w:lang w:val="en-IE"/>
          </w:rPr>
          <w:t>https://www.researchgate.net/publication/356305566_The_Distributional_Impact_of_Labour_Market_Reforms_A_Model-Based_Assessment</w:t>
        </w:r>
      </w:hyperlink>
      <w:r w:rsidRPr="003B614F">
        <w:rPr>
          <w:rFonts w:ascii="Times New Roman" w:hAnsi="Times New Roman" w:cs="Times New Roman"/>
          <w:sz w:val="16"/>
          <w:szCs w:val="16"/>
          <w:lang w:val="en-IE"/>
        </w:rPr>
        <w:t xml:space="preserve"> </w:t>
      </w:r>
    </w:p>
  </w:footnote>
  <w:footnote w:id="40">
    <w:p w14:paraId="14A31BE8" w14:textId="572BC962" w:rsidR="004E1045" w:rsidRPr="003D46C0" w:rsidRDefault="004E1045" w:rsidP="00E34456">
      <w:pPr>
        <w:pStyle w:val="FootnoteText"/>
        <w:rPr>
          <w:rFonts w:ascii="Times New Roman" w:hAnsi="Times New Roman" w:cs="Times New Roman"/>
          <w:sz w:val="16"/>
          <w:szCs w:val="16"/>
          <w:lang w:val="en-IE"/>
        </w:rPr>
      </w:pPr>
      <w:r w:rsidRPr="00845146">
        <w:rPr>
          <w:rStyle w:val="FootnoteReference"/>
          <w:rFonts w:ascii="Times New Roman" w:hAnsi="Times New Roman" w:cs="Times New Roman"/>
          <w:sz w:val="16"/>
          <w:szCs w:val="16"/>
        </w:rPr>
        <w:footnoteRef/>
      </w:r>
      <w:r w:rsidRPr="003D46C0">
        <w:rPr>
          <w:rFonts w:ascii="Times New Roman" w:hAnsi="Times New Roman" w:cs="Times New Roman"/>
          <w:sz w:val="16"/>
          <w:szCs w:val="16"/>
          <w:lang w:val="en-IE"/>
        </w:rPr>
        <w:t xml:space="preserve"> Peter B. Dixon and Dale W. Jorgenson (Ed.), Handbook of Computable General Equilibrium Modeling. Elsevier: </w:t>
      </w:r>
      <w:hyperlink r:id="rId27" w:history="1">
        <w:r w:rsidRPr="003D46C0">
          <w:rPr>
            <w:rStyle w:val="Hyperlink"/>
            <w:rFonts w:ascii="Times New Roman" w:hAnsi="Times New Roman" w:cs="Times New Roman"/>
            <w:sz w:val="16"/>
            <w:szCs w:val="16"/>
            <w:lang w:val="en-IE"/>
          </w:rPr>
          <w:t>https://www.sciencedirect.com/handbook/handbook-of-computable-general-equilibrium-modeling/vol/1/suppl/C</w:t>
        </w:r>
      </w:hyperlink>
      <w:r w:rsidRPr="003D46C0">
        <w:rPr>
          <w:rFonts w:ascii="Times New Roman" w:hAnsi="Times New Roman" w:cs="Times New Roman"/>
          <w:sz w:val="16"/>
          <w:szCs w:val="16"/>
          <w:lang w:val="en-IE"/>
        </w:rPr>
        <w:t xml:space="preserve"> </w:t>
      </w:r>
    </w:p>
  </w:footnote>
  <w:footnote w:id="41">
    <w:p w14:paraId="1EC48162" w14:textId="3F96EB15" w:rsidR="004E1045" w:rsidRPr="003D46C0" w:rsidRDefault="004E1045">
      <w:pPr>
        <w:pStyle w:val="FootnoteText"/>
        <w:rPr>
          <w:rFonts w:ascii="Times New Roman" w:hAnsi="Times New Roman" w:cs="Times New Roman"/>
          <w:sz w:val="16"/>
          <w:szCs w:val="16"/>
          <w:lang w:val="en-IE"/>
        </w:rPr>
      </w:pPr>
      <w:r w:rsidRPr="00845146">
        <w:rPr>
          <w:rStyle w:val="FootnoteReference"/>
          <w:rFonts w:ascii="Times New Roman" w:hAnsi="Times New Roman" w:cs="Times New Roman"/>
          <w:sz w:val="16"/>
          <w:szCs w:val="16"/>
        </w:rPr>
        <w:footnoteRef/>
      </w:r>
      <w:r w:rsidRPr="003D46C0">
        <w:rPr>
          <w:rFonts w:ascii="Times New Roman" w:hAnsi="Times New Roman" w:cs="Times New Roman"/>
          <w:sz w:val="16"/>
          <w:szCs w:val="16"/>
          <w:lang w:val="en-IE"/>
        </w:rPr>
        <w:t xml:space="preserve"> </w:t>
      </w:r>
      <w:hyperlink r:id="rId28" w:history="1">
        <w:r w:rsidRPr="003D46C0">
          <w:rPr>
            <w:rStyle w:val="Hyperlink"/>
            <w:rFonts w:ascii="Times New Roman" w:hAnsi="Times New Roman" w:cs="Times New Roman"/>
            <w:sz w:val="16"/>
            <w:szCs w:val="16"/>
            <w:lang w:val="en-IE"/>
          </w:rPr>
          <w:t>https://wittneben.eu/publication/barrios-2019/barrios-2019.pdf</w:t>
        </w:r>
      </w:hyperlink>
      <w:r w:rsidRPr="003D46C0">
        <w:rPr>
          <w:rFonts w:ascii="Times New Roman" w:hAnsi="Times New Roman" w:cs="Times New Roman"/>
          <w:sz w:val="16"/>
          <w:szCs w:val="16"/>
          <w:lang w:val="en-IE"/>
        </w:rPr>
        <w:t xml:space="preserve"> </w:t>
      </w:r>
    </w:p>
  </w:footnote>
  <w:footnote w:id="42">
    <w:p w14:paraId="495E02FF" w14:textId="783F4070" w:rsidR="004E1045" w:rsidRPr="003D46C0" w:rsidRDefault="004E1045">
      <w:pPr>
        <w:pStyle w:val="FootnoteText"/>
        <w:rPr>
          <w:rFonts w:ascii="Times New Roman" w:hAnsi="Times New Roman" w:cs="Times New Roman"/>
          <w:sz w:val="16"/>
          <w:szCs w:val="16"/>
          <w:lang w:val="en-IE"/>
        </w:rPr>
      </w:pPr>
      <w:r w:rsidRPr="00845146">
        <w:rPr>
          <w:rStyle w:val="FootnoteReference"/>
          <w:rFonts w:ascii="Times New Roman" w:hAnsi="Times New Roman" w:cs="Times New Roman"/>
          <w:sz w:val="16"/>
          <w:szCs w:val="16"/>
        </w:rPr>
        <w:footnoteRef/>
      </w:r>
      <w:r w:rsidRPr="003D46C0">
        <w:rPr>
          <w:rFonts w:ascii="Times New Roman" w:hAnsi="Times New Roman" w:cs="Times New Roman"/>
          <w:sz w:val="16"/>
          <w:szCs w:val="16"/>
          <w:lang w:val="en-IE"/>
        </w:rPr>
        <w:t xml:space="preserve"> </w:t>
      </w:r>
      <w:hyperlink r:id="rId29" w:history="1">
        <w:r w:rsidRPr="003D46C0">
          <w:rPr>
            <w:rStyle w:val="Hyperlink"/>
            <w:rFonts w:ascii="Times New Roman" w:hAnsi="Times New Roman" w:cs="Times New Roman"/>
            <w:sz w:val="16"/>
            <w:szCs w:val="16"/>
            <w:lang w:val="en-IE"/>
          </w:rPr>
          <w:t>https://joint-research-centre.ec.europa.eu/publications/edge-m3-dynamic-general-equilibrium-micro-macro-model-eu-member-states_en</w:t>
        </w:r>
      </w:hyperlink>
      <w:r w:rsidRPr="003D46C0">
        <w:rPr>
          <w:rFonts w:ascii="Times New Roman" w:hAnsi="Times New Roman" w:cs="Times New Roman"/>
          <w:sz w:val="16"/>
          <w:szCs w:val="16"/>
          <w:lang w:val="en-IE"/>
        </w:rPr>
        <w:t xml:space="preserve">. </w:t>
      </w:r>
    </w:p>
  </w:footnote>
  <w:footnote w:id="43">
    <w:p w14:paraId="69C501B5" w14:textId="5EEF50A0" w:rsidR="004E1045" w:rsidRPr="00845146" w:rsidRDefault="004E1045">
      <w:pPr>
        <w:pStyle w:val="FootnoteText"/>
        <w:rPr>
          <w:rFonts w:ascii="Times New Roman" w:hAnsi="Times New Roman" w:cs="Times New Roman"/>
          <w:sz w:val="16"/>
          <w:szCs w:val="16"/>
        </w:rPr>
      </w:pPr>
      <w:r w:rsidRPr="00845146">
        <w:rPr>
          <w:rStyle w:val="FootnoteReference"/>
          <w:rFonts w:ascii="Times New Roman" w:hAnsi="Times New Roman" w:cs="Times New Roman"/>
          <w:sz w:val="16"/>
          <w:szCs w:val="16"/>
        </w:rPr>
        <w:footnoteRef/>
      </w:r>
      <w:r w:rsidRPr="00845146">
        <w:rPr>
          <w:rFonts w:ascii="Times New Roman" w:hAnsi="Times New Roman" w:cs="Times New Roman"/>
          <w:sz w:val="16"/>
          <w:szCs w:val="16"/>
        </w:rPr>
        <w:t xml:space="preserve"> </w:t>
      </w:r>
      <w:hyperlink r:id="rId30" w:history="1">
        <w:r w:rsidRPr="008A3D12">
          <w:rPr>
            <w:rStyle w:val="Hyperlink"/>
            <w:rFonts w:ascii="Times New Roman" w:hAnsi="Times New Roman" w:cs="Times New Roman"/>
            <w:sz w:val="16"/>
            <w:szCs w:val="16"/>
          </w:rPr>
          <w:t>https://microsimulation.pub/articles/00020</w:t>
        </w:r>
      </w:hyperlink>
      <w:r>
        <w:rPr>
          <w:rFonts w:ascii="Times New Roman" w:hAnsi="Times New Roman" w:cs="Times New Roman"/>
          <w:sz w:val="16"/>
          <w:szCs w:val="16"/>
        </w:rPr>
        <w:t xml:space="preserve"> </w:t>
      </w:r>
    </w:p>
  </w:footnote>
  <w:footnote w:id="44">
    <w:p w14:paraId="07CF8C7E" w14:textId="77777777" w:rsidR="004E1045" w:rsidRPr="007020A0" w:rsidRDefault="004E1045" w:rsidP="00B449BF">
      <w:pPr>
        <w:pStyle w:val="FootnoteText"/>
        <w:jc w:val="both"/>
        <w:rPr>
          <w:rFonts w:ascii="Times New Roman" w:hAnsi="Times New Roman" w:cs="Times New Roman"/>
          <w:sz w:val="16"/>
          <w:szCs w:val="16"/>
        </w:rPr>
      </w:pPr>
      <w:r w:rsidRPr="007020A0">
        <w:rPr>
          <w:rStyle w:val="FootnoteReference"/>
          <w:rFonts w:ascii="Times New Roman" w:hAnsi="Times New Roman" w:cs="Times New Roman"/>
          <w:sz w:val="16"/>
          <w:szCs w:val="16"/>
        </w:rPr>
        <w:footnoteRef/>
      </w:r>
      <w:r w:rsidRPr="007020A0">
        <w:rPr>
          <w:rFonts w:ascii="Times New Roman" w:hAnsi="Times New Roman" w:cs="Times New Roman"/>
          <w:sz w:val="16"/>
          <w:szCs w:val="16"/>
        </w:rPr>
        <w:t xml:space="preserve"> The model has been linked to EUROLAB (JRC’s labour supply/demand model), QUEST (Dynamic Stochastic General Equilibrium model of the European Commission’s Directorate General for Economic and Financial Affairs), JRC GEM-E3 (energy and environmental model) and JRC EDGE-M3 (pension and demographic model).</w:t>
      </w:r>
    </w:p>
  </w:footnote>
  <w:footnote w:id="45">
    <w:p w14:paraId="51833B15" w14:textId="6DDCDB58" w:rsidR="004E1045" w:rsidRPr="003414D9" w:rsidRDefault="004E1045">
      <w:pPr>
        <w:pStyle w:val="FootnoteText"/>
        <w:rPr>
          <w:rFonts w:ascii="Times New Roman" w:hAnsi="Times New Roman" w:cs="Times New Roman"/>
          <w:sz w:val="16"/>
          <w:szCs w:val="16"/>
        </w:rPr>
      </w:pPr>
      <w:r w:rsidRPr="007020A0">
        <w:rPr>
          <w:rStyle w:val="FootnoteReference"/>
          <w:rFonts w:ascii="Times New Roman" w:hAnsi="Times New Roman" w:cs="Times New Roman"/>
          <w:sz w:val="16"/>
          <w:szCs w:val="16"/>
        </w:rPr>
        <w:footnoteRef/>
      </w:r>
      <w:r w:rsidRPr="007020A0">
        <w:rPr>
          <w:rFonts w:ascii="Times New Roman" w:hAnsi="Times New Roman" w:cs="Times New Roman"/>
          <w:sz w:val="16"/>
          <w:szCs w:val="16"/>
        </w:rPr>
        <w:t xml:space="preserve"> </w:t>
      </w:r>
      <w:r w:rsidRPr="003414D9">
        <w:rPr>
          <w:rFonts w:ascii="Times New Roman" w:hAnsi="Times New Roman" w:cs="Times New Roman"/>
          <w:sz w:val="16"/>
          <w:szCs w:val="16"/>
        </w:rPr>
        <w:t>Labour transition model based data are produced by Eurostat, using detailed distributional information on the loss of jobs and short-term work schemes from the Labour Force Survey and administrative data. The impact across different categories of individuals, the duration of unemployment/absence and percentage of hours worked are modelled using the EU-LFS longitudinal and quarterly transitions as target.</w:t>
      </w:r>
    </w:p>
  </w:footnote>
  <w:footnote w:id="46">
    <w:p w14:paraId="6BE31A1A" w14:textId="1D3D0203" w:rsidR="004E1045" w:rsidRPr="002B219F" w:rsidRDefault="004E1045">
      <w:pPr>
        <w:pStyle w:val="FootnoteText"/>
        <w:rPr>
          <w:rFonts w:ascii="Times New Roman" w:hAnsi="Times New Roman" w:cs="Times New Roman"/>
          <w:sz w:val="16"/>
          <w:szCs w:val="16"/>
        </w:rPr>
      </w:pPr>
      <w:r w:rsidRPr="002B219F">
        <w:rPr>
          <w:rStyle w:val="FootnoteReference"/>
          <w:rFonts w:ascii="Times New Roman" w:hAnsi="Times New Roman" w:cs="Times New Roman"/>
          <w:sz w:val="16"/>
          <w:szCs w:val="16"/>
        </w:rPr>
        <w:footnoteRef/>
      </w:r>
      <w:r w:rsidRPr="002B219F">
        <w:rPr>
          <w:rFonts w:ascii="Times New Roman" w:hAnsi="Times New Roman" w:cs="Times New Roman"/>
          <w:sz w:val="16"/>
          <w:szCs w:val="16"/>
        </w:rPr>
        <w:t xml:space="preserve"> </w:t>
      </w:r>
      <w:hyperlink r:id="rId31" w:history="1">
        <w:r w:rsidRPr="008A3D12">
          <w:rPr>
            <w:rStyle w:val="Hyperlink"/>
            <w:rFonts w:ascii="Times New Roman" w:hAnsi="Times New Roman" w:cs="Times New Roman"/>
            <w:sz w:val="16"/>
            <w:szCs w:val="16"/>
          </w:rPr>
          <w:t>https://joint-research-centre.ec.europa.eu/publications/ewige-2-update-and-extension-euromod-wealth-taxation-project_en</w:t>
        </w:r>
      </w:hyperlink>
      <w:r>
        <w:rPr>
          <w:rFonts w:ascii="Times New Roman" w:hAnsi="Times New Roman" w:cs="Times New Roman"/>
          <w:sz w:val="16"/>
          <w:szCs w:val="16"/>
        </w:rPr>
        <w:t xml:space="preserve"> </w:t>
      </w:r>
    </w:p>
  </w:footnote>
  <w:footnote w:id="47">
    <w:p w14:paraId="759FB668" w14:textId="6AE9CE26" w:rsidR="004E1045" w:rsidRPr="00823ED2" w:rsidRDefault="004E1045" w:rsidP="00D56E53">
      <w:pPr>
        <w:pStyle w:val="FootnoteText"/>
        <w:jc w:val="both"/>
        <w:rPr>
          <w:rFonts w:ascii="Times New Roman" w:hAnsi="Times New Roman" w:cs="Times New Roman"/>
          <w:sz w:val="16"/>
          <w:szCs w:val="16"/>
          <w:lang w:val="en-IE"/>
        </w:rPr>
      </w:pPr>
      <w:r w:rsidRPr="00823ED2">
        <w:rPr>
          <w:rStyle w:val="FootnoteReference"/>
          <w:rFonts w:ascii="Times New Roman" w:hAnsi="Times New Roman" w:cs="Times New Roman"/>
          <w:sz w:val="16"/>
          <w:szCs w:val="16"/>
        </w:rPr>
        <w:footnoteRef/>
      </w:r>
      <w:r w:rsidRPr="00823ED2">
        <w:rPr>
          <w:rFonts w:ascii="Times New Roman" w:hAnsi="Times New Roman" w:cs="Times New Roman"/>
          <w:sz w:val="16"/>
          <w:szCs w:val="16"/>
        </w:rPr>
        <w:t xml:space="preserve"> Bargain and Callan (2010) show that gross income inflation is a distributionally neutral factor that seems most app</w:t>
      </w:r>
      <w:r>
        <w:rPr>
          <w:rFonts w:ascii="Times New Roman" w:hAnsi="Times New Roman" w:cs="Times New Roman"/>
          <w:sz w:val="16"/>
          <w:szCs w:val="16"/>
        </w:rPr>
        <w:t xml:space="preserve">ropriate for indexed benchmarks: </w:t>
      </w:r>
      <w:hyperlink r:id="rId32" w:history="1">
        <w:r w:rsidRPr="008A3D12">
          <w:rPr>
            <w:rStyle w:val="Hyperlink"/>
            <w:rFonts w:ascii="Times New Roman" w:hAnsi="Times New Roman" w:cs="Times New Roman"/>
            <w:sz w:val="16"/>
            <w:szCs w:val="16"/>
          </w:rPr>
          <w:t>https://econpapers.repec.org/article/kapjecinq/v_3a8_3ay_3a2010_3ai_3a1_3ap_3a1-21.htm</w:t>
        </w:r>
      </w:hyperlink>
      <w:r>
        <w:rPr>
          <w:rFonts w:ascii="Times New Roman" w:hAnsi="Times New Roman" w:cs="Times New Roman"/>
          <w:sz w:val="16"/>
          <w:szCs w:val="16"/>
        </w:rPr>
        <w:t xml:space="preserve"> </w:t>
      </w:r>
    </w:p>
  </w:footnote>
  <w:footnote w:id="48">
    <w:p w14:paraId="5414685E" w14:textId="60B5B8DA" w:rsidR="004E1045" w:rsidRPr="00CE23E6" w:rsidRDefault="004E1045">
      <w:pPr>
        <w:pStyle w:val="FootnoteText"/>
        <w:rPr>
          <w:rFonts w:ascii="Times New Roman" w:hAnsi="Times New Roman" w:cs="Times New Roman"/>
          <w:sz w:val="16"/>
          <w:szCs w:val="16"/>
        </w:rPr>
      </w:pPr>
      <w:r w:rsidRPr="00CE23E6">
        <w:rPr>
          <w:rStyle w:val="FootnoteReference"/>
          <w:rFonts w:ascii="Times New Roman" w:hAnsi="Times New Roman" w:cs="Times New Roman"/>
          <w:sz w:val="16"/>
          <w:szCs w:val="16"/>
        </w:rPr>
        <w:footnoteRef/>
      </w:r>
      <w:r w:rsidRPr="00CE23E6">
        <w:rPr>
          <w:rFonts w:ascii="Times New Roman" w:hAnsi="Times New Roman" w:cs="Times New Roman"/>
          <w:sz w:val="16"/>
          <w:szCs w:val="16"/>
        </w:rPr>
        <w:t xml:space="preserve"> O'Donoghue, Cathal and Loughrey, Jason (2014) 'Nowcasting in Microsimulation Models: A Methodological Survey' Journal of Artificial Societies and Social Simulation 17 (4) 12 </w:t>
      </w:r>
      <w:hyperlink r:id="rId33" w:history="1">
        <w:r w:rsidRPr="008A3D12">
          <w:rPr>
            <w:rStyle w:val="Hyperlink"/>
            <w:rFonts w:ascii="Times New Roman" w:hAnsi="Times New Roman" w:cs="Times New Roman"/>
            <w:sz w:val="16"/>
            <w:szCs w:val="16"/>
          </w:rPr>
          <w:t>https://www.jasss.org/17/4/12.html</w:t>
        </w:r>
      </w:hyperlink>
      <w:r>
        <w:rPr>
          <w:rFonts w:ascii="Times New Roman" w:hAnsi="Times New Roman" w:cs="Times New Roman"/>
          <w:sz w:val="16"/>
          <w:szCs w:val="16"/>
        </w:rPr>
        <w:t xml:space="preserve"> </w:t>
      </w:r>
    </w:p>
  </w:footnote>
  <w:footnote w:id="49">
    <w:p w14:paraId="51ABE163" w14:textId="5B1794AD" w:rsidR="004E1045" w:rsidRPr="00CE23E6" w:rsidRDefault="004E1045">
      <w:pPr>
        <w:pStyle w:val="FootnoteText"/>
        <w:rPr>
          <w:rFonts w:ascii="Times New Roman" w:hAnsi="Times New Roman" w:cs="Times New Roman"/>
          <w:sz w:val="16"/>
          <w:szCs w:val="16"/>
        </w:rPr>
      </w:pPr>
      <w:r w:rsidRPr="00CE23E6">
        <w:rPr>
          <w:rStyle w:val="FootnoteReference"/>
          <w:rFonts w:ascii="Times New Roman" w:hAnsi="Times New Roman" w:cs="Times New Roman"/>
          <w:sz w:val="16"/>
          <w:szCs w:val="16"/>
        </w:rPr>
        <w:footnoteRef/>
      </w:r>
      <w:r w:rsidRPr="00CE23E6">
        <w:rPr>
          <w:rFonts w:ascii="Times New Roman" w:hAnsi="Times New Roman" w:cs="Times New Roman"/>
          <w:sz w:val="16"/>
          <w:szCs w:val="16"/>
        </w:rPr>
        <w:t xml:space="preserve"> Navicke, J., Rastrigina, O., &amp; Sutherland, H. (2014). Nowcasting indicators of poverty risk in the European Union: A microsimulation approach. Social Indicators Research, 101-119.</w:t>
      </w:r>
      <w:r>
        <w:rPr>
          <w:rFonts w:ascii="Times New Roman" w:hAnsi="Times New Roman" w:cs="Times New Roman"/>
          <w:sz w:val="16"/>
          <w:szCs w:val="16"/>
        </w:rPr>
        <w:t xml:space="preserve"> </w:t>
      </w:r>
      <w:hyperlink r:id="rId34" w:history="1">
        <w:r w:rsidRPr="008A3D12">
          <w:rPr>
            <w:rStyle w:val="Hyperlink"/>
            <w:rFonts w:ascii="Times New Roman" w:hAnsi="Times New Roman" w:cs="Times New Roman"/>
            <w:sz w:val="16"/>
            <w:szCs w:val="16"/>
          </w:rPr>
          <w:t>https://www.jstor.org/stable/24721071</w:t>
        </w:r>
      </w:hyperlink>
      <w:r>
        <w:rPr>
          <w:rFonts w:ascii="Times New Roman" w:hAnsi="Times New Roman" w:cs="Times New Roman"/>
          <w:sz w:val="16"/>
          <w:szCs w:val="16"/>
        </w:rPr>
        <w:t xml:space="preserve"> </w:t>
      </w:r>
    </w:p>
  </w:footnote>
  <w:footnote w:id="50">
    <w:p w14:paraId="4F1D74F6" w14:textId="2767C3F2" w:rsidR="004E1045" w:rsidRPr="002D1298" w:rsidRDefault="004E1045">
      <w:pPr>
        <w:pStyle w:val="FootnoteText"/>
        <w:rPr>
          <w:rFonts w:ascii="Times New Roman" w:hAnsi="Times New Roman" w:cs="Times New Roman"/>
          <w:sz w:val="16"/>
          <w:szCs w:val="16"/>
        </w:rPr>
      </w:pPr>
      <w:r w:rsidRPr="002D1298">
        <w:rPr>
          <w:rStyle w:val="FootnoteReference"/>
          <w:rFonts w:ascii="Times New Roman" w:hAnsi="Times New Roman" w:cs="Times New Roman"/>
          <w:sz w:val="16"/>
          <w:szCs w:val="16"/>
        </w:rPr>
        <w:footnoteRef/>
      </w:r>
      <w:r w:rsidRPr="002D1298">
        <w:rPr>
          <w:rFonts w:ascii="Times New Roman" w:hAnsi="Times New Roman" w:cs="Times New Roman"/>
          <w:sz w:val="16"/>
          <w:szCs w:val="16"/>
        </w:rPr>
        <w:t xml:space="preserve"> It is important to note that EU-SILC also has some data coming for administrative records, in particular for income data for approximately half of the EU countries.</w:t>
      </w:r>
    </w:p>
  </w:footnote>
  <w:footnote w:id="51">
    <w:p w14:paraId="2E4CDED9" w14:textId="3F620550" w:rsidR="004E1045" w:rsidRPr="00460495" w:rsidRDefault="004E1045" w:rsidP="00F57CCC">
      <w:pPr>
        <w:pStyle w:val="FootnoteText"/>
        <w:jc w:val="both"/>
        <w:rPr>
          <w:rFonts w:ascii="Times New Roman" w:hAnsi="Times New Roman" w:cs="Times New Roman"/>
          <w:sz w:val="16"/>
          <w:szCs w:val="16"/>
        </w:rPr>
      </w:pPr>
      <w:r w:rsidRPr="00460495">
        <w:rPr>
          <w:rStyle w:val="FootnoteReference"/>
          <w:rFonts w:ascii="Times New Roman" w:hAnsi="Times New Roman" w:cs="Times New Roman"/>
          <w:sz w:val="16"/>
          <w:szCs w:val="16"/>
        </w:rPr>
        <w:footnoteRef/>
      </w:r>
      <w:r w:rsidRPr="00460495">
        <w:rPr>
          <w:rFonts w:ascii="Times New Roman" w:hAnsi="Times New Roman" w:cs="Times New Roman"/>
          <w:sz w:val="16"/>
          <w:szCs w:val="16"/>
        </w:rPr>
        <w:t xml:space="preserve"> According to Commission delegated regulation 2020/258 supplementing regulation 2019/1700, from 2021 member states should provide disaggregate benefits variables as part of the yearly mandatory EU-SILC variables, i.e. benefit variables are breakdown by whether they are contributory or not, and if they are means-tested or not.</w:t>
      </w:r>
    </w:p>
  </w:footnote>
  <w:footnote w:id="52">
    <w:p w14:paraId="6E2A9E0D" w14:textId="77777777" w:rsidR="004E1045" w:rsidRPr="001161EA" w:rsidRDefault="004E1045" w:rsidP="0040222C">
      <w:pPr>
        <w:pStyle w:val="FootnoteText"/>
        <w:rPr>
          <w:rFonts w:ascii="Times New Roman" w:hAnsi="Times New Roman"/>
          <w:sz w:val="16"/>
          <w:szCs w:val="16"/>
        </w:rPr>
      </w:pPr>
      <w:r>
        <w:rPr>
          <w:rStyle w:val="FootnoteReference"/>
        </w:rPr>
        <w:footnoteRef/>
      </w:r>
      <w:r>
        <w:t xml:space="preserve"> </w:t>
      </w:r>
      <w:r w:rsidRPr="001161EA">
        <w:rPr>
          <w:rFonts w:ascii="Times New Roman" w:hAnsi="Times New Roman"/>
          <w:sz w:val="16"/>
          <w:szCs w:val="16"/>
        </w:rPr>
        <w:t>EUROMOD has embedded tools (Statistics Presenter and In-depth Analysis plugin) that can automatically calculate most of the indicators described. Additionally, the outcomes can be fully customised (e.g. for the population groups mentioned at the end of this section).</w:t>
      </w:r>
    </w:p>
    <w:p w14:paraId="131926DE" w14:textId="394D152F" w:rsidR="004E1045" w:rsidRPr="0040222C" w:rsidRDefault="004E1045">
      <w:pPr>
        <w:pStyle w:val="FootnoteText"/>
      </w:pPr>
    </w:p>
  </w:footnote>
  <w:footnote w:id="53">
    <w:p w14:paraId="4B14BC16" w14:textId="77777777" w:rsidR="004E1045" w:rsidRPr="00AE7967" w:rsidRDefault="004E1045" w:rsidP="00C724AF">
      <w:pPr>
        <w:spacing w:after="120" w:line="240" w:lineRule="auto"/>
        <w:jc w:val="both"/>
        <w:rPr>
          <w:rFonts w:ascii="Times New Roman" w:eastAsia="Arial" w:hAnsi="Times New Roman" w:cs="Times New Roman"/>
          <w:sz w:val="16"/>
          <w:szCs w:val="16"/>
        </w:rPr>
      </w:pPr>
      <w:r w:rsidRPr="00AE7967">
        <w:rPr>
          <w:rFonts w:ascii="Times New Roman" w:hAnsi="Times New Roman" w:cs="Times New Roman"/>
          <w:sz w:val="16"/>
          <w:szCs w:val="16"/>
          <w:vertAlign w:val="superscript"/>
        </w:rPr>
        <w:footnoteRef/>
      </w:r>
      <w:r w:rsidRPr="00AE7967">
        <w:rPr>
          <w:rFonts w:ascii="Times New Roman" w:hAnsi="Times New Roman" w:cs="Times New Roman"/>
          <w:sz w:val="16"/>
          <w:szCs w:val="16"/>
        </w:rPr>
        <w:t xml:space="preserve"> </w:t>
      </w:r>
      <w:r w:rsidRPr="00AE7967">
        <w:rPr>
          <w:rFonts w:ascii="Times New Roman" w:eastAsia="Arial" w:hAnsi="Times New Roman" w:cs="Times New Roman"/>
          <w:sz w:val="16"/>
          <w:szCs w:val="16"/>
        </w:rPr>
        <w:t>Meaning an analysis of who and how many are those who gain or lose from the implemented policy as opposed to the situation without the policy.</w:t>
      </w:r>
    </w:p>
  </w:footnote>
  <w:footnote w:id="54">
    <w:p w14:paraId="2697FDB4" w14:textId="77777777" w:rsidR="004E1045" w:rsidRPr="00AE7967" w:rsidRDefault="004E1045" w:rsidP="00D26954">
      <w:pPr>
        <w:spacing w:after="120" w:line="240" w:lineRule="auto"/>
        <w:rPr>
          <w:rFonts w:ascii="Times New Roman" w:eastAsia="Arial" w:hAnsi="Times New Roman" w:cs="Times New Roman"/>
          <w:sz w:val="16"/>
          <w:szCs w:val="16"/>
        </w:rPr>
      </w:pPr>
      <w:r w:rsidRPr="00AE7967">
        <w:rPr>
          <w:rFonts w:ascii="Times New Roman" w:hAnsi="Times New Roman" w:cs="Times New Roman"/>
          <w:sz w:val="16"/>
          <w:szCs w:val="16"/>
          <w:vertAlign w:val="superscript"/>
        </w:rPr>
        <w:footnoteRef/>
      </w:r>
      <w:r w:rsidRPr="00AE7967">
        <w:rPr>
          <w:rFonts w:ascii="Times New Roman" w:eastAsia="Arial" w:hAnsi="Times New Roman" w:cs="Times New Roman"/>
          <w:sz w:val="16"/>
          <w:szCs w:val="16"/>
        </w:rPr>
        <w:t xml:space="preserve"> The indicators considered in the questionnaire used for the interviews are: mean disposable income, average tax burden, winners and losers, AROP, AROPE, Gini, S80/S20, S40, Theil index, Atkinson index, Reynolds-Smolensky index, Kakwani index, wealth groups.</w:t>
      </w:r>
    </w:p>
  </w:footnote>
  <w:footnote w:id="55">
    <w:p w14:paraId="2FECAEBE" w14:textId="77777777" w:rsidR="004E1045" w:rsidRPr="00AE7967" w:rsidRDefault="004E1045" w:rsidP="00D26954">
      <w:pPr>
        <w:spacing w:after="120" w:line="240" w:lineRule="auto"/>
        <w:rPr>
          <w:rFonts w:ascii="Times New Roman" w:eastAsia="Arial" w:hAnsi="Times New Roman" w:cs="Times New Roman"/>
          <w:color w:val="000000"/>
          <w:sz w:val="16"/>
          <w:szCs w:val="16"/>
        </w:rPr>
      </w:pPr>
      <w:r w:rsidRPr="00AE7967">
        <w:rPr>
          <w:rFonts w:ascii="Times New Roman" w:hAnsi="Times New Roman" w:cs="Times New Roman"/>
          <w:sz w:val="16"/>
          <w:szCs w:val="16"/>
          <w:vertAlign w:val="superscript"/>
        </w:rPr>
        <w:footnoteRef/>
      </w:r>
      <w:r w:rsidRPr="00AE7967">
        <w:rPr>
          <w:rFonts w:ascii="Times New Roman" w:eastAsia="Arial" w:hAnsi="Times New Roman" w:cs="Times New Roman"/>
          <w:color w:val="000000"/>
          <w:sz w:val="16"/>
          <w:szCs w:val="16"/>
        </w:rPr>
        <w:t xml:space="preserve"> Considering only Euro Area Member States in this table.</w:t>
      </w:r>
    </w:p>
  </w:footnote>
  <w:footnote w:id="56">
    <w:p w14:paraId="25F88C63" w14:textId="77777777" w:rsidR="004E1045" w:rsidRPr="00AE7967" w:rsidRDefault="004E1045" w:rsidP="005D614F">
      <w:pPr>
        <w:spacing w:after="120" w:line="240" w:lineRule="auto"/>
        <w:jc w:val="both"/>
        <w:rPr>
          <w:rFonts w:ascii="Times New Roman" w:eastAsia="Arial" w:hAnsi="Times New Roman" w:cs="Times New Roman"/>
          <w:color w:val="000000"/>
          <w:sz w:val="16"/>
          <w:szCs w:val="16"/>
        </w:rPr>
      </w:pPr>
      <w:r w:rsidRPr="00AE7967">
        <w:rPr>
          <w:rFonts w:ascii="Times New Roman" w:hAnsi="Times New Roman" w:cs="Times New Roman"/>
          <w:sz w:val="16"/>
          <w:szCs w:val="16"/>
          <w:vertAlign w:val="superscript"/>
        </w:rPr>
        <w:footnoteRef/>
      </w:r>
      <w:r w:rsidRPr="00AE7967">
        <w:rPr>
          <w:rFonts w:ascii="Times New Roman" w:eastAsia="Arial" w:hAnsi="Times New Roman" w:cs="Times New Roman"/>
          <w:color w:val="000000"/>
          <w:sz w:val="16"/>
          <w:szCs w:val="16"/>
        </w:rPr>
        <w:t xml:space="preserve"> In SCP/NRP and/or in one of the seven types of budget-related documents considered in table 3.6.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9FEAD" w14:textId="77777777" w:rsidR="005C5377" w:rsidRPr="005C5377" w:rsidRDefault="005C5377" w:rsidP="005C5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4C54" w14:textId="77777777" w:rsidR="005C5377" w:rsidRPr="005C5377" w:rsidRDefault="005C5377" w:rsidP="005C537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07007" w14:textId="77777777" w:rsidR="005C5377" w:rsidRPr="005C5377" w:rsidRDefault="005C5377" w:rsidP="005C537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93E7C" w14:textId="77777777" w:rsidR="004E1045" w:rsidRDefault="004E10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89278" w14:textId="77777777" w:rsidR="004E1045" w:rsidRDefault="004E10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F33C7" w14:textId="77777777" w:rsidR="004E1045" w:rsidRDefault="004E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0F5"/>
    <w:multiLevelType w:val="hybridMultilevel"/>
    <w:tmpl w:val="444C977E"/>
    <w:lvl w:ilvl="0" w:tplc="63285C2A">
      <w:start w:val="5"/>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A13E82"/>
    <w:multiLevelType w:val="hybridMultilevel"/>
    <w:tmpl w:val="675A7E8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27207"/>
    <w:multiLevelType w:val="hybridMultilevel"/>
    <w:tmpl w:val="6BBEC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84EDA"/>
    <w:multiLevelType w:val="multilevel"/>
    <w:tmpl w:val="9710D576"/>
    <w:lvl w:ilvl="0">
      <w:start w:val="1"/>
      <w:numFmt w:val="bullet"/>
      <w:lvlText w:val="●"/>
      <w:lvlJc w:val="left"/>
      <w:pPr>
        <w:ind w:left="720" w:hanging="360"/>
      </w:pPr>
      <w:rPr>
        <w:color w:val="325BA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BB35B3"/>
    <w:multiLevelType w:val="hybridMultilevel"/>
    <w:tmpl w:val="555E7A56"/>
    <w:lvl w:ilvl="0" w:tplc="04090011">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51DCB"/>
    <w:multiLevelType w:val="hybridMultilevel"/>
    <w:tmpl w:val="798EAC62"/>
    <w:lvl w:ilvl="0" w:tplc="08090019">
      <w:start w:val="5"/>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608B1"/>
    <w:multiLevelType w:val="hybridMultilevel"/>
    <w:tmpl w:val="90080C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F73A7A"/>
    <w:multiLevelType w:val="multilevel"/>
    <w:tmpl w:val="288E14E6"/>
    <w:lvl w:ilvl="0">
      <w:start w:val="1"/>
      <w:numFmt w:val="bullet"/>
      <w:lvlText w:val="●"/>
      <w:lvlJc w:val="left"/>
      <w:pPr>
        <w:ind w:left="720" w:hanging="360"/>
      </w:pPr>
      <w:rPr>
        <w:color w:val="325BA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4F48F0"/>
    <w:multiLevelType w:val="hybridMultilevel"/>
    <w:tmpl w:val="55227426"/>
    <w:lvl w:ilvl="0" w:tplc="63285C2A">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83A71"/>
    <w:multiLevelType w:val="hybridMultilevel"/>
    <w:tmpl w:val="7318CCAE"/>
    <w:lvl w:ilvl="0" w:tplc="08090019">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171E4"/>
    <w:multiLevelType w:val="hybridMultilevel"/>
    <w:tmpl w:val="420E6DFE"/>
    <w:lvl w:ilvl="0" w:tplc="63285C2A">
      <w:start w:val="5"/>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145" w:hanging="72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AF5E3F"/>
    <w:multiLevelType w:val="multilevel"/>
    <w:tmpl w:val="A23AF2FA"/>
    <w:lvl w:ilvl="0">
      <w:start w:val="5"/>
      <w:numFmt w:val="bullet"/>
      <w:lvlText w:val="-"/>
      <w:lvlJc w:val="left"/>
      <w:pPr>
        <w:ind w:left="360" w:hanging="360"/>
      </w:pPr>
      <w:rPr>
        <w:rFonts w:ascii="Calibri" w:eastAsiaTheme="minorHAnsi" w:hAnsi="Calibri" w:cs="Calibri"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361915C1"/>
    <w:multiLevelType w:val="hybridMultilevel"/>
    <w:tmpl w:val="CBDC492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61C06B8"/>
    <w:multiLevelType w:val="hybridMultilevel"/>
    <w:tmpl w:val="EF1C984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63285C2A">
      <w:start w:val="5"/>
      <w:numFmt w:val="bullet"/>
      <w:lvlText w:val="-"/>
      <w:lvlJc w:val="left"/>
      <w:pPr>
        <w:ind w:left="2880" w:hanging="360"/>
      </w:pPr>
      <w:rPr>
        <w:rFonts w:ascii="Calibri" w:eastAsiaTheme="minorHAnsi" w:hAnsi="Calibri" w:cs="Calibri"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11C0A"/>
    <w:multiLevelType w:val="hybridMultilevel"/>
    <w:tmpl w:val="68505F80"/>
    <w:lvl w:ilvl="0" w:tplc="4DCE49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C0E19"/>
    <w:multiLevelType w:val="hybridMultilevel"/>
    <w:tmpl w:val="2E92F97E"/>
    <w:lvl w:ilvl="0" w:tplc="08090011">
      <w:start w:val="1"/>
      <w:numFmt w:val="decimal"/>
      <w:lvlText w:val="%1)"/>
      <w:lvlJc w:val="left"/>
      <w:pPr>
        <w:ind w:left="360" w:hanging="360"/>
      </w:pPr>
      <w:rPr>
        <w:rFonts w:hint="default"/>
      </w:rPr>
    </w:lvl>
    <w:lvl w:ilvl="1" w:tplc="08090019">
      <w:start w:val="1"/>
      <w:numFmt w:val="lowerLetter"/>
      <w:lvlText w:val="%2."/>
      <w:lvlJc w:val="left"/>
      <w:pPr>
        <w:ind w:left="644" w:hanging="360"/>
      </w:pPr>
    </w:lvl>
    <w:lvl w:ilvl="2" w:tplc="0809001B">
      <w:start w:val="1"/>
      <w:numFmt w:val="lowerRoman"/>
      <w:lvlText w:val="%3."/>
      <w:lvlJc w:val="right"/>
      <w:pPr>
        <w:ind w:left="180" w:hanging="180"/>
      </w:pPr>
    </w:lvl>
    <w:lvl w:ilvl="3" w:tplc="0809000F">
      <w:start w:val="1"/>
      <w:numFmt w:val="decimal"/>
      <w:lvlText w:val="%4."/>
      <w:lvlJc w:val="left"/>
      <w:pPr>
        <w:ind w:left="502" w:hanging="360"/>
      </w:pPr>
    </w:lvl>
    <w:lvl w:ilvl="4" w:tplc="08090019">
      <w:start w:val="1"/>
      <w:numFmt w:val="lowerLetter"/>
      <w:lvlText w:val="%5."/>
      <w:lvlJc w:val="left"/>
      <w:pPr>
        <w:ind w:left="927" w:hanging="360"/>
      </w:pPr>
    </w:lvl>
    <w:lvl w:ilvl="5" w:tplc="0809001B">
      <w:start w:val="1"/>
      <w:numFmt w:val="lowerRoman"/>
      <w:lvlText w:val="%6."/>
      <w:lvlJc w:val="right"/>
      <w:pPr>
        <w:ind w:left="1881" w:hanging="180"/>
      </w:pPr>
    </w:lvl>
    <w:lvl w:ilvl="6" w:tplc="0809000F">
      <w:start w:val="1"/>
      <w:numFmt w:val="decimal"/>
      <w:lvlText w:val="%7."/>
      <w:lvlJc w:val="left"/>
      <w:pPr>
        <w:ind w:left="2203"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13662D"/>
    <w:multiLevelType w:val="hybridMultilevel"/>
    <w:tmpl w:val="5A700C90"/>
    <w:lvl w:ilvl="0" w:tplc="FFBEBAD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F728A"/>
    <w:multiLevelType w:val="hybridMultilevel"/>
    <w:tmpl w:val="A43C0F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396E73"/>
    <w:multiLevelType w:val="hybridMultilevel"/>
    <w:tmpl w:val="B44655EE"/>
    <w:lvl w:ilvl="0" w:tplc="18EC93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E90C55"/>
    <w:multiLevelType w:val="hybridMultilevel"/>
    <w:tmpl w:val="787C88A0"/>
    <w:lvl w:ilvl="0" w:tplc="08090019">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4400A"/>
    <w:multiLevelType w:val="hybridMultilevel"/>
    <w:tmpl w:val="21F2A2DE"/>
    <w:lvl w:ilvl="0" w:tplc="08090019">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C0493A"/>
    <w:multiLevelType w:val="multilevel"/>
    <w:tmpl w:val="0A303ACE"/>
    <w:lvl w:ilvl="0">
      <w:start w:val="5"/>
      <w:numFmt w:val="bullet"/>
      <w:lvlText w:val="-"/>
      <w:lvlJc w:val="left"/>
      <w:pPr>
        <w:ind w:left="360" w:hanging="360"/>
      </w:pPr>
      <w:rPr>
        <w:rFonts w:ascii="Calibri" w:eastAsiaTheme="minorHAnsi" w:hAnsi="Calibri" w:cs="Calibri"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5FD963C8"/>
    <w:multiLevelType w:val="hybridMultilevel"/>
    <w:tmpl w:val="C25E0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BD71AA"/>
    <w:multiLevelType w:val="hybridMultilevel"/>
    <w:tmpl w:val="9BFEFF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F66FAF"/>
    <w:multiLevelType w:val="hybridMultilevel"/>
    <w:tmpl w:val="3A58B7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152311"/>
    <w:multiLevelType w:val="hybridMultilevel"/>
    <w:tmpl w:val="F2BC99B8"/>
    <w:lvl w:ilvl="0" w:tplc="63285C2A">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91587D"/>
    <w:multiLevelType w:val="multilevel"/>
    <w:tmpl w:val="451A7C2E"/>
    <w:lvl w:ilvl="0">
      <w:start w:val="5"/>
      <w:numFmt w:val="bullet"/>
      <w:lvlText w:val="-"/>
      <w:lvlJc w:val="left"/>
      <w:pPr>
        <w:ind w:left="360" w:hanging="360"/>
      </w:pPr>
      <w:rPr>
        <w:rFonts w:ascii="Calibri" w:eastAsiaTheme="minorHAnsi" w:hAnsi="Calibri" w:cs="Calibri" w:hint="default"/>
      </w:rPr>
    </w:lvl>
    <w:lvl w:ilvl="1">
      <w:start w:val="1"/>
      <w:numFmt w:val="bullet"/>
      <w:lvlText w:val="o"/>
      <w:lvlJc w:val="left"/>
      <w:pPr>
        <w:ind w:left="845" w:hanging="420"/>
      </w:pPr>
      <w:rPr>
        <w:rFonts w:ascii="Courier New" w:hAnsi="Courier New" w:cs="Courier New" w:hint="default"/>
      </w:rPr>
    </w:lvl>
    <w:lvl w:ilvl="2">
      <w:start w:val="1"/>
      <w:numFmt w:val="bullet"/>
      <w:lvlText w:val="o"/>
      <w:lvlJc w:val="left"/>
      <w:pPr>
        <w:ind w:left="1145" w:hanging="72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6DF071EA"/>
    <w:multiLevelType w:val="multilevel"/>
    <w:tmpl w:val="7208310C"/>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3."/>
      <w:lvlJc w:val="left"/>
      <w:pPr>
        <w:ind w:left="1287" w:hanging="720"/>
      </w:pPr>
      <w:rPr>
        <w:rFonts w:ascii="Times New Roman" w:eastAsiaTheme="minorHAnsi" w:hAnsi="Times New Roman" w:cs="Times New Roman"/>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725B6A86"/>
    <w:multiLevelType w:val="hybridMultilevel"/>
    <w:tmpl w:val="C81C91E6"/>
    <w:lvl w:ilvl="0" w:tplc="523C5E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DB1595"/>
    <w:multiLevelType w:val="hybridMultilevel"/>
    <w:tmpl w:val="1C0689E8"/>
    <w:lvl w:ilvl="0" w:tplc="63285C2A">
      <w:start w:val="5"/>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643" w:hanging="360"/>
      </w:pPr>
      <w:rPr>
        <w:rFonts w:ascii="Courier New" w:hAnsi="Courier New" w:cs="Courier New" w:hint="default"/>
      </w:rPr>
    </w:lvl>
    <w:lvl w:ilvl="2" w:tplc="04090005">
      <w:start w:val="1"/>
      <w:numFmt w:val="bullet"/>
      <w:lvlText w:val=""/>
      <w:lvlJc w:val="left"/>
      <w:pPr>
        <w:ind w:left="1352"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537456"/>
    <w:multiLevelType w:val="hybridMultilevel"/>
    <w:tmpl w:val="CE20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3"/>
  </w:num>
  <w:num w:numId="4">
    <w:abstractNumId w:val="19"/>
  </w:num>
  <w:num w:numId="5">
    <w:abstractNumId w:val="29"/>
  </w:num>
  <w:num w:numId="6">
    <w:abstractNumId w:val="0"/>
  </w:num>
  <w:num w:numId="7">
    <w:abstractNumId w:val="27"/>
  </w:num>
  <w:num w:numId="8">
    <w:abstractNumId w:val="11"/>
  </w:num>
  <w:num w:numId="9">
    <w:abstractNumId w:val="10"/>
  </w:num>
  <w:num w:numId="10">
    <w:abstractNumId w:val="25"/>
  </w:num>
  <w:num w:numId="11">
    <w:abstractNumId w:val="21"/>
  </w:num>
  <w:num w:numId="12">
    <w:abstractNumId w:val="26"/>
  </w:num>
  <w:num w:numId="13">
    <w:abstractNumId w:val="20"/>
  </w:num>
  <w:num w:numId="14">
    <w:abstractNumId w:val="8"/>
  </w:num>
  <w:num w:numId="15">
    <w:abstractNumId w:val="7"/>
  </w:num>
  <w:num w:numId="16">
    <w:abstractNumId w:val="9"/>
  </w:num>
  <w:num w:numId="17">
    <w:abstractNumId w:val="4"/>
  </w:num>
  <w:num w:numId="18">
    <w:abstractNumId w:val="13"/>
  </w:num>
  <w:num w:numId="19">
    <w:abstractNumId w:val="5"/>
  </w:num>
  <w:num w:numId="20">
    <w:abstractNumId w:val="12"/>
  </w:num>
  <w:num w:numId="21">
    <w:abstractNumId w:val="28"/>
  </w:num>
  <w:num w:numId="22">
    <w:abstractNumId w:val="30"/>
  </w:num>
  <w:num w:numId="23">
    <w:abstractNumId w:val="2"/>
  </w:num>
  <w:num w:numId="24">
    <w:abstractNumId w:val="14"/>
  </w:num>
  <w:num w:numId="25">
    <w:abstractNumId w:val="1"/>
  </w:num>
  <w:num w:numId="26">
    <w:abstractNumId w:val="18"/>
  </w:num>
  <w:num w:numId="27">
    <w:abstractNumId w:val="22"/>
  </w:num>
  <w:num w:numId="28">
    <w:abstractNumId w:val="24"/>
  </w:num>
  <w:num w:numId="29">
    <w:abstractNumId w:val="17"/>
  </w:num>
  <w:num w:numId="30">
    <w:abstractNumId w:val="2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de-DE" w:vendorID="64" w:dllVersion="131078" w:nlCheck="1" w:checkStyle="0"/>
  <w:activeWritingStyle w:appName="MSWord" w:lang="da-DK" w:vendorID="64" w:dllVersion="131078" w:nlCheck="1" w:checkStyle="0"/>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ccompanying the document"/>
    <w:docVar w:name="LW_CORRIGENDUM" w:val="&lt;UNUSED&gt;"/>
    <w:docVar w:name="LW_COVERPAGE_EXISTS" w:val="True"/>
    <w:docVar w:name="LW_COVERPAGE_GUID" w:val="FF6C50CC-9DFB-4D7D-A03A-96EA30F9F8F9"/>
    <w:docVar w:name="LW_COVERPAGE_TYPE" w:val="1"/>
    <w:docVar w:name="LW_CROSSREFERENCE" w:val="{COM(2022) 494 final}"/>
    <w:docVar w:name="LW_DocType" w:val="NORMAL"/>
    <w:docVar w:name="LW_EMISSION" w:val="28.9.2022"/>
    <w:docVar w:name="LW_EMISSION_ISODATE" w:val="2022-09-28"/>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Better assessing the distributional impact of Member States' policies"/>
    <w:docVar w:name="LW_PART_NBR" w:val="1"/>
    <w:docVar w:name="LW_PART_NBR_TOTAL" w:val="1"/>
    <w:docVar w:name="LW_REF.INST.NEW" w:val="SWD"/>
    <w:docVar w:name="LW_REF.INST.NEW_ADOPTED" w:val="final"/>
    <w:docVar w:name="LW_REF.INST.NEW_TEXT" w:val="(2022) 3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  "/>
    <w:docVar w:name="LW_TYPE.DOC.CP" w:val="COMMISSION STAFF WORKING DOCUMENT"/>
    <w:docVar w:name="LW_TYPEACTEPRINCIPAL.CP" w:val="COMMUNICATION FROM THE COMMISSION TO THE EUROPEAN PARLIAMENT, THE COUNCIL, THE EUROPEAN ECONOMIC AND SOCIAL COMMITTEE AND THE COMMITTEE OF THE REGIONS"/>
    <w:docVar w:name="LwApiVersions" w:val="LW4CoDe 1.23.2.0; LW 8.0, Build 20211117"/>
  </w:docVars>
  <w:rsids>
    <w:rsidRoot w:val="001046B5"/>
    <w:rsid w:val="000029FD"/>
    <w:rsid w:val="00007D2D"/>
    <w:rsid w:val="000112F6"/>
    <w:rsid w:val="0001487A"/>
    <w:rsid w:val="00015CA2"/>
    <w:rsid w:val="00030B5E"/>
    <w:rsid w:val="00037642"/>
    <w:rsid w:val="0004371C"/>
    <w:rsid w:val="00044732"/>
    <w:rsid w:val="000560F7"/>
    <w:rsid w:val="0006085E"/>
    <w:rsid w:val="00067C16"/>
    <w:rsid w:val="00071BA6"/>
    <w:rsid w:val="00081BE5"/>
    <w:rsid w:val="000902DC"/>
    <w:rsid w:val="000947FA"/>
    <w:rsid w:val="00095085"/>
    <w:rsid w:val="000976C5"/>
    <w:rsid w:val="00097A8B"/>
    <w:rsid w:val="000A3B2E"/>
    <w:rsid w:val="000A6B52"/>
    <w:rsid w:val="000B54CB"/>
    <w:rsid w:val="000B5D7D"/>
    <w:rsid w:val="000C5323"/>
    <w:rsid w:val="000D27E3"/>
    <w:rsid w:val="000D3E11"/>
    <w:rsid w:val="000D554A"/>
    <w:rsid w:val="000D6449"/>
    <w:rsid w:val="000E2DA8"/>
    <w:rsid w:val="000E7301"/>
    <w:rsid w:val="000F2ED8"/>
    <w:rsid w:val="000F547E"/>
    <w:rsid w:val="00100F22"/>
    <w:rsid w:val="0010206C"/>
    <w:rsid w:val="001046B5"/>
    <w:rsid w:val="00105908"/>
    <w:rsid w:val="00105FD1"/>
    <w:rsid w:val="00113307"/>
    <w:rsid w:val="00115577"/>
    <w:rsid w:val="00117B3F"/>
    <w:rsid w:val="00120624"/>
    <w:rsid w:val="00124F92"/>
    <w:rsid w:val="0013262A"/>
    <w:rsid w:val="001362F1"/>
    <w:rsid w:val="00143F9E"/>
    <w:rsid w:val="0014488A"/>
    <w:rsid w:val="00144EFD"/>
    <w:rsid w:val="00152109"/>
    <w:rsid w:val="001541E2"/>
    <w:rsid w:val="001627FD"/>
    <w:rsid w:val="00163173"/>
    <w:rsid w:val="001656E3"/>
    <w:rsid w:val="001701B1"/>
    <w:rsid w:val="001772AA"/>
    <w:rsid w:val="0018057E"/>
    <w:rsid w:val="00180EC4"/>
    <w:rsid w:val="0018584B"/>
    <w:rsid w:val="00186CFA"/>
    <w:rsid w:val="001917CB"/>
    <w:rsid w:val="00191C18"/>
    <w:rsid w:val="001970A4"/>
    <w:rsid w:val="001A001D"/>
    <w:rsid w:val="001A1410"/>
    <w:rsid w:val="001A2690"/>
    <w:rsid w:val="001A730C"/>
    <w:rsid w:val="001B16B3"/>
    <w:rsid w:val="001B5749"/>
    <w:rsid w:val="001C541A"/>
    <w:rsid w:val="001D0A68"/>
    <w:rsid w:val="001D2878"/>
    <w:rsid w:val="001D5566"/>
    <w:rsid w:val="001E784A"/>
    <w:rsid w:val="001F0C7B"/>
    <w:rsid w:val="001F2650"/>
    <w:rsid w:val="001F544D"/>
    <w:rsid w:val="0020098F"/>
    <w:rsid w:val="002064B6"/>
    <w:rsid w:val="00207261"/>
    <w:rsid w:val="0021427D"/>
    <w:rsid w:val="002177A4"/>
    <w:rsid w:val="002239FD"/>
    <w:rsid w:val="00226EF7"/>
    <w:rsid w:val="002273B7"/>
    <w:rsid w:val="0023485A"/>
    <w:rsid w:val="002432A2"/>
    <w:rsid w:val="00243CE2"/>
    <w:rsid w:val="002443A5"/>
    <w:rsid w:val="00247337"/>
    <w:rsid w:val="00250541"/>
    <w:rsid w:val="00251759"/>
    <w:rsid w:val="00251CF3"/>
    <w:rsid w:val="0025373B"/>
    <w:rsid w:val="0025521E"/>
    <w:rsid w:val="00255680"/>
    <w:rsid w:val="00256949"/>
    <w:rsid w:val="00260737"/>
    <w:rsid w:val="00262840"/>
    <w:rsid w:val="00271439"/>
    <w:rsid w:val="0028002A"/>
    <w:rsid w:val="002801F6"/>
    <w:rsid w:val="00280F97"/>
    <w:rsid w:val="00293E99"/>
    <w:rsid w:val="0029445F"/>
    <w:rsid w:val="0029503A"/>
    <w:rsid w:val="002A23A1"/>
    <w:rsid w:val="002A3A39"/>
    <w:rsid w:val="002A6BC9"/>
    <w:rsid w:val="002B219F"/>
    <w:rsid w:val="002B3E25"/>
    <w:rsid w:val="002B5FB2"/>
    <w:rsid w:val="002B768E"/>
    <w:rsid w:val="002C312F"/>
    <w:rsid w:val="002C3CAB"/>
    <w:rsid w:val="002C490B"/>
    <w:rsid w:val="002D0B5C"/>
    <w:rsid w:val="002D1298"/>
    <w:rsid w:val="002E4C57"/>
    <w:rsid w:val="002E6D92"/>
    <w:rsid w:val="002F2754"/>
    <w:rsid w:val="002F28E1"/>
    <w:rsid w:val="002F77FC"/>
    <w:rsid w:val="00303BAB"/>
    <w:rsid w:val="003072F1"/>
    <w:rsid w:val="00310250"/>
    <w:rsid w:val="00311F46"/>
    <w:rsid w:val="00313399"/>
    <w:rsid w:val="00314AB2"/>
    <w:rsid w:val="00314F79"/>
    <w:rsid w:val="0032229F"/>
    <w:rsid w:val="00337BF7"/>
    <w:rsid w:val="003414D9"/>
    <w:rsid w:val="00347053"/>
    <w:rsid w:val="00347A38"/>
    <w:rsid w:val="00350270"/>
    <w:rsid w:val="00350C94"/>
    <w:rsid w:val="00352799"/>
    <w:rsid w:val="0035374F"/>
    <w:rsid w:val="0036318F"/>
    <w:rsid w:val="003670E3"/>
    <w:rsid w:val="0036791A"/>
    <w:rsid w:val="00371F55"/>
    <w:rsid w:val="0037310D"/>
    <w:rsid w:val="00373F13"/>
    <w:rsid w:val="00376F07"/>
    <w:rsid w:val="0038276E"/>
    <w:rsid w:val="00387AA5"/>
    <w:rsid w:val="003A205A"/>
    <w:rsid w:val="003A2918"/>
    <w:rsid w:val="003A43CD"/>
    <w:rsid w:val="003A7AF1"/>
    <w:rsid w:val="003B614F"/>
    <w:rsid w:val="003B7086"/>
    <w:rsid w:val="003B7871"/>
    <w:rsid w:val="003B78B7"/>
    <w:rsid w:val="003D27EE"/>
    <w:rsid w:val="003D46C0"/>
    <w:rsid w:val="003E1298"/>
    <w:rsid w:val="003E304A"/>
    <w:rsid w:val="0040119B"/>
    <w:rsid w:val="0040222C"/>
    <w:rsid w:val="004034E8"/>
    <w:rsid w:val="0040412B"/>
    <w:rsid w:val="004046E6"/>
    <w:rsid w:val="00407A6C"/>
    <w:rsid w:val="00411E0B"/>
    <w:rsid w:val="00417823"/>
    <w:rsid w:val="0042005E"/>
    <w:rsid w:val="00423EC6"/>
    <w:rsid w:val="004257BA"/>
    <w:rsid w:val="00426478"/>
    <w:rsid w:val="00430B4A"/>
    <w:rsid w:val="004363B1"/>
    <w:rsid w:val="00446757"/>
    <w:rsid w:val="004516F1"/>
    <w:rsid w:val="00456FEB"/>
    <w:rsid w:val="00460495"/>
    <w:rsid w:val="004654A3"/>
    <w:rsid w:val="00465771"/>
    <w:rsid w:val="00475B88"/>
    <w:rsid w:val="004763BA"/>
    <w:rsid w:val="004800DB"/>
    <w:rsid w:val="00480DD5"/>
    <w:rsid w:val="00490190"/>
    <w:rsid w:val="00491AE3"/>
    <w:rsid w:val="004933DA"/>
    <w:rsid w:val="00493CD7"/>
    <w:rsid w:val="004948DD"/>
    <w:rsid w:val="004A5BDC"/>
    <w:rsid w:val="004B1963"/>
    <w:rsid w:val="004B203D"/>
    <w:rsid w:val="004B3461"/>
    <w:rsid w:val="004B450F"/>
    <w:rsid w:val="004C0214"/>
    <w:rsid w:val="004C369B"/>
    <w:rsid w:val="004C7140"/>
    <w:rsid w:val="004D409B"/>
    <w:rsid w:val="004E1045"/>
    <w:rsid w:val="004E2700"/>
    <w:rsid w:val="004F4FC7"/>
    <w:rsid w:val="004F6731"/>
    <w:rsid w:val="00500390"/>
    <w:rsid w:val="0050499E"/>
    <w:rsid w:val="00504A5F"/>
    <w:rsid w:val="005054F7"/>
    <w:rsid w:val="0050580B"/>
    <w:rsid w:val="00505A9D"/>
    <w:rsid w:val="005103AE"/>
    <w:rsid w:val="005125D7"/>
    <w:rsid w:val="00517618"/>
    <w:rsid w:val="00525607"/>
    <w:rsid w:val="005330C8"/>
    <w:rsid w:val="00536A85"/>
    <w:rsid w:val="00544387"/>
    <w:rsid w:val="00545661"/>
    <w:rsid w:val="00545E90"/>
    <w:rsid w:val="00547F60"/>
    <w:rsid w:val="005516B0"/>
    <w:rsid w:val="005523A5"/>
    <w:rsid w:val="005541DB"/>
    <w:rsid w:val="005549B1"/>
    <w:rsid w:val="00557E9D"/>
    <w:rsid w:val="00560057"/>
    <w:rsid w:val="005664A5"/>
    <w:rsid w:val="005705D7"/>
    <w:rsid w:val="00583BDE"/>
    <w:rsid w:val="00584BDC"/>
    <w:rsid w:val="00586669"/>
    <w:rsid w:val="00587B55"/>
    <w:rsid w:val="00590035"/>
    <w:rsid w:val="00590429"/>
    <w:rsid w:val="00591A2F"/>
    <w:rsid w:val="005A360D"/>
    <w:rsid w:val="005B627E"/>
    <w:rsid w:val="005B6452"/>
    <w:rsid w:val="005B7186"/>
    <w:rsid w:val="005B72B6"/>
    <w:rsid w:val="005C5377"/>
    <w:rsid w:val="005C682A"/>
    <w:rsid w:val="005C7789"/>
    <w:rsid w:val="005D5E38"/>
    <w:rsid w:val="005D614F"/>
    <w:rsid w:val="005E04CF"/>
    <w:rsid w:val="005E7DA6"/>
    <w:rsid w:val="005F19FA"/>
    <w:rsid w:val="005F2882"/>
    <w:rsid w:val="0060535F"/>
    <w:rsid w:val="00607B98"/>
    <w:rsid w:val="00632FA5"/>
    <w:rsid w:val="006339C1"/>
    <w:rsid w:val="0063681E"/>
    <w:rsid w:val="00644264"/>
    <w:rsid w:val="00647D74"/>
    <w:rsid w:val="00653D8D"/>
    <w:rsid w:val="006630A1"/>
    <w:rsid w:val="00664624"/>
    <w:rsid w:val="006646CD"/>
    <w:rsid w:val="00671C0C"/>
    <w:rsid w:val="0067336E"/>
    <w:rsid w:val="00674E40"/>
    <w:rsid w:val="006760FC"/>
    <w:rsid w:val="00676394"/>
    <w:rsid w:val="00682267"/>
    <w:rsid w:val="00686061"/>
    <w:rsid w:val="006866E4"/>
    <w:rsid w:val="00692B71"/>
    <w:rsid w:val="00694C1D"/>
    <w:rsid w:val="006A56FD"/>
    <w:rsid w:val="006A6D07"/>
    <w:rsid w:val="006A7E17"/>
    <w:rsid w:val="006B04B5"/>
    <w:rsid w:val="006B0E44"/>
    <w:rsid w:val="006B2543"/>
    <w:rsid w:val="006B31AB"/>
    <w:rsid w:val="006B36AA"/>
    <w:rsid w:val="006B680C"/>
    <w:rsid w:val="006B7542"/>
    <w:rsid w:val="006C1AE4"/>
    <w:rsid w:val="006C26BE"/>
    <w:rsid w:val="006C32F7"/>
    <w:rsid w:val="006C35FA"/>
    <w:rsid w:val="006C7171"/>
    <w:rsid w:val="006C75CF"/>
    <w:rsid w:val="006D6CC9"/>
    <w:rsid w:val="006D77A7"/>
    <w:rsid w:val="006E6183"/>
    <w:rsid w:val="006E6BF9"/>
    <w:rsid w:val="006F0B54"/>
    <w:rsid w:val="006F5A40"/>
    <w:rsid w:val="006F63F0"/>
    <w:rsid w:val="007020A0"/>
    <w:rsid w:val="00704A26"/>
    <w:rsid w:val="00707CEA"/>
    <w:rsid w:val="00714B43"/>
    <w:rsid w:val="007237CE"/>
    <w:rsid w:val="00724AAD"/>
    <w:rsid w:val="0073459C"/>
    <w:rsid w:val="00737CCC"/>
    <w:rsid w:val="0074052E"/>
    <w:rsid w:val="00740A2A"/>
    <w:rsid w:val="00744393"/>
    <w:rsid w:val="00745E57"/>
    <w:rsid w:val="0075121B"/>
    <w:rsid w:val="00753109"/>
    <w:rsid w:val="0075743D"/>
    <w:rsid w:val="00757ECD"/>
    <w:rsid w:val="00760B85"/>
    <w:rsid w:val="00761207"/>
    <w:rsid w:val="00762BF9"/>
    <w:rsid w:val="00767AEC"/>
    <w:rsid w:val="00771F8A"/>
    <w:rsid w:val="00774651"/>
    <w:rsid w:val="00775354"/>
    <w:rsid w:val="007773CB"/>
    <w:rsid w:val="00780FF6"/>
    <w:rsid w:val="00786264"/>
    <w:rsid w:val="00787C60"/>
    <w:rsid w:val="0079177B"/>
    <w:rsid w:val="00795ED8"/>
    <w:rsid w:val="007A3B76"/>
    <w:rsid w:val="007B0E90"/>
    <w:rsid w:val="007B702C"/>
    <w:rsid w:val="007C0D7D"/>
    <w:rsid w:val="007C2A92"/>
    <w:rsid w:val="007C2AEB"/>
    <w:rsid w:val="007C4E03"/>
    <w:rsid w:val="007D309E"/>
    <w:rsid w:val="007D3E72"/>
    <w:rsid w:val="007D6BD3"/>
    <w:rsid w:val="007E1A3B"/>
    <w:rsid w:val="007E1F5D"/>
    <w:rsid w:val="007E465C"/>
    <w:rsid w:val="007E5B4F"/>
    <w:rsid w:val="007E673A"/>
    <w:rsid w:val="007E6FEA"/>
    <w:rsid w:val="007F36DC"/>
    <w:rsid w:val="007F4C22"/>
    <w:rsid w:val="007F7807"/>
    <w:rsid w:val="00804E82"/>
    <w:rsid w:val="00807A0E"/>
    <w:rsid w:val="00811FEF"/>
    <w:rsid w:val="008155DD"/>
    <w:rsid w:val="008166A5"/>
    <w:rsid w:val="00816ADB"/>
    <w:rsid w:val="00823ED2"/>
    <w:rsid w:val="0082501F"/>
    <w:rsid w:val="008265DD"/>
    <w:rsid w:val="00834339"/>
    <w:rsid w:val="008356FD"/>
    <w:rsid w:val="00837B70"/>
    <w:rsid w:val="00840C1E"/>
    <w:rsid w:val="00841D77"/>
    <w:rsid w:val="00844B05"/>
    <w:rsid w:val="00844FF6"/>
    <w:rsid w:val="00845146"/>
    <w:rsid w:val="0085145F"/>
    <w:rsid w:val="00851BA8"/>
    <w:rsid w:val="00854E22"/>
    <w:rsid w:val="0085545B"/>
    <w:rsid w:val="008637D6"/>
    <w:rsid w:val="00866E3E"/>
    <w:rsid w:val="00870C25"/>
    <w:rsid w:val="0087291B"/>
    <w:rsid w:val="008746FF"/>
    <w:rsid w:val="008767ED"/>
    <w:rsid w:val="008803B3"/>
    <w:rsid w:val="0089373D"/>
    <w:rsid w:val="00893854"/>
    <w:rsid w:val="00894223"/>
    <w:rsid w:val="008944E8"/>
    <w:rsid w:val="00894C33"/>
    <w:rsid w:val="00897E67"/>
    <w:rsid w:val="008A05CC"/>
    <w:rsid w:val="008A1A07"/>
    <w:rsid w:val="008A3855"/>
    <w:rsid w:val="008A71BD"/>
    <w:rsid w:val="008A72C7"/>
    <w:rsid w:val="008B273F"/>
    <w:rsid w:val="008B3054"/>
    <w:rsid w:val="008B6C5F"/>
    <w:rsid w:val="008B75C2"/>
    <w:rsid w:val="008C132B"/>
    <w:rsid w:val="008C1F79"/>
    <w:rsid w:val="008D4F90"/>
    <w:rsid w:val="008D5ED9"/>
    <w:rsid w:val="008D5FA8"/>
    <w:rsid w:val="008D696C"/>
    <w:rsid w:val="008E0B64"/>
    <w:rsid w:val="008E41DB"/>
    <w:rsid w:val="008E63E9"/>
    <w:rsid w:val="008E7808"/>
    <w:rsid w:val="008F1389"/>
    <w:rsid w:val="008F3A86"/>
    <w:rsid w:val="008F4F9A"/>
    <w:rsid w:val="0090355E"/>
    <w:rsid w:val="009052ED"/>
    <w:rsid w:val="00906871"/>
    <w:rsid w:val="00907BC4"/>
    <w:rsid w:val="009131D7"/>
    <w:rsid w:val="00921EB3"/>
    <w:rsid w:val="00923572"/>
    <w:rsid w:val="00923B5A"/>
    <w:rsid w:val="00933A25"/>
    <w:rsid w:val="009377A4"/>
    <w:rsid w:val="00941819"/>
    <w:rsid w:val="00942FE2"/>
    <w:rsid w:val="00945321"/>
    <w:rsid w:val="009453C5"/>
    <w:rsid w:val="00946F18"/>
    <w:rsid w:val="00956785"/>
    <w:rsid w:val="009602AC"/>
    <w:rsid w:val="00963B62"/>
    <w:rsid w:val="00975949"/>
    <w:rsid w:val="009845D6"/>
    <w:rsid w:val="0098554D"/>
    <w:rsid w:val="009910C1"/>
    <w:rsid w:val="00991426"/>
    <w:rsid w:val="00992B05"/>
    <w:rsid w:val="009969BB"/>
    <w:rsid w:val="009A0209"/>
    <w:rsid w:val="009A1955"/>
    <w:rsid w:val="009A2185"/>
    <w:rsid w:val="009A2A47"/>
    <w:rsid w:val="009A3A11"/>
    <w:rsid w:val="009A3FE8"/>
    <w:rsid w:val="009A43ED"/>
    <w:rsid w:val="009C4C7D"/>
    <w:rsid w:val="009D288D"/>
    <w:rsid w:val="009D5BA1"/>
    <w:rsid w:val="009D71DB"/>
    <w:rsid w:val="009D72D3"/>
    <w:rsid w:val="009D76DD"/>
    <w:rsid w:val="009E0E14"/>
    <w:rsid w:val="009E688B"/>
    <w:rsid w:val="009F183C"/>
    <w:rsid w:val="009F2C34"/>
    <w:rsid w:val="00A02F99"/>
    <w:rsid w:val="00A071F6"/>
    <w:rsid w:val="00A342B6"/>
    <w:rsid w:val="00A347EE"/>
    <w:rsid w:val="00A35441"/>
    <w:rsid w:val="00A37D48"/>
    <w:rsid w:val="00A400C8"/>
    <w:rsid w:val="00A41714"/>
    <w:rsid w:val="00A435AF"/>
    <w:rsid w:val="00A43E87"/>
    <w:rsid w:val="00A441DF"/>
    <w:rsid w:val="00A4649A"/>
    <w:rsid w:val="00A51502"/>
    <w:rsid w:val="00A5330C"/>
    <w:rsid w:val="00A53709"/>
    <w:rsid w:val="00A55DA4"/>
    <w:rsid w:val="00A560A8"/>
    <w:rsid w:val="00A56C72"/>
    <w:rsid w:val="00A57D7D"/>
    <w:rsid w:val="00A60DA8"/>
    <w:rsid w:val="00A64E5E"/>
    <w:rsid w:val="00A70AFE"/>
    <w:rsid w:val="00A70E74"/>
    <w:rsid w:val="00A744F3"/>
    <w:rsid w:val="00A74D6F"/>
    <w:rsid w:val="00A75B56"/>
    <w:rsid w:val="00A776E3"/>
    <w:rsid w:val="00A912DB"/>
    <w:rsid w:val="00A93B47"/>
    <w:rsid w:val="00A94DB0"/>
    <w:rsid w:val="00A96910"/>
    <w:rsid w:val="00AA0240"/>
    <w:rsid w:val="00AA3153"/>
    <w:rsid w:val="00AA3CF7"/>
    <w:rsid w:val="00AA5BE4"/>
    <w:rsid w:val="00AA6E2D"/>
    <w:rsid w:val="00AB4819"/>
    <w:rsid w:val="00AC304B"/>
    <w:rsid w:val="00AD1F95"/>
    <w:rsid w:val="00AD4E3D"/>
    <w:rsid w:val="00AD5FC6"/>
    <w:rsid w:val="00AD653D"/>
    <w:rsid w:val="00AD736A"/>
    <w:rsid w:val="00AE3C75"/>
    <w:rsid w:val="00AE6A07"/>
    <w:rsid w:val="00AE78A7"/>
    <w:rsid w:val="00AE7967"/>
    <w:rsid w:val="00AF0EC9"/>
    <w:rsid w:val="00B07747"/>
    <w:rsid w:val="00B07EC5"/>
    <w:rsid w:val="00B13B32"/>
    <w:rsid w:val="00B20F9D"/>
    <w:rsid w:val="00B3112B"/>
    <w:rsid w:val="00B31C4A"/>
    <w:rsid w:val="00B32689"/>
    <w:rsid w:val="00B32839"/>
    <w:rsid w:val="00B42ECE"/>
    <w:rsid w:val="00B449BF"/>
    <w:rsid w:val="00B507E7"/>
    <w:rsid w:val="00B50BCF"/>
    <w:rsid w:val="00B55E9C"/>
    <w:rsid w:val="00B57530"/>
    <w:rsid w:val="00B6021A"/>
    <w:rsid w:val="00B636BE"/>
    <w:rsid w:val="00B72941"/>
    <w:rsid w:val="00B736A2"/>
    <w:rsid w:val="00B77691"/>
    <w:rsid w:val="00B91CB1"/>
    <w:rsid w:val="00B92A03"/>
    <w:rsid w:val="00BA0CE2"/>
    <w:rsid w:val="00BA1CF6"/>
    <w:rsid w:val="00BA4E7C"/>
    <w:rsid w:val="00BC5B32"/>
    <w:rsid w:val="00BD1783"/>
    <w:rsid w:val="00BD1FD8"/>
    <w:rsid w:val="00BD5B5C"/>
    <w:rsid w:val="00BD5DCF"/>
    <w:rsid w:val="00BE21AE"/>
    <w:rsid w:val="00BE3108"/>
    <w:rsid w:val="00BE4763"/>
    <w:rsid w:val="00BF4745"/>
    <w:rsid w:val="00BF5D1F"/>
    <w:rsid w:val="00BF5EB3"/>
    <w:rsid w:val="00C006F3"/>
    <w:rsid w:val="00C020AE"/>
    <w:rsid w:val="00C11D08"/>
    <w:rsid w:val="00C26D57"/>
    <w:rsid w:val="00C3198C"/>
    <w:rsid w:val="00C37617"/>
    <w:rsid w:val="00C4365E"/>
    <w:rsid w:val="00C51917"/>
    <w:rsid w:val="00C54BFC"/>
    <w:rsid w:val="00C5764D"/>
    <w:rsid w:val="00C57DFB"/>
    <w:rsid w:val="00C60AA8"/>
    <w:rsid w:val="00C62817"/>
    <w:rsid w:val="00C62F15"/>
    <w:rsid w:val="00C70422"/>
    <w:rsid w:val="00C724AF"/>
    <w:rsid w:val="00C72D23"/>
    <w:rsid w:val="00C73EC6"/>
    <w:rsid w:val="00C742C1"/>
    <w:rsid w:val="00C866C3"/>
    <w:rsid w:val="00CA2056"/>
    <w:rsid w:val="00CA633A"/>
    <w:rsid w:val="00CB0037"/>
    <w:rsid w:val="00CB0610"/>
    <w:rsid w:val="00CC0780"/>
    <w:rsid w:val="00CC13CF"/>
    <w:rsid w:val="00CC3BB1"/>
    <w:rsid w:val="00CC653F"/>
    <w:rsid w:val="00CC6618"/>
    <w:rsid w:val="00CC6E0F"/>
    <w:rsid w:val="00CD0833"/>
    <w:rsid w:val="00CD1E43"/>
    <w:rsid w:val="00CD40E8"/>
    <w:rsid w:val="00CD6C53"/>
    <w:rsid w:val="00CE1C2C"/>
    <w:rsid w:val="00CE23E6"/>
    <w:rsid w:val="00CE25A7"/>
    <w:rsid w:val="00CE474A"/>
    <w:rsid w:val="00CF04CD"/>
    <w:rsid w:val="00CF5B7F"/>
    <w:rsid w:val="00CF7E79"/>
    <w:rsid w:val="00D05780"/>
    <w:rsid w:val="00D05E61"/>
    <w:rsid w:val="00D06D4F"/>
    <w:rsid w:val="00D113BB"/>
    <w:rsid w:val="00D173CB"/>
    <w:rsid w:val="00D21FE8"/>
    <w:rsid w:val="00D22840"/>
    <w:rsid w:val="00D22B2D"/>
    <w:rsid w:val="00D25AA7"/>
    <w:rsid w:val="00D2677B"/>
    <w:rsid w:val="00D26954"/>
    <w:rsid w:val="00D3066A"/>
    <w:rsid w:val="00D346E3"/>
    <w:rsid w:val="00D45E40"/>
    <w:rsid w:val="00D566D1"/>
    <w:rsid w:val="00D56E53"/>
    <w:rsid w:val="00D627A7"/>
    <w:rsid w:val="00D65EAC"/>
    <w:rsid w:val="00D66B7E"/>
    <w:rsid w:val="00D751F6"/>
    <w:rsid w:val="00D7536D"/>
    <w:rsid w:val="00D82479"/>
    <w:rsid w:val="00D827ED"/>
    <w:rsid w:val="00D85D1E"/>
    <w:rsid w:val="00D86412"/>
    <w:rsid w:val="00D86B06"/>
    <w:rsid w:val="00D95960"/>
    <w:rsid w:val="00DA07AF"/>
    <w:rsid w:val="00DA31C3"/>
    <w:rsid w:val="00DA66E6"/>
    <w:rsid w:val="00DB3191"/>
    <w:rsid w:val="00DB3855"/>
    <w:rsid w:val="00DB3E53"/>
    <w:rsid w:val="00DB5B38"/>
    <w:rsid w:val="00DB6DB7"/>
    <w:rsid w:val="00DC0AEA"/>
    <w:rsid w:val="00DC52B3"/>
    <w:rsid w:val="00DD3FD4"/>
    <w:rsid w:val="00DD5E3C"/>
    <w:rsid w:val="00DE2828"/>
    <w:rsid w:val="00DE6379"/>
    <w:rsid w:val="00DF1456"/>
    <w:rsid w:val="00DF35CA"/>
    <w:rsid w:val="00DF74F4"/>
    <w:rsid w:val="00E0024D"/>
    <w:rsid w:val="00E03D16"/>
    <w:rsid w:val="00E079D9"/>
    <w:rsid w:val="00E07F9F"/>
    <w:rsid w:val="00E13CD2"/>
    <w:rsid w:val="00E255CF"/>
    <w:rsid w:val="00E27501"/>
    <w:rsid w:val="00E30E5A"/>
    <w:rsid w:val="00E31921"/>
    <w:rsid w:val="00E31F33"/>
    <w:rsid w:val="00E33D57"/>
    <w:rsid w:val="00E34456"/>
    <w:rsid w:val="00E36CB2"/>
    <w:rsid w:val="00E40489"/>
    <w:rsid w:val="00E41264"/>
    <w:rsid w:val="00E41B42"/>
    <w:rsid w:val="00E4745F"/>
    <w:rsid w:val="00E53B65"/>
    <w:rsid w:val="00E5779C"/>
    <w:rsid w:val="00E666CC"/>
    <w:rsid w:val="00E67857"/>
    <w:rsid w:val="00E7071F"/>
    <w:rsid w:val="00E70A9A"/>
    <w:rsid w:val="00E77947"/>
    <w:rsid w:val="00E801FF"/>
    <w:rsid w:val="00E94510"/>
    <w:rsid w:val="00EA23CB"/>
    <w:rsid w:val="00EA3708"/>
    <w:rsid w:val="00EC101D"/>
    <w:rsid w:val="00EC427C"/>
    <w:rsid w:val="00EC6EB8"/>
    <w:rsid w:val="00EC7FCF"/>
    <w:rsid w:val="00ED0802"/>
    <w:rsid w:val="00ED285A"/>
    <w:rsid w:val="00EE2C82"/>
    <w:rsid w:val="00EF4B04"/>
    <w:rsid w:val="00EF4F49"/>
    <w:rsid w:val="00EF5AFE"/>
    <w:rsid w:val="00EF6B6F"/>
    <w:rsid w:val="00EF6D75"/>
    <w:rsid w:val="00EF780E"/>
    <w:rsid w:val="00F02260"/>
    <w:rsid w:val="00F03AB5"/>
    <w:rsid w:val="00F066BC"/>
    <w:rsid w:val="00F13617"/>
    <w:rsid w:val="00F171F9"/>
    <w:rsid w:val="00F200A6"/>
    <w:rsid w:val="00F23BF2"/>
    <w:rsid w:val="00F24FB3"/>
    <w:rsid w:val="00F33666"/>
    <w:rsid w:val="00F337CF"/>
    <w:rsid w:val="00F36981"/>
    <w:rsid w:val="00F45A8C"/>
    <w:rsid w:val="00F475CC"/>
    <w:rsid w:val="00F47EEE"/>
    <w:rsid w:val="00F50861"/>
    <w:rsid w:val="00F5268D"/>
    <w:rsid w:val="00F5780F"/>
    <w:rsid w:val="00F57CCC"/>
    <w:rsid w:val="00F6593C"/>
    <w:rsid w:val="00F67F82"/>
    <w:rsid w:val="00F70E03"/>
    <w:rsid w:val="00F7256E"/>
    <w:rsid w:val="00F740C6"/>
    <w:rsid w:val="00F74975"/>
    <w:rsid w:val="00F7537E"/>
    <w:rsid w:val="00F7668F"/>
    <w:rsid w:val="00F76975"/>
    <w:rsid w:val="00F77C4B"/>
    <w:rsid w:val="00F822D8"/>
    <w:rsid w:val="00F843FA"/>
    <w:rsid w:val="00FA0A83"/>
    <w:rsid w:val="00FA1567"/>
    <w:rsid w:val="00FA424E"/>
    <w:rsid w:val="00FA4AA1"/>
    <w:rsid w:val="00FA6942"/>
    <w:rsid w:val="00FA74AA"/>
    <w:rsid w:val="00FB1E73"/>
    <w:rsid w:val="00FB3283"/>
    <w:rsid w:val="00FB44E8"/>
    <w:rsid w:val="00FB50CC"/>
    <w:rsid w:val="00FB5CA2"/>
    <w:rsid w:val="00FB6755"/>
    <w:rsid w:val="00FB7AB5"/>
    <w:rsid w:val="00FC055E"/>
    <w:rsid w:val="00FC08E6"/>
    <w:rsid w:val="00FC39C1"/>
    <w:rsid w:val="00FC704F"/>
    <w:rsid w:val="00FD0A63"/>
    <w:rsid w:val="00FD297A"/>
    <w:rsid w:val="00FE5B94"/>
    <w:rsid w:val="00FE679C"/>
    <w:rsid w:val="00FE760E"/>
    <w:rsid w:val="00FF1F15"/>
    <w:rsid w:val="00FF331E"/>
    <w:rsid w:val="00FF3A81"/>
    <w:rsid w:val="00FF4DDA"/>
    <w:rsid w:val="00FF67B3"/>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817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C25"/>
    <w:rPr>
      <w:lang w:val="en-GB"/>
    </w:rPr>
  </w:style>
  <w:style w:type="paragraph" w:styleId="Heading1">
    <w:name w:val="heading 1"/>
    <w:basedOn w:val="Normal"/>
    <w:next w:val="Normal"/>
    <w:link w:val="Heading1Char"/>
    <w:uiPriority w:val="9"/>
    <w:qFormat/>
    <w:rsid w:val="00F822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44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che List Paragraph,Task Body,Viñetas (Inicio Parrafo),3 Txt tabla,Zerrenda-paragrafoa,Lista multicolor - Énfasis 11,Paragrafo elenco,1st level - Bullet List Paragraph,Lettre d'introduction,Normal bullet 2,Bullet list,Listenabsatz1,Nad,L"/>
    <w:basedOn w:val="Normal"/>
    <w:link w:val="ListParagraphChar"/>
    <w:uiPriority w:val="34"/>
    <w:qFormat/>
    <w:rsid w:val="001046B5"/>
    <w:pPr>
      <w:ind w:left="720"/>
      <w:contextualSpacing/>
    </w:pPr>
  </w:style>
  <w:style w:type="paragraph" w:styleId="FootnoteText">
    <w:name w:val="footnote text"/>
    <w:basedOn w:val="Normal"/>
    <w:link w:val="FootnoteTextChar"/>
    <w:uiPriority w:val="99"/>
    <w:unhideWhenUsed/>
    <w:rsid w:val="00C26D57"/>
    <w:pPr>
      <w:spacing w:after="0" w:line="240" w:lineRule="auto"/>
    </w:pPr>
    <w:rPr>
      <w:rFonts w:ascii="Garamond" w:eastAsia="Garamond" w:hAnsi="Garamond" w:cs="Garamond"/>
      <w:sz w:val="20"/>
      <w:szCs w:val="20"/>
      <w:lang w:eastAsia="it-IT"/>
    </w:rPr>
  </w:style>
  <w:style w:type="character" w:customStyle="1" w:styleId="FootnoteTextChar">
    <w:name w:val="Footnote Text Char"/>
    <w:basedOn w:val="DefaultParagraphFont"/>
    <w:link w:val="FootnoteText"/>
    <w:uiPriority w:val="99"/>
    <w:rsid w:val="00C26D57"/>
    <w:rPr>
      <w:rFonts w:ascii="Garamond" w:eastAsia="Garamond" w:hAnsi="Garamond" w:cs="Garamond"/>
      <w:sz w:val="20"/>
      <w:szCs w:val="20"/>
      <w:lang w:val="en-GB" w:eastAsia="it-IT"/>
    </w:rPr>
  </w:style>
  <w:style w:type="character" w:styleId="FootnoteReference">
    <w:name w:val="footnote reference"/>
    <w:basedOn w:val="DefaultParagraphFont"/>
    <w:uiPriority w:val="99"/>
    <w:semiHidden/>
    <w:unhideWhenUsed/>
    <w:rsid w:val="00C26D57"/>
    <w:rPr>
      <w:vertAlign w:val="superscript"/>
    </w:rPr>
  </w:style>
  <w:style w:type="paragraph" w:customStyle="1" w:styleId="TableNote">
    <w:name w:val="Table Note"/>
    <w:next w:val="Normal"/>
    <w:uiPriority w:val="7"/>
    <w:rsid w:val="00C26D57"/>
    <w:pPr>
      <w:spacing w:before="40" w:after="200" w:line="240" w:lineRule="auto"/>
      <w:contextualSpacing/>
    </w:pPr>
    <w:rPr>
      <w:rFonts w:ascii="Arial" w:eastAsia="Times New Roman" w:hAnsi="Arial" w:cs="Times New Roman"/>
      <w:sz w:val="18"/>
      <w:szCs w:val="24"/>
      <w:lang w:val="en-GB" w:eastAsia="en-GB"/>
    </w:rPr>
  </w:style>
  <w:style w:type="character" w:styleId="Hyperlink">
    <w:name w:val="Hyperlink"/>
    <w:basedOn w:val="DefaultParagraphFont"/>
    <w:uiPriority w:val="99"/>
    <w:unhideWhenUsed/>
    <w:rsid w:val="00FF3A81"/>
    <w:rPr>
      <w:color w:val="0000FF"/>
      <w:u w:val="single"/>
    </w:rPr>
  </w:style>
  <w:style w:type="paragraph" w:styleId="NormalWeb">
    <w:name w:val="Normal (Web)"/>
    <w:basedOn w:val="Normal"/>
    <w:uiPriority w:val="99"/>
    <w:unhideWhenUsed/>
    <w:rsid w:val="00A969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Title">
    <w:name w:val="Table Title"/>
    <w:next w:val="Normal"/>
    <w:uiPriority w:val="6"/>
    <w:rsid w:val="00E13CD2"/>
    <w:pPr>
      <w:keepNext/>
      <w:spacing w:before="120" w:after="120" w:line="240" w:lineRule="auto"/>
      <w:jc w:val="center"/>
    </w:pPr>
    <w:rPr>
      <w:rFonts w:ascii="Arial" w:eastAsia="Times New Roman" w:hAnsi="Arial" w:cs="Times New Roman"/>
      <w:b/>
      <w:color w:val="325BAA"/>
      <w:szCs w:val="24"/>
      <w:lang w:val="en-GB" w:eastAsia="en-GB"/>
    </w:rPr>
  </w:style>
  <w:style w:type="paragraph" w:customStyle="1" w:styleId="TableSource">
    <w:name w:val="Table Source"/>
    <w:next w:val="Normal"/>
    <w:uiPriority w:val="7"/>
    <w:rsid w:val="00E13CD2"/>
    <w:pPr>
      <w:spacing w:before="40" w:after="200" w:line="240" w:lineRule="auto"/>
    </w:pPr>
    <w:rPr>
      <w:rFonts w:ascii="Arial" w:eastAsia="Times New Roman" w:hAnsi="Arial" w:cs="Times New Roman"/>
      <w:sz w:val="18"/>
      <w:szCs w:val="24"/>
      <w:lang w:val="en-GB" w:eastAsia="en-GB"/>
    </w:rPr>
  </w:style>
  <w:style w:type="character" w:styleId="Strong">
    <w:name w:val="Strong"/>
    <w:basedOn w:val="DefaultParagraphFont"/>
    <w:uiPriority w:val="22"/>
    <w:qFormat/>
    <w:rsid w:val="00586669"/>
    <w:rPr>
      <w:b/>
      <w:bCs/>
    </w:rPr>
  </w:style>
  <w:style w:type="paragraph" w:customStyle="1" w:styleId="loginbuttoncontainer">
    <w:name w:val="loginbuttoncontainer"/>
    <w:basedOn w:val="Normal"/>
    <w:rsid w:val="005866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cl-linklabel">
    <w:name w:val="ecl-link__label"/>
    <w:basedOn w:val="DefaultParagraphFont"/>
    <w:rsid w:val="00586669"/>
  </w:style>
  <w:style w:type="character" w:styleId="CommentReference">
    <w:name w:val="annotation reference"/>
    <w:basedOn w:val="DefaultParagraphFont"/>
    <w:uiPriority w:val="99"/>
    <w:semiHidden/>
    <w:unhideWhenUsed/>
    <w:rsid w:val="00D56E53"/>
    <w:rPr>
      <w:sz w:val="16"/>
      <w:szCs w:val="16"/>
    </w:rPr>
  </w:style>
  <w:style w:type="paragraph" w:styleId="CommentText">
    <w:name w:val="annotation text"/>
    <w:basedOn w:val="Normal"/>
    <w:link w:val="CommentTextChar"/>
    <w:uiPriority w:val="99"/>
    <w:unhideWhenUsed/>
    <w:rsid w:val="00D56E53"/>
    <w:pPr>
      <w:spacing w:line="240" w:lineRule="auto"/>
    </w:pPr>
    <w:rPr>
      <w:sz w:val="20"/>
      <w:szCs w:val="20"/>
    </w:rPr>
  </w:style>
  <w:style w:type="character" w:customStyle="1" w:styleId="CommentTextChar">
    <w:name w:val="Comment Text Char"/>
    <w:basedOn w:val="DefaultParagraphFont"/>
    <w:link w:val="CommentText"/>
    <w:uiPriority w:val="99"/>
    <w:rsid w:val="00D56E53"/>
    <w:rPr>
      <w:sz w:val="20"/>
      <w:szCs w:val="20"/>
      <w:lang w:val="en-GB"/>
    </w:rPr>
  </w:style>
  <w:style w:type="paragraph" w:styleId="BalloonText">
    <w:name w:val="Balloon Text"/>
    <w:basedOn w:val="Normal"/>
    <w:link w:val="BalloonTextChar"/>
    <w:uiPriority w:val="99"/>
    <w:semiHidden/>
    <w:unhideWhenUsed/>
    <w:rsid w:val="00D56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53"/>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15577"/>
    <w:rPr>
      <w:b/>
      <w:bCs/>
    </w:rPr>
  </w:style>
  <w:style w:type="character" w:customStyle="1" w:styleId="CommentSubjectChar">
    <w:name w:val="Comment Subject Char"/>
    <w:basedOn w:val="CommentTextChar"/>
    <w:link w:val="CommentSubject"/>
    <w:uiPriority w:val="99"/>
    <w:semiHidden/>
    <w:rsid w:val="00115577"/>
    <w:rPr>
      <w:b/>
      <w:bCs/>
      <w:sz w:val="20"/>
      <w:szCs w:val="20"/>
      <w:lang w:val="en-GB"/>
    </w:rPr>
  </w:style>
  <w:style w:type="paragraph" w:styleId="Revision">
    <w:name w:val="Revision"/>
    <w:hidden/>
    <w:uiPriority w:val="99"/>
    <w:semiHidden/>
    <w:rsid w:val="00CC3BB1"/>
    <w:pPr>
      <w:spacing w:after="0" w:line="240" w:lineRule="auto"/>
    </w:pPr>
    <w:rPr>
      <w:lang w:val="en-GB"/>
    </w:rPr>
  </w:style>
  <w:style w:type="paragraph" w:styleId="Header">
    <w:name w:val="header"/>
    <w:basedOn w:val="Normal"/>
    <w:link w:val="HeaderChar"/>
    <w:uiPriority w:val="99"/>
    <w:unhideWhenUsed/>
    <w:rsid w:val="00376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F07"/>
    <w:rPr>
      <w:lang w:val="en-GB"/>
    </w:rPr>
  </w:style>
  <w:style w:type="paragraph" w:styleId="Footer">
    <w:name w:val="footer"/>
    <w:basedOn w:val="Normal"/>
    <w:link w:val="FooterChar"/>
    <w:uiPriority w:val="99"/>
    <w:unhideWhenUsed/>
    <w:rsid w:val="00376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F07"/>
    <w:rPr>
      <w:lang w:val="en-GB"/>
    </w:rPr>
  </w:style>
  <w:style w:type="character" w:customStyle="1" w:styleId="ListParagraphChar">
    <w:name w:val="List Paragraph Char"/>
    <w:aliases w:val="Fiche List Paragraph Char,Task Body Char,Viñetas (Inicio Parrafo) Char,3 Txt tabla Char,Zerrenda-paragrafoa Char,Lista multicolor - Énfasis 11 Char,Paragrafo elenco Char,1st level - Bullet List Paragraph Char,Normal bullet 2 Char"/>
    <w:link w:val="ListParagraph"/>
    <w:uiPriority w:val="34"/>
    <w:qFormat/>
    <w:locked/>
    <w:rsid w:val="00854E22"/>
    <w:rPr>
      <w:lang w:val="en-GB"/>
    </w:rPr>
  </w:style>
  <w:style w:type="character" w:customStyle="1" w:styleId="Marker">
    <w:name w:val="Marker"/>
    <w:basedOn w:val="DefaultParagraphFont"/>
    <w:rsid w:val="005541DB"/>
    <w:rPr>
      <w:color w:val="0000FF"/>
      <w:shd w:val="clear" w:color="auto" w:fill="auto"/>
    </w:rPr>
  </w:style>
  <w:style w:type="paragraph" w:customStyle="1" w:styleId="Pagedecouverture">
    <w:name w:val="Page de couverture"/>
    <w:basedOn w:val="Normal"/>
    <w:next w:val="Normal"/>
    <w:rsid w:val="005541DB"/>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5541D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541DB"/>
    <w:rPr>
      <w:rFonts w:ascii="Times New Roman" w:hAnsi="Times New Roman" w:cs="Times New Roman"/>
      <w:sz w:val="24"/>
      <w:lang w:val="en-GB"/>
    </w:rPr>
  </w:style>
  <w:style w:type="paragraph" w:customStyle="1" w:styleId="FooterSensitivity">
    <w:name w:val="Footer Sensitivity"/>
    <w:basedOn w:val="Normal"/>
    <w:link w:val="FooterSensitivityChar"/>
    <w:rsid w:val="005541D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541DB"/>
    <w:rPr>
      <w:rFonts w:ascii="Times New Roman" w:hAnsi="Times New Roman" w:cs="Times New Roman"/>
      <w:b/>
      <w:sz w:val="32"/>
      <w:lang w:val="en-GB"/>
    </w:rPr>
  </w:style>
  <w:style w:type="paragraph" w:customStyle="1" w:styleId="HeaderCoverPage">
    <w:name w:val="Header Cover Page"/>
    <w:basedOn w:val="Normal"/>
    <w:link w:val="HeaderCoverPageChar"/>
    <w:rsid w:val="005541D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541DB"/>
    <w:rPr>
      <w:rFonts w:ascii="Times New Roman" w:hAnsi="Times New Roman" w:cs="Times New Roman"/>
      <w:sz w:val="24"/>
      <w:lang w:val="en-GB"/>
    </w:rPr>
  </w:style>
  <w:style w:type="paragraph" w:customStyle="1" w:styleId="HeaderSensitivity">
    <w:name w:val="Header Sensitivity"/>
    <w:basedOn w:val="Normal"/>
    <w:link w:val="HeaderSensitivityChar"/>
    <w:rsid w:val="005541D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541DB"/>
    <w:rPr>
      <w:rFonts w:ascii="Times New Roman" w:hAnsi="Times New Roman" w:cs="Times New Roman"/>
      <w:b/>
      <w:sz w:val="32"/>
      <w:lang w:val="en-GB"/>
    </w:rPr>
  </w:style>
  <w:style w:type="paragraph" w:customStyle="1" w:styleId="HeaderSensitivityRight">
    <w:name w:val="Header Sensitivity Right"/>
    <w:basedOn w:val="Normal"/>
    <w:link w:val="HeaderSensitivityRightChar"/>
    <w:rsid w:val="001D0A68"/>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541DB"/>
    <w:rPr>
      <w:rFonts w:ascii="Times New Roman" w:hAnsi="Times New Roman" w:cs="Times New Roman"/>
      <w:sz w:val="28"/>
      <w:lang w:val="en-GB"/>
    </w:rPr>
  </w:style>
  <w:style w:type="character" w:customStyle="1" w:styleId="Heading1Char">
    <w:name w:val="Heading 1 Char"/>
    <w:basedOn w:val="DefaultParagraphFont"/>
    <w:link w:val="Heading1"/>
    <w:uiPriority w:val="9"/>
    <w:rsid w:val="00F822D8"/>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F822D8"/>
    <w:pPr>
      <w:outlineLvl w:val="9"/>
    </w:pPr>
    <w:rPr>
      <w:lang w:val="en-US"/>
    </w:rPr>
  </w:style>
  <w:style w:type="paragraph" w:styleId="TOC2">
    <w:name w:val="toc 2"/>
    <w:basedOn w:val="Normal"/>
    <w:next w:val="Normal"/>
    <w:autoRedefine/>
    <w:uiPriority w:val="39"/>
    <w:unhideWhenUsed/>
    <w:rsid w:val="00F822D8"/>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5E7DA6"/>
    <w:pPr>
      <w:tabs>
        <w:tab w:val="left" w:pos="440"/>
        <w:tab w:val="right" w:leader="dot" w:pos="9350"/>
      </w:tabs>
      <w:spacing w:after="100"/>
    </w:pPr>
    <w:rPr>
      <w:rFonts w:eastAsiaTheme="minorEastAsia" w:cs="Times New Roman"/>
      <w:lang w:val="en-US"/>
    </w:rPr>
  </w:style>
  <w:style w:type="paragraph" w:styleId="TOC3">
    <w:name w:val="toc 3"/>
    <w:basedOn w:val="Normal"/>
    <w:next w:val="Normal"/>
    <w:autoRedefine/>
    <w:uiPriority w:val="39"/>
    <w:unhideWhenUsed/>
    <w:rsid w:val="00F822D8"/>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29445F"/>
    <w:rPr>
      <w:rFonts w:asciiTheme="majorHAnsi" w:eastAsiaTheme="majorEastAsia" w:hAnsiTheme="majorHAnsi" w:cstheme="majorBidi"/>
      <w:color w:val="2E74B5" w:themeColor="accent1" w:themeShade="BF"/>
      <w:sz w:val="26"/>
      <w:szCs w:val="26"/>
      <w:lang w:val="en-GB"/>
    </w:rPr>
  </w:style>
  <w:style w:type="character" w:styleId="FollowedHyperlink">
    <w:name w:val="FollowedHyperlink"/>
    <w:basedOn w:val="DefaultParagraphFont"/>
    <w:uiPriority w:val="99"/>
    <w:semiHidden/>
    <w:unhideWhenUsed/>
    <w:rsid w:val="002F77FC"/>
    <w:rPr>
      <w:color w:val="954F72" w:themeColor="followedHyperlink"/>
      <w:u w:val="single"/>
    </w:rPr>
  </w:style>
  <w:style w:type="paragraph" w:customStyle="1" w:styleId="Disclaimer">
    <w:name w:val="Disclaimer"/>
    <w:basedOn w:val="Normal"/>
    <w:rsid w:val="001D0A6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1D0A68"/>
    <w:pPr>
      <w:spacing w:after="0" w:line="276" w:lineRule="auto"/>
      <w:ind w:left="5103"/>
    </w:pPr>
    <w:rPr>
      <w:rFonts w:ascii="Times New Roman" w:hAnsi="Times New Roman" w:cs="Times New Roman"/>
      <w:sz w:val="28"/>
    </w:rPr>
  </w:style>
  <w:style w:type="paragraph" w:customStyle="1" w:styleId="DateMarking">
    <w:name w:val="DateMarking"/>
    <w:basedOn w:val="Normal"/>
    <w:rsid w:val="001D0A68"/>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1D0A68"/>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5902">
      <w:bodyDiv w:val="1"/>
      <w:marLeft w:val="0"/>
      <w:marRight w:val="0"/>
      <w:marTop w:val="0"/>
      <w:marBottom w:val="0"/>
      <w:divBdr>
        <w:top w:val="none" w:sz="0" w:space="0" w:color="auto"/>
        <w:left w:val="none" w:sz="0" w:space="0" w:color="auto"/>
        <w:bottom w:val="none" w:sz="0" w:space="0" w:color="auto"/>
        <w:right w:val="none" w:sz="0" w:space="0" w:color="auto"/>
      </w:divBdr>
    </w:div>
    <w:div w:id="163789304">
      <w:bodyDiv w:val="1"/>
      <w:marLeft w:val="0"/>
      <w:marRight w:val="0"/>
      <w:marTop w:val="0"/>
      <w:marBottom w:val="0"/>
      <w:divBdr>
        <w:top w:val="none" w:sz="0" w:space="0" w:color="auto"/>
        <w:left w:val="none" w:sz="0" w:space="0" w:color="auto"/>
        <w:bottom w:val="none" w:sz="0" w:space="0" w:color="auto"/>
        <w:right w:val="none" w:sz="0" w:space="0" w:color="auto"/>
      </w:divBdr>
    </w:div>
    <w:div w:id="212621970">
      <w:bodyDiv w:val="1"/>
      <w:marLeft w:val="0"/>
      <w:marRight w:val="0"/>
      <w:marTop w:val="0"/>
      <w:marBottom w:val="0"/>
      <w:divBdr>
        <w:top w:val="none" w:sz="0" w:space="0" w:color="auto"/>
        <w:left w:val="none" w:sz="0" w:space="0" w:color="auto"/>
        <w:bottom w:val="none" w:sz="0" w:space="0" w:color="auto"/>
        <w:right w:val="none" w:sz="0" w:space="0" w:color="auto"/>
      </w:divBdr>
    </w:div>
    <w:div w:id="241766284">
      <w:bodyDiv w:val="1"/>
      <w:marLeft w:val="0"/>
      <w:marRight w:val="0"/>
      <w:marTop w:val="0"/>
      <w:marBottom w:val="0"/>
      <w:divBdr>
        <w:top w:val="none" w:sz="0" w:space="0" w:color="auto"/>
        <w:left w:val="none" w:sz="0" w:space="0" w:color="auto"/>
        <w:bottom w:val="none" w:sz="0" w:space="0" w:color="auto"/>
        <w:right w:val="none" w:sz="0" w:space="0" w:color="auto"/>
      </w:divBdr>
    </w:div>
    <w:div w:id="681591351">
      <w:bodyDiv w:val="1"/>
      <w:marLeft w:val="0"/>
      <w:marRight w:val="0"/>
      <w:marTop w:val="0"/>
      <w:marBottom w:val="0"/>
      <w:divBdr>
        <w:top w:val="none" w:sz="0" w:space="0" w:color="auto"/>
        <w:left w:val="none" w:sz="0" w:space="0" w:color="auto"/>
        <w:bottom w:val="none" w:sz="0" w:space="0" w:color="auto"/>
        <w:right w:val="none" w:sz="0" w:space="0" w:color="auto"/>
      </w:divBdr>
    </w:div>
    <w:div w:id="710308539">
      <w:bodyDiv w:val="1"/>
      <w:marLeft w:val="0"/>
      <w:marRight w:val="0"/>
      <w:marTop w:val="0"/>
      <w:marBottom w:val="0"/>
      <w:divBdr>
        <w:top w:val="none" w:sz="0" w:space="0" w:color="auto"/>
        <w:left w:val="none" w:sz="0" w:space="0" w:color="auto"/>
        <w:bottom w:val="none" w:sz="0" w:space="0" w:color="auto"/>
        <w:right w:val="none" w:sz="0" w:space="0" w:color="auto"/>
      </w:divBdr>
    </w:div>
    <w:div w:id="767389810">
      <w:bodyDiv w:val="1"/>
      <w:marLeft w:val="0"/>
      <w:marRight w:val="0"/>
      <w:marTop w:val="0"/>
      <w:marBottom w:val="0"/>
      <w:divBdr>
        <w:top w:val="none" w:sz="0" w:space="0" w:color="auto"/>
        <w:left w:val="none" w:sz="0" w:space="0" w:color="auto"/>
        <w:bottom w:val="none" w:sz="0" w:space="0" w:color="auto"/>
        <w:right w:val="none" w:sz="0" w:space="0" w:color="auto"/>
      </w:divBdr>
    </w:div>
    <w:div w:id="1515534764">
      <w:bodyDiv w:val="1"/>
      <w:marLeft w:val="0"/>
      <w:marRight w:val="0"/>
      <w:marTop w:val="0"/>
      <w:marBottom w:val="0"/>
      <w:divBdr>
        <w:top w:val="none" w:sz="0" w:space="0" w:color="auto"/>
        <w:left w:val="none" w:sz="0" w:space="0" w:color="auto"/>
        <w:bottom w:val="none" w:sz="0" w:space="0" w:color="auto"/>
        <w:right w:val="none" w:sz="0" w:space="0" w:color="auto"/>
      </w:divBdr>
    </w:div>
    <w:div w:id="1605533356">
      <w:bodyDiv w:val="1"/>
      <w:marLeft w:val="0"/>
      <w:marRight w:val="0"/>
      <w:marTop w:val="0"/>
      <w:marBottom w:val="0"/>
      <w:divBdr>
        <w:top w:val="none" w:sz="0" w:space="0" w:color="auto"/>
        <w:left w:val="none" w:sz="0" w:space="0" w:color="auto"/>
        <w:bottom w:val="none" w:sz="0" w:space="0" w:color="auto"/>
        <w:right w:val="none" w:sz="0" w:space="0" w:color="auto"/>
      </w:divBdr>
    </w:div>
    <w:div w:id="1808890717">
      <w:bodyDiv w:val="1"/>
      <w:marLeft w:val="0"/>
      <w:marRight w:val="0"/>
      <w:marTop w:val="0"/>
      <w:marBottom w:val="0"/>
      <w:divBdr>
        <w:top w:val="none" w:sz="0" w:space="0" w:color="auto"/>
        <w:left w:val="none" w:sz="0" w:space="0" w:color="auto"/>
        <w:bottom w:val="none" w:sz="0" w:space="0" w:color="auto"/>
        <w:right w:val="none" w:sz="0" w:space="0" w:color="auto"/>
      </w:divBdr>
    </w:div>
    <w:div w:id="20199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cid:image004.jpg@01D848CE.948B2740"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ec.europa.eu/eurostat/web/microdata/european-union-statistics-on-income-and-living-conditions" TargetMode="External"/><Relationship Id="rId34" Type="http://schemas.openxmlformats.org/officeDocument/2006/relationships/hyperlink" Target="https://data.europa.eu/doi/10.2767/511644" TargetMode="External"/><Relationship Id="rId42"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op.europa.eu/en/publication-detail/-/publication/567a23e7-d0d1-11ec-a95f-01aa75ed71a1/language-en" TargetMode="External"/><Relationship Id="rId25" Type="http://schemas.openxmlformats.org/officeDocument/2006/relationships/image" Target="media/image5.jpeg"/><Relationship Id="rId33" Type="http://schemas.openxmlformats.org/officeDocument/2006/relationships/image" Target="media/image9.png"/><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tandfonline.com/doi/full/10.1080/13876988.2019.1609784" TargetMode="External"/><Relationship Id="rId29" Type="http://schemas.openxmlformats.org/officeDocument/2006/relationships/image" Target="media/image7.pn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ec.europa.eu/eurostat/web/microdata/european-union-statistics-on-income-and-living-conditions" TargetMode="External"/><Relationship Id="rId32" Type="http://schemas.openxmlformats.org/officeDocument/2006/relationships/hyperlink" Target="https://data.europa.eu/doi/10.2767/511644" TargetMode="External"/><Relationship Id="rId37" Type="http://schemas.openxmlformats.org/officeDocument/2006/relationships/chart" Target="charts/chart1.xm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ta.europa.eu/doi/10.2767/511644" TargetMode="External"/><Relationship Id="rId23" Type="http://schemas.openxmlformats.org/officeDocument/2006/relationships/image" Target="cid:image003.jpg@01D848CE.948B2740" TargetMode="External"/><Relationship Id="rId28" Type="http://schemas.openxmlformats.org/officeDocument/2006/relationships/hyperlink" Target="https://data.europa.eu/doi/10.2767/511644" TargetMode="External"/><Relationship Id="rId36" Type="http://schemas.openxmlformats.org/officeDocument/2006/relationships/hyperlink" Target="https://data.europa.eu/doi/10.2767/511644" TargetMode="External"/><Relationship Id="rId10" Type="http://schemas.openxmlformats.org/officeDocument/2006/relationships/header" Target="header2.xml"/><Relationship Id="rId19" Type="http://schemas.openxmlformats.org/officeDocument/2006/relationships/hyperlink" Target="https://op.europa.eu/en/publication-detail/-/publication/567a23e7-d0d1-11ec-a95f-01aa75ed71a1/language-en" TargetMode="External"/><Relationship Id="rId31" Type="http://schemas.openxmlformats.org/officeDocument/2006/relationships/image" Target="media/image8.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image" Target="media/image6.png"/><Relationship Id="rId30" Type="http://schemas.openxmlformats.org/officeDocument/2006/relationships/hyperlink" Target="https://data.europa.eu/doi/10.2767/511644" TargetMode="External"/><Relationship Id="rId35" Type="http://schemas.openxmlformats.org/officeDocument/2006/relationships/image" Target="media/image10.png"/><Relationship Id="rId43"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www.oecd.org/tax/tax-policy/tax-and-fiscal-policies-after-the-covid-19-crisis.htm" TargetMode="External"/><Relationship Id="rId13" Type="http://schemas.openxmlformats.org/officeDocument/2006/relationships/hyperlink" Target="https://data.europa.eu/doi/10.2767/511644" TargetMode="External"/><Relationship Id="rId18" Type="http://schemas.openxmlformats.org/officeDocument/2006/relationships/hyperlink" Target="https://ideas.repec.org/a/uwp/jhriss/v52y2017i4p1032-1059.html" TargetMode="External"/><Relationship Id="rId26" Type="http://schemas.openxmlformats.org/officeDocument/2006/relationships/hyperlink" Target="https://www.researchgate.net/publication/356305566_The_Distributional_Impact_of_Labour_Market_Reforms_A_Model-Based_Assessment" TargetMode="External"/><Relationship Id="rId3" Type="http://schemas.openxmlformats.org/officeDocument/2006/relationships/hyperlink" Target="https://europa.eu/eurobarometer/surveys/detail/2266" TargetMode="External"/><Relationship Id="rId21" Type="http://schemas.openxmlformats.org/officeDocument/2006/relationships/hyperlink" Target="https://ideas.repec.org/p/ipt/taxref/201704.html" TargetMode="External"/><Relationship Id="rId34" Type="http://schemas.openxmlformats.org/officeDocument/2006/relationships/hyperlink" Target="https://www.jstor.org/stable/24721071" TargetMode="External"/><Relationship Id="rId7" Type="http://schemas.openxmlformats.org/officeDocument/2006/relationships/hyperlink" Target="https://ec.europa.eu/eurostat/databrowser/view/ILC_DI11E__custom_3184118/default/table?lang=en" TargetMode="External"/><Relationship Id="rId12" Type="http://schemas.openxmlformats.org/officeDocument/2006/relationships/hyperlink" Target="https://ec.europa.eu/info/publications/understanding-political-economy-reforms-lessons-eu_en" TargetMode="External"/><Relationship Id="rId17" Type="http://schemas.openxmlformats.org/officeDocument/2006/relationships/hyperlink" Target="https://econpapers.repec.org/paper/eufdispap/027.htm" TargetMode="External"/><Relationship Id="rId25" Type="http://schemas.openxmlformats.org/officeDocument/2006/relationships/hyperlink" Target="https://euromod-web.jrc.ec.europa.eu/" TargetMode="External"/><Relationship Id="rId33" Type="http://schemas.openxmlformats.org/officeDocument/2006/relationships/hyperlink" Target="https://www.jasss.org/17/4/12.html" TargetMode="External"/><Relationship Id="rId2" Type="http://schemas.openxmlformats.org/officeDocument/2006/relationships/hyperlink" Target="https://europa.eu/eurobarometer/surveys/detail/2166" TargetMode="External"/><Relationship Id="rId16" Type="http://schemas.openxmlformats.org/officeDocument/2006/relationships/hyperlink" Target="https://ideas.repec.org/p/esr/wpaper/rb202102.html" TargetMode="External"/><Relationship Id="rId20" Type="http://schemas.openxmlformats.org/officeDocument/2006/relationships/hyperlink" Target="https://www.esri.ie/sites/default/files/media/file-uploads/2019-06/Carbon%20taxes%20and%20compensation%20options.pdf" TargetMode="External"/><Relationship Id="rId29" Type="http://schemas.openxmlformats.org/officeDocument/2006/relationships/hyperlink" Target="https://joint-research-centre.ec.europa.eu/publications/edge-m3-dynamic-general-equilibrium-micro-macro-model-eu-member-states_en" TargetMode="External"/><Relationship Id="rId1" Type="http://schemas.openxmlformats.org/officeDocument/2006/relationships/hyperlink" Target="https://www.cairn.info/revue-francaise-d-administration-publique-2014-1-page-145.htm" TargetMode="External"/><Relationship Id="rId6" Type="http://schemas.openxmlformats.org/officeDocument/2006/relationships/hyperlink" Target="https://ec.europa.eu/eurostat/statistics-explained/index.php?title=Glossary:Income_quintile_share_ratio" TargetMode="External"/><Relationship Id="rId11" Type="http://schemas.openxmlformats.org/officeDocument/2006/relationships/hyperlink" Target="https://ec.europa.eu/commission/presscorner/detail/en/qanda_21_6823" TargetMode="External"/><Relationship Id="rId24" Type="http://schemas.openxmlformats.org/officeDocument/2006/relationships/hyperlink" Target="https://www.academia.edu/19181767/Microsimulation_as_a_tool_for_evaluating_redistribution_policies" TargetMode="External"/><Relationship Id="rId32" Type="http://schemas.openxmlformats.org/officeDocument/2006/relationships/hyperlink" Target="https://econpapers.repec.org/article/kapjecinq/v_3a8_3ay_3a2010_3ai_3a1_3ap_3a1-21.htm" TargetMode="External"/><Relationship Id="rId5" Type="http://schemas.openxmlformats.org/officeDocument/2006/relationships/hyperlink" Target="https://ec.europa.eu/eurostat/databrowser/view/ILC_DI12__custom_3182322/default/table?lang=en" TargetMode="External"/><Relationship Id="rId15" Type="http://schemas.openxmlformats.org/officeDocument/2006/relationships/hyperlink" Target="https://ideas.repec.org/a/bla/obuest/v82y2020i4p864-888.html" TargetMode="External"/><Relationship Id="rId23" Type="http://schemas.openxmlformats.org/officeDocument/2006/relationships/hyperlink" Target="https://euromod-web.jrc.ec.europa.eu/overview" TargetMode="External"/><Relationship Id="rId28" Type="http://schemas.openxmlformats.org/officeDocument/2006/relationships/hyperlink" Target="https://wittneben.eu/publication/barrios-2019/barrios-2019.pdf" TargetMode="External"/><Relationship Id="rId10" Type="http://schemas.openxmlformats.org/officeDocument/2006/relationships/hyperlink" Target="https://www.elibrary.imf.org/view/journals/001/2021/172/article-A001-en.xml" TargetMode="External"/><Relationship Id="rId19" Type="http://schemas.openxmlformats.org/officeDocument/2006/relationships/hyperlink" Target="https://ideas.repec.org/a/eso/journl/v48y2017i2p171-205.html" TargetMode="External"/><Relationship Id="rId31" Type="http://schemas.openxmlformats.org/officeDocument/2006/relationships/hyperlink" Target="https://joint-research-centre.ec.europa.eu/publications/ewige-2-update-and-extension-euromod-wealth-taxation-project_en" TargetMode="External"/><Relationship Id="rId4" Type="http://schemas.openxmlformats.org/officeDocument/2006/relationships/hyperlink" Target="https://ec.europa.eu/eurostat/databrowser/view/ILC_DI11__custom_3182376/default/table?lang=en" TargetMode="External"/><Relationship Id="rId9" Type="http://schemas.openxmlformats.org/officeDocument/2006/relationships/hyperlink" Target="https://one.oecd.org/document/ENV/WKP(2021)20/en/pdf" TargetMode="External"/><Relationship Id="rId14" Type="http://schemas.openxmlformats.org/officeDocument/2006/relationships/hyperlink" Target="https://link.springer.com/article/10.1007/s10888-008-9101-4" TargetMode="External"/><Relationship Id="rId22" Type="http://schemas.openxmlformats.org/officeDocument/2006/relationships/hyperlink" Target="https://www.econstor.eu/bitstream/10419/202265/1/jrc-wptsr201907.pdf" TargetMode="External"/><Relationship Id="rId27" Type="http://schemas.openxmlformats.org/officeDocument/2006/relationships/hyperlink" Target="https://www.sciencedirect.com/handbook/handbook-of-computable-general-equilibrium-modeling/vol/1/suppl/C" TargetMode="External"/><Relationship Id="rId30" Type="http://schemas.openxmlformats.org/officeDocument/2006/relationships/hyperlink" Target="https://microsimulation.pub/articles/0002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net1.cec.eu.int\homes\082\sherwmo\EMPL\DIA\Initiative\Responses%20to%20CfE\Responses%20by%20catego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FA3-460F-BFB9-68CAB6BFBAA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FA3-460F-BFB9-68CAB6BFBAA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FA3-460F-BFB9-68CAB6BFBAA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FA3-460F-BFB9-68CAB6BFBAA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FA3-460F-BFB9-68CAB6BFBAA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FA3-460F-BFB9-68CAB6BFBAAF}"/>
              </c:ext>
            </c:extLst>
          </c:dPt>
          <c:cat>
            <c:strRef>
              <c:f>Sheet1!$A$5:$A$10</c:f>
              <c:strCache>
                <c:ptCount val="6"/>
                <c:pt idx="0">
                  <c:v>EU citizen</c:v>
                </c:pt>
                <c:pt idx="1">
                  <c:v>Non-governmental organisation</c:v>
                </c:pt>
                <c:pt idx="2">
                  <c:v>Other </c:v>
                </c:pt>
                <c:pt idx="3">
                  <c:v>Public authority </c:v>
                </c:pt>
                <c:pt idx="4">
                  <c:v>Trade union</c:v>
                </c:pt>
                <c:pt idx="5">
                  <c:v>Non-EU citizen</c:v>
                </c:pt>
              </c:strCache>
            </c:strRef>
          </c:cat>
          <c:val>
            <c:numRef>
              <c:f>Sheet1!$B$5:$B$10</c:f>
              <c:numCache>
                <c:formatCode>0.00%</c:formatCode>
                <c:ptCount val="6"/>
                <c:pt idx="0">
                  <c:v>0.57140000000000002</c:v>
                </c:pt>
                <c:pt idx="1">
                  <c:v>0.2286</c:v>
                </c:pt>
                <c:pt idx="2">
                  <c:v>8.5699999999999998E-2</c:v>
                </c:pt>
                <c:pt idx="3">
                  <c:v>5.7099999999999998E-2</c:v>
                </c:pt>
                <c:pt idx="4">
                  <c:v>2.86E-2</c:v>
                </c:pt>
                <c:pt idx="5">
                  <c:v>2.86E-2</c:v>
                </c:pt>
              </c:numCache>
            </c:numRef>
          </c:val>
          <c:extLst>
            <c:ext xmlns:c16="http://schemas.microsoft.com/office/drawing/2014/chart" uri="{C3380CC4-5D6E-409C-BE32-E72D297353CC}">
              <c16:uniqueId val="{0000000C-DFA3-460F-BFB9-68CAB6BFBAA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A0F55-A2C8-45A7-A898-2061BB24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14633</Words>
  <Characters>79312</Characters>
  <Application>Microsoft Office Word</Application>
  <DocSecurity>0</DocSecurity>
  <Lines>1416</Lines>
  <Paragraphs>308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2022-09-22T10:37:00Z</dcterms:created>
  <dcterms:modified xsi:type="dcterms:W3CDTF">2022-09-25T10:56:00Z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8.0.1, Build 20220429</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CP-025</vt:lpwstr>
  </property>
</Properties>
</file>