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B7CBC462-D7E6-477D-A9A9-E3B2BCB8506C" style="width:455.25pt;height:384.75pt">
            <v:imagedata r:id="rId12" o:title=""/>
          </v:shape>
        </w:pict>
      </w:r>
    </w:p>
    <w:bookmarkEnd w:id="0"/>
    <w:p>
      <w:pPr>
        <w:rPr>
          <w:rFonts w:ascii="Times New Roman" w:hAnsi="Times New Roman" w:cs="Times New Roman"/>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pStyle w:val="TOCHeading"/>
        <w:rPr>
          <w:noProof/>
          <w:szCs w:val="24"/>
        </w:rPr>
      </w:pPr>
      <w:bookmarkStart w:id="1" w:name="_GoBack"/>
      <w:bookmarkEnd w:id="1"/>
      <w:r>
        <w:rPr>
          <w:noProof/>
          <w:szCs w:val="24"/>
        </w:rPr>
        <w:lastRenderedPageBreak/>
        <w:t>Table of contents</w:t>
      </w:r>
    </w:p>
    <w:p>
      <w:pPr>
        <w:pStyle w:val="TOC1"/>
        <w:rPr>
          <w:rFonts w:eastAsiaTheme="minorEastAsia"/>
          <w:caps w:val="0"/>
          <w:noProof/>
          <w:sz w:val="24"/>
          <w:szCs w:val="24"/>
          <w:lang w:val="en-US"/>
        </w:rPr>
      </w:pPr>
      <w:r>
        <w:rPr>
          <w:noProof/>
          <w:sz w:val="24"/>
          <w:szCs w:val="24"/>
        </w:rPr>
        <w:fldChar w:fldCharType="begin"/>
      </w:r>
      <w:r>
        <w:rPr>
          <w:noProof/>
          <w:sz w:val="24"/>
          <w:szCs w:val="24"/>
        </w:rPr>
        <w:instrText xml:space="preserve"> TOC \o "1-1" \h \z \t "Heading 2;2;Heading 3;3;Annex Title;1" </w:instrText>
      </w:r>
      <w:r>
        <w:rPr>
          <w:noProof/>
          <w:sz w:val="24"/>
          <w:szCs w:val="24"/>
        </w:rPr>
        <w:fldChar w:fldCharType="separate"/>
      </w:r>
      <w:hyperlink w:anchor="_Toc63438451" w:history="1">
        <w:r>
          <w:rPr>
            <w:rStyle w:val="Hyperlink"/>
            <w:noProof/>
            <w:sz w:val="24"/>
            <w:szCs w:val="24"/>
          </w:rPr>
          <w:t>1.</w:t>
        </w:r>
        <w:r>
          <w:rPr>
            <w:rFonts w:eastAsiaTheme="minorEastAsia"/>
            <w:caps w:val="0"/>
            <w:noProof/>
            <w:sz w:val="24"/>
            <w:szCs w:val="24"/>
            <w:lang w:val="en-US"/>
          </w:rPr>
          <w:tab/>
        </w:r>
        <w:r>
          <w:rPr>
            <w:rStyle w:val="Hyperlink"/>
            <w:noProof/>
            <w:sz w:val="24"/>
            <w:szCs w:val="24"/>
          </w:rPr>
          <w:t>Introduction: Political and legal context</w:t>
        </w:r>
        <w:r>
          <w:rPr>
            <w:noProof/>
            <w:webHidden/>
            <w:sz w:val="24"/>
            <w:szCs w:val="24"/>
          </w:rPr>
          <w:tab/>
        </w:r>
        <w:r>
          <w:rPr>
            <w:noProof/>
            <w:webHidden/>
            <w:sz w:val="24"/>
            <w:szCs w:val="24"/>
          </w:rPr>
          <w:fldChar w:fldCharType="begin"/>
        </w:r>
        <w:r>
          <w:rPr>
            <w:noProof/>
            <w:webHidden/>
            <w:sz w:val="24"/>
            <w:szCs w:val="24"/>
          </w:rPr>
          <w:instrText xml:space="preserve"> PAGEREF _Toc63438451 \h </w:instrText>
        </w:r>
        <w:r>
          <w:rPr>
            <w:noProof/>
            <w:webHidden/>
            <w:sz w:val="24"/>
            <w:szCs w:val="24"/>
          </w:rPr>
        </w:r>
        <w:r>
          <w:rPr>
            <w:noProof/>
            <w:webHidden/>
            <w:sz w:val="24"/>
            <w:szCs w:val="24"/>
          </w:rPr>
          <w:fldChar w:fldCharType="separate"/>
        </w:r>
        <w:r>
          <w:rPr>
            <w:noProof/>
            <w:webHidden/>
            <w:sz w:val="24"/>
            <w:szCs w:val="24"/>
          </w:rPr>
          <w:t>6</w:t>
        </w:r>
        <w:r>
          <w:rPr>
            <w:noProof/>
            <w:webHidden/>
            <w:sz w:val="24"/>
            <w:szCs w:val="24"/>
          </w:rPr>
          <w:fldChar w:fldCharType="end"/>
        </w:r>
      </w:hyperlink>
    </w:p>
    <w:p>
      <w:pPr>
        <w:pStyle w:val="TOC2"/>
        <w:tabs>
          <w:tab w:val="left" w:pos="1077"/>
        </w:tabs>
        <w:rPr>
          <w:rFonts w:eastAsiaTheme="minorEastAsia"/>
          <w:noProof/>
          <w:szCs w:val="24"/>
          <w:lang w:val="en-US"/>
        </w:rPr>
      </w:pPr>
      <w:hyperlink w:anchor="_Toc63438452" w:history="1">
        <w:r>
          <w:rPr>
            <w:rStyle w:val="Hyperlink"/>
            <w:noProof/>
            <w:szCs w:val="24"/>
          </w:rPr>
          <w:t>1.1</w:t>
        </w:r>
        <w:r>
          <w:rPr>
            <w:rFonts w:eastAsiaTheme="minorEastAsia"/>
            <w:noProof/>
            <w:szCs w:val="24"/>
            <w:lang w:val="en-US"/>
          </w:rPr>
          <w:tab/>
        </w:r>
        <w:r>
          <w:rPr>
            <w:rStyle w:val="Hyperlink"/>
            <w:noProof/>
            <w:szCs w:val="24"/>
          </w:rPr>
          <w:t>Overall political context</w:t>
        </w:r>
        <w:r>
          <w:rPr>
            <w:noProof/>
            <w:webHidden/>
            <w:szCs w:val="24"/>
          </w:rPr>
          <w:tab/>
        </w:r>
        <w:r>
          <w:rPr>
            <w:noProof/>
            <w:webHidden/>
            <w:szCs w:val="24"/>
          </w:rPr>
          <w:fldChar w:fldCharType="begin"/>
        </w:r>
        <w:r>
          <w:rPr>
            <w:noProof/>
            <w:webHidden/>
            <w:szCs w:val="24"/>
          </w:rPr>
          <w:instrText xml:space="preserve"> PAGEREF _Toc63438452 \h </w:instrText>
        </w:r>
        <w:r>
          <w:rPr>
            <w:noProof/>
            <w:webHidden/>
            <w:szCs w:val="24"/>
          </w:rPr>
        </w:r>
        <w:r>
          <w:rPr>
            <w:noProof/>
            <w:webHidden/>
            <w:szCs w:val="24"/>
          </w:rPr>
          <w:fldChar w:fldCharType="separate"/>
        </w:r>
        <w:r>
          <w:rPr>
            <w:noProof/>
            <w:webHidden/>
            <w:szCs w:val="24"/>
          </w:rPr>
          <w:t>6</w:t>
        </w:r>
        <w:r>
          <w:rPr>
            <w:noProof/>
            <w:webHidden/>
            <w:szCs w:val="24"/>
          </w:rPr>
          <w:fldChar w:fldCharType="end"/>
        </w:r>
      </w:hyperlink>
    </w:p>
    <w:p>
      <w:pPr>
        <w:pStyle w:val="TOC2"/>
        <w:tabs>
          <w:tab w:val="left" w:pos="1077"/>
        </w:tabs>
        <w:rPr>
          <w:rFonts w:eastAsiaTheme="minorEastAsia"/>
          <w:noProof/>
          <w:szCs w:val="24"/>
          <w:lang w:val="en-US"/>
        </w:rPr>
      </w:pPr>
      <w:hyperlink w:anchor="_Toc63438453" w:history="1">
        <w:r>
          <w:rPr>
            <w:rStyle w:val="Hyperlink"/>
            <w:noProof/>
            <w:szCs w:val="24"/>
          </w:rPr>
          <w:t>1.2</w:t>
        </w:r>
        <w:r>
          <w:rPr>
            <w:rFonts w:eastAsiaTheme="minorEastAsia"/>
            <w:noProof/>
            <w:szCs w:val="24"/>
            <w:lang w:val="en-US"/>
          </w:rPr>
          <w:tab/>
        </w:r>
        <w:r>
          <w:rPr>
            <w:rStyle w:val="Hyperlink"/>
            <w:noProof/>
            <w:szCs w:val="24"/>
          </w:rPr>
          <w:t>Interaction between policy tools to address maritime CO</w:t>
        </w:r>
        <w:r>
          <w:rPr>
            <w:rStyle w:val="Hyperlink"/>
            <w:noProof/>
            <w:szCs w:val="24"/>
            <w:vertAlign w:val="subscript"/>
          </w:rPr>
          <w:t>2</w:t>
        </w:r>
        <w:r>
          <w:rPr>
            <w:rStyle w:val="Hyperlink"/>
            <w:noProof/>
            <w:szCs w:val="24"/>
          </w:rPr>
          <w:t xml:space="preserve"> emissions: the ‘basket of measures’</w:t>
        </w:r>
        <w:r>
          <w:rPr>
            <w:noProof/>
            <w:webHidden/>
            <w:szCs w:val="24"/>
          </w:rPr>
          <w:tab/>
        </w:r>
        <w:r>
          <w:rPr>
            <w:noProof/>
            <w:webHidden/>
            <w:szCs w:val="24"/>
          </w:rPr>
          <w:fldChar w:fldCharType="begin"/>
        </w:r>
        <w:r>
          <w:rPr>
            <w:noProof/>
            <w:webHidden/>
            <w:szCs w:val="24"/>
          </w:rPr>
          <w:instrText xml:space="preserve"> PAGEREF _Toc63438453 \h </w:instrText>
        </w:r>
        <w:r>
          <w:rPr>
            <w:noProof/>
            <w:webHidden/>
            <w:szCs w:val="24"/>
          </w:rPr>
        </w:r>
        <w:r>
          <w:rPr>
            <w:noProof/>
            <w:webHidden/>
            <w:szCs w:val="24"/>
          </w:rPr>
          <w:fldChar w:fldCharType="separate"/>
        </w:r>
        <w:r>
          <w:rPr>
            <w:noProof/>
            <w:webHidden/>
            <w:szCs w:val="24"/>
          </w:rPr>
          <w:t>8</w:t>
        </w:r>
        <w:r>
          <w:rPr>
            <w:noProof/>
            <w:webHidden/>
            <w:szCs w:val="24"/>
          </w:rPr>
          <w:fldChar w:fldCharType="end"/>
        </w:r>
      </w:hyperlink>
    </w:p>
    <w:p>
      <w:pPr>
        <w:pStyle w:val="TOC2"/>
        <w:tabs>
          <w:tab w:val="left" w:pos="1077"/>
        </w:tabs>
        <w:rPr>
          <w:rFonts w:eastAsiaTheme="minorEastAsia"/>
          <w:noProof/>
          <w:szCs w:val="24"/>
          <w:lang w:val="en-US"/>
        </w:rPr>
      </w:pPr>
      <w:hyperlink w:anchor="_Toc63438454" w:history="1">
        <w:r>
          <w:rPr>
            <w:rStyle w:val="Hyperlink"/>
            <w:noProof/>
            <w:szCs w:val="24"/>
          </w:rPr>
          <w:t>1.3</w:t>
        </w:r>
        <w:r>
          <w:rPr>
            <w:rFonts w:eastAsiaTheme="minorEastAsia"/>
            <w:noProof/>
            <w:szCs w:val="24"/>
            <w:lang w:val="en-US"/>
          </w:rPr>
          <w:tab/>
        </w:r>
        <w:r>
          <w:rPr>
            <w:rStyle w:val="Hyperlink"/>
            <w:noProof/>
            <w:szCs w:val="24"/>
          </w:rPr>
          <w:t>EU approach to alternative fuels in maritime transport</w:t>
        </w:r>
        <w:r>
          <w:rPr>
            <w:noProof/>
            <w:webHidden/>
            <w:szCs w:val="24"/>
          </w:rPr>
          <w:tab/>
        </w:r>
        <w:r>
          <w:rPr>
            <w:noProof/>
            <w:webHidden/>
            <w:szCs w:val="24"/>
          </w:rPr>
          <w:fldChar w:fldCharType="begin"/>
        </w:r>
        <w:r>
          <w:rPr>
            <w:noProof/>
            <w:webHidden/>
            <w:szCs w:val="24"/>
          </w:rPr>
          <w:instrText xml:space="preserve"> PAGEREF _Toc63438454 \h </w:instrText>
        </w:r>
        <w:r>
          <w:rPr>
            <w:noProof/>
            <w:webHidden/>
            <w:szCs w:val="24"/>
          </w:rPr>
        </w:r>
        <w:r>
          <w:rPr>
            <w:noProof/>
            <w:webHidden/>
            <w:szCs w:val="24"/>
          </w:rPr>
          <w:fldChar w:fldCharType="separate"/>
        </w:r>
        <w:r>
          <w:rPr>
            <w:noProof/>
            <w:webHidden/>
            <w:szCs w:val="24"/>
          </w:rPr>
          <w:t>10</w:t>
        </w:r>
        <w:r>
          <w:rPr>
            <w:noProof/>
            <w:webHidden/>
            <w:szCs w:val="24"/>
          </w:rPr>
          <w:fldChar w:fldCharType="end"/>
        </w:r>
      </w:hyperlink>
    </w:p>
    <w:p>
      <w:pPr>
        <w:pStyle w:val="TOC2"/>
        <w:tabs>
          <w:tab w:val="left" w:pos="1077"/>
        </w:tabs>
        <w:rPr>
          <w:rFonts w:eastAsiaTheme="minorEastAsia"/>
          <w:noProof/>
          <w:szCs w:val="24"/>
          <w:lang w:val="en-US"/>
        </w:rPr>
      </w:pPr>
      <w:hyperlink w:anchor="_Toc63438455" w:history="1">
        <w:r>
          <w:rPr>
            <w:rStyle w:val="Hyperlink"/>
            <w:noProof/>
            <w:szCs w:val="24"/>
          </w:rPr>
          <w:t>1.4</w:t>
        </w:r>
        <w:r>
          <w:rPr>
            <w:rFonts w:eastAsiaTheme="minorEastAsia"/>
            <w:noProof/>
            <w:szCs w:val="24"/>
            <w:lang w:val="en-US"/>
          </w:rPr>
          <w:tab/>
        </w:r>
        <w:r>
          <w:rPr>
            <w:rStyle w:val="Hyperlink"/>
            <w:noProof/>
            <w:szCs w:val="24"/>
          </w:rPr>
          <w:t>International context</w:t>
        </w:r>
        <w:r>
          <w:rPr>
            <w:noProof/>
            <w:webHidden/>
            <w:szCs w:val="24"/>
          </w:rPr>
          <w:tab/>
        </w:r>
        <w:r>
          <w:rPr>
            <w:noProof/>
            <w:webHidden/>
            <w:szCs w:val="24"/>
          </w:rPr>
          <w:fldChar w:fldCharType="begin"/>
        </w:r>
        <w:r>
          <w:rPr>
            <w:noProof/>
            <w:webHidden/>
            <w:szCs w:val="24"/>
          </w:rPr>
          <w:instrText xml:space="preserve"> PAGEREF _Toc63438455 \h </w:instrText>
        </w:r>
        <w:r>
          <w:rPr>
            <w:noProof/>
            <w:webHidden/>
            <w:szCs w:val="24"/>
          </w:rPr>
        </w:r>
        <w:r>
          <w:rPr>
            <w:noProof/>
            <w:webHidden/>
            <w:szCs w:val="24"/>
          </w:rPr>
          <w:fldChar w:fldCharType="separate"/>
        </w:r>
        <w:r>
          <w:rPr>
            <w:noProof/>
            <w:webHidden/>
            <w:szCs w:val="24"/>
          </w:rPr>
          <w:t>12</w:t>
        </w:r>
        <w:r>
          <w:rPr>
            <w:noProof/>
            <w:webHidden/>
            <w:szCs w:val="24"/>
          </w:rPr>
          <w:fldChar w:fldCharType="end"/>
        </w:r>
      </w:hyperlink>
    </w:p>
    <w:p>
      <w:pPr>
        <w:pStyle w:val="TOC2"/>
        <w:tabs>
          <w:tab w:val="left" w:pos="1077"/>
        </w:tabs>
        <w:rPr>
          <w:rFonts w:eastAsiaTheme="minorEastAsia"/>
          <w:noProof/>
          <w:szCs w:val="24"/>
          <w:lang w:val="en-US"/>
        </w:rPr>
      </w:pPr>
      <w:hyperlink w:anchor="_Toc63438456" w:history="1">
        <w:r>
          <w:rPr>
            <w:rStyle w:val="Hyperlink"/>
            <w:noProof/>
            <w:szCs w:val="24"/>
          </w:rPr>
          <w:t>1.5</w:t>
        </w:r>
        <w:r>
          <w:rPr>
            <w:rFonts w:eastAsiaTheme="minorEastAsia"/>
            <w:noProof/>
            <w:szCs w:val="24"/>
            <w:lang w:val="en-US"/>
          </w:rPr>
          <w:tab/>
        </w:r>
        <w:r>
          <w:rPr>
            <w:rStyle w:val="Hyperlink"/>
            <w:noProof/>
            <w:szCs w:val="24"/>
          </w:rPr>
          <w:t>Trajectories for renewable and low carbon fuels</w:t>
        </w:r>
        <w:r>
          <w:rPr>
            <w:noProof/>
            <w:webHidden/>
            <w:szCs w:val="24"/>
          </w:rPr>
          <w:tab/>
        </w:r>
        <w:r>
          <w:rPr>
            <w:noProof/>
            <w:webHidden/>
            <w:szCs w:val="24"/>
          </w:rPr>
          <w:fldChar w:fldCharType="begin"/>
        </w:r>
        <w:r>
          <w:rPr>
            <w:noProof/>
            <w:webHidden/>
            <w:szCs w:val="24"/>
          </w:rPr>
          <w:instrText xml:space="preserve"> PAGEREF _Toc63438456 \h </w:instrText>
        </w:r>
        <w:r>
          <w:rPr>
            <w:noProof/>
            <w:webHidden/>
            <w:szCs w:val="24"/>
          </w:rPr>
        </w:r>
        <w:r>
          <w:rPr>
            <w:noProof/>
            <w:webHidden/>
            <w:szCs w:val="24"/>
          </w:rPr>
          <w:fldChar w:fldCharType="separate"/>
        </w:r>
        <w:r>
          <w:rPr>
            <w:noProof/>
            <w:webHidden/>
            <w:szCs w:val="24"/>
          </w:rPr>
          <w:t>13</w:t>
        </w:r>
        <w:r>
          <w:rPr>
            <w:noProof/>
            <w:webHidden/>
            <w:szCs w:val="24"/>
          </w:rPr>
          <w:fldChar w:fldCharType="end"/>
        </w:r>
      </w:hyperlink>
    </w:p>
    <w:p>
      <w:pPr>
        <w:pStyle w:val="TOC1"/>
        <w:rPr>
          <w:rFonts w:eastAsiaTheme="minorEastAsia"/>
          <w:caps w:val="0"/>
          <w:noProof/>
          <w:sz w:val="24"/>
          <w:szCs w:val="24"/>
          <w:lang w:val="en-US"/>
        </w:rPr>
      </w:pPr>
      <w:hyperlink w:anchor="_Toc63438457" w:history="1">
        <w:r>
          <w:rPr>
            <w:rStyle w:val="Hyperlink"/>
            <w:noProof/>
            <w:sz w:val="24"/>
            <w:szCs w:val="24"/>
          </w:rPr>
          <w:t>2.</w:t>
        </w:r>
        <w:r>
          <w:rPr>
            <w:rFonts w:eastAsiaTheme="minorEastAsia"/>
            <w:caps w:val="0"/>
            <w:noProof/>
            <w:sz w:val="24"/>
            <w:szCs w:val="24"/>
            <w:lang w:val="en-US"/>
          </w:rPr>
          <w:tab/>
        </w:r>
        <w:r>
          <w:rPr>
            <w:rStyle w:val="Hyperlink"/>
            <w:noProof/>
            <w:sz w:val="24"/>
            <w:szCs w:val="24"/>
          </w:rPr>
          <w:t>Problem definition</w:t>
        </w:r>
        <w:r>
          <w:rPr>
            <w:noProof/>
            <w:webHidden/>
            <w:sz w:val="24"/>
            <w:szCs w:val="24"/>
          </w:rPr>
          <w:tab/>
        </w:r>
        <w:r>
          <w:rPr>
            <w:noProof/>
            <w:webHidden/>
            <w:sz w:val="24"/>
            <w:szCs w:val="24"/>
          </w:rPr>
          <w:fldChar w:fldCharType="begin"/>
        </w:r>
        <w:r>
          <w:rPr>
            <w:noProof/>
            <w:webHidden/>
            <w:sz w:val="24"/>
            <w:szCs w:val="24"/>
          </w:rPr>
          <w:instrText xml:space="preserve"> PAGEREF _Toc63438457 \h </w:instrText>
        </w:r>
        <w:r>
          <w:rPr>
            <w:noProof/>
            <w:webHidden/>
            <w:sz w:val="24"/>
            <w:szCs w:val="24"/>
          </w:rPr>
        </w:r>
        <w:r>
          <w:rPr>
            <w:noProof/>
            <w:webHidden/>
            <w:sz w:val="24"/>
            <w:szCs w:val="24"/>
          </w:rPr>
          <w:fldChar w:fldCharType="separate"/>
        </w:r>
        <w:r>
          <w:rPr>
            <w:noProof/>
            <w:webHidden/>
            <w:sz w:val="24"/>
            <w:szCs w:val="24"/>
          </w:rPr>
          <w:t>16</w:t>
        </w:r>
        <w:r>
          <w:rPr>
            <w:noProof/>
            <w:webHidden/>
            <w:sz w:val="24"/>
            <w:szCs w:val="24"/>
          </w:rPr>
          <w:fldChar w:fldCharType="end"/>
        </w:r>
      </w:hyperlink>
    </w:p>
    <w:p>
      <w:pPr>
        <w:pStyle w:val="TOC2"/>
        <w:tabs>
          <w:tab w:val="left" w:pos="1077"/>
        </w:tabs>
        <w:rPr>
          <w:rFonts w:eastAsiaTheme="minorEastAsia"/>
          <w:noProof/>
          <w:szCs w:val="24"/>
          <w:lang w:val="en-US"/>
        </w:rPr>
      </w:pPr>
      <w:hyperlink w:anchor="_Toc63438458" w:history="1">
        <w:r>
          <w:rPr>
            <w:rStyle w:val="Hyperlink"/>
            <w:noProof/>
            <w:szCs w:val="24"/>
          </w:rPr>
          <w:t>2.1</w:t>
        </w:r>
        <w:r>
          <w:rPr>
            <w:rFonts w:eastAsiaTheme="minorEastAsia"/>
            <w:noProof/>
            <w:szCs w:val="24"/>
            <w:lang w:val="en-US"/>
          </w:rPr>
          <w:tab/>
        </w:r>
        <w:r>
          <w:rPr>
            <w:rStyle w:val="Hyperlink"/>
            <w:noProof/>
            <w:szCs w:val="24"/>
          </w:rPr>
          <w:t>What is the problem?</w:t>
        </w:r>
        <w:r>
          <w:rPr>
            <w:noProof/>
            <w:webHidden/>
            <w:szCs w:val="24"/>
          </w:rPr>
          <w:tab/>
        </w:r>
        <w:r>
          <w:rPr>
            <w:noProof/>
            <w:webHidden/>
            <w:szCs w:val="24"/>
          </w:rPr>
          <w:fldChar w:fldCharType="begin"/>
        </w:r>
        <w:r>
          <w:rPr>
            <w:noProof/>
            <w:webHidden/>
            <w:szCs w:val="24"/>
          </w:rPr>
          <w:instrText xml:space="preserve"> PAGEREF _Toc63438458 \h </w:instrText>
        </w:r>
        <w:r>
          <w:rPr>
            <w:noProof/>
            <w:webHidden/>
            <w:szCs w:val="24"/>
          </w:rPr>
        </w:r>
        <w:r>
          <w:rPr>
            <w:noProof/>
            <w:webHidden/>
            <w:szCs w:val="24"/>
          </w:rPr>
          <w:fldChar w:fldCharType="separate"/>
        </w:r>
        <w:r>
          <w:rPr>
            <w:noProof/>
            <w:webHidden/>
            <w:szCs w:val="24"/>
          </w:rPr>
          <w:t>16</w:t>
        </w:r>
        <w:r>
          <w:rPr>
            <w:noProof/>
            <w:webHidden/>
            <w:szCs w:val="24"/>
          </w:rPr>
          <w:fldChar w:fldCharType="end"/>
        </w:r>
      </w:hyperlink>
    </w:p>
    <w:p>
      <w:pPr>
        <w:pStyle w:val="TOC2"/>
        <w:tabs>
          <w:tab w:val="left" w:pos="1077"/>
        </w:tabs>
        <w:rPr>
          <w:rFonts w:eastAsiaTheme="minorEastAsia"/>
          <w:noProof/>
          <w:szCs w:val="24"/>
          <w:lang w:val="en-US"/>
        </w:rPr>
      </w:pPr>
      <w:hyperlink w:anchor="_Toc63438459" w:history="1">
        <w:r>
          <w:rPr>
            <w:rStyle w:val="Hyperlink"/>
            <w:noProof/>
            <w:szCs w:val="24"/>
          </w:rPr>
          <w:t>2.2</w:t>
        </w:r>
        <w:r>
          <w:rPr>
            <w:rFonts w:eastAsiaTheme="minorEastAsia"/>
            <w:noProof/>
            <w:szCs w:val="24"/>
            <w:lang w:val="en-US"/>
          </w:rPr>
          <w:tab/>
        </w:r>
        <w:r>
          <w:rPr>
            <w:rStyle w:val="Hyperlink"/>
            <w:noProof/>
            <w:szCs w:val="24"/>
          </w:rPr>
          <w:t>What are the problem drivers?</w:t>
        </w:r>
        <w:r>
          <w:rPr>
            <w:noProof/>
            <w:webHidden/>
            <w:szCs w:val="24"/>
          </w:rPr>
          <w:tab/>
        </w:r>
        <w:r>
          <w:rPr>
            <w:noProof/>
            <w:webHidden/>
            <w:szCs w:val="24"/>
          </w:rPr>
          <w:fldChar w:fldCharType="begin"/>
        </w:r>
        <w:r>
          <w:rPr>
            <w:noProof/>
            <w:webHidden/>
            <w:szCs w:val="24"/>
          </w:rPr>
          <w:instrText xml:space="preserve"> PAGEREF _Toc63438459 \h </w:instrText>
        </w:r>
        <w:r>
          <w:rPr>
            <w:noProof/>
            <w:webHidden/>
            <w:szCs w:val="24"/>
          </w:rPr>
        </w:r>
        <w:r>
          <w:rPr>
            <w:noProof/>
            <w:webHidden/>
            <w:szCs w:val="24"/>
          </w:rPr>
          <w:fldChar w:fldCharType="separate"/>
        </w:r>
        <w:r>
          <w:rPr>
            <w:noProof/>
            <w:webHidden/>
            <w:szCs w:val="24"/>
          </w:rPr>
          <w:t>19</w:t>
        </w:r>
        <w:r>
          <w:rPr>
            <w:noProof/>
            <w:webHidden/>
            <w:szCs w:val="24"/>
          </w:rPr>
          <w:fldChar w:fldCharType="end"/>
        </w:r>
      </w:hyperlink>
    </w:p>
    <w:p>
      <w:pPr>
        <w:pStyle w:val="TOC3"/>
        <w:rPr>
          <w:rFonts w:ascii="Times New Roman" w:eastAsiaTheme="minorEastAsia" w:hAnsi="Times New Roman" w:cs="Times New Roman"/>
          <w:noProof/>
          <w:sz w:val="24"/>
          <w:szCs w:val="24"/>
          <w:lang w:val="en-US"/>
        </w:rPr>
      </w:pPr>
      <w:hyperlink w:anchor="_Toc63438460" w:history="1">
        <w:r>
          <w:rPr>
            <w:rStyle w:val="Hyperlink"/>
            <w:rFonts w:ascii="Times New Roman" w:hAnsi="Times New Roman" w:cs="Times New Roman"/>
            <w:noProof/>
            <w:sz w:val="24"/>
            <w:szCs w:val="24"/>
          </w:rPr>
          <w:t>2.2.1</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Lack of predictability of the regulatory framework and high risk of investment choices (high risk of stranded assets)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_Toc63438460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61" w:history="1">
        <w:r>
          <w:rPr>
            <w:rStyle w:val="Hyperlink"/>
            <w:rFonts w:ascii="Times New Roman" w:hAnsi="Times New Roman" w:cs="Times New Roman"/>
            <w:noProof/>
            <w:sz w:val="24"/>
            <w:szCs w:val="24"/>
            <w:lang w:val="en-IE"/>
          </w:rPr>
          <w:t>2.2.2</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Low maturity of new renewable and low-carbon fuels/technologies with high risk for first movers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_Toc63438461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62" w:history="1">
        <w:r>
          <w:rPr>
            <w:rStyle w:val="Hyperlink"/>
            <w:rFonts w:ascii="Times New Roman" w:hAnsi="Times New Roman" w:cs="Times New Roman"/>
            <w:noProof/>
            <w:sz w:val="24"/>
            <w:szCs w:val="24"/>
          </w:rPr>
          <w:t>2.2.3</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Higher costs of alternatives compared to fossil fuels (also due to insufficient economies of scale)</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_Toc63438462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63" w:history="1">
        <w:r>
          <w:rPr>
            <w:rStyle w:val="Hyperlink"/>
            <w:rFonts w:ascii="Times New Roman" w:hAnsi="Times New Roman" w:cs="Times New Roman"/>
            <w:noProof/>
            <w:sz w:val="24"/>
            <w:szCs w:val="24"/>
            <w:lang w:val="en-IE"/>
          </w:rPr>
          <w:t>2.2.4</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High interdependency with supply and distribution (chicken-and-egg situation)</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_Toc63438463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64" w:history="1">
        <w:r>
          <w:rPr>
            <w:rStyle w:val="Hyperlink"/>
            <w:rFonts w:ascii="Times New Roman" w:hAnsi="Times New Roman" w:cs="Times New Roman"/>
            <w:noProof/>
            <w:sz w:val="24"/>
            <w:szCs w:val="24"/>
            <w:lang w:val="en-IE"/>
          </w:rPr>
          <w:t>2.2.5</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Possibility of bunkering outside EU (risk of carbon leakage)</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_Toc63438464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Pr>
            <w:rFonts w:ascii="Times New Roman" w:hAnsi="Times New Roman" w:cs="Times New Roman"/>
            <w:noProof/>
            <w:webHidden/>
            <w:sz w:val="24"/>
            <w:szCs w:val="24"/>
          </w:rPr>
          <w:fldChar w:fldCharType="end"/>
        </w:r>
      </w:hyperlink>
    </w:p>
    <w:p>
      <w:pPr>
        <w:pStyle w:val="TOC2"/>
        <w:tabs>
          <w:tab w:val="left" w:pos="1077"/>
        </w:tabs>
        <w:rPr>
          <w:rFonts w:eastAsiaTheme="minorEastAsia"/>
          <w:noProof/>
          <w:szCs w:val="24"/>
          <w:lang w:val="en-US"/>
        </w:rPr>
      </w:pPr>
      <w:hyperlink w:anchor="_Toc63438465" w:history="1">
        <w:r>
          <w:rPr>
            <w:rStyle w:val="Hyperlink"/>
            <w:noProof/>
            <w:szCs w:val="24"/>
          </w:rPr>
          <w:t>2.3</w:t>
        </w:r>
        <w:r>
          <w:rPr>
            <w:rFonts w:eastAsiaTheme="minorEastAsia"/>
            <w:noProof/>
            <w:szCs w:val="24"/>
            <w:lang w:val="en-US"/>
          </w:rPr>
          <w:tab/>
        </w:r>
        <w:r>
          <w:rPr>
            <w:rStyle w:val="Hyperlink"/>
            <w:noProof/>
            <w:szCs w:val="24"/>
          </w:rPr>
          <w:t>How will the problem evolve?</w:t>
        </w:r>
        <w:r>
          <w:rPr>
            <w:noProof/>
            <w:webHidden/>
            <w:szCs w:val="24"/>
          </w:rPr>
          <w:tab/>
        </w:r>
        <w:r>
          <w:rPr>
            <w:noProof/>
            <w:webHidden/>
            <w:szCs w:val="24"/>
          </w:rPr>
          <w:fldChar w:fldCharType="begin"/>
        </w:r>
        <w:r>
          <w:rPr>
            <w:noProof/>
            <w:webHidden/>
            <w:szCs w:val="24"/>
          </w:rPr>
          <w:instrText xml:space="preserve"> PAGEREF _Toc63438465 \h </w:instrText>
        </w:r>
        <w:r>
          <w:rPr>
            <w:noProof/>
            <w:webHidden/>
            <w:szCs w:val="24"/>
          </w:rPr>
        </w:r>
        <w:r>
          <w:rPr>
            <w:noProof/>
            <w:webHidden/>
            <w:szCs w:val="24"/>
          </w:rPr>
          <w:fldChar w:fldCharType="separate"/>
        </w:r>
        <w:r>
          <w:rPr>
            <w:noProof/>
            <w:webHidden/>
            <w:szCs w:val="24"/>
          </w:rPr>
          <w:t>26</w:t>
        </w:r>
        <w:r>
          <w:rPr>
            <w:noProof/>
            <w:webHidden/>
            <w:szCs w:val="24"/>
          </w:rPr>
          <w:fldChar w:fldCharType="end"/>
        </w:r>
      </w:hyperlink>
    </w:p>
    <w:p>
      <w:pPr>
        <w:pStyle w:val="TOC1"/>
        <w:rPr>
          <w:rFonts w:eastAsiaTheme="minorEastAsia"/>
          <w:caps w:val="0"/>
          <w:noProof/>
          <w:sz w:val="24"/>
          <w:szCs w:val="24"/>
          <w:lang w:val="en-US"/>
        </w:rPr>
      </w:pPr>
      <w:hyperlink w:anchor="_Toc63438466" w:history="1">
        <w:r>
          <w:rPr>
            <w:rStyle w:val="Hyperlink"/>
            <w:noProof/>
            <w:sz w:val="24"/>
            <w:szCs w:val="24"/>
          </w:rPr>
          <w:t>3.</w:t>
        </w:r>
        <w:r>
          <w:rPr>
            <w:rFonts w:eastAsiaTheme="minorEastAsia"/>
            <w:caps w:val="0"/>
            <w:noProof/>
            <w:sz w:val="24"/>
            <w:szCs w:val="24"/>
            <w:lang w:val="en-US"/>
          </w:rPr>
          <w:tab/>
        </w:r>
        <w:r>
          <w:rPr>
            <w:rStyle w:val="Hyperlink"/>
            <w:noProof/>
            <w:sz w:val="24"/>
            <w:szCs w:val="24"/>
          </w:rPr>
          <w:t>Why should the EU act?</w:t>
        </w:r>
        <w:r>
          <w:rPr>
            <w:noProof/>
            <w:webHidden/>
            <w:sz w:val="24"/>
            <w:szCs w:val="24"/>
          </w:rPr>
          <w:tab/>
        </w:r>
        <w:r>
          <w:rPr>
            <w:noProof/>
            <w:webHidden/>
            <w:sz w:val="24"/>
            <w:szCs w:val="24"/>
          </w:rPr>
          <w:fldChar w:fldCharType="begin"/>
        </w:r>
        <w:r>
          <w:rPr>
            <w:noProof/>
            <w:webHidden/>
            <w:sz w:val="24"/>
            <w:szCs w:val="24"/>
          </w:rPr>
          <w:instrText xml:space="preserve"> PAGEREF _Toc63438466 \h </w:instrText>
        </w:r>
        <w:r>
          <w:rPr>
            <w:noProof/>
            <w:webHidden/>
            <w:sz w:val="24"/>
            <w:szCs w:val="24"/>
          </w:rPr>
        </w:r>
        <w:r>
          <w:rPr>
            <w:noProof/>
            <w:webHidden/>
            <w:sz w:val="24"/>
            <w:szCs w:val="24"/>
          </w:rPr>
          <w:fldChar w:fldCharType="separate"/>
        </w:r>
        <w:r>
          <w:rPr>
            <w:noProof/>
            <w:webHidden/>
            <w:sz w:val="24"/>
            <w:szCs w:val="24"/>
          </w:rPr>
          <w:t>29</w:t>
        </w:r>
        <w:r>
          <w:rPr>
            <w:noProof/>
            <w:webHidden/>
            <w:sz w:val="24"/>
            <w:szCs w:val="24"/>
          </w:rPr>
          <w:fldChar w:fldCharType="end"/>
        </w:r>
      </w:hyperlink>
    </w:p>
    <w:p>
      <w:pPr>
        <w:pStyle w:val="TOC2"/>
        <w:tabs>
          <w:tab w:val="left" w:pos="1077"/>
        </w:tabs>
        <w:rPr>
          <w:rFonts w:eastAsiaTheme="minorEastAsia"/>
          <w:noProof/>
          <w:szCs w:val="24"/>
          <w:lang w:val="en-US"/>
        </w:rPr>
      </w:pPr>
      <w:hyperlink w:anchor="_Toc63438467" w:history="1">
        <w:r>
          <w:rPr>
            <w:rStyle w:val="Hyperlink"/>
            <w:noProof/>
            <w:szCs w:val="24"/>
          </w:rPr>
          <w:t>3.1</w:t>
        </w:r>
        <w:r>
          <w:rPr>
            <w:rFonts w:eastAsiaTheme="minorEastAsia"/>
            <w:noProof/>
            <w:szCs w:val="24"/>
            <w:lang w:val="en-US"/>
          </w:rPr>
          <w:tab/>
        </w:r>
        <w:r>
          <w:rPr>
            <w:rStyle w:val="Hyperlink"/>
            <w:noProof/>
            <w:szCs w:val="24"/>
          </w:rPr>
          <w:t>Legal basis</w:t>
        </w:r>
        <w:r>
          <w:rPr>
            <w:noProof/>
            <w:webHidden/>
            <w:szCs w:val="24"/>
          </w:rPr>
          <w:tab/>
        </w:r>
        <w:r>
          <w:rPr>
            <w:noProof/>
            <w:webHidden/>
            <w:szCs w:val="24"/>
          </w:rPr>
          <w:fldChar w:fldCharType="begin"/>
        </w:r>
        <w:r>
          <w:rPr>
            <w:noProof/>
            <w:webHidden/>
            <w:szCs w:val="24"/>
          </w:rPr>
          <w:instrText xml:space="preserve"> PAGEREF _Toc63438467 \h </w:instrText>
        </w:r>
        <w:r>
          <w:rPr>
            <w:noProof/>
            <w:webHidden/>
            <w:szCs w:val="24"/>
          </w:rPr>
        </w:r>
        <w:r>
          <w:rPr>
            <w:noProof/>
            <w:webHidden/>
            <w:szCs w:val="24"/>
          </w:rPr>
          <w:fldChar w:fldCharType="separate"/>
        </w:r>
        <w:r>
          <w:rPr>
            <w:noProof/>
            <w:webHidden/>
            <w:szCs w:val="24"/>
          </w:rPr>
          <w:t>29</w:t>
        </w:r>
        <w:r>
          <w:rPr>
            <w:noProof/>
            <w:webHidden/>
            <w:szCs w:val="24"/>
          </w:rPr>
          <w:fldChar w:fldCharType="end"/>
        </w:r>
      </w:hyperlink>
    </w:p>
    <w:p>
      <w:pPr>
        <w:pStyle w:val="TOC2"/>
        <w:tabs>
          <w:tab w:val="left" w:pos="1077"/>
        </w:tabs>
        <w:rPr>
          <w:rFonts w:eastAsiaTheme="minorEastAsia"/>
          <w:noProof/>
          <w:szCs w:val="24"/>
          <w:lang w:val="en-US"/>
        </w:rPr>
      </w:pPr>
      <w:hyperlink w:anchor="_Toc63438468" w:history="1">
        <w:r>
          <w:rPr>
            <w:rStyle w:val="Hyperlink"/>
            <w:noProof/>
            <w:szCs w:val="24"/>
          </w:rPr>
          <w:t>3.2</w:t>
        </w:r>
        <w:r>
          <w:rPr>
            <w:rFonts w:eastAsiaTheme="minorEastAsia"/>
            <w:noProof/>
            <w:szCs w:val="24"/>
            <w:lang w:val="en-US"/>
          </w:rPr>
          <w:tab/>
        </w:r>
        <w:r>
          <w:rPr>
            <w:rStyle w:val="Hyperlink"/>
            <w:noProof/>
            <w:szCs w:val="24"/>
          </w:rPr>
          <w:t>Subsidiarity: Necessity of EU action</w:t>
        </w:r>
        <w:r>
          <w:rPr>
            <w:noProof/>
            <w:webHidden/>
            <w:szCs w:val="24"/>
          </w:rPr>
          <w:tab/>
        </w:r>
        <w:r>
          <w:rPr>
            <w:noProof/>
            <w:webHidden/>
            <w:szCs w:val="24"/>
          </w:rPr>
          <w:fldChar w:fldCharType="begin"/>
        </w:r>
        <w:r>
          <w:rPr>
            <w:noProof/>
            <w:webHidden/>
            <w:szCs w:val="24"/>
          </w:rPr>
          <w:instrText xml:space="preserve"> PAGEREF _Toc63438468 \h </w:instrText>
        </w:r>
        <w:r>
          <w:rPr>
            <w:noProof/>
            <w:webHidden/>
            <w:szCs w:val="24"/>
          </w:rPr>
        </w:r>
        <w:r>
          <w:rPr>
            <w:noProof/>
            <w:webHidden/>
            <w:szCs w:val="24"/>
          </w:rPr>
          <w:fldChar w:fldCharType="separate"/>
        </w:r>
        <w:r>
          <w:rPr>
            <w:noProof/>
            <w:webHidden/>
            <w:szCs w:val="24"/>
          </w:rPr>
          <w:t>29</w:t>
        </w:r>
        <w:r>
          <w:rPr>
            <w:noProof/>
            <w:webHidden/>
            <w:szCs w:val="24"/>
          </w:rPr>
          <w:fldChar w:fldCharType="end"/>
        </w:r>
      </w:hyperlink>
    </w:p>
    <w:p>
      <w:pPr>
        <w:pStyle w:val="TOC2"/>
        <w:tabs>
          <w:tab w:val="left" w:pos="1077"/>
        </w:tabs>
        <w:rPr>
          <w:rFonts w:eastAsiaTheme="minorEastAsia"/>
          <w:noProof/>
          <w:szCs w:val="24"/>
          <w:lang w:val="en-US"/>
        </w:rPr>
      </w:pPr>
      <w:hyperlink w:anchor="_Toc63438469" w:history="1">
        <w:r>
          <w:rPr>
            <w:rStyle w:val="Hyperlink"/>
            <w:noProof/>
            <w:szCs w:val="24"/>
          </w:rPr>
          <w:t>3.3</w:t>
        </w:r>
        <w:r>
          <w:rPr>
            <w:rFonts w:eastAsiaTheme="minorEastAsia"/>
            <w:noProof/>
            <w:szCs w:val="24"/>
            <w:lang w:val="en-US"/>
          </w:rPr>
          <w:tab/>
        </w:r>
        <w:r>
          <w:rPr>
            <w:rStyle w:val="Hyperlink"/>
            <w:noProof/>
            <w:szCs w:val="24"/>
          </w:rPr>
          <w:t>Subsidiarity: Added value of EU action</w:t>
        </w:r>
        <w:r>
          <w:rPr>
            <w:noProof/>
            <w:webHidden/>
            <w:szCs w:val="24"/>
          </w:rPr>
          <w:tab/>
        </w:r>
        <w:r>
          <w:rPr>
            <w:noProof/>
            <w:webHidden/>
            <w:szCs w:val="24"/>
          </w:rPr>
          <w:fldChar w:fldCharType="begin"/>
        </w:r>
        <w:r>
          <w:rPr>
            <w:noProof/>
            <w:webHidden/>
            <w:szCs w:val="24"/>
          </w:rPr>
          <w:instrText xml:space="preserve"> PAGEREF _Toc63438469 \h </w:instrText>
        </w:r>
        <w:r>
          <w:rPr>
            <w:noProof/>
            <w:webHidden/>
            <w:szCs w:val="24"/>
          </w:rPr>
        </w:r>
        <w:r>
          <w:rPr>
            <w:noProof/>
            <w:webHidden/>
            <w:szCs w:val="24"/>
          </w:rPr>
          <w:fldChar w:fldCharType="separate"/>
        </w:r>
        <w:r>
          <w:rPr>
            <w:noProof/>
            <w:webHidden/>
            <w:szCs w:val="24"/>
          </w:rPr>
          <w:t>30</w:t>
        </w:r>
        <w:r>
          <w:rPr>
            <w:noProof/>
            <w:webHidden/>
            <w:szCs w:val="24"/>
          </w:rPr>
          <w:fldChar w:fldCharType="end"/>
        </w:r>
      </w:hyperlink>
    </w:p>
    <w:p>
      <w:pPr>
        <w:pStyle w:val="TOC1"/>
        <w:rPr>
          <w:rFonts w:eastAsiaTheme="minorEastAsia"/>
          <w:caps w:val="0"/>
          <w:noProof/>
          <w:sz w:val="24"/>
          <w:szCs w:val="24"/>
          <w:lang w:val="en-US"/>
        </w:rPr>
      </w:pPr>
      <w:hyperlink w:anchor="_Toc63438470" w:history="1">
        <w:r>
          <w:rPr>
            <w:rStyle w:val="Hyperlink"/>
            <w:noProof/>
            <w:sz w:val="24"/>
            <w:szCs w:val="24"/>
          </w:rPr>
          <w:t>4.</w:t>
        </w:r>
        <w:r>
          <w:rPr>
            <w:rFonts w:eastAsiaTheme="minorEastAsia"/>
            <w:caps w:val="0"/>
            <w:noProof/>
            <w:sz w:val="24"/>
            <w:szCs w:val="24"/>
            <w:lang w:val="en-US"/>
          </w:rPr>
          <w:tab/>
        </w:r>
        <w:r>
          <w:rPr>
            <w:rStyle w:val="Hyperlink"/>
            <w:noProof/>
            <w:sz w:val="24"/>
            <w:szCs w:val="24"/>
          </w:rPr>
          <w:t>Objectives: What is to be achieved?</w:t>
        </w:r>
        <w:r>
          <w:rPr>
            <w:noProof/>
            <w:webHidden/>
            <w:sz w:val="24"/>
            <w:szCs w:val="24"/>
          </w:rPr>
          <w:tab/>
        </w:r>
        <w:r>
          <w:rPr>
            <w:noProof/>
            <w:webHidden/>
            <w:sz w:val="24"/>
            <w:szCs w:val="24"/>
          </w:rPr>
          <w:fldChar w:fldCharType="begin"/>
        </w:r>
        <w:r>
          <w:rPr>
            <w:noProof/>
            <w:webHidden/>
            <w:sz w:val="24"/>
            <w:szCs w:val="24"/>
          </w:rPr>
          <w:instrText xml:space="preserve"> PAGEREF _Toc63438470 \h </w:instrText>
        </w:r>
        <w:r>
          <w:rPr>
            <w:noProof/>
            <w:webHidden/>
            <w:sz w:val="24"/>
            <w:szCs w:val="24"/>
          </w:rPr>
        </w:r>
        <w:r>
          <w:rPr>
            <w:noProof/>
            <w:webHidden/>
            <w:sz w:val="24"/>
            <w:szCs w:val="24"/>
          </w:rPr>
          <w:fldChar w:fldCharType="separate"/>
        </w:r>
        <w:r>
          <w:rPr>
            <w:noProof/>
            <w:webHidden/>
            <w:sz w:val="24"/>
            <w:szCs w:val="24"/>
          </w:rPr>
          <w:t>30</w:t>
        </w:r>
        <w:r>
          <w:rPr>
            <w:noProof/>
            <w:webHidden/>
            <w:sz w:val="24"/>
            <w:szCs w:val="24"/>
          </w:rPr>
          <w:fldChar w:fldCharType="end"/>
        </w:r>
      </w:hyperlink>
    </w:p>
    <w:p>
      <w:pPr>
        <w:pStyle w:val="TOC2"/>
        <w:tabs>
          <w:tab w:val="left" w:pos="1077"/>
        </w:tabs>
        <w:rPr>
          <w:rFonts w:eastAsiaTheme="minorEastAsia"/>
          <w:noProof/>
          <w:szCs w:val="24"/>
          <w:lang w:val="en-US"/>
        </w:rPr>
      </w:pPr>
      <w:hyperlink w:anchor="_Toc63438471" w:history="1">
        <w:r>
          <w:rPr>
            <w:rStyle w:val="Hyperlink"/>
            <w:noProof/>
            <w:szCs w:val="24"/>
          </w:rPr>
          <w:t>4.1</w:t>
        </w:r>
        <w:r>
          <w:rPr>
            <w:rFonts w:eastAsiaTheme="minorEastAsia"/>
            <w:noProof/>
            <w:szCs w:val="24"/>
            <w:lang w:val="en-US"/>
          </w:rPr>
          <w:tab/>
        </w:r>
        <w:r>
          <w:rPr>
            <w:rStyle w:val="Hyperlink"/>
            <w:noProof/>
            <w:szCs w:val="24"/>
          </w:rPr>
          <w:t>General objectives</w:t>
        </w:r>
        <w:r>
          <w:rPr>
            <w:noProof/>
            <w:webHidden/>
            <w:szCs w:val="24"/>
          </w:rPr>
          <w:tab/>
        </w:r>
        <w:r>
          <w:rPr>
            <w:noProof/>
            <w:webHidden/>
            <w:szCs w:val="24"/>
          </w:rPr>
          <w:fldChar w:fldCharType="begin"/>
        </w:r>
        <w:r>
          <w:rPr>
            <w:noProof/>
            <w:webHidden/>
            <w:szCs w:val="24"/>
          </w:rPr>
          <w:instrText xml:space="preserve"> PAGEREF _Toc63438471 \h </w:instrText>
        </w:r>
        <w:r>
          <w:rPr>
            <w:noProof/>
            <w:webHidden/>
            <w:szCs w:val="24"/>
          </w:rPr>
        </w:r>
        <w:r>
          <w:rPr>
            <w:noProof/>
            <w:webHidden/>
            <w:szCs w:val="24"/>
          </w:rPr>
          <w:fldChar w:fldCharType="separate"/>
        </w:r>
        <w:r>
          <w:rPr>
            <w:noProof/>
            <w:webHidden/>
            <w:szCs w:val="24"/>
          </w:rPr>
          <w:t>30</w:t>
        </w:r>
        <w:r>
          <w:rPr>
            <w:noProof/>
            <w:webHidden/>
            <w:szCs w:val="24"/>
          </w:rPr>
          <w:fldChar w:fldCharType="end"/>
        </w:r>
      </w:hyperlink>
    </w:p>
    <w:p>
      <w:pPr>
        <w:pStyle w:val="TOC2"/>
        <w:tabs>
          <w:tab w:val="left" w:pos="1077"/>
        </w:tabs>
        <w:rPr>
          <w:rFonts w:eastAsiaTheme="minorEastAsia"/>
          <w:noProof/>
          <w:szCs w:val="24"/>
          <w:lang w:val="en-US"/>
        </w:rPr>
      </w:pPr>
      <w:hyperlink w:anchor="_Toc63438472" w:history="1">
        <w:r>
          <w:rPr>
            <w:rStyle w:val="Hyperlink"/>
            <w:noProof/>
            <w:szCs w:val="24"/>
          </w:rPr>
          <w:t>4.2</w:t>
        </w:r>
        <w:r>
          <w:rPr>
            <w:rFonts w:eastAsiaTheme="minorEastAsia"/>
            <w:noProof/>
            <w:szCs w:val="24"/>
            <w:lang w:val="en-US"/>
          </w:rPr>
          <w:tab/>
        </w:r>
        <w:r>
          <w:rPr>
            <w:rStyle w:val="Hyperlink"/>
            <w:noProof/>
            <w:szCs w:val="24"/>
          </w:rPr>
          <w:t>Specific objectives</w:t>
        </w:r>
        <w:r>
          <w:rPr>
            <w:noProof/>
            <w:webHidden/>
            <w:szCs w:val="24"/>
          </w:rPr>
          <w:tab/>
        </w:r>
        <w:r>
          <w:rPr>
            <w:noProof/>
            <w:webHidden/>
            <w:szCs w:val="24"/>
          </w:rPr>
          <w:fldChar w:fldCharType="begin"/>
        </w:r>
        <w:r>
          <w:rPr>
            <w:noProof/>
            <w:webHidden/>
            <w:szCs w:val="24"/>
          </w:rPr>
          <w:instrText xml:space="preserve"> PAGEREF _Toc63438472 \h </w:instrText>
        </w:r>
        <w:r>
          <w:rPr>
            <w:noProof/>
            <w:webHidden/>
            <w:szCs w:val="24"/>
          </w:rPr>
        </w:r>
        <w:r>
          <w:rPr>
            <w:noProof/>
            <w:webHidden/>
            <w:szCs w:val="24"/>
          </w:rPr>
          <w:fldChar w:fldCharType="separate"/>
        </w:r>
        <w:r>
          <w:rPr>
            <w:noProof/>
            <w:webHidden/>
            <w:szCs w:val="24"/>
          </w:rPr>
          <w:t>31</w:t>
        </w:r>
        <w:r>
          <w:rPr>
            <w:noProof/>
            <w:webHidden/>
            <w:szCs w:val="24"/>
          </w:rPr>
          <w:fldChar w:fldCharType="end"/>
        </w:r>
      </w:hyperlink>
    </w:p>
    <w:p>
      <w:pPr>
        <w:pStyle w:val="TOC1"/>
        <w:rPr>
          <w:rFonts w:eastAsiaTheme="minorEastAsia"/>
          <w:caps w:val="0"/>
          <w:noProof/>
          <w:sz w:val="24"/>
          <w:szCs w:val="24"/>
          <w:lang w:val="en-US"/>
        </w:rPr>
      </w:pPr>
      <w:hyperlink w:anchor="_Toc63438473" w:history="1">
        <w:r>
          <w:rPr>
            <w:rStyle w:val="Hyperlink"/>
            <w:noProof/>
            <w:sz w:val="24"/>
            <w:szCs w:val="24"/>
          </w:rPr>
          <w:t>5.</w:t>
        </w:r>
        <w:r>
          <w:rPr>
            <w:rFonts w:eastAsiaTheme="minorEastAsia"/>
            <w:caps w:val="0"/>
            <w:noProof/>
            <w:sz w:val="24"/>
            <w:szCs w:val="24"/>
            <w:lang w:val="en-US"/>
          </w:rPr>
          <w:tab/>
        </w:r>
        <w:r>
          <w:rPr>
            <w:rStyle w:val="Hyperlink"/>
            <w:noProof/>
            <w:sz w:val="24"/>
            <w:szCs w:val="24"/>
          </w:rPr>
          <w:t>What are the available policy options?</w:t>
        </w:r>
        <w:r>
          <w:rPr>
            <w:noProof/>
            <w:webHidden/>
            <w:sz w:val="24"/>
            <w:szCs w:val="24"/>
          </w:rPr>
          <w:tab/>
        </w:r>
        <w:r>
          <w:rPr>
            <w:noProof/>
            <w:webHidden/>
            <w:sz w:val="24"/>
            <w:szCs w:val="24"/>
          </w:rPr>
          <w:fldChar w:fldCharType="begin"/>
        </w:r>
        <w:r>
          <w:rPr>
            <w:noProof/>
            <w:webHidden/>
            <w:sz w:val="24"/>
            <w:szCs w:val="24"/>
          </w:rPr>
          <w:instrText xml:space="preserve"> PAGEREF _Toc63438473 \h </w:instrText>
        </w:r>
        <w:r>
          <w:rPr>
            <w:noProof/>
            <w:webHidden/>
            <w:sz w:val="24"/>
            <w:szCs w:val="24"/>
          </w:rPr>
        </w:r>
        <w:r>
          <w:rPr>
            <w:noProof/>
            <w:webHidden/>
            <w:sz w:val="24"/>
            <w:szCs w:val="24"/>
          </w:rPr>
          <w:fldChar w:fldCharType="separate"/>
        </w:r>
        <w:r>
          <w:rPr>
            <w:noProof/>
            <w:webHidden/>
            <w:sz w:val="24"/>
            <w:szCs w:val="24"/>
          </w:rPr>
          <w:t>32</w:t>
        </w:r>
        <w:r>
          <w:rPr>
            <w:noProof/>
            <w:webHidden/>
            <w:sz w:val="24"/>
            <w:szCs w:val="24"/>
          </w:rPr>
          <w:fldChar w:fldCharType="end"/>
        </w:r>
      </w:hyperlink>
    </w:p>
    <w:p>
      <w:pPr>
        <w:pStyle w:val="TOC2"/>
        <w:tabs>
          <w:tab w:val="left" w:pos="1077"/>
        </w:tabs>
        <w:rPr>
          <w:rFonts w:eastAsiaTheme="minorEastAsia"/>
          <w:noProof/>
          <w:szCs w:val="24"/>
          <w:lang w:val="en-US"/>
        </w:rPr>
      </w:pPr>
      <w:hyperlink w:anchor="_Toc63438474" w:history="1">
        <w:r>
          <w:rPr>
            <w:rStyle w:val="Hyperlink"/>
            <w:noProof/>
            <w:szCs w:val="24"/>
          </w:rPr>
          <w:t>5.1</w:t>
        </w:r>
        <w:r>
          <w:rPr>
            <w:rFonts w:eastAsiaTheme="minorEastAsia"/>
            <w:noProof/>
            <w:szCs w:val="24"/>
            <w:lang w:val="en-US"/>
          </w:rPr>
          <w:tab/>
        </w:r>
        <w:r>
          <w:rPr>
            <w:rStyle w:val="Hyperlink"/>
            <w:noProof/>
            <w:szCs w:val="24"/>
          </w:rPr>
          <w:t>What is the baseline from which options are assessed?</w:t>
        </w:r>
        <w:r>
          <w:rPr>
            <w:noProof/>
            <w:webHidden/>
            <w:szCs w:val="24"/>
          </w:rPr>
          <w:tab/>
        </w:r>
        <w:r>
          <w:rPr>
            <w:noProof/>
            <w:webHidden/>
            <w:szCs w:val="24"/>
          </w:rPr>
          <w:fldChar w:fldCharType="begin"/>
        </w:r>
        <w:r>
          <w:rPr>
            <w:noProof/>
            <w:webHidden/>
            <w:szCs w:val="24"/>
          </w:rPr>
          <w:instrText xml:space="preserve"> PAGEREF _Toc63438474 \h </w:instrText>
        </w:r>
        <w:r>
          <w:rPr>
            <w:noProof/>
            <w:webHidden/>
            <w:szCs w:val="24"/>
          </w:rPr>
        </w:r>
        <w:r>
          <w:rPr>
            <w:noProof/>
            <w:webHidden/>
            <w:szCs w:val="24"/>
          </w:rPr>
          <w:fldChar w:fldCharType="separate"/>
        </w:r>
        <w:r>
          <w:rPr>
            <w:noProof/>
            <w:webHidden/>
            <w:szCs w:val="24"/>
          </w:rPr>
          <w:t>32</w:t>
        </w:r>
        <w:r>
          <w:rPr>
            <w:noProof/>
            <w:webHidden/>
            <w:szCs w:val="24"/>
          </w:rPr>
          <w:fldChar w:fldCharType="end"/>
        </w:r>
      </w:hyperlink>
    </w:p>
    <w:p>
      <w:pPr>
        <w:pStyle w:val="TOC2"/>
        <w:tabs>
          <w:tab w:val="left" w:pos="1077"/>
        </w:tabs>
        <w:rPr>
          <w:rFonts w:eastAsiaTheme="minorEastAsia"/>
          <w:noProof/>
          <w:szCs w:val="24"/>
          <w:lang w:val="en-US"/>
        </w:rPr>
      </w:pPr>
      <w:hyperlink w:anchor="_Toc63438475" w:history="1">
        <w:r>
          <w:rPr>
            <w:rStyle w:val="Hyperlink"/>
            <w:noProof/>
            <w:szCs w:val="24"/>
          </w:rPr>
          <w:t>5.2</w:t>
        </w:r>
        <w:r>
          <w:rPr>
            <w:rFonts w:eastAsiaTheme="minorEastAsia"/>
            <w:noProof/>
            <w:szCs w:val="24"/>
            <w:lang w:val="en-US"/>
          </w:rPr>
          <w:tab/>
        </w:r>
        <w:r>
          <w:rPr>
            <w:rStyle w:val="Hyperlink"/>
            <w:noProof/>
            <w:szCs w:val="24"/>
          </w:rPr>
          <w:t>Description of the policy options</w:t>
        </w:r>
        <w:r>
          <w:rPr>
            <w:noProof/>
            <w:webHidden/>
            <w:szCs w:val="24"/>
          </w:rPr>
          <w:tab/>
        </w:r>
        <w:r>
          <w:rPr>
            <w:noProof/>
            <w:webHidden/>
            <w:szCs w:val="24"/>
          </w:rPr>
          <w:fldChar w:fldCharType="begin"/>
        </w:r>
        <w:r>
          <w:rPr>
            <w:noProof/>
            <w:webHidden/>
            <w:szCs w:val="24"/>
          </w:rPr>
          <w:instrText xml:space="preserve"> PAGEREF _Toc63438475 \h </w:instrText>
        </w:r>
        <w:r>
          <w:rPr>
            <w:noProof/>
            <w:webHidden/>
            <w:szCs w:val="24"/>
          </w:rPr>
        </w:r>
        <w:r>
          <w:rPr>
            <w:noProof/>
            <w:webHidden/>
            <w:szCs w:val="24"/>
          </w:rPr>
          <w:fldChar w:fldCharType="separate"/>
        </w:r>
        <w:r>
          <w:rPr>
            <w:noProof/>
            <w:webHidden/>
            <w:szCs w:val="24"/>
          </w:rPr>
          <w:t>34</w:t>
        </w:r>
        <w:r>
          <w:rPr>
            <w:noProof/>
            <w:webHidden/>
            <w:szCs w:val="24"/>
          </w:rPr>
          <w:fldChar w:fldCharType="end"/>
        </w:r>
      </w:hyperlink>
    </w:p>
    <w:p>
      <w:pPr>
        <w:pStyle w:val="TOC3"/>
        <w:rPr>
          <w:rFonts w:ascii="Times New Roman" w:eastAsiaTheme="minorEastAsia" w:hAnsi="Times New Roman" w:cs="Times New Roman"/>
          <w:noProof/>
          <w:sz w:val="24"/>
          <w:szCs w:val="24"/>
          <w:lang w:val="en-US"/>
        </w:rPr>
      </w:pPr>
      <w:hyperlink w:anchor="_Toc63438476" w:history="1">
        <w:r>
          <w:rPr>
            <w:rStyle w:val="Hyperlink"/>
            <w:rFonts w:ascii="Times New Roman" w:hAnsi="Times New Roman" w:cs="Times New Roman"/>
            <w:noProof/>
            <w:sz w:val="24"/>
            <w:szCs w:val="24"/>
            <w:lang w:val="en-IE"/>
          </w:rPr>
          <w:t>5.2.1</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Possible policy measures and preliminary screening of options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_Toc63438476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77" w:history="1">
        <w:r>
          <w:rPr>
            <w:rStyle w:val="Hyperlink"/>
            <w:rFonts w:ascii="Times New Roman" w:hAnsi="Times New Roman" w:cs="Times New Roman"/>
            <w:noProof/>
            <w:sz w:val="24"/>
            <w:szCs w:val="24"/>
            <w:lang w:val="en-IE"/>
          </w:rPr>
          <w:t>5.2.2</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Identification of the general policy approach and the choice of main policy options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_Toc63438477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78" w:history="1">
        <w:r>
          <w:rPr>
            <w:rStyle w:val="Hyperlink"/>
            <w:rFonts w:ascii="Times New Roman" w:hAnsi="Times New Roman" w:cs="Times New Roman"/>
            <w:noProof/>
            <w:sz w:val="24"/>
            <w:szCs w:val="24"/>
            <w:lang w:val="en-IE"/>
          </w:rPr>
          <w:t>5.2.3</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Specific aspects of policy design</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_Toc63438478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79" w:history="1">
        <w:r>
          <w:rPr>
            <w:rStyle w:val="Hyperlink"/>
            <w:rFonts w:ascii="Times New Roman" w:hAnsi="Times New Roman" w:cs="Times New Roman"/>
            <w:noProof/>
            <w:sz w:val="24"/>
            <w:szCs w:val="24"/>
            <w:lang w:val="en-IE"/>
          </w:rPr>
          <w:t>5.2.4</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Additional elements of policy intervention</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_Toc63438479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Pr>
            <w:rFonts w:ascii="Times New Roman" w:hAnsi="Times New Roman" w:cs="Times New Roman"/>
            <w:noProof/>
            <w:webHidden/>
            <w:sz w:val="24"/>
            <w:szCs w:val="24"/>
          </w:rPr>
          <w:fldChar w:fldCharType="end"/>
        </w:r>
      </w:hyperlink>
    </w:p>
    <w:p>
      <w:pPr>
        <w:pStyle w:val="TOC2"/>
        <w:tabs>
          <w:tab w:val="left" w:pos="1077"/>
        </w:tabs>
        <w:rPr>
          <w:rFonts w:eastAsiaTheme="minorEastAsia"/>
          <w:noProof/>
          <w:szCs w:val="24"/>
          <w:lang w:val="en-US"/>
        </w:rPr>
      </w:pPr>
      <w:hyperlink w:anchor="_Toc63438480" w:history="1">
        <w:r>
          <w:rPr>
            <w:rStyle w:val="Hyperlink"/>
            <w:noProof/>
            <w:szCs w:val="24"/>
          </w:rPr>
          <w:t>5.3</w:t>
        </w:r>
        <w:r>
          <w:rPr>
            <w:rFonts w:eastAsiaTheme="minorEastAsia"/>
            <w:noProof/>
            <w:szCs w:val="24"/>
            <w:lang w:val="en-US"/>
          </w:rPr>
          <w:tab/>
        </w:r>
        <w:r>
          <w:rPr>
            <w:rStyle w:val="Hyperlink"/>
            <w:noProof/>
            <w:szCs w:val="24"/>
          </w:rPr>
          <w:t>Options discarded at an early stage or identified as complementary measures</w:t>
        </w:r>
        <w:r>
          <w:rPr>
            <w:noProof/>
            <w:webHidden/>
            <w:szCs w:val="24"/>
          </w:rPr>
          <w:tab/>
        </w:r>
        <w:r>
          <w:rPr>
            <w:noProof/>
            <w:webHidden/>
            <w:szCs w:val="24"/>
          </w:rPr>
          <w:fldChar w:fldCharType="begin"/>
        </w:r>
        <w:r>
          <w:rPr>
            <w:noProof/>
            <w:webHidden/>
            <w:szCs w:val="24"/>
          </w:rPr>
          <w:instrText xml:space="preserve"> PAGEREF _Toc63438480 \h </w:instrText>
        </w:r>
        <w:r>
          <w:rPr>
            <w:noProof/>
            <w:webHidden/>
            <w:szCs w:val="24"/>
          </w:rPr>
        </w:r>
        <w:r>
          <w:rPr>
            <w:noProof/>
            <w:webHidden/>
            <w:szCs w:val="24"/>
          </w:rPr>
          <w:fldChar w:fldCharType="separate"/>
        </w:r>
        <w:r>
          <w:rPr>
            <w:noProof/>
            <w:webHidden/>
            <w:szCs w:val="24"/>
          </w:rPr>
          <w:t>45</w:t>
        </w:r>
        <w:r>
          <w:rPr>
            <w:noProof/>
            <w:webHidden/>
            <w:szCs w:val="24"/>
          </w:rPr>
          <w:fldChar w:fldCharType="end"/>
        </w:r>
      </w:hyperlink>
    </w:p>
    <w:p>
      <w:pPr>
        <w:pStyle w:val="TOC3"/>
        <w:rPr>
          <w:rFonts w:ascii="Times New Roman" w:eastAsiaTheme="minorEastAsia" w:hAnsi="Times New Roman" w:cs="Times New Roman"/>
          <w:noProof/>
          <w:sz w:val="24"/>
          <w:szCs w:val="24"/>
          <w:lang w:val="en-US"/>
        </w:rPr>
      </w:pPr>
      <w:hyperlink w:anchor="_Toc63438481" w:history="1">
        <w:r>
          <w:rPr>
            <w:rStyle w:val="Hyperlink"/>
            <w:rFonts w:ascii="Times New Roman" w:hAnsi="Times New Roman" w:cs="Times New Roman"/>
            <w:noProof/>
            <w:sz w:val="24"/>
            <w:szCs w:val="24"/>
            <w:lang w:val="en-IE"/>
          </w:rPr>
          <w:t>5.3.1</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Carbon pricing measures (ETS and ETD) and impact on the penetration rate for RLF</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_Toc63438481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82" w:history="1">
        <w:r>
          <w:rPr>
            <w:rStyle w:val="Hyperlink"/>
            <w:rFonts w:ascii="Times New Roman" w:hAnsi="Times New Roman" w:cs="Times New Roman"/>
            <w:noProof/>
            <w:sz w:val="24"/>
            <w:szCs w:val="24"/>
            <w:lang w:val="en-IE"/>
          </w:rPr>
          <w:t>5.3.2</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A standard for carbon intensity of maritime operations (limit for CO2 emissions per tonne-nautical mile)</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_Toc63438482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83" w:history="1">
        <w:r>
          <w:rPr>
            <w:rStyle w:val="Hyperlink"/>
            <w:rFonts w:ascii="Times New Roman" w:hAnsi="Times New Roman" w:cs="Times New Roman"/>
            <w:noProof/>
            <w:sz w:val="24"/>
            <w:szCs w:val="24"/>
            <w:lang w:val="en-IE"/>
          </w:rPr>
          <w:t>5.3.3</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lang w:val="en-IE"/>
          </w:rPr>
          <w:t>Revision of other relevant and existing legal instruments (AFID and RED II)</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_Toc63438483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Pr>
            <w:rFonts w:ascii="Times New Roman" w:hAnsi="Times New Roman" w:cs="Times New Roman"/>
            <w:noProof/>
            <w:webHidden/>
            <w:sz w:val="24"/>
            <w:szCs w:val="24"/>
          </w:rPr>
          <w:fldChar w:fldCharType="end"/>
        </w:r>
      </w:hyperlink>
    </w:p>
    <w:p>
      <w:pPr>
        <w:pStyle w:val="TOC2"/>
        <w:tabs>
          <w:tab w:val="left" w:pos="1077"/>
        </w:tabs>
        <w:rPr>
          <w:rFonts w:eastAsiaTheme="minorEastAsia"/>
          <w:noProof/>
          <w:szCs w:val="24"/>
          <w:lang w:val="en-US"/>
        </w:rPr>
      </w:pPr>
      <w:hyperlink w:anchor="_Toc63438484" w:history="1">
        <w:r>
          <w:rPr>
            <w:rStyle w:val="Hyperlink"/>
            <w:noProof/>
            <w:szCs w:val="24"/>
          </w:rPr>
          <w:t>5.4</w:t>
        </w:r>
        <w:r>
          <w:rPr>
            <w:rFonts w:eastAsiaTheme="minorEastAsia"/>
            <w:noProof/>
            <w:szCs w:val="24"/>
            <w:lang w:val="en-US"/>
          </w:rPr>
          <w:tab/>
        </w:r>
        <w:r>
          <w:rPr>
            <w:rStyle w:val="Hyperlink"/>
            <w:noProof/>
            <w:szCs w:val="24"/>
            <w:lang w:val="en-IE"/>
          </w:rPr>
          <w:t>Feasibility of alternative pathways for the uptake of RLF</w:t>
        </w:r>
        <w:r>
          <w:rPr>
            <w:noProof/>
            <w:webHidden/>
            <w:szCs w:val="24"/>
          </w:rPr>
          <w:tab/>
        </w:r>
        <w:r>
          <w:rPr>
            <w:noProof/>
            <w:webHidden/>
            <w:szCs w:val="24"/>
          </w:rPr>
          <w:fldChar w:fldCharType="begin"/>
        </w:r>
        <w:r>
          <w:rPr>
            <w:noProof/>
            <w:webHidden/>
            <w:szCs w:val="24"/>
          </w:rPr>
          <w:instrText xml:space="preserve"> PAGEREF _Toc63438484 \h </w:instrText>
        </w:r>
        <w:r>
          <w:rPr>
            <w:noProof/>
            <w:webHidden/>
            <w:szCs w:val="24"/>
          </w:rPr>
        </w:r>
        <w:r>
          <w:rPr>
            <w:noProof/>
            <w:webHidden/>
            <w:szCs w:val="24"/>
          </w:rPr>
          <w:fldChar w:fldCharType="separate"/>
        </w:r>
        <w:r>
          <w:rPr>
            <w:noProof/>
            <w:webHidden/>
            <w:szCs w:val="24"/>
          </w:rPr>
          <w:t>50</w:t>
        </w:r>
        <w:r>
          <w:rPr>
            <w:noProof/>
            <w:webHidden/>
            <w:szCs w:val="24"/>
          </w:rPr>
          <w:fldChar w:fldCharType="end"/>
        </w:r>
      </w:hyperlink>
    </w:p>
    <w:p>
      <w:pPr>
        <w:pStyle w:val="TOC1"/>
        <w:rPr>
          <w:rFonts w:eastAsiaTheme="minorEastAsia"/>
          <w:caps w:val="0"/>
          <w:noProof/>
          <w:sz w:val="24"/>
          <w:szCs w:val="24"/>
          <w:lang w:val="en-US"/>
        </w:rPr>
      </w:pPr>
      <w:hyperlink w:anchor="_Toc63438485" w:history="1">
        <w:r>
          <w:rPr>
            <w:rStyle w:val="Hyperlink"/>
            <w:noProof/>
            <w:sz w:val="24"/>
            <w:szCs w:val="24"/>
          </w:rPr>
          <w:t>6.</w:t>
        </w:r>
        <w:r>
          <w:rPr>
            <w:rFonts w:eastAsiaTheme="minorEastAsia"/>
            <w:caps w:val="0"/>
            <w:noProof/>
            <w:sz w:val="24"/>
            <w:szCs w:val="24"/>
            <w:lang w:val="en-US"/>
          </w:rPr>
          <w:tab/>
        </w:r>
        <w:r>
          <w:rPr>
            <w:rStyle w:val="Hyperlink"/>
            <w:noProof/>
            <w:sz w:val="24"/>
            <w:szCs w:val="24"/>
          </w:rPr>
          <w:t>What are the impacts of the policy options?</w:t>
        </w:r>
        <w:r>
          <w:rPr>
            <w:noProof/>
            <w:webHidden/>
            <w:sz w:val="24"/>
            <w:szCs w:val="24"/>
          </w:rPr>
          <w:tab/>
        </w:r>
        <w:r>
          <w:rPr>
            <w:noProof/>
            <w:webHidden/>
            <w:sz w:val="24"/>
            <w:szCs w:val="24"/>
          </w:rPr>
          <w:fldChar w:fldCharType="begin"/>
        </w:r>
        <w:r>
          <w:rPr>
            <w:noProof/>
            <w:webHidden/>
            <w:sz w:val="24"/>
            <w:szCs w:val="24"/>
          </w:rPr>
          <w:instrText xml:space="preserve"> PAGEREF _Toc63438485 \h </w:instrText>
        </w:r>
        <w:r>
          <w:rPr>
            <w:noProof/>
            <w:webHidden/>
            <w:sz w:val="24"/>
            <w:szCs w:val="24"/>
          </w:rPr>
        </w:r>
        <w:r>
          <w:rPr>
            <w:noProof/>
            <w:webHidden/>
            <w:sz w:val="24"/>
            <w:szCs w:val="24"/>
          </w:rPr>
          <w:fldChar w:fldCharType="separate"/>
        </w:r>
        <w:r>
          <w:rPr>
            <w:noProof/>
            <w:webHidden/>
            <w:sz w:val="24"/>
            <w:szCs w:val="24"/>
          </w:rPr>
          <w:t>52</w:t>
        </w:r>
        <w:r>
          <w:rPr>
            <w:noProof/>
            <w:webHidden/>
            <w:sz w:val="24"/>
            <w:szCs w:val="24"/>
          </w:rPr>
          <w:fldChar w:fldCharType="end"/>
        </w:r>
      </w:hyperlink>
    </w:p>
    <w:p>
      <w:pPr>
        <w:pStyle w:val="TOC2"/>
        <w:tabs>
          <w:tab w:val="left" w:pos="1077"/>
        </w:tabs>
        <w:rPr>
          <w:rFonts w:eastAsiaTheme="minorEastAsia"/>
          <w:noProof/>
          <w:szCs w:val="24"/>
          <w:lang w:val="en-US"/>
        </w:rPr>
      </w:pPr>
      <w:hyperlink w:anchor="_Toc63438486" w:history="1">
        <w:r>
          <w:rPr>
            <w:rStyle w:val="Hyperlink"/>
            <w:noProof/>
            <w:szCs w:val="24"/>
          </w:rPr>
          <w:t>6.1</w:t>
        </w:r>
        <w:r>
          <w:rPr>
            <w:rFonts w:eastAsiaTheme="minorEastAsia"/>
            <w:noProof/>
            <w:szCs w:val="24"/>
            <w:lang w:val="en-US"/>
          </w:rPr>
          <w:tab/>
        </w:r>
        <w:r>
          <w:rPr>
            <w:rStyle w:val="Hyperlink"/>
            <w:noProof/>
            <w:szCs w:val="24"/>
          </w:rPr>
          <w:t>Economic impacts</w:t>
        </w:r>
        <w:r>
          <w:rPr>
            <w:noProof/>
            <w:webHidden/>
            <w:szCs w:val="24"/>
          </w:rPr>
          <w:tab/>
        </w:r>
        <w:r>
          <w:rPr>
            <w:noProof/>
            <w:webHidden/>
            <w:szCs w:val="24"/>
          </w:rPr>
          <w:fldChar w:fldCharType="begin"/>
        </w:r>
        <w:r>
          <w:rPr>
            <w:noProof/>
            <w:webHidden/>
            <w:szCs w:val="24"/>
          </w:rPr>
          <w:instrText xml:space="preserve"> PAGEREF _Toc63438486 \h </w:instrText>
        </w:r>
        <w:r>
          <w:rPr>
            <w:noProof/>
            <w:webHidden/>
            <w:szCs w:val="24"/>
          </w:rPr>
        </w:r>
        <w:r>
          <w:rPr>
            <w:noProof/>
            <w:webHidden/>
            <w:szCs w:val="24"/>
          </w:rPr>
          <w:fldChar w:fldCharType="separate"/>
        </w:r>
        <w:r>
          <w:rPr>
            <w:noProof/>
            <w:webHidden/>
            <w:szCs w:val="24"/>
          </w:rPr>
          <w:t>52</w:t>
        </w:r>
        <w:r>
          <w:rPr>
            <w:noProof/>
            <w:webHidden/>
            <w:szCs w:val="24"/>
          </w:rPr>
          <w:fldChar w:fldCharType="end"/>
        </w:r>
      </w:hyperlink>
    </w:p>
    <w:p>
      <w:pPr>
        <w:pStyle w:val="TOC3"/>
        <w:rPr>
          <w:rFonts w:ascii="Times New Roman" w:eastAsiaTheme="minorEastAsia" w:hAnsi="Times New Roman" w:cs="Times New Roman"/>
          <w:noProof/>
          <w:sz w:val="24"/>
          <w:szCs w:val="24"/>
          <w:lang w:val="en-US"/>
        </w:rPr>
      </w:pPr>
      <w:hyperlink w:anchor="_Toc63438487" w:history="1">
        <w:r>
          <w:rPr>
            <w:rStyle w:val="Hyperlink"/>
            <w:rFonts w:ascii="Times New Roman" w:hAnsi="Times New Roman" w:cs="Times New Roman"/>
            <w:noProof/>
            <w:sz w:val="24"/>
            <w:szCs w:val="24"/>
          </w:rPr>
          <w:t>6.1.1</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Impacts on ship operators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_Toc63438487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88" w:history="1">
        <w:r>
          <w:rPr>
            <w:rStyle w:val="Hyperlink"/>
            <w:rFonts w:ascii="Times New Roman" w:hAnsi="Times New Roman" w:cs="Times New Roman"/>
            <w:noProof/>
            <w:sz w:val="24"/>
            <w:szCs w:val="24"/>
          </w:rPr>
          <w:t>6.1.2</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Impacts on RLF prices, feedstock and renewable electricity needs for e-fuels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_Toc63438488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89" w:history="1">
        <w:r>
          <w:rPr>
            <w:rStyle w:val="Hyperlink"/>
            <w:rFonts w:ascii="Times New Roman" w:hAnsi="Times New Roman" w:cs="Times New Roman"/>
            <w:noProof/>
            <w:sz w:val="24"/>
            <w:szCs w:val="24"/>
          </w:rPr>
          <w:t>6.1.3</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Regulatory and administrative costs related to businesses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_Toc63438489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90" w:history="1">
        <w:r>
          <w:rPr>
            <w:rStyle w:val="Hyperlink"/>
            <w:rFonts w:ascii="Times New Roman" w:hAnsi="Times New Roman" w:cs="Times New Roman"/>
            <w:noProof/>
            <w:sz w:val="24"/>
            <w:szCs w:val="24"/>
          </w:rPr>
          <w:t>6.1.4</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Enforcement costs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_Toc63438490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91" w:history="1">
        <w:r>
          <w:rPr>
            <w:rStyle w:val="Hyperlink"/>
            <w:rFonts w:ascii="Times New Roman" w:hAnsi="Times New Roman" w:cs="Times New Roman"/>
            <w:noProof/>
            <w:sz w:val="24"/>
            <w:szCs w:val="24"/>
          </w:rPr>
          <w:t>6.1.5</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 on ports to provide the necessary infrastructure</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_Toc63438491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92" w:history="1">
        <w:r>
          <w:rPr>
            <w:rStyle w:val="Hyperlink"/>
            <w:rFonts w:ascii="Times New Roman" w:hAnsi="Times New Roman" w:cs="Times New Roman"/>
            <w:noProof/>
            <w:sz w:val="24"/>
            <w:szCs w:val="24"/>
          </w:rPr>
          <w:t>6.1.6</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 on innovation</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_Toc63438492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93" w:history="1">
        <w:r>
          <w:rPr>
            <w:rStyle w:val="Hyperlink"/>
            <w:rFonts w:ascii="Times New Roman" w:hAnsi="Times New Roman" w:cs="Times New Roman"/>
            <w:noProof/>
            <w:sz w:val="24"/>
            <w:szCs w:val="24"/>
          </w:rPr>
          <w:t>6.1.7</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 on the competitiveness of other parts of the EU maritime cluster</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_Toc63438493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94" w:history="1">
        <w:r>
          <w:rPr>
            <w:rStyle w:val="Hyperlink"/>
            <w:rFonts w:ascii="Times New Roman" w:hAnsi="Times New Roman" w:cs="Times New Roman"/>
            <w:noProof/>
            <w:sz w:val="24"/>
            <w:szCs w:val="24"/>
          </w:rPr>
          <w:t>6.1.8</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 on third countries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_Toc63438494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Pr>
            <w:rFonts w:ascii="Times New Roman" w:hAnsi="Times New Roman" w:cs="Times New Roman"/>
            <w:noProof/>
            <w:webHidden/>
            <w:sz w:val="24"/>
            <w:szCs w:val="24"/>
          </w:rPr>
          <w:fldChar w:fldCharType="end"/>
        </w:r>
      </w:hyperlink>
    </w:p>
    <w:p>
      <w:pPr>
        <w:pStyle w:val="TOC2"/>
        <w:tabs>
          <w:tab w:val="left" w:pos="1077"/>
        </w:tabs>
        <w:rPr>
          <w:rFonts w:eastAsiaTheme="minorEastAsia"/>
          <w:noProof/>
          <w:szCs w:val="24"/>
          <w:lang w:val="en-US"/>
        </w:rPr>
      </w:pPr>
      <w:hyperlink w:anchor="_Toc63438495" w:history="1">
        <w:r>
          <w:rPr>
            <w:rStyle w:val="Hyperlink"/>
            <w:noProof/>
            <w:szCs w:val="24"/>
          </w:rPr>
          <w:t>6.2</w:t>
        </w:r>
        <w:r>
          <w:rPr>
            <w:rFonts w:eastAsiaTheme="minorEastAsia"/>
            <w:noProof/>
            <w:szCs w:val="24"/>
            <w:lang w:val="en-US"/>
          </w:rPr>
          <w:tab/>
        </w:r>
        <w:r>
          <w:rPr>
            <w:rStyle w:val="Hyperlink"/>
            <w:noProof/>
            <w:szCs w:val="24"/>
          </w:rPr>
          <w:t>Social impacts</w:t>
        </w:r>
        <w:r>
          <w:rPr>
            <w:noProof/>
            <w:webHidden/>
            <w:szCs w:val="24"/>
          </w:rPr>
          <w:tab/>
        </w:r>
        <w:r>
          <w:rPr>
            <w:noProof/>
            <w:webHidden/>
            <w:szCs w:val="24"/>
          </w:rPr>
          <w:fldChar w:fldCharType="begin"/>
        </w:r>
        <w:r>
          <w:rPr>
            <w:noProof/>
            <w:webHidden/>
            <w:szCs w:val="24"/>
          </w:rPr>
          <w:instrText xml:space="preserve"> PAGEREF _Toc63438495 \h </w:instrText>
        </w:r>
        <w:r>
          <w:rPr>
            <w:noProof/>
            <w:webHidden/>
            <w:szCs w:val="24"/>
          </w:rPr>
        </w:r>
        <w:r>
          <w:rPr>
            <w:noProof/>
            <w:webHidden/>
            <w:szCs w:val="24"/>
          </w:rPr>
          <w:fldChar w:fldCharType="separate"/>
        </w:r>
        <w:r>
          <w:rPr>
            <w:noProof/>
            <w:webHidden/>
            <w:szCs w:val="24"/>
          </w:rPr>
          <w:t>67</w:t>
        </w:r>
        <w:r>
          <w:rPr>
            <w:noProof/>
            <w:webHidden/>
            <w:szCs w:val="24"/>
          </w:rPr>
          <w:fldChar w:fldCharType="end"/>
        </w:r>
      </w:hyperlink>
    </w:p>
    <w:p>
      <w:pPr>
        <w:pStyle w:val="TOC3"/>
        <w:rPr>
          <w:rFonts w:ascii="Times New Roman" w:eastAsiaTheme="minorEastAsia" w:hAnsi="Times New Roman" w:cs="Times New Roman"/>
          <w:noProof/>
          <w:sz w:val="24"/>
          <w:szCs w:val="24"/>
          <w:lang w:val="en-US"/>
        </w:rPr>
      </w:pPr>
      <w:hyperlink w:anchor="_Toc63438496" w:history="1">
        <w:r>
          <w:rPr>
            <w:rStyle w:val="Hyperlink"/>
            <w:rFonts w:ascii="Times New Roman" w:hAnsi="Times New Roman" w:cs="Times New Roman"/>
            <w:noProof/>
            <w:sz w:val="24"/>
            <w:szCs w:val="24"/>
          </w:rPr>
          <w:t>6.2.1</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 on jobs in the different parts of the EU maritime cluster</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_Toc63438496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97" w:history="1">
        <w:r>
          <w:rPr>
            <w:rStyle w:val="Hyperlink"/>
            <w:rFonts w:ascii="Times New Roman" w:hAnsi="Times New Roman" w:cs="Times New Roman"/>
            <w:noProof/>
            <w:sz w:val="24"/>
            <w:szCs w:val="24"/>
          </w:rPr>
          <w:t>6.2.2</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 on freight rates and connectivity of remote islands and peripheral regions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_Toc63438497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498" w:history="1">
        <w:r>
          <w:rPr>
            <w:rStyle w:val="Hyperlink"/>
            <w:rFonts w:ascii="Times New Roman" w:hAnsi="Times New Roman" w:cs="Times New Roman"/>
            <w:noProof/>
            <w:sz w:val="24"/>
            <w:szCs w:val="24"/>
          </w:rPr>
          <w:t>6.2.3</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Public health</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_Toc63438498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Pr>
            <w:rFonts w:ascii="Times New Roman" w:hAnsi="Times New Roman" w:cs="Times New Roman"/>
            <w:noProof/>
            <w:webHidden/>
            <w:sz w:val="24"/>
            <w:szCs w:val="24"/>
          </w:rPr>
          <w:fldChar w:fldCharType="end"/>
        </w:r>
      </w:hyperlink>
    </w:p>
    <w:p>
      <w:pPr>
        <w:pStyle w:val="TOC2"/>
        <w:tabs>
          <w:tab w:val="left" w:pos="1077"/>
        </w:tabs>
        <w:rPr>
          <w:rFonts w:eastAsiaTheme="minorEastAsia"/>
          <w:noProof/>
          <w:szCs w:val="24"/>
          <w:lang w:val="en-US"/>
        </w:rPr>
      </w:pPr>
      <w:hyperlink w:anchor="_Toc63438499" w:history="1">
        <w:r>
          <w:rPr>
            <w:rStyle w:val="Hyperlink"/>
            <w:noProof/>
            <w:szCs w:val="24"/>
          </w:rPr>
          <w:t>6.3</w:t>
        </w:r>
        <w:r>
          <w:rPr>
            <w:rFonts w:eastAsiaTheme="minorEastAsia"/>
            <w:noProof/>
            <w:szCs w:val="24"/>
            <w:lang w:val="en-US"/>
          </w:rPr>
          <w:tab/>
        </w:r>
        <w:r>
          <w:rPr>
            <w:rStyle w:val="Hyperlink"/>
            <w:noProof/>
            <w:szCs w:val="24"/>
          </w:rPr>
          <w:t>Environmental impacts</w:t>
        </w:r>
        <w:r>
          <w:rPr>
            <w:noProof/>
            <w:webHidden/>
            <w:szCs w:val="24"/>
          </w:rPr>
          <w:tab/>
        </w:r>
        <w:r>
          <w:rPr>
            <w:noProof/>
            <w:webHidden/>
            <w:szCs w:val="24"/>
          </w:rPr>
          <w:fldChar w:fldCharType="begin"/>
        </w:r>
        <w:r>
          <w:rPr>
            <w:noProof/>
            <w:webHidden/>
            <w:szCs w:val="24"/>
          </w:rPr>
          <w:instrText xml:space="preserve"> PAGEREF _Toc63438499 \h </w:instrText>
        </w:r>
        <w:r>
          <w:rPr>
            <w:noProof/>
            <w:webHidden/>
            <w:szCs w:val="24"/>
          </w:rPr>
        </w:r>
        <w:r>
          <w:rPr>
            <w:noProof/>
            <w:webHidden/>
            <w:szCs w:val="24"/>
          </w:rPr>
          <w:fldChar w:fldCharType="separate"/>
        </w:r>
        <w:r>
          <w:rPr>
            <w:noProof/>
            <w:webHidden/>
            <w:szCs w:val="24"/>
          </w:rPr>
          <w:t>70</w:t>
        </w:r>
        <w:r>
          <w:rPr>
            <w:noProof/>
            <w:webHidden/>
            <w:szCs w:val="24"/>
          </w:rPr>
          <w:fldChar w:fldCharType="end"/>
        </w:r>
      </w:hyperlink>
    </w:p>
    <w:p>
      <w:pPr>
        <w:pStyle w:val="TOC3"/>
        <w:rPr>
          <w:rFonts w:ascii="Times New Roman" w:eastAsiaTheme="minorEastAsia" w:hAnsi="Times New Roman" w:cs="Times New Roman"/>
          <w:noProof/>
          <w:sz w:val="24"/>
          <w:szCs w:val="24"/>
          <w:lang w:val="en-US"/>
        </w:rPr>
      </w:pPr>
      <w:hyperlink w:anchor="_Toc63438500" w:history="1">
        <w:r>
          <w:rPr>
            <w:rStyle w:val="Hyperlink"/>
            <w:rFonts w:ascii="Times New Roman" w:hAnsi="Times New Roman" w:cs="Times New Roman"/>
            <w:noProof/>
            <w:sz w:val="24"/>
            <w:szCs w:val="24"/>
          </w:rPr>
          <w:t>6.3.1</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Fossil fuels savings</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_Toc63438500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501" w:history="1">
        <w:r>
          <w:rPr>
            <w:rStyle w:val="Hyperlink"/>
            <w:rFonts w:ascii="Times New Roman" w:hAnsi="Times New Roman" w:cs="Times New Roman"/>
            <w:noProof/>
            <w:sz w:val="24"/>
            <w:szCs w:val="24"/>
          </w:rPr>
          <w:t>6.3.2</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Impacts on GHG emissions and air quality</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_Toc63438501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Pr>
            <w:rFonts w:ascii="Times New Roman" w:hAnsi="Times New Roman" w:cs="Times New Roman"/>
            <w:noProof/>
            <w:webHidden/>
            <w:sz w:val="24"/>
            <w:szCs w:val="24"/>
          </w:rPr>
          <w:fldChar w:fldCharType="end"/>
        </w:r>
      </w:hyperlink>
    </w:p>
    <w:p>
      <w:pPr>
        <w:pStyle w:val="TOC3"/>
        <w:rPr>
          <w:rFonts w:ascii="Times New Roman" w:eastAsiaTheme="minorEastAsia" w:hAnsi="Times New Roman" w:cs="Times New Roman"/>
          <w:noProof/>
          <w:sz w:val="24"/>
          <w:szCs w:val="24"/>
          <w:lang w:val="en-US"/>
        </w:rPr>
      </w:pPr>
      <w:hyperlink w:anchor="_Toc63438502" w:history="1">
        <w:r>
          <w:rPr>
            <w:rStyle w:val="Hyperlink"/>
            <w:rFonts w:ascii="Times New Roman" w:hAnsi="Times New Roman" w:cs="Times New Roman"/>
            <w:noProof/>
            <w:sz w:val="24"/>
            <w:szCs w:val="24"/>
          </w:rPr>
          <w:t>6.3.3</w:t>
        </w:r>
        <w:r>
          <w:rPr>
            <w:rFonts w:ascii="Times New Roman" w:eastAsiaTheme="minorEastAsia" w:hAnsi="Times New Roman" w:cs="Times New Roman"/>
            <w:noProof/>
            <w:sz w:val="24"/>
            <w:szCs w:val="24"/>
            <w:lang w:val="en-US"/>
          </w:rPr>
          <w:tab/>
        </w:r>
        <w:r>
          <w:rPr>
            <w:rStyle w:val="Hyperlink"/>
            <w:rFonts w:ascii="Times New Roman" w:hAnsi="Times New Roman" w:cs="Times New Roman"/>
            <w:noProof/>
            <w:sz w:val="24"/>
            <w:szCs w:val="24"/>
          </w:rPr>
          <w:t>Carbon leakage</w:t>
        </w:r>
        <w:r>
          <w:rPr>
            <w:rFonts w:ascii="Times New Roman" w:hAnsi="Times New Roman" w:cs="Times New Roman"/>
            <w:noProof/>
            <w:webHidden/>
            <w:sz w:val="24"/>
            <w:szCs w:val="24"/>
          </w:rPr>
          <w:tab/>
        </w:r>
        <w:r>
          <w:rPr>
            <w:rFonts w:ascii="Times New Roman" w:hAnsi="Times New Roman" w:cs="Times New Roman"/>
            <w:noProof/>
            <w:webHidden/>
            <w:sz w:val="24"/>
            <w:szCs w:val="24"/>
          </w:rPr>
          <w:fldChar w:fldCharType="begin"/>
        </w:r>
        <w:r>
          <w:rPr>
            <w:rFonts w:ascii="Times New Roman" w:hAnsi="Times New Roman" w:cs="Times New Roman"/>
            <w:noProof/>
            <w:webHidden/>
            <w:sz w:val="24"/>
            <w:szCs w:val="24"/>
          </w:rPr>
          <w:instrText xml:space="preserve"> PAGEREF _Toc63438502 \h </w:instrText>
        </w:r>
        <w:r>
          <w:rPr>
            <w:rFonts w:ascii="Times New Roman" w:hAnsi="Times New Roman" w:cs="Times New Roman"/>
            <w:noProof/>
            <w:webHidden/>
            <w:sz w:val="24"/>
            <w:szCs w:val="24"/>
          </w:rPr>
        </w:r>
        <w:r>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Pr>
            <w:rFonts w:ascii="Times New Roman" w:hAnsi="Times New Roman" w:cs="Times New Roman"/>
            <w:noProof/>
            <w:webHidden/>
            <w:sz w:val="24"/>
            <w:szCs w:val="24"/>
          </w:rPr>
          <w:fldChar w:fldCharType="end"/>
        </w:r>
      </w:hyperlink>
    </w:p>
    <w:p>
      <w:pPr>
        <w:pStyle w:val="TOC1"/>
        <w:rPr>
          <w:rFonts w:eastAsiaTheme="minorEastAsia"/>
          <w:caps w:val="0"/>
          <w:noProof/>
          <w:sz w:val="24"/>
          <w:szCs w:val="24"/>
          <w:lang w:val="en-US"/>
        </w:rPr>
      </w:pPr>
      <w:hyperlink w:anchor="_Toc63438503" w:history="1">
        <w:r>
          <w:rPr>
            <w:rStyle w:val="Hyperlink"/>
            <w:noProof/>
            <w:sz w:val="24"/>
            <w:szCs w:val="24"/>
          </w:rPr>
          <w:t>7.</w:t>
        </w:r>
        <w:r>
          <w:rPr>
            <w:rFonts w:eastAsiaTheme="minorEastAsia"/>
            <w:caps w:val="0"/>
            <w:noProof/>
            <w:sz w:val="24"/>
            <w:szCs w:val="24"/>
            <w:lang w:val="en-US"/>
          </w:rPr>
          <w:tab/>
        </w:r>
        <w:r>
          <w:rPr>
            <w:rStyle w:val="Hyperlink"/>
            <w:noProof/>
            <w:sz w:val="24"/>
            <w:szCs w:val="24"/>
          </w:rPr>
          <w:t>How do the options compare?</w:t>
        </w:r>
        <w:r>
          <w:rPr>
            <w:noProof/>
            <w:webHidden/>
            <w:sz w:val="24"/>
            <w:szCs w:val="24"/>
          </w:rPr>
          <w:tab/>
        </w:r>
        <w:r>
          <w:rPr>
            <w:noProof/>
            <w:webHidden/>
            <w:sz w:val="24"/>
            <w:szCs w:val="24"/>
          </w:rPr>
          <w:fldChar w:fldCharType="begin"/>
        </w:r>
        <w:r>
          <w:rPr>
            <w:noProof/>
            <w:webHidden/>
            <w:sz w:val="24"/>
            <w:szCs w:val="24"/>
          </w:rPr>
          <w:instrText xml:space="preserve"> PAGEREF _Toc63438503 \h </w:instrText>
        </w:r>
        <w:r>
          <w:rPr>
            <w:noProof/>
            <w:webHidden/>
            <w:sz w:val="24"/>
            <w:szCs w:val="24"/>
          </w:rPr>
        </w:r>
        <w:r>
          <w:rPr>
            <w:noProof/>
            <w:webHidden/>
            <w:sz w:val="24"/>
            <w:szCs w:val="24"/>
          </w:rPr>
          <w:fldChar w:fldCharType="separate"/>
        </w:r>
        <w:r>
          <w:rPr>
            <w:noProof/>
            <w:webHidden/>
            <w:sz w:val="24"/>
            <w:szCs w:val="24"/>
          </w:rPr>
          <w:t>74</w:t>
        </w:r>
        <w:r>
          <w:rPr>
            <w:noProof/>
            <w:webHidden/>
            <w:sz w:val="24"/>
            <w:szCs w:val="24"/>
          </w:rPr>
          <w:fldChar w:fldCharType="end"/>
        </w:r>
      </w:hyperlink>
    </w:p>
    <w:p>
      <w:pPr>
        <w:pStyle w:val="TOC2"/>
        <w:tabs>
          <w:tab w:val="left" w:pos="1077"/>
        </w:tabs>
        <w:rPr>
          <w:rFonts w:eastAsiaTheme="minorEastAsia"/>
          <w:noProof/>
          <w:szCs w:val="24"/>
          <w:lang w:val="en-US"/>
        </w:rPr>
      </w:pPr>
      <w:hyperlink w:anchor="_Toc63438504" w:history="1">
        <w:r>
          <w:rPr>
            <w:rStyle w:val="Hyperlink"/>
            <w:noProof/>
            <w:szCs w:val="24"/>
          </w:rPr>
          <w:t>7.1</w:t>
        </w:r>
        <w:r>
          <w:rPr>
            <w:rFonts w:eastAsiaTheme="minorEastAsia"/>
            <w:noProof/>
            <w:szCs w:val="24"/>
            <w:lang w:val="en-US"/>
          </w:rPr>
          <w:tab/>
        </w:r>
        <w:r>
          <w:rPr>
            <w:rStyle w:val="Hyperlink"/>
            <w:noProof/>
            <w:szCs w:val="24"/>
          </w:rPr>
          <w:t>Effectiveness</w:t>
        </w:r>
        <w:r>
          <w:rPr>
            <w:noProof/>
            <w:webHidden/>
            <w:szCs w:val="24"/>
          </w:rPr>
          <w:tab/>
        </w:r>
        <w:r>
          <w:rPr>
            <w:noProof/>
            <w:webHidden/>
            <w:szCs w:val="24"/>
          </w:rPr>
          <w:fldChar w:fldCharType="begin"/>
        </w:r>
        <w:r>
          <w:rPr>
            <w:noProof/>
            <w:webHidden/>
            <w:szCs w:val="24"/>
          </w:rPr>
          <w:instrText xml:space="preserve"> PAGEREF _Toc63438504 \h </w:instrText>
        </w:r>
        <w:r>
          <w:rPr>
            <w:noProof/>
            <w:webHidden/>
            <w:szCs w:val="24"/>
          </w:rPr>
        </w:r>
        <w:r>
          <w:rPr>
            <w:noProof/>
            <w:webHidden/>
            <w:szCs w:val="24"/>
          </w:rPr>
          <w:fldChar w:fldCharType="separate"/>
        </w:r>
        <w:r>
          <w:rPr>
            <w:noProof/>
            <w:webHidden/>
            <w:szCs w:val="24"/>
          </w:rPr>
          <w:t>74</w:t>
        </w:r>
        <w:r>
          <w:rPr>
            <w:noProof/>
            <w:webHidden/>
            <w:szCs w:val="24"/>
          </w:rPr>
          <w:fldChar w:fldCharType="end"/>
        </w:r>
      </w:hyperlink>
    </w:p>
    <w:p>
      <w:pPr>
        <w:pStyle w:val="TOC2"/>
        <w:tabs>
          <w:tab w:val="left" w:pos="1077"/>
        </w:tabs>
        <w:rPr>
          <w:rFonts w:eastAsiaTheme="minorEastAsia"/>
          <w:noProof/>
          <w:szCs w:val="24"/>
          <w:lang w:val="en-US"/>
        </w:rPr>
      </w:pPr>
      <w:hyperlink w:anchor="_Toc63438505" w:history="1">
        <w:r>
          <w:rPr>
            <w:rStyle w:val="Hyperlink"/>
            <w:noProof/>
            <w:szCs w:val="24"/>
          </w:rPr>
          <w:t>7.2</w:t>
        </w:r>
        <w:r>
          <w:rPr>
            <w:rFonts w:eastAsiaTheme="minorEastAsia"/>
            <w:noProof/>
            <w:szCs w:val="24"/>
            <w:lang w:val="en-US"/>
          </w:rPr>
          <w:tab/>
        </w:r>
        <w:r>
          <w:rPr>
            <w:rStyle w:val="Hyperlink"/>
            <w:noProof/>
            <w:szCs w:val="24"/>
          </w:rPr>
          <w:t>Efficiency</w:t>
        </w:r>
        <w:r>
          <w:rPr>
            <w:noProof/>
            <w:webHidden/>
            <w:szCs w:val="24"/>
          </w:rPr>
          <w:tab/>
        </w:r>
        <w:r>
          <w:rPr>
            <w:noProof/>
            <w:webHidden/>
            <w:szCs w:val="24"/>
          </w:rPr>
          <w:fldChar w:fldCharType="begin"/>
        </w:r>
        <w:r>
          <w:rPr>
            <w:noProof/>
            <w:webHidden/>
            <w:szCs w:val="24"/>
          </w:rPr>
          <w:instrText xml:space="preserve"> PAGEREF _Toc63438505 \h </w:instrText>
        </w:r>
        <w:r>
          <w:rPr>
            <w:noProof/>
            <w:webHidden/>
            <w:szCs w:val="24"/>
          </w:rPr>
        </w:r>
        <w:r>
          <w:rPr>
            <w:noProof/>
            <w:webHidden/>
            <w:szCs w:val="24"/>
          </w:rPr>
          <w:fldChar w:fldCharType="separate"/>
        </w:r>
        <w:r>
          <w:rPr>
            <w:noProof/>
            <w:webHidden/>
            <w:szCs w:val="24"/>
          </w:rPr>
          <w:t>76</w:t>
        </w:r>
        <w:r>
          <w:rPr>
            <w:noProof/>
            <w:webHidden/>
            <w:szCs w:val="24"/>
          </w:rPr>
          <w:fldChar w:fldCharType="end"/>
        </w:r>
      </w:hyperlink>
    </w:p>
    <w:p>
      <w:pPr>
        <w:pStyle w:val="TOC2"/>
        <w:tabs>
          <w:tab w:val="left" w:pos="1077"/>
        </w:tabs>
        <w:rPr>
          <w:rFonts w:eastAsiaTheme="minorEastAsia"/>
          <w:noProof/>
          <w:szCs w:val="24"/>
          <w:lang w:val="en-US"/>
        </w:rPr>
      </w:pPr>
      <w:hyperlink w:anchor="_Toc63438506" w:history="1">
        <w:r>
          <w:rPr>
            <w:rStyle w:val="Hyperlink"/>
            <w:noProof/>
            <w:szCs w:val="24"/>
          </w:rPr>
          <w:t>7.3</w:t>
        </w:r>
        <w:r>
          <w:rPr>
            <w:rFonts w:eastAsiaTheme="minorEastAsia"/>
            <w:noProof/>
            <w:szCs w:val="24"/>
            <w:lang w:val="en-US"/>
          </w:rPr>
          <w:tab/>
        </w:r>
        <w:r>
          <w:rPr>
            <w:rStyle w:val="Hyperlink"/>
            <w:noProof/>
            <w:szCs w:val="24"/>
          </w:rPr>
          <w:t>Coherence</w:t>
        </w:r>
        <w:r>
          <w:rPr>
            <w:noProof/>
            <w:webHidden/>
            <w:szCs w:val="24"/>
          </w:rPr>
          <w:tab/>
        </w:r>
        <w:r>
          <w:rPr>
            <w:noProof/>
            <w:webHidden/>
            <w:szCs w:val="24"/>
          </w:rPr>
          <w:fldChar w:fldCharType="begin"/>
        </w:r>
        <w:r>
          <w:rPr>
            <w:noProof/>
            <w:webHidden/>
            <w:szCs w:val="24"/>
          </w:rPr>
          <w:instrText xml:space="preserve"> PAGEREF _Toc63438506 \h </w:instrText>
        </w:r>
        <w:r>
          <w:rPr>
            <w:noProof/>
            <w:webHidden/>
            <w:szCs w:val="24"/>
          </w:rPr>
        </w:r>
        <w:r>
          <w:rPr>
            <w:noProof/>
            <w:webHidden/>
            <w:szCs w:val="24"/>
          </w:rPr>
          <w:fldChar w:fldCharType="separate"/>
        </w:r>
        <w:r>
          <w:rPr>
            <w:noProof/>
            <w:webHidden/>
            <w:szCs w:val="24"/>
          </w:rPr>
          <w:t>77</w:t>
        </w:r>
        <w:r>
          <w:rPr>
            <w:noProof/>
            <w:webHidden/>
            <w:szCs w:val="24"/>
          </w:rPr>
          <w:fldChar w:fldCharType="end"/>
        </w:r>
      </w:hyperlink>
    </w:p>
    <w:p>
      <w:pPr>
        <w:pStyle w:val="TOC2"/>
        <w:tabs>
          <w:tab w:val="left" w:pos="1077"/>
        </w:tabs>
        <w:rPr>
          <w:rFonts w:eastAsiaTheme="minorEastAsia"/>
          <w:noProof/>
          <w:szCs w:val="24"/>
          <w:lang w:val="en-US"/>
        </w:rPr>
      </w:pPr>
      <w:hyperlink w:anchor="_Toc63438507" w:history="1">
        <w:r>
          <w:rPr>
            <w:rStyle w:val="Hyperlink"/>
            <w:noProof/>
            <w:szCs w:val="24"/>
          </w:rPr>
          <w:t>7.4</w:t>
        </w:r>
        <w:r>
          <w:rPr>
            <w:rFonts w:eastAsiaTheme="minorEastAsia"/>
            <w:noProof/>
            <w:szCs w:val="24"/>
            <w:lang w:val="en-US"/>
          </w:rPr>
          <w:tab/>
        </w:r>
        <w:r>
          <w:rPr>
            <w:rStyle w:val="Hyperlink"/>
            <w:noProof/>
            <w:szCs w:val="24"/>
          </w:rPr>
          <w:t>Proportionality and subsidiarity</w:t>
        </w:r>
        <w:r>
          <w:rPr>
            <w:noProof/>
            <w:webHidden/>
            <w:szCs w:val="24"/>
          </w:rPr>
          <w:tab/>
        </w:r>
        <w:r>
          <w:rPr>
            <w:noProof/>
            <w:webHidden/>
            <w:szCs w:val="24"/>
          </w:rPr>
          <w:fldChar w:fldCharType="begin"/>
        </w:r>
        <w:r>
          <w:rPr>
            <w:noProof/>
            <w:webHidden/>
            <w:szCs w:val="24"/>
          </w:rPr>
          <w:instrText xml:space="preserve"> PAGEREF _Toc63438507 \h </w:instrText>
        </w:r>
        <w:r>
          <w:rPr>
            <w:noProof/>
            <w:webHidden/>
            <w:szCs w:val="24"/>
          </w:rPr>
        </w:r>
        <w:r>
          <w:rPr>
            <w:noProof/>
            <w:webHidden/>
            <w:szCs w:val="24"/>
          </w:rPr>
          <w:fldChar w:fldCharType="separate"/>
        </w:r>
        <w:r>
          <w:rPr>
            <w:noProof/>
            <w:webHidden/>
            <w:szCs w:val="24"/>
          </w:rPr>
          <w:t>79</w:t>
        </w:r>
        <w:r>
          <w:rPr>
            <w:noProof/>
            <w:webHidden/>
            <w:szCs w:val="24"/>
          </w:rPr>
          <w:fldChar w:fldCharType="end"/>
        </w:r>
      </w:hyperlink>
    </w:p>
    <w:p>
      <w:pPr>
        <w:pStyle w:val="TOC2"/>
        <w:tabs>
          <w:tab w:val="left" w:pos="1077"/>
        </w:tabs>
        <w:rPr>
          <w:rFonts w:eastAsiaTheme="minorEastAsia"/>
          <w:noProof/>
          <w:szCs w:val="24"/>
          <w:lang w:val="en-US"/>
        </w:rPr>
      </w:pPr>
      <w:hyperlink w:anchor="_Toc63438508" w:history="1">
        <w:r>
          <w:rPr>
            <w:rStyle w:val="Hyperlink"/>
            <w:noProof/>
            <w:szCs w:val="24"/>
          </w:rPr>
          <w:t>7.5</w:t>
        </w:r>
        <w:r>
          <w:rPr>
            <w:rFonts w:eastAsiaTheme="minorEastAsia"/>
            <w:noProof/>
            <w:szCs w:val="24"/>
            <w:lang w:val="en-US"/>
          </w:rPr>
          <w:tab/>
        </w:r>
        <w:r>
          <w:rPr>
            <w:rStyle w:val="Hyperlink"/>
            <w:noProof/>
            <w:szCs w:val="24"/>
          </w:rPr>
          <w:t>Stakeholder’s views on the options</w:t>
        </w:r>
        <w:r>
          <w:rPr>
            <w:noProof/>
            <w:webHidden/>
            <w:szCs w:val="24"/>
          </w:rPr>
          <w:tab/>
        </w:r>
        <w:r>
          <w:rPr>
            <w:noProof/>
            <w:webHidden/>
            <w:szCs w:val="24"/>
          </w:rPr>
          <w:fldChar w:fldCharType="begin"/>
        </w:r>
        <w:r>
          <w:rPr>
            <w:noProof/>
            <w:webHidden/>
            <w:szCs w:val="24"/>
          </w:rPr>
          <w:instrText xml:space="preserve"> PAGEREF _Toc63438508 \h </w:instrText>
        </w:r>
        <w:r>
          <w:rPr>
            <w:noProof/>
            <w:webHidden/>
            <w:szCs w:val="24"/>
          </w:rPr>
        </w:r>
        <w:r>
          <w:rPr>
            <w:noProof/>
            <w:webHidden/>
            <w:szCs w:val="24"/>
          </w:rPr>
          <w:fldChar w:fldCharType="separate"/>
        </w:r>
        <w:r>
          <w:rPr>
            <w:noProof/>
            <w:webHidden/>
            <w:szCs w:val="24"/>
          </w:rPr>
          <w:t>80</w:t>
        </w:r>
        <w:r>
          <w:rPr>
            <w:noProof/>
            <w:webHidden/>
            <w:szCs w:val="24"/>
          </w:rPr>
          <w:fldChar w:fldCharType="end"/>
        </w:r>
      </w:hyperlink>
    </w:p>
    <w:p>
      <w:pPr>
        <w:pStyle w:val="TOC2"/>
        <w:tabs>
          <w:tab w:val="left" w:pos="1077"/>
        </w:tabs>
        <w:rPr>
          <w:rFonts w:eastAsiaTheme="minorEastAsia"/>
          <w:noProof/>
          <w:szCs w:val="24"/>
          <w:lang w:val="en-US"/>
        </w:rPr>
      </w:pPr>
      <w:hyperlink w:anchor="_Toc63438509" w:history="1">
        <w:r>
          <w:rPr>
            <w:rStyle w:val="Hyperlink"/>
            <w:noProof/>
            <w:szCs w:val="24"/>
          </w:rPr>
          <w:t>7.6</w:t>
        </w:r>
        <w:r>
          <w:rPr>
            <w:rFonts w:eastAsiaTheme="minorEastAsia"/>
            <w:noProof/>
            <w:szCs w:val="24"/>
            <w:lang w:val="en-US"/>
          </w:rPr>
          <w:tab/>
        </w:r>
        <w:r>
          <w:rPr>
            <w:rStyle w:val="Hyperlink"/>
            <w:noProof/>
            <w:szCs w:val="24"/>
          </w:rPr>
          <w:t>Summary on the comparison of options</w:t>
        </w:r>
        <w:r>
          <w:rPr>
            <w:noProof/>
            <w:webHidden/>
            <w:szCs w:val="24"/>
          </w:rPr>
          <w:tab/>
        </w:r>
        <w:r>
          <w:rPr>
            <w:noProof/>
            <w:webHidden/>
            <w:szCs w:val="24"/>
          </w:rPr>
          <w:fldChar w:fldCharType="begin"/>
        </w:r>
        <w:r>
          <w:rPr>
            <w:noProof/>
            <w:webHidden/>
            <w:szCs w:val="24"/>
          </w:rPr>
          <w:instrText xml:space="preserve"> PAGEREF _Toc63438509 \h </w:instrText>
        </w:r>
        <w:r>
          <w:rPr>
            <w:noProof/>
            <w:webHidden/>
            <w:szCs w:val="24"/>
          </w:rPr>
        </w:r>
        <w:r>
          <w:rPr>
            <w:noProof/>
            <w:webHidden/>
            <w:szCs w:val="24"/>
          </w:rPr>
          <w:fldChar w:fldCharType="separate"/>
        </w:r>
        <w:r>
          <w:rPr>
            <w:noProof/>
            <w:webHidden/>
            <w:szCs w:val="24"/>
          </w:rPr>
          <w:t>81</w:t>
        </w:r>
        <w:r>
          <w:rPr>
            <w:noProof/>
            <w:webHidden/>
            <w:szCs w:val="24"/>
          </w:rPr>
          <w:fldChar w:fldCharType="end"/>
        </w:r>
      </w:hyperlink>
    </w:p>
    <w:p>
      <w:pPr>
        <w:pStyle w:val="TOC1"/>
        <w:rPr>
          <w:rFonts w:eastAsiaTheme="minorEastAsia"/>
          <w:caps w:val="0"/>
          <w:noProof/>
          <w:sz w:val="24"/>
          <w:szCs w:val="24"/>
          <w:lang w:val="en-US"/>
        </w:rPr>
      </w:pPr>
      <w:hyperlink w:anchor="_Toc63438510" w:history="1">
        <w:r>
          <w:rPr>
            <w:rStyle w:val="Hyperlink"/>
            <w:noProof/>
            <w:sz w:val="24"/>
            <w:szCs w:val="24"/>
          </w:rPr>
          <w:t>8.</w:t>
        </w:r>
        <w:r>
          <w:rPr>
            <w:rFonts w:eastAsiaTheme="minorEastAsia"/>
            <w:caps w:val="0"/>
            <w:noProof/>
            <w:sz w:val="24"/>
            <w:szCs w:val="24"/>
            <w:lang w:val="en-US"/>
          </w:rPr>
          <w:tab/>
        </w:r>
        <w:r>
          <w:rPr>
            <w:rStyle w:val="Hyperlink"/>
            <w:noProof/>
            <w:sz w:val="24"/>
            <w:szCs w:val="24"/>
          </w:rPr>
          <w:t>Preferred option</w:t>
        </w:r>
        <w:r>
          <w:rPr>
            <w:noProof/>
            <w:webHidden/>
            <w:sz w:val="24"/>
            <w:szCs w:val="24"/>
          </w:rPr>
          <w:tab/>
        </w:r>
        <w:r>
          <w:rPr>
            <w:noProof/>
            <w:webHidden/>
            <w:sz w:val="24"/>
            <w:szCs w:val="24"/>
          </w:rPr>
          <w:fldChar w:fldCharType="begin"/>
        </w:r>
        <w:r>
          <w:rPr>
            <w:noProof/>
            <w:webHidden/>
            <w:sz w:val="24"/>
            <w:szCs w:val="24"/>
          </w:rPr>
          <w:instrText xml:space="preserve"> PAGEREF _Toc63438510 \h </w:instrText>
        </w:r>
        <w:r>
          <w:rPr>
            <w:noProof/>
            <w:webHidden/>
            <w:sz w:val="24"/>
            <w:szCs w:val="24"/>
          </w:rPr>
        </w:r>
        <w:r>
          <w:rPr>
            <w:noProof/>
            <w:webHidden/>
            <w:sz w:val="24"/>
            <w:szCs w:val="24"/>
          </w:rPr>
          <w:fldChar w:fldCharType="separate"/>
        </w:r>
        <w:r>
          <w:rPr>
            <w:noProof/>
            <w:webHidden/>
            <w:sz w:val="24"/>
            <w:szCs w:val="24"/>
          </w:rPr>
          <w:t>82</w:t>
        </w:r>
        <w:r>
          <w:rPr>
            <w:noProof/>
            <w:webHidden/>
            <w:sz w:val="24"/>
            <w:szCs w:val="24"/>
          </w:rPr>
          <w:fldChar w:fldCharType="end"/>
        </w:r>
      </w:hyperlink>
    </w:p>
    <w:p>
      <w:pPr>
        <w:pStyle w:val="TOC1"/>
        <w:rPr>
          <w:rFonts w:eastAsiaTheme="minorEastAsia"/>
          <w:caps w:val="0"/>
          <w:noProof/>
          <w:sz w:val="24"/>
          <w:szCs w:val="24"/>
          <w:lang w:val="en-US"/>
        </w:rPr>
      </w:pPr>
      <w:hyperlink w:anchor="_Toc63438511" w:history="1">
        <w:r>
          <w:rPr>
            <w:rStyle w:val="Hyperlink"/>
            <w:noProof/>
            <w:sz w:val="24"/>
            <w:szCs w:val="24"/>
          </w:rPr>
          <w:t>9.</w:t>
        </w:r>
        <w:r>
          <w:rPr>
            <w:rFonts w:eastAsiaTheme="minorEastAsia"/>
            <w:caps w:val="0"/>
            <w:noProof/>
            <w:sz w:val="24"/>
            <w:szCs w:val="24"/>
            <w:lang w:val="en-US"/>
          </w:rPr>
          <w:tab/>
        </w:r>
        <w:r>
          <w:rPr>
            <w:rStyle w:val="Hyperlink"/>
            <w:noProof/>
            <w:sz w:val="24"/>
            <w:szCs w:val="24"/>
          </w:rPr>
          <w:t>How will actual impacts be monitored and evaluated?</w:t>
        </w:r>
        <w:r>
          <w:rPr>
            <w:noProof/>
            <w:webHidden/>
            <w:sz w:val="24"/>
            <w:szCs w:val="24"/>
          </w:rPr>
          <w:tab/>
        </w:r>
        <w:r>
          <w:rPr>
            <w:noProof/>
            <w:webHidden/>
            <w:sz w:val="24"/>
            <w:szCs w:val="24"/>
          </w:rPr>
          <w:fldChar w:fldCharType="begin"/>
        </w:r>
        <w:r>
          <w:rPr>
            <w:noProof/>
            <w:webHidden/>
            <w:sz w:val="24"/>
            <w:szCs w:val="24"/>
          </w:rPr>
          <w:instrText xml:space="preserve"> PAGEREF _Toc63438511 \h </w:instrText>
        </w:r>
        <w:r>
          <w:rPr>
            <w:noProof/>
            <w:webHidden/>
            <w:sz w:val="24"/>
            <w:szCs w:val="24"/>
          </w:rPr>
        </w:r>
        <w:r>
          <w:rPr>
            <w:noProof/>
            <w:webHidden/>
            <w:sz w:val="24"/>
            <w:szCs w:val="24"/>
          </w:rPr>
          <w:fldChar w:fldCharType="separate"/>
        </w:r>
        <w:r>
          <w:rPr>
            <w:noProof/>
            <w:webHidden/>
            <w:sz w:val="24"/>
            <w:szCs w:val="24"/>
          </w:rPr>
          <w:t>83</w:t>
        </w:r>
        <w:r>
          <w:rPr>
            <w:noProof/>
            <w:webHidden/>
            <w:sz w:val="24"/>
            <w:szCs w:val="24"/>
          </w:rPr>
          <w:fldChar w:fldCharType="end"/>
        </w:r>
      </w:hyperlink>
    </w:p>
    <w:p>
      <w:pPr>
        <w:pStyle w:val="TOC1"/>
        <w:rPr>
          <w:rFonts w:eastAsiaTheme="minorEastAsia"/>
          <w:caps w:val="0"/>
          <w:noProof/>
          <w:sz w:val="24"/>
          <w:szCs w:val="24"/>
          <w:lang w:val="en-US"/>
        </w:rPr>
      </w:pPr>
      <w:hyperlink w:anchor="_Toc63438512" w:history="1">
        <w:r>
          <w:rPr>
            <w:rStyle w:val="Hyperlink"/>
            <w:noProof/>
            <w:sz w:val="24"/>
            <w:szCs w:val="24"/>
          </w:rPr>
          <w:t>Annex 1: Procedural information</w:t>
        </w:r>
        <w:r>
          <w:rPr>
            <w:noProof/>
            <w:webHidden/>
            <w:sz w:val="24"/>
            <w:szCs w:val="24"/>
          </w:rPr>
          <w:tab/>
        </w:r>
        <w:r>
          <w:rPr>
            <w:noProof/>
            <w:webHidden/>
            <w:sz w:val="24"/>
            <w:szCs w:val="24"/>
          </w:rPr>
          <w:fldChar w:fldCharType="begin"/>
        </w:r>
        <w:r>
          <w:rPr>
            <w:noProof/>
            <w:webHidden/>
            <w:sz w:val="24"/>
            <w:szCs w:val="24"/>
          </w:rPr>
          <w:instrText xml:space="preserve"> PAGEREF _Toc63438512 \h </w:instrText>
        </w:r>
        <w:r>
          <w:rPr>
            <w:noProof/>
            <w:webHidden/>
            <w:sz w:val="24"/>
            <w:szCs w:val="24"/>
          </w:rPr>
        </w:r>
        <w:r>
          <w:rPr>
            <w:noProof/>
            <w:webHidden/>
            <w:sz w:val="24"/>
            <w:szCs w:val="24"/>
          </w:rPr>
          <w:fldChar w:fldCharType="separate"/>
        </w:r>
        <w:r>
          <w:rPr>
            <w:noProof/>
            <w:webHidden/>
            <w:sz w:val="24"/>
            <w:szCs w:val="24"/>
          </w:rPr>
          <w:t>85</w:t>
        </w:r>
        <w:r>
          <w:rPr>
            <w:noProof/>
            <w:webHidden/>
            <w:sz w:val="24"/>
            <w:szCs w:val="24"/>
          </w:rPr>
          <w:fldChar w:fldCharType="end"/>
        </w:r>
      </w:hyperlink>
    </w:p>
    <w:p>
      <w:pPr>
        <w:pStyle w:val="TOC1"/>
        <w:rPr>
          <w:rFonts w:eastAsiaTheme="minorEastAsia"/>
          <w:caps w:val="0"/>
          <w:noProof/>
          <w:sz w:val="24"/>
          <w:szCs w:val="24"/>
          <w:lang w:val="en-US"/>
        </w:rPr>
      </w:pPr>
      <w:hyperlink w:anchor="_Toc63438513" w:history="1">
        <w:r>
          <w:rPr>
            <w:rStyle w:val="Hyperlink"/>
            <w:noProof/>
            <w:sz w:val="24"/>
            <w:szCs w:val="24"/>
          </w:rPr>
          <w:t>1.</w:t>
        </w:r>
        <w:r>
          <w:rPr>
            <w:rFonts w:eastAsiaTheme="minorEastAsia"/>
            <w:caps w:val="0"/>
            <w:noProof/>
            <w:sz w:val="24"/>
            <w:szCs w:val="24"/>
            <w:lang w:val="en-US"/>
          </w:rPr>
          <w:tab/>
        </w:r>
        <w:r>
          <w:rPr>
            <w:rStyle w:val="Hyperlink"/>
            <w:noProof/>
            <w:sz w:val="24"/>
            <w:szCs w:val="24"/>
          </w:rPr>
          <w:t>Lead DG, D</w:t>
        </w:r>
        <w:r>
          <w:rPr>
            <w:rStyle w:val="Hyperlink"/>
            <w:i/>
            <w:iCs/>
            <w:noProof/>
            <w:sz w:val="24"/>
            <w:szCs w:val="24"/>
          </w:rPr>
          <w:t>e</w:t>
        </w:r>
        <w:r>
          <w:rPr>
            <w:rStyle w:val="Hyperlink"/>
            <w:noProof/>
            <w:sz w:val="24"/>
            <w:szCs w:val="24"/>
          </w:rPr>
          <w:t>cide Planning/CWP references</w:t>
        </w:r>
        <w:r>
          <w:rPr>
            <w:noProof/>
            <w:webHidden/>
            <w:sz w:val="24"/>
            <w:szCs w:val="24"/>
          </w:rPr>
          <w:tab/>
        </w:r>
        <w:r>
          <w:rPr>
            <w:noProof/>
            <w:webHidden/>
            <w:sz w:val="24"/>
            <w:szCs w:val="24"/>
          </w:rPr>
          <w:fldChar w:fldCharType="begin"/>
        </w:r>
        <w:r>
          <w:rPr>
            <w:noProof/>
            <w:webHidden/>
            <w:sz w:val="24"/>
            <w:szCs w:val="24"/>
          </w:rPr>
          <w:instrText xml:space="preserve"> PAGEREF _Toc63438513 \h </w:instrText>
        </w:r>
        <w:r>
          <w:rPr>
            <w:noProof/>
            <w:webHidden/>
            <w:sz w:val="24"/>
            <w:szCs w:val="24"/>
          </w:rPr>
        </w:r>
        <w:r>
          <w:rPr>
            <w:noProof/>
            <w:webHidden/>
            <w:sz w:val="24"/>
            <w:szCs w:val="24"/>
          </w:rPr>
          <w:fldChar w:fldCharType="separate"/>
        </w:r>
        <w:r>
          <w:rPr>
            <w:noProof/>
            <w:webHidden/>
            <w:sz w:val="24"/>
            <w:szCs w:val="24"/>
          </w:rPr>
          <w:t>85</w:t>
        </w:r>
        <w:r>
          <w:rPr>
            <w:noProof/>
            <w:webHidden/>
            <w:sz w:val="24"/>
            <w:szCs w:val="24"/>
          </w:rPr>
          <w:fldChar w:fldCharType="end"/>
        </w:r>
      </w:hyperlink>
    </w:p>
    <w:p>
      <w:pPr>
        <w:pStyle w:val="TOC1"/>
        <w:rPr>
          <w:rFonts w:eastAsiaTheme="minorEastAsia"/>
          <w:caps w:val="0"/>
          <w:noProof/>
          <w:sz w:val="24"/>
          <w:szCs w:val="24"/>
          <w:lang w:val="en-US"/>
        </w:rPr>
      </w:pPr>
      <w:hyperlink w:anchor="_Toc63438514" w:history="1">
        <w:r>
          <w:rPr>
            <w:rStyle w:val="Hyperlink"/>
            <w:noProof/>
            <w:sz w:val="24"/>
            <w:szCs w:val="24"/>
          </w:rPr>
          <w:t>2.</w:t>
        </w:r>
        <w:r>
          <w:rPr>
            <w:rFonts w:eastAsiaTheme="minorEastAsia"/>
            <w:caps w:val="0"/>
            <w:noProof/>
            <w:sz w:val="24"/>
            <w:szCs w:val="24"/>
            <w:lang w:val="en-US"/>
          </w:rPr>
          <w:tab/>
        </w:r>
        <w:r>
          <w:rPr>
            <w:rStyle w:val="Hyperlink"/>
            <w:noProof/>
            <w:sz w:val="24"/>
            <w:szCs w:val="24"/>
          </w:rPr>
          <w:t>Organisation and timing</w:t>
        </w:r>
        <w:r>
          <w:rPr>
            <w:noProof/>
            <w:webHidden/>
            <w:sz w:val="24"/>
            <w:szCs w:val="24"/>
          </w:rPr>
          <w:tab/>
        </w:r>
        <w:r>
          <w:rPr>
            <w:noProof/>
            <w:webHidden/>
            <w:sz w:val="24"/>
            <w:szCs w:val="24"/>
          </w:rPr>
          <w:fldChar w:fldCharType="begin"/>
        </w:r>
        <w:r>
          <w:rPr>
            <w:noProof/>
            <w:webHidden/>
            <w:sz w:val="24"/>
            <w:szCs w:val="24"/>
          </w:rPr>
          <w:instrText xml:space="preserve"> PAGEREF _Toc63438514 \h </w:instrText>
        </w:r>
        <w:r>
          <w:rPr>
            <w:noProof/>
            <w:webHidden/>
            <w:sz w:val="24"/>
            <w:szCs w:val="24"/>
          </w:rPr>
        </w:r>
        <w:r>
          <w:rPr>
            <w:noProof/>
            <w:webHidden/>
            <w:sz w:val="24"/>
            <w:szCs w:val="24"/>
          </w:rPr>
          <w:fldChar w:fldCharType="separate"/>
        </w:r>
        <w:r>
          <w:rPr>
            <w:noProof/>
            <w:webHidden/>
            <w:sz w:val="24"/>
            <w:szCs w:val="24"/>
          </w:rPr>
          <w:t>85</w:t>
        </w:r>
        <w:r>
          <w:rPr>
            <w:noProof/>
            <w:webHidden/>
            <w:sz w:val="24"/>
            <w:szCs w:val="24"/>
          </w:rPr>
          <w:fldChar w:fldCharType="end"/>
        </w:r>
      </w:hyperlink>
    </w:p>
    <w:p>
      <w:pPr>
        <w:pStyle w:val="TOC1"/>
        <w:rPr>
          <w:rFonts w:eastAsiaTheme="minorEastAsia"/>
          <w:caps w:val="0"/>
          <w:noProof/>
          <w:sz w:val="24"/>
          <w:szCs w:val="24"/>
          <w:lang w:val="en-US"/>
        </w:rPr>
      </w:pPr>
      <w:hyperlink w:anchor="_Toc63438515" w:history="1">
        <w:r>
          <w:rPr>
            <w:rStyle w:val="Hyperlink"/>
            <w:noProof/>
            <w:sz w:val="24"/>
            <w:szCs w:val="24"/>
          </w:rPr>
          <w:t>3.</w:t>
        </w:r>
        <w:r>
          <w:rPr>
            <w:rFonts w:eastAsiaTheme="minorEastAsia"/>
            <w:caps w:val="0"/>
            <w:noProof/>
            <w:sz w:val="24"/>
            <w:szCs w:val="24"/>
            <w:lang w:val="en-US"/>
          </w:rPr>
          <w:tab/>
        </w:r>
        <w:r>
          <w:rPr>
            <w:rStyle w:val="Hyperlink"/>
            <w:noProof/>
            <w:sz w:val="24"/>
            <w:szCs w:val="24"/>
          </w:rPr>
          <w:t>Consultation of the RSB</w:t>
        </w:r>
        <w:r>
          <w:rPr>
            <w:noProof/>
            <w:webHidden/>
            <w:sz w:val="24"/>
            <w:szCs w:val="24"/>
          </w:rPr>
          <w:tab/>
        </w:r>
        <w:r>
          <w:rPr>
            <w:noProof/>
            <w:webHidden/>
            <w:sz w:val="24"/>
            <w:szCs w:val="24"/>
          </w:rPr>
          <w:fldChar w:fldCharType="begin"/>
        </w:r>
        <w:r>
          <w:rPr>
            <w:noProof/>
            <w:webHidden/>
            <w:sz w:val="24"/>
            <w:szCs w:val="24"/>
          </w:rPr>
          <w:instrText xml:space="preserve"> PAGEREF _Toc63438515 \h </w:instrText>
        </w:r>
        <w:r>
          <w:rPr>
            <w:noProof/>
            <w:webHidden/>
            <w:sz w:val="24"/>
            <w:szCs w:val="24"/>
          </w:rPr>
        </w:r>
        <w:r>
          <w:rPr>
            <w:noProof/>
            <w:webHidden/>
            <w:sz w:val="24"/>
            <w:szCs w:val="24"/>
          </w:rPr>
          <w:fldChar w:fldCharType="separate"/>
        </w:r>
        <w:r>
          <w:rPr>
            <w:noProof/>
            <w:webHidden/>
            <w:sz w:val="24"/>
            <w:szCs w:val="24"/>
          </w:rPr>
          <w:t>85</w:t>
        </w:r>
        <w:r>
          <w:rPr>
            <w:noProof/>
            <w:webHidden/>
            <w:sz w:val="24"/>
            <w:szCs w:val="24"/>
          </w:rPr>
          <w:fldChar w:fldCharType="end"/>
        </w:r>
      </w:hyperlink>
    </w:p>
    <w:p>
      <w:pPr>
        <w:pStyle w:val="TOC1"/>
        <w:rPr>
          <w:rFonts w:eastAsiaTheme="minorEastAsia"/>
          <w:caps w:val="0"/>
          <w:noProof/>
          <w:sz w:val="24"/>
          <w:szCs w:val="24"/>
          <w:lang w:val="en-US"/>
        </w:rPr>
      </w:pPr>
      <w:hyperlink w:anchor="_Toc63438516" w:history="1">
        <w:r>
          <w:rPr>
            <w:rStyle w:val="Hyperlink"/>
            <w:noProof/>
            <w:sz w:val="24"/>
            <w:szCs w:val="24"/>
          </w:rPr>
          <w:t>4.</w:t>
        </w:r>
        <w:r>
          <w:rPr>
            <w:rFonts w:eastAsiaTheme="minorEastAsia"/>
            <w:caps w:val="0"/>
            <w:noProof/>
            <w:sz w:val="24"/>
            <w:szCs w:val="24"/>
            <w:lang w:val="en-US"/>
          </w:rPr>
          <w:tab/>
        </w:r>
        <w:r>
          <w:rPr>
            <w:rStyle w:val="Hyperlink"/>
            <w:noProof/>
            <w:sz w:val="24"/>
            <w:szCs w:val="24"/>
          </w:rPr>
          <w:t>Evidence, sources and quality</w:t>
        </w:r>
        <w:r>
          <w:rPr>
            <w:noProof/>
            <w:webHidden/>
            <w:sz w:val="24"/>
            <w:szCs w:val="24"/>
          </w:rPr>
          <w:tab/>
        </w:r>
        <w:r>
          <w:rPr>
            <w:noProof/>
            <w:webHidden/>
            <w:sz w:val="24"/>
            <w:szCs w:val="24"/>
          </w:rPr>
          <w:fldChar w:fldCharType="begin"/>
        </w:r>
        <w:r>
          <w:rPr>
            <w:noProof/>
            <w:webHidden/>
            <w:sz w:val="24"/>
            <w:szCs w:val="24"/>
          </w:rPr>
          <w:instrText xml:space="preserve"> PAGEREF _Toc63438516 \h </w:instrText>
        </w:r>
        <w:r>
          <w:rPr>
            <w:noProof/>
            <w:webHidden/>
            <w:sz w:val="24"/>
            <w:szCs w:val="24"/>
          </w:rPr>
        </w:r>
        <w:r>
          <w:rPr>
            <w:noProof/>
            <w:webHidden/>
            <w:sz w:val="24"/>
            <w:szCs w:val="24"/>
          </w:rPr>
          <w:fldChar w:fldCharType="separate"/>
        </w:r>
        <w:r>
          <w:rPr>
            <w:noProof/>
            <w:webHidden/>
            <w:sz w:val="24"/>
            <w:szCs w:val="24"/>
          </w:rPr>
          <w:t>90</w:t>
        </w:r>
        <w:r>
          <w:rPr>
            <w:noProof/>
            <w:webHidden/>
            <w:sz w:val="24"/>
            <w:szCs w:val="24"/>
          </w:rPr>
          <w:fldChar w:fldCharType="end"/>
        </w:r>
      </w:hyperlink>
    </w:p>
    <w:p>
      <w:pPr>
        <w:pStyle w:val="TOC1"/>
        <w:rPr>
          <w:rFonts w:eastAsiaTheme="minorEastAsia"/>
          <w:caps w:val="0"/>
          <w:noProof/>
          <w:sz w:val="24"/>
          <w:szCs w:val="24"/>
          <w:lang w:val="en-US"/>
        </w:rPr>
      </w:pPr>
      <w:hyperlink w:anchor="_Toc63438517" w:history="1">
        <w:r>
          <w:rPr>
            <w:rStyle w:val="Hyperlink"/>
            <w:noProof/>
            <w:sz w:val="24"/>
            <w:szCs w:val="24"/>
          </w:rPr>
          <w:t>Annex 2: Stakeholder consultation</w:t>
        </w:r>
        <w:r>
          <w:rPr>
            <w:noProof/>
            <w:webHidden/>
            <w:sz w:val="24"/>
            <w:szCs w:val="24"/>
          </w:rPr>
          <w:tab/>
        </w:r>
        <w:r>
          <w:rPr>
            <w:noProof/>
            <w:webHidden/>
            <w:sz w:val="24"/>
            <w:szCs w:val="24"/>
          </w:rPr>
          <w:fldChar w:fldCharType="begin"/>
        </w:r>
        <w:r>
          <w:rPr>
            <w:noProof/>
            <w:webHidden/>
            <w:sz w:val="24"/>
            <w:szCs w:val="24"/>
          </w:rPr>
          <w:instrText xml:space="preserve"> PAGEREF _Toc63438517 \h </w:instrText>
        </w:r>
        <w:r>
          <w:rPr>
            <w:noProof/>
            <w:webHidden/>
            <w:sz w:val="24"/>
            <w:szCs w:val="24"/>
          </w:rPr>
        </w:r>
        <w:r>
          <w:rPr>
            <w:noProof/>
            <w:webHidden/>
            <w:sz w:val="24"/>
            <w:szCs w:val="24"/>
          </w:rPr>
          <w:fldChar w:fldCharType="separate"/>
        </w:r>
        <w:r>
          <w:rPr>
            <w:noProof/>
            <w:webHidden/>
            <w:sz w:val="24"/>
            <w:szCs w:val="24"/>
          </w:rPr>
          <w:t>92</w:t>
        </w:r>
        <w:r>
          <w:rPr>
            <w:noProof/>
            <w:webHidden/>
            <w:sz w:val="24"/>
            <w:szCs w:val="24"/>
          </w:rPr>
          <w:fldChar w:fldCharType="end"/>
        </w:r>
      </w:hyperlink>
    </w:p>
    <w:p>
      <w:pPr>
        <w:pStyle w:val="TOC1"/>
        <w:rPr>
          <w:rFonts w:eastAsiaTheme="minorEastAsia"/>
          <w:caps w:val="0"/>
          <w:noProof/>
          <w:sz w:val="24"/>
          <w:szCs w:val="24"/>
          <w:lang w:val="en-US"/>
        </w:rPr>
      </w:pPr>
      <w:hyperlink w:anchor="_Toc63438518" w:history="1">
        <w:r>
          <w:rPr>
            <w:rStyle w:val="Hyperlink"/>
            <w:noProof/>
            <w:sz w:val="24"/>
            <w:szCs w:val="24"/>
            <w:lang w:val="fr-BE"/>
          </w:rPr>
          <w:t>1.</w:t>
        </w:r>
        <w:r>
          <w:rPr>
            <w:rFonts w:eastAsiaTheme="minorEastAsia"/>
            <w:caps w:val="0"/>
            <w:noProof/>
            <w:sz w:val="24"/>
            <w:szCs w:val="24"/>
            <w:lang w:val="en-US"/>
          </w:rPr>
          <w:tab/>
        </w:r>
        <w:r>
          <w:rPr>
            <w:rStyle w:val="Hyperlink"/>
            <w:noProof/>
            <w:sz w:val="24"/>
            <w:szCs w:val="24"/>
          </w:rPr>
          <w:t>Introduction</w:t>
        </w:r>
        <w:r>
          <w:rPr>
            <w:noProof/>
            <w:webHidden/>
            <w:sz w:val="24"/>
            <w:szCs w:val="24"/>
          </w:rPr>
          <w:tab/>
        </w:r>
        <w:r>
          <w:rPr>
            <w:noProof/>
            <w:webHidden/>
            <w:sz w:val="24"/>
            <w:szCs w:val="24"/>
          </w:rPr>
          <w:fldChar w:fldCharType="begin"/>
        </w:r>
        <w:r>
          <w:rPr>
            <w:noProof/>
            <w:webHidden/>
            <w:sz w:val="24"/>
            <w:szCs w:val="24"/>
          </w:rPr>
          <w:instrText xml:space="preserve"> PAGEREF _Toc63438518 \h </w:instrText>
        </w:r>
        <w:r>
          <w:rPr>
            <w:noProof/>
            <w:webHidden/>
            <w:sz w:val="24"/>
            <w:szCs w:val="24"/>
          </w:rPr>
        </w:r>
        <w:r>
          <w:rPr>
            <w:noProof/>
            <w:webHidden/>
            <w:sz w:val="24"/>
            <w:szCs w:val="24"/>
          </w:rPr>
          <w:fldChar w:fldCharType="separate"/>
        </w:r>
        <w:r>
          <w:rPr>
            <w:noProof/>
            <w:webHidden/>
            <w:sz w:val="24"/>
            <w:szCs w:val="24"/>
          </w:rPr>
          <w:t>92</w:t>
        </w:r>
        <w:r>
          <w:rPr>
            <w:noProof/>
            <w:webHidden/>
            <w:sz w:val="24"/>
            <w:szCs w:val="24"/>
          </w:rPr>
          <w:fldChar w:fldCharType="end"/>
        </w:r>
      </w:hyperlink>
    </w:p>
    <w:p>
      <w:pPr>
        <w:pStyle w:val="TOC1"/>
        <w:rPr>
          <w:rFonts w:eastAsiaTheme="minorEastAsia"/>
          <w:caps w:val="0"/>
          <w:noProof/>
          <w:sz w:val="24"/>
          <w:szCs w:val="24"/>
          <w:lang w:val="en-US"/>
        </w:rPr>
      </w:pPr>
      <w:hyperlink w:anchor="_Toc63438519" w:history="1">
        <w:r>
          <w:rPr>
            <w:rStyle w:val="Hyperlink"/>
            <w:noProof/>
            <w:sz w:val="24"/>
            <w:szCs w:val="24"/>
          </w:rPr>
          <w:t>2.</w:t>
        </w:r>
        <w:r>
          <w:rPr>
            <w:rFonts w:eastAsiaTheme="minorEastAsia"/>
            <w:caps w:val="0"/>
            <w:noProof/>
            <w:sz w:val="24"/>
            <w:szCs w:val="24"/>
            <w:lang w:val="en-US"/>
          </w:rPr>
          <w:tab/>
        </w:r>
        <w:r>
          <w:rPr>
            <w:rStyle w:val="Hyperlink"/>
            <w:noProof/>
            <w:sz w:val="24"/>
            <w:szCs w:val="24"/>
          </w:rPr>
          <w:t>Feedback on the Inception Impact Assessment</w:t>
        </w:r>
        <w:r>
          <w:rPr>
            <w:noProof/>
            <w:webHidden/>
            <w:sz w:val="24"/>
            <w:szCs w:val="24"/>
          </w:rPr>
          <w:tab/>
        </w:r>
        <w:r>
          <w:rPr>
            <w:noProof/>
            <w:webHidden/>
            <w:sz w:val="24"/>
            <w:szCs w:val="24"/>
          </w:rPr>
          <w:fldChar w:fldCharType="begin"/>
        </w:r>
        <w:r>
          <w:rPr>
            <w:noProof/>
            <w:webHidden/>
            <w:sz w:val="24"/>
            <w:szCs w:val="24"/>
          </w:rPr>
          <w:instrText xml:space="preserve"> PAGEREF _Toc63438519 \h </w:instrText>
        </w:r>
        <w:r>
          <w:rPr>
            <w:noProof/>
            <w:webHidden/>
            <w:sz w:val="24"/>
            <w:szCs w:val="24"/>
          </w:rPr>
        </w:r>
        <w:r>
          <w:rPr>
            <w:noProof/>
            <w:webHidden/>
            <w:sz w:val="24"/>
            <w:szCs w:val="24"/>
          </w:rPr>
          <w:fldChar w:fldCharType="separate"/>
        </w:r>
        <w:r>
          <w:rPr>
            <w:noProof/>
            <w:webHidden/>
            <w:sz w:val="24"/>
            <w:szCs w:val="24"/>
          </w:rPr>
          <w:t>93</w:t>
        </w:r>
        <w:r>
          <w:rPr>
            <w:noProof/>
            <w:webHidden/>
            <w:sz w:val="24"/>
            <w:szCs w:val="24"/>
          </w:rPr>
          <w:fldChar w:fldCharType="end"/>
        </w:r>
      </w:hyperlink>
    </w:p>
    <w:p>
      <w:pPr>
        <w:pStyle w:val="TOC1"/>
        <w:rPr>
          <w:rFonts w:eastAsiaTheme="minorEastAsia"/>
          <w:caps w:val="0"/>
          <w:noProof/>
          <w:sz w:val="24"/>
          <w:szCs w:val="24"/>
          <w:lang w:val="en-US"/>
        </w:rPr>
      </w:pPr>
      <w:hyperlink w:anchor="_Toc63438520" w:history="1">
        <w:r>
          <w:rPr>
            <w:rStyle w:val="Hyperlink"/>
            <w:noProof/>
            <w:sz w:val="24"/>
            <w:szCs w:val="24"/>
          </w:rPr>
          <w:t>3.</w:t>
        </w:r>
        <w:r>
          <w:rPr>
            <w:rFonts w:eastAsiaTheme="minorEastAsia"/>
            <w:caps w:val="0"/>
            <w:noProof/>
            <w:sz w:val="24"/>
            <w:szCs w:val="24"/>
            <w:lang w:val="en-US"/>
          </w:rPr>
          <w:tab/>
        </w:r>
        <w:r>
          <w:rPr>
            <w:rStyle w:val="Hyperlink"/>
            <w:noProof/>
            <w:sz w:val="24"/>
            <w:szCs w:val="24"/>
          </w:rPr>
          <w:t>Methodology</w:t>
        </w:r>
        <w:r>
          <w:rPr>
            <w:noProof/>
            <w:webHidden/>
            <w:sz w:val="24"/>
            <w:szCs w:val="24"/>
          </w:rPr>
          <w:tab/>
        </w:r>
        <w:r>
          <w:rPr>
            <w:noProof/>
            <w:webHidden/>
            <w:sz w:val="24"/>
            <w:szCs w:val="24"/>
          </w:rPr>
          <w:fldChar w:fldCharType="begin"/>
        </w:r>
        <w:r>
          <w:rPr>
            <w:noProof/>
            <w:webHidden/>
            <w:sz w:val="24"/>
            <w:szCs w:val="24"/>
          </w:rPr>
          <w:instrText xml:space="preserve"> PAGEREF _Toc63438520 \h </w:instrText>
        </w:r>
        <w:r>
          <w:rPr>
            <w:noProof/>
            <w:webHidden/>
            <w:sz w:val="24"/>
            <w:szCs w:val="24"/>
          </w:rPr>
        </w:r>
        <w:r>
          <w:rPr>
            <w:noProof/>
            <w:webHidden/>
            <w:sz w:val="24"/>
            <w:szCs w:val="24"/>
          </w:rPr>
          <w:fldChar w:fldCharType="separate"/>
        </w:r>
        <w:r>
          <w:rPr>
            <w:noProof/>
            <w:webHidden/>
            <w:sz w:val="24"/>
            <w:szCs w:val="24"/>
          </w:rPr>
          <w:t>93</w:t>
        </w:r>
        <w:r>
          <w:rPr>
            <w:noProof/>
            <w:webHidden/>
            <w:sz w:val="24"/>
            <w:szCs w:val="24"/>
          </w:rPr>
          <w:fldChar w:fldCharType="end"/>
        </w:r>
      </w:hyperlink>
    </w:p>
    <w:p>
      <w:pPr>
        <w:pStyle w:val="TOC1"/>
        <w:rPr>
          <w:rFonts w:eastAsiaTheme="minorEastAsia"/>
          <w:caps w:val="0"/>
          <w:noProof/>
          <w:sz w:val="24"/>
          <w:szCs w:val="24"/>
          <w:lang w:val="en-US"/>
        </w:rPr>
      </w:pPr>
      <w:hyperlink w:anchor="_Toc63438521" w:history="1">
        <w:r>
          <w:rPr>
            <w:rStyle w:val="Hyperlink"/>
            <w:noProof/>
            <w:sz w:val="24"/>
            <w:szCs w:val="24"/>
          </w:rPr>
          <w:t>4.</w:t>
        </w:r>
        <w:r>
          <w:rPr>
            <w:rFonts w:eastAsiaTheme="minorEastAsia"/>
            <w:caps w:val="0"/>
            <w:noProof/>
            <w:sz w:val="24"/>
            <w:szCs w:val="24"/>
            <w:lang w:val="en-US"/>
          </w:rPr>
          <w:tab/>
        </w:r>
        <w:r>
          <w:rPr>
            <w:rStyle w:val="Hyperlink"/>
            <w:noProof/>
            <w:sz w:val="24"/>
            <w:szCs w:val="24"/>
          </w:rPr>
          <w:t>Analysis of results of the stakeholder consultation</w:t>
        </w:r>
        <w:r>
          <w:rPr>
            <w:noProof/>
            <w:webHidden/>
            <w:sz w:val="24"/>
            <w:szCs w:val="24"/>
          </w:rPr>
          <w:tab/>
        </w:r>
        <w:r>
          <w:rPr>
            <w:noProof/>
            <w:webHidden/>
            <w:sz w:val="24"/>
            <w:szCs w:val="24"/>
          </w:rPr>
          <w:fldChar w:fldCharType="begin"/>
        </w:r>
        <w:r>
          <w:rPr>
            <w:noProof/>
            <w:webHidden/>
            <w:sz w:val="24"/>
            <w:szCs w:val="24"/>
          </w:rPr>
          <w:instrText xml:space="preserve"> PAGEREF _Toc63438521 \h </w:instrText>
        </w:r>
        <w:r>
          <w:rPr>
            <w:noProof/>
            <w:webHidden/>
            <w:sz w:val="24"/>
            <w:szCs w:val="24"/>
          </w:rPr>
        </w:r>
        <w:r>
          <w:rPr>
            <w:noProof/>
            <w:webHidden/>
            <w:sz w:val="24"/>
            <w:szCs w:val="24"/>
          </w:rPr>
          <w:fldChar w:fldCharType="separate"/>
        </w:r>
        <w:r>
          <w:rPr>
            <w:noProof/>
            <w:webHidden/>
            <w:sz w:val="24"/>
            <w:szCs w:val="24"/>
          </w:rPr>
          <w:t>96</w:t>
        </w:r>
        <w:r>
          <w:rPr>
            <w:noProof/>
            <w:webHidden/>
            <w:sz w:val="24"/>
            <w:szCs w:val="24"/>
          </w:rPr>
          <w:fldChar w:fldCharType="end"/>
        </w:r>
      </w:hyperlink>
    </w:p>
    <w:p>
      <w:pPr>
        <w:pStyle w:val="TOC1"/>
        <w:rPr>
          <w:rFonts w:eastAsiaTheme="minorEastAsia"/>
          <w:caps w:val="0"/>
          <w:noProof/>
          <w:sz w:val="24"/>
          <w:szCs w:val="24"/>
          <w:lang w:val="en-US"/>
        </w:rPr>
      </w:pPr>
      <w:hyperlink w:anchor="_Toc63438522" w:history="1">
        <w:r>
          <w:rPr>
            <w:rStyle w:val="Hyperlink"/>
            <w:noProof/>
            <w:sz w:val="24"/>
            <w:szCs w:val="24"/>
          </w:rPr>
          <w:t>5.</w:t>
        </w:r>
        <w:r>
          <w:rPr>
            <w:rFonts w:eastAsiaTheme="minorEastAsia"/>
            <w:caps w:val="0"/>
            <w:noProof/>
            <w:sz w:val="24"/>
            <w:szCs w:val="24"/>
            <w:lang w:val="en-US"/>
          </w:rPr>
          <w:tab/>
        </w:r>
        <w:r>
          <w:rPr>
            <w:rStyle w:val="Hyperlink"/>
            <w:noProof/>
            <w:sz w:val="24"/>
            <w:szCs w:val="24"/>
          </w:rPr>
          <w:t>Conclusion</w:t>
        </w:r>
        <w:r>
          <w:rPr>
            <w:noProof/>
            <w:webHidden/>
            <w:sz w:val="24"/>
            <w:szCs w:val="24"/>
          </w:rPr>
          <w:tab/>
        </w:r>
        <w:r>
          <w:rPr>
            <w:noProof/>
            <w:webHidden/>
            <w:sz w:val="24"/>
            <w:szCs w:val="24"/>
          </w:rPr>
          <w:fldChar w:fldCharType="begin"/>
        </w:r>
        <w:r>
          <w:rPr>
            <w:noProof/>
            <w:webHidden/>
            <w:sz w:val="24"/>
            <w:szCs w:val="24"/>
          </w:rPr>
          <w:instrText xml:space="preserve"> PAGEREF _Toc63438522 \h </w:instrText>
        </w:r>
        <w:r>
          <w:rPr>
            <w:noProof/>
            <w:webHidden/>
            <w:sz w:val="24"/>
            <w:szCs w:val="24"/>
          </w:rPr>
        </w:r>
        <w:r>
          <w:rPr>
            <w:noProof/>
            <w:webHidden/>
            <w:sz w:val="24"/>
            <w:szCs w:val="24"/>
          </w:rPr>
          <w:fldChar w:fldCharType="separate"/>
        </w:r>
        <w:r>
          <w:rPr>
            <w:noProof/>
            <w:webHidden/>
            <w:sz w:val="24"/>
            <w:szCs w:val="24"/>
          </w:rPr>
          <w:t>103</w:t>
        </w:r>
        <w:r>
          <w:rPr>
            <w:noProof/>
            <w:webHidden/>
            <w:sz w:val="24"/>
            <w:szCs w:val="24"/>
          </w:rPr>
          <w:fldChar w:fldCharType="end"/>
        </w:r>
      </w:hyperlink>
    </w:p>
    <w:p>
      <w:pPr>
        <w:pStyle w:val="TOC1"/>
        <w:rPr>
          <w:rFonts w:eastAsiaTheme="minorEastAsia"/>
          <w:caps w:val="0"/>
          <w:noProof/>
          <w:sz w:val="24"/>
          <w:szCs w:val="24"/>
          <w:lang w:val="en-US"/>
        </w:rPr>
      </w:pPr>
      <w:hyperlink w:anchor="_Toc63438523" w:history="1">
        <w:r>
          <w:rPr>
            <w:rStyle w:val="Hyperlink"/>
            <w:noProof/>
            <w:sz w:val="24"/>
            <w:szCs w:val="24"/>
          </w:rPr>
          <w:t>Annex 3: Who is affected and how?</w:t>
        </w:r>
        <w:r>
          <w:rPr>
            <w:noProof/>
            <w:webHidden/>
            <w:sz w:val="24"/>
            <w:szCs w:val="24"/>
          </w:rPr>
          <w:tab/>
        </w:r>
        <w:r>
          <w:rPr>
            <w:noProof/>
            <w:webHidden/>
            <w:sz w:val="24"/>
            <w:szCs w:val="24"/>
          </w:rPr>
          <w:fldChar w:fldCharType="begin"/>
        </w:r>
        <w:r>
          <w:rPr>
            <w:noProof/>
            <w:webHidden/>
            <w:sz w:val="24"/>
            <w:szCs w:val="24"/>
          </w:rPr>
          <w:instrText xml:space="preserve"> PAGEREF _Toc63438523 \h </w:instrText>
        </w:r>
        <w:r>
          <w:rPr>
            <w:noProof/>
            <w:webHidden/>
            <w:sz w:val="24"/>
            <w:szCs w:val="24"/>
          </w:rPr>
        </w:r>
        <w:r>
          <w:rPr>
            <w:noProof/>
            <w:webHidden/>
            <w:sz w:val="24"/>
            <w:szCs w:val="24"/>
          </w:rPr>
          <w:fldChar w:fldCharType="separate"/>
        </w:r>
        <w:r>
          <w:rPr>
            <w:noProof/>
            <w:webHidden/>
            <w:sz w:val="24"/>
            <w:szCs w:val="24"/>
          </w:rPr>
          <w:t>104</w:t>
        </w:r>
        <w:r>
          <w:rPr>
            <w:noProof/>
            <w:webHidden/>
            <w:sz w:val="24"/>
            <w:szCs w:val="24"/>
          </w:rPr>
          <w:fldChar w:fldCharType="end"/>
        </w:r>
      </w:hyperlink>
    </w:p>
    <w:p>
      <w:pPr>
        <w:pStyle w:val="TOC1"/>
        <w:rPr>
          <w:rFonts w:eastAsiaTheme="minorEastAsia"/>
          <w:caps w:val="0"/>
          <w:noProof/>
          <w:sz w:val="24"/>
          <w:szCs w:val="24"/>
          <w:lang w:val="en-US"/>
        </w:rPr>
      </w:pPr>
      <w:hyperlink w:anchor="_Toc63438524" w:history="1">
        <w:r>
          <w:rPr>
            <w:rStyle w:val="Hyperlink"/>
            <w:noProof/>
            <w:sz w:val="24"/>
            <w:szCs w:val="24"/>
          </w:rPr>
          <w:t>1.</w:t>
        </w:r>
        <w:r>
          <w:rPr>
            <w:rFonts w:eastAsiaTheme="minorEastAsia"/>
            <w:caps w:val="0"/>
            <w:noProof/>
            <w:sz w:val="24"/>
            <w:szCs w:val="24"/>
            <w:lang w:val="en-US"/>
          </w:rPr>
          <w:tab/>
        </w:r>
        <w:r>
          <w:rPr>
            <w:rStyle w:val="Hyperlink"/>
            <w:noProof/>
            <w:sz w:val="24"/>
            <w:szCs w:val="24"/>
          </w:rPr>
          <w:t>Practical implications of the initiative</w:t>
        </w:r>
        <w:r>
          <w:rPr>
            <w:noProof/>
            <w:webHidden/>
            <w:sz w:val="24"/>
            <w:szCs w:val="24"/>
          </w:rPr>
          <w:tab/>
        </w:r>
        <w:r>
          <w:rPr>
            <w:noProof/>
            <w:webHidden/>
            <w:sz w:val="24"/>
            <w:szCs w:val="24"/>
          </w:rPr>
          <w:fldChar w:fldCharType="begin"/>
        </w:r>
        <w:r>
          <w:rPr>
            <w:noProof/>
            <w:webHidden/>
            <w:sz w:val="24"/>
            <w:szCs w:val="24"/>
          </w:rPr>
          <w:instrText xml:space="preserve"> PAGEREF _Toc63438524 \h </w:instrText>
        </w:r>
        <w:r>
          <w:rPr>
            <w:noProof/>
            <w:webHidden/>
            <w:sz w:val="24"/>
            <w:szCs w:val="24"/>
          </w:rPr>
        </w:r>
        <w:r>
          <w:rPr>
            <w:noProof/>
            <w:webHidden/>
            <w:sz w:val="24"/>
            <w:szCs w:val="24"/>
          </w:rPr>
          <w:fldChar w:fldCharType="separate"/>
        </w:r>
        <w:r>
          <w:rPr>
            <w:noProof/>
            <w:webHidden/>
            <w:sz w:val="24"/>
            <w:szCs w:val="24"/>
          </w:rPr>
          <w:t>104</w:t>
        </w:r>
        <w:r>
          <w:rPr>
            <w:noProof/>
            <w:webHidden/>
            <w:sz w:val="24"/>
            <w:szCs w:val="24"/>
          </w:rPr>
          <w:fldChar w:fldCharType="end"/>
        </w:r>
      </w:hyperlink>
    </w:p>
    <w:p>
      <w:pPr>
        <w:pStyle w:val="TOC2"/>
        <w:tabs>
          <w:tab w:val="left" w:pos="1077"/>
        </w:tabs>
        <w:rPr>
          <w:rFonts w:eastAsiaTheme="minorEastAsia"/>
          <w:noProof/>
          <w:szCs w:val="24"/>
          <w:lang w:val="en-US"/>
        </w:rPr>
      </w:pPr>
      <w:hyperlink w:anchor="_Toc63438525" w:history="1">
        <w:r>
          <w:rPr>
            <w:rStyle w:val="Hyperlink"/>
            <w:noProof/>
            <w:szCs w:val="24"/>
          </w:rPr>
          <w:t>1.1.</w:t>
        </w:r>
        <w:r>
          <w:rPr>
            <w:rFonts w:eastAsiaTheme="minorEastAsia"/>
            <w:noProof/>
            <w:szCs w:val="24"/>
            <w:lang w:val="en-US"/>
          </w:rPr>
          <w:tab/>
        </w:r>
        <w:r>
          <w:rPr>
            <w:rStyle w:val="Hyperlink"/>
            <w:noProof/>
            <w:szCs w:val="24"/>
          </w:rPr>
          <w:t>Outlook of the preferred option implementation</w:t>
        </w:r>
        <w:r>
          <w:rPr>
            <w:noProof/>
            <w:webHidden/>
            <w:szCs w:val="24"/>
          </w:rPr>
          <w:tab/>
        </w:r>
        <w:r>
          <w:rPr>
            <w:noProof/>
            <w:webHidden/>
            <w:szCs w:val="24"/>
          </w:rPr>
          <w:fldChar w:fldCharType="begin"/>
        </w:r>
        <w:r>
          <w:rPr>
            <w:noProof/>
            <w:webHidden/>
            <w:szCs w:val="24"/>
          </w:rPr>
          <w:instrText xml:space="preserve"> PAGEREF _Toc63438525 \h </w:instrText>
        </w:r>
        <w:r>
          <w:rPr>
            <w:noProof/>
            <w:webHidden/>
            <w:szCs w:val="24"/>
          </w:rPr>
        </w:r>
        <w:r>
          <w:rPr>
            <w:noProof/>
            <w:webHidden/>
            <w:szCs w:val="24"/>
          </w:rPr>
          <w:fldChar w:fldCharType="separate"/>
        </w:r>
        <w:r>
          <w:rPr>
            <w:noProof/>
            <w:webHidden/>
            <w:szCs w:val="24"/>
          </w:rPr>
          <w:t>104</w:t>
        </w:r>
        <w:r>
          <w:rPr>
            <w:noProof/>
            <w:webHidden/>
            <w:szCs w:val="24"/>
          </w:rPr>
          <w:fldChar w:fldCharType="end"/>
        </w:r>
      </w:hyperlink>
    </w:p>
    <w:p>
      <w:pPr>
        <w:pStyle w:val="TOC2"/>
        <w:tabs>
          <w:tab w:val="left" w:pos="1077"/>
        </w:tabs>
        <w:rPr>
          <w:rFonts w:eastAsiaTheme="minorEastAsia"/>
          <w:noProof/>
          <w:szCs w:val="24"/>
          <w:lang w:val="en-US"/>
        </w:rPr>
      </w:pPr>
      <w:hyperlink w:anchor="_Toc63438526" w:history="1">
        <w:r>
          <w:rPr>
            <w:rStyle w:val="Hyperlink"/>
            <w:noProof/>
            <w:szCs w:val="24"/>
          </w:rPr>
          <w:t>1.2.</w:t>
        </w:r>
        <w:r>
          <w:rPr>
            <w:rFonts w:eastAsiaTheme="minorEastAsia"/>
            <w:noProof/>
            <w:szCs w:val="24"/>
            <w:lang w:val="en-US"/>
          </w:rPr>
          <w:tab/>
        </w:r>
        <w:r>
          <w:rPr>
            <w:rStyle w:val="Hyperlink"/>
            <w:noProof/>
            <w:szCs w:val="24"/>
          </w:rPr>
          <w:t>Implications on market operators and public authorities</w:t>
        </w:r>
        <w:r>
          <w:rPr>
            <w:noProof/>
            <w:webHidden/>
            <w:szCs w:val="24"/>
          </w:rPr>
          <w:tab/>
        </w:r>
        <w:r>
          <w:rPr>
            <w:noProof/>
            <w:webHidden/>
            <w:szCs w:val="24"/>
          </w:rPr>
          <w:fldChar w:fldCharType="begin"/>
        </w:r>
        <w:r>
          <w:rPr>
            <w:noProof/>
            <w:webHidden/>
            <w:szCs w:val="24"/>
          </w:rPr>
          <w:instrText xml:space="preserve"> PAGEREF _Toc63438526 \h </w:instrText>
        </w:r>
        <w:r>
          <w:rPr>
            <w:noProof/>
            <w:webHidden/>
            <w:szCs w:val="24"/>
          </w:rPr>
        </w:r>
        <w:r>
          <w:rPr>
            <w:noProof/>
            <w:webHidden/>
            <w:szCs w:val="24"/>
          </w:rPr>
          <w:fldChar w:fldCharType="separate"/>
        </w:r>
        <w:r>
          <w:rPr>
            <w:noProof/>
            <w:webHidden/>
            <w:szCs w:val="24"/>
          </w:rPr>
          <w:t>104</w:t>
        </w:r>
        <w:r>
          <w:rPr>
            <w:noProof/>
            <w:webHidden/>
            <w:szCs w:val="24"/>
          </w:rPr>
          <w:fldChar w:fldCharType="end"/>
        </w:r>
      </w:hyperlink>
    </w:p>
    <w:p>
      <w:pPr>
        <w:pStyle w:val="TOC1"/>
        <w:rPr>
          <w:rFonts w:eastAsiaTheme="minorEastAsia"/>
          <w:caps w:val="0"/>
          <w:noProof/>
          <w:sz w:val="24"/>
          <w:szCs w:val="24"/>
          <w:lang w:val="en-US"/>
        </w:rPr>
      </w:pPr>
      <w:hyperlink w:anchor="_Toc63438527" w:history="1">
        <w:r>
          <w:rPr>
            <w:rStyle w:val="Hyperlink"/>
            <w:noProof/>
            <w:sz w:val="24"/>
            <w:szCs w:val="24"/>
          </w:rPr>
          <w:t>2.</w:t>
        </w:r>
        <w:r>
          <w:rPr>
            <w:rFonts w:eastAsiaTheme="minorEastAsia"/>
            <w:caps w:val="0"/>
            <w:noProof/>
            <w:sz w:val="24"/>
            <w:szCs w:val="24"/>
            <w:lang w:val="en-US"/>
          </w:rPr>
          <w:tab/>
        </w:r>
        <w:r>
          <w:rPr>
            <w:rStyle w:val="Hyperlink"/>
            <w:noProof/>
            <w:sz w:val="24"/>
            <w:szCs w:val="24"/>
          </w:rPr>
          <w:t>Summary of costs and benefits</w:t>
        </w:r>
        <w:r>
          <w:rPr>
            <w:noProof/>
            <w:webHidden/>
            <w:sz w:val="24"/>
            <w:szCs w:val="24"/>
          </w:rPr>
          <w:tab/>
        </w:r>
        <w:r>
          <w:rPr>
            <w:noProof/>
            <w:webHidden/>
            <w:sz w:val="24"/>
            <w:szCs w:val="24"/>
          </w:rPr>
          <w:fldChar w:fldCharType="begin"/>
        </w:r>
        <w:r>
          <w:rPr>
            <w:noProof/>
            <w:webHidden/>
            <w:sz w:val="24"/>
            <w:szCs w:val="24"/>
          </w:rPr>
          <w:instrText xml:space="preserve"> PAGEREF _Toc63438527 \h </w:instrText>
        </w:r>
        <w:r>
          <w:rPr>
            <w:noProof/>
            <w:webHidden/>
            <w:sz w:val="24"/>
            <w:szCs w:val="24"/>
          </w:rPr>
        </w:r>
        <w:r>
          <w:rPr>
            <w:noProof/>
            <w:webHidden/>
            <w:sz w:val="24"/>
            <w:szCs w:val="24"/>
          </w:rPr>
          <w:fldChar w:fldCharType="separate"/>
        </w:r>
        <w:r>
          <w:rPr>
            <w:noProof/>
            <w:webHidden/>
            <w:sz w:val="24"/>
            <w:szCs w:val="24"/>
          </w:rPr>
          <w:t>107</w:t>
        </w:r>
        <w:r>
          <w:rPr>
            <w:noProof/>
            <w:webHidden/>
            <w:sz w:val="24"/>
            <w:szCs w:val="24"/>
          </w:rPr>
          <w:fldChar w:fldCharType="end"/>
        </w:r>
      </w:hyperlink>
    </w:p>
    <w:p>
      <w:pPr>
        <w:pStyle w:val="TOC1"/>
        <w:rPr>
          <w:rFonts w:eastAsiaTheme="minorEastAsia"/>
          <w:caps w:val="0"/>
          <w:noProof/>
          <w:sz w:val="24"/>
          <w:szCs w:val="24"/>
          <w:lang w:val="en-US"/>
        </w:rPr>
      </w:pPr>
      <w:hyperlink w:anchor="_Toc63438528" w:history="1">
        <w:r>
          <w:rPr>
            <w:rStyle w:val="Hyperlink"/>
            <w:noProof/>
            <w:sz w:val="24"/>
            <w:szCs w:val="24"/>
          </w:rPr>
          <w:t>Annex 4: Analytical methods</w:t>
        </w:r>
        <w:r>
          <w:rPr>
            <w:noProof/>
            <w:webHidden/>
            <w:sz w:val="24"/>
            <w:szCs w:val="24"/>
          </w:rPr>
          <w:tab/>
        </w:r>
        <w:r>
          <w:rPr>
            <w:noProof/>
            <w:webHidden/>
            <w:sz w:val="24"/>
            <w:szCs w:val="24"/>
          </w:rPr>
          <w:fldChar w:fldCharType="begin"/>
        </w:r>
        <w:r>
          <w:rPr>
            <w:noProof/>
            <w:webHidden/>
            <w:sz w:val="24"/>
            <w:szCs w:val="24"/>
          </w:rPr>
          <w:instrText xml:space="preserve"> PAGEREF _Toc63438528 \h </w:instrText>
        </w:r>
        <w:r>
          <w:rPr>
            <w:noProof/>
            <w:webHidden/>
            <w:sz w:val="24"/>
            <w:szCs w:val="24"/>
          </w:rPr>
        </w:r>
        <w:r>
          <w:rPr>
            <w:noProof/>
            <w:webHidden/>
            <w:sz w:val="24"/>
            <w:szCs w:val="24"/>
          </w:rPr>
          <w:fldChar w:fldCharType="separate"/>
        </w:r>
        <w:r>
          <w:rPr>
            <w:noProof/>
            <w:webHidden/>
            <w:sz w:val="24"/>
            <w:szCs w:val="24"/>
          </w:rPr>
          <w:t>109</w:t>
        </w:r>
        <w:r>
          <w:rPr>
            <w:noProof/>
            <w:webHidden/>
            <w:sz w:val="24"/>
            <w:szCs w:val="24"/>
          </w:rPr>
          <w:fldChar w:fldCharType="end"/>
        </w:r>
      </w:hyperlink>
    </w:p>
    <w:p>
      <w:pPr>
        <w:pStyle w:val="TOC1"/>
        <w:rPr>
          <w:rFonts w:eastAsiaTheme="minorEastAsia"/>
          <w:caps w:val="0"/>
          <w:noProof/>
          <w:sz w:val="24"/>
          <w:szCs w:val="24"/>
          <w:lang w:val="en-US"/>
        </w:rPr>
      </w:pPr>
      <w:hyperlink w:anchor="_Toc63438529" w:history="1">
        <w:r>
          <w:rPr>
            <w:rStyle w:val="Hyperlink"/>
            <w:noProof/>
            <w:sz w:val="24"/>
            <w:szCs w:val="24"/>
          </w:rPr>
          <w:t>1.</w:t>
        </w:r>
        <w:r>
          <w:rPr>
            <w:rFonts w:eastAsiaTheme="minorEastAsia"/>
            <w:caps w:val="0"/>
            <w:noProof/>
            <w:sz w:val="24"/>
            <w:szCs w:val="24"/>
            <w:lang w:val="en-US"/>
          </w:rPr>
          <w:tab/>
        </w:r>
        <w:r>
          <w:rPr>
            <w:rStyle w:val="Hyperlink"/>
            <w:noProof/>
            <w:sz w:val="24"/>
            <w:szCs w:val="24"/>
          </w:rPr>
          <w:t>Description of the modelling tools used</w:t>
        </w:r>
        <w:r>
          <w:rPr>
            <w:noProof/>
            <w:webHidden/>
            <w:sz w:val="24"/>
            <w:szCs w:val="24"/>
          </w:rPr>
          <w:tab/>
        </w:r>
        <w:r>
          <w:rPr>
            <w:noProof/>
            <w:webHidden/>
            <w:sz w:val="24"/>
            <w:szCs w:val="24"/>
          </w:rPr>
          <w:fldChar w:fldCharType="begin"/>
        </w:r>
        <w:r>
          <w:rPr>
            <w:noProof/>
            <w:webHidden/>
            <w:sz w:val="24"/>
            <w:szCs w:val="24"/>
          </w:rPr>
          <w:instrText xml:space="preserve"> PAGEREF _Toc63438529 \h </w:instrText>
        </w:r>
        <w:r>
          <w:rPr>
            <w:noProof/>
            <w:webHidden/>
            <w:sz w:val="24"/>
            <w:szCs w:val="24"/>
          </w:rPr>
        </w:r>
        <w:r>
          <w:rPr>
            <w:noProof/>
            <w:webHidden/>
            <w:sz w:val="24"/>
            <w:szCs w:val="24"/>
          </w:rPr>
          <w:fldChar w:fldCharType="separate"/>
        </w:r>
        <w:r>
          <w:rPr>
            <w:noProof/>
            <w:webHidden/>
            <w:sz w:val="24"/>
            <w:szCs w:val="24"/>
          </w:rPr>
          <w:t>109</w:t>
        </w:r>
        <w:r>
          <w:rPr>
            <w:noProof/>
            <w:webHidden/>
            <w:sz w:val="24"/>
            <w:szCs w:val="24"/>
          </w:rPr>
          <w:fldChar w:fldCharType="end"/>
        </w:r>
      </w:hyperlink>
    </w:p>
    <w:p>
      <w:pPr>
        <w:pStyle w:val="TOC1"/>
        <w:rPr>
          <w:rFonts w:eastAsiaTheme="minorEastAsia"/>
          <w:caps w:val="0"/>
          <w:noProof/>
          <w:sz w:val="24"/>
          <w:szCs w:val="24"/>
          <w:lang w:val="en-US"/>
        </w:rPr>
      </w:pPr>
      <w:hyperlink w:anchor="_Toc63438530" w:history="1">
        <w:r>
          <w:rPr>
            <w:rStyle w:val="Hyperlink"/>
            <w:noProof/>
            <w:sz w:val="24"/>
            <w:szCs w:val="24"/>
          </w:rPr>
          <w:t>2.</w:t>
        </w:r>
        <w:r>
          <w:rPr>
            <w:rFonts w:eastAsiaTheme="minorEastAsia"/>
            <w:caps w:val="0"/>
            <w:noProof/>
            <w:sz w:val="24"/>
            <w:szCs w:val="24"/>
            <w:lang w:val="en-US"/>
          </w:rPr>
          <w:tab/>
        </w:r>
        <w:r>
          <w:rPr>
            <w:rStyle w:val="Hyperlink"/>
            <w:noProof/>
            <w:sz w:val="24"/>
            <w:szCs w:val="24"/>
          </w:rPr>
          <w:t>Baseline scenario</w:t>
        </w:r>
        <w:r>
          <w:rPr>
            <w:noProof/>
            <w:webHidden/>
            <w:sz w:val="24"/>
            <w:szCs w:val="24"/>
          </w:rPr>
          <w:tab/>
        </w:r>
        <w:r>
          <w:rPr>
            <w:noProof/>
            <w:webHidden/>
            <w:sz w:val="24"/>
            <w:szCs w:val="24"/>
          </w:rPr>
          <w:fldChar w:fldCharType="begin"/>
        </w:r>
        <w:r>
          <w:rPr>
            <w:noProof/>
            <w:webHidden/>
            <w:sz w:val="24"/>
            <w:szCs w:val="24"/>
          </w:rPr>
          <w:instrText xml:space="preserve"> PAGEREF _Toc63438530 \h </w:instrText>
        </w:r>
        <w:r>
          <w:rPr>
            <w:noProof/>
            <w:webHidden/>
            <w:sz w:val="24"/>
            <w:szCs w:val="24"/>
          </w:rPr>
        </w:r>
        <w:r>
          <w:rPr>
            <w:noProof/>
            <w:webHidden/>
            <w:sz w:val="24"/>
            <w:szCs w:val="24"/>
          </w:rPr>
          <w:fldChar w:fldCharType="separate"/>
        </w:r>
        <w:r>
          <w:rPr>
            <w:noProof/>
            <w:webHidden/>
            <w:sz w:val="24"/>
            <w:szCs w:val="24"/>
          </w:rPr>
          <w:t>117</w:t>
        </w:r>
        <w:r>
          <w:rPr>
            <w:noProof/>
            <w:webHidden/>
            <w:sz w:val="24"/>
            <w:szCs w:val="24"/>
          </w:rPr>
          <w:fldChar w:fldCharType="end"/>
        </w:r>
      </w:hyperlink>
    </w:p>
    <w:p>
      <w:pPr>
        <w:pStyle w:val="TOC1"/>
        <w:rPr>
          <w:rFonts w:eastAsiaTheme="minorEastAsia"/>
          <w:caps w:val="0"/>
          <w:noProof/>
          <w:sz w:val="24"/>
          <w:szCs w:val="24"/>
          <w:lang w:val="en-US"/>
        </w:rPr>
      </w:pPr>
      <w:hyperlink w:anchor="_Toc63438531" w:history="1">
        <w:r>
          <w:rPr>
            <w:rStyle w:val="Hyperlink"/>
            <w:noProof/>
            <w:sz w:val="24"/>
            <w:szCs w:val="24"/>
          </w:rPr>
          <w:t>3.</w:t>
        </w:r>
        <w:r>
          <w:rPr>
            <w:rFonts w:eastAsiaTheme="minorEastAsia"/>
            <w:caps w:val="0"/>
            <w:noProof/>
            <w:sz w:val="24"/>
            <w:szCs w:val="24"/>
            <w:lang w:val="en-US"/>
          </w:rPr>
          <w:tab/>
        </w:r>
        <w:r>
          <w:rPr>
            <w:rStyle w:val="Hyperlink"/>
            <w:noProof/>
            <w:sz w:val="24"/>
            <w:szCs w:val="24"/>
          </w:rPr>
          <w:t>Methodological approach for modelling Policy Options</w:t>
        </w:r>
        <w:r>
          <w:rPr>
            <w:noProof/>
            <w:webHidden/>
            <w:sz w:val="24"/>
            <w:szCs w:val="24"/>
          </w:rPr>
          <w:tab/>
        </w:r>
        <w:r>
          <w:rPr>
            <w:noProof/>
            <w:webHidden/>
            <w:sz w:val="24"/>
            <w:szCs w:val="24"/>
          </w:rPr>
          <w:fldChar w:fldCharType="begin"/>
        </w:r>
        <w:r>
          <w:rPr>
            <w:noProof/>
            <w:webHidden/>
            <w:sz w:val="24"/>
            <w:szCs w:val="24"/>
          </w:rPr>
          <w:instrText xml:space="preserve"> PAGEREF _Toc63438531 \h </w:instrText>
        </w:r>
        <w:r>
          <w:rPr>
            <w:noProof/>
            <w:webHidden/>
            <w:sz w:val="24"/>
            <w:szCs w:val="24"/>
          </w:rPr>
        </w:r>
        <w:r>
          <w:rPr>
            <w:noProof/>
            <w:webHidden/>
            <w:sz w:val="24"/>
            <w:szCs w:val="24"/>
          </w:rPr>
          <w:fldChar w:fldCharType="separate"/>
        </w:r>
        <w:r>
          <w:rPr>
            <w:noProof/>
            <w:webHidden/>
            <w:sz w:val="24"/>
            <w:szCs w:val="24"/>
          </w:rPr>
          <w:t>123</w:t>
        </w:r>
        <w:r>
          <w:rPr>
            <w:noProof/>
            <w:webHidden/>
            <w:sz w:val="24"/>
            <w:szCs w:val="24"/>
          </w:rPr>
          <w:fldChar w:fldCharType="end"/>
        </w:r>
      </w:hyperlink>
    </w:p>
    <w:p>
      <w:pPr>
        <w:pStyle w:val="TOC1"/>
        <w:rPr>
          <w:rFonts w:eastAsiaTheme="minorEastAsia"/>
          <w:caps w:val="0"/>
          <w:noProof/>
          <w:sz w:val="24"/>
          <w:szCs w:val="24"/>
          <w:lang w:val="en-US"/>
        </w:rPr>
      </w:pPr>
      <w:hyperlink w:anchor="_Toc63438532" w:history="1">
        <w:r>
          <w:rPr>
            <w:rStyle w:val="Hyperlink"/>
            <w:noProof/>
            <w:sz w:val="24"/>
            <w:szCs w:val="24"/>
          </w:rPr>
          <w:t>4.</w:t>
        </w:r>
        <w:r>
          <w:rPr>
            <w:rFonts w:eastAsiaTheme="minorEastAsia"/>
            <w:caps w:val="0"/>
            <w:noProof/>
            <w:sz w:val="24"/>
            <w:szCs w:val="24"/>
            <w:lang w:val="en-US"/>
          </w:rPr>
          <w:tab/>
        </w:r>
        <w:r>
          <w:rPr>
            <w:rStyle w:val="Hyperlink"/>
            <w:noProof/>
            <w:sz w:val="24"/>
            <w:szCs w:val="24"/>
          </w:rPr>
          <w:t>Impact on biomass feedstock and renewable electricity needs</w:t>
        </w:r>
        <w:r>
          <w:rPr>
            <w:noProof/>
            <w:webHidden/>
            <w:sz w:val="24"/>
            <w:szCs w:val="24"/>
          </w:rPr>
          <w:tab/>
        </w:r>
        <w:r>
          <w:rPr>
            <w:noProof/>
            <w:webHidden/>
            <w:sz w:val="24"/>
            <w:szCs w:val="24"/>
          </w:rPr>
          <w:fldChar w:fldCharType="begin"/>
        </w:r>
        <w:r>
          <w:rPr>
            <w:noProof/>
            <w:webHidden/>
            <w:sz w:val="24"/>
            <w:szCs w:val="24"/>
          </w:rPr>
          <w:instrText xml:space="preserve"> PAGEREF _Toc63438532 \h </w:instrText>
        </w:r>
        <w:r>
          <w:rPr>
            <w:noProof/>
            <w:webHidden/>
            <w:sz w:val="24"/>
            <w:szCs w:val="24"/>
          </w:rPr>
        </w:r>
        <w:r>
          <w:rPr>
            <w:noProof/>
            <w:webHidden/>
            <w:sz w:val="24"/>
            <w:szCs w:val="24"/>
          </w:rPr>
          <w:fldChar w:fldCharType="separate"/>
        </w:r>
        <w:r>
          <w:rPr>
            <w:noProof/>
            <w:webHidden/>
            <w:sz w:val="24"/>
            <w:szCs w:val="24"/>
          </w:rPr>
          <w:t>126</w:t>
        </w:r>
        <w:r>
          <w:rPr>
            <w:noProof/>
            <w:webHidden/>
            <w:sz w:val="24"/>
            <w:szCs w:val="24"/>
          </w:rPr>
          <w:fldChar w:fldCharType="end"/>
        </w:r>
      </w:hyperlink>
    </w:p>
    <w:p>
      <w:pPr>
        <w:pStyle w:val="TOC1"/>
        <w:rPr>
          <w:rFonts w:eastAsiaTheme="minorEastAsia"/>
          <w:caps w:val="0"/>
          <w:noProof/>
          <w:sz w:val="24"/>
          <w:szCs w:val="24"/>
          <w:lang w:val="en-US"/>
        </w:rPr>
      </w:pPr>
      <w:hyperlink w:anchor="_Toc63438533" w:history="1">
        <w:r>
          <w:rPr>
            <w:rStyle w:val="Hyperlink"/>
            <w:noProof/>
            <w:sz w:val="24"/>
            <w:szCs w:val="24"/>
          </w:rPr>
          <w:t>5.</w:t>
        </w:r>
        <w:r>
          <w:rPr>
            <w:rFonts w:eastAsiaTheme="minorEastAsia"/>
            <w:caps w:val="0"/>
            <w:noProof/>
            <w:sz w:val="24"/>
            <w:szCs w:val="24"/>
            <w:lang w:val="en-US"/>
          </w:rPr>
          <w:tab/>
        </w:r>
        <w:r>
          <w:rPr>
            <w:rStyle w:val="Hyperlink"/>
            <w:noProof/>
            <w:sz w:val="24"/>
            <w:szCs w:val="24"/>
          </w:rPr>
          <w:t>Methodological approach for regulatory and administrative costs related to businesses, and for enforcement costs</w:t>
        </w:r>
        <w:r>
          <w:rPr>
            <w:noProof/>
            <w:webHidden/>
            <w:sz w:val="24"/>
            <w:szCs w:val="24"/>
          </w:rPr>
          <w:tab/>
        </w:r>
        <w:r>
          <w:rPr>
            <w:noProof/>
            <w:webHidden/>
            <w:sz w:val="24"/>
            <w:szCs w:val="24"/>
          </w:rPr>
          <w:fldChar w:fldCharType="begin"/>
        </w:r>
        <w:r>
          <w:rPr>
            <w:noProof/>
            <w:webHidden/>
            <w:sz w:val="24"/>
            <w:szCs w:val="24"/>
          </w:rPr>
          <w:instrText xml:space="preserve"> PAGEREF _Toc63438533 \h </w:instrText>
        </w:r>
        <w:r>
          <w:rPr>
            <w:noProof/>
            <w:webHidden/>
            <w:sz w:val="24"/>
            <w:szCs w:val="24"/>
          </w:rPr>
        </w:r>
        <w:r>
          <w:rPr>
            <w:noProof/>
            <w:webHidden/>
            <w:sz w:val="24"/>
            <w:szCs w:val="24"/>
          </w:rPr>
          <w:fldChar w:fldCharType="separate"/>
        </w:r>
        <w:r>
          <w:rPr>
            <w:noProof/>
            <w:webHidden/>
            <w:sz w:val="24"/>
            <w:szCs w:val="24"/>
          </w:rPr>
          <w:t>129</w:t>
        </w:r>
        <w:r>
          <w:rPr>
            <w:noProof/>
            <w:webHidden/>
            <w:sz w:val="24"/>
            <w:szCs w:val="24"/>
          </w:rPr>
          <w:fldChar w:fldCharType="end"/>
        </w:r>
      </w:hyperlink>
    </w:p>
    <w:p>
      <w:pPr>
        <w:pStyle w:val="TOC1"/>
        <w:rPr>
          <w:rFonts w:eastAsiaTheme="minorEastAsia"/>
          <w:caps w:val="0"/>
          <w:noProof/>
          <w:sz w:val="24"/>
          <w:szCs w:val="24"/>
          <w:lang w:val="en-US"/>
        </w:rPr>
      </w:pPr>
      <w:hyperlink w:anchor="_Toc63438534" w:history="1">
        <w:r>
          <w:rPr>
            <w:rStyle w:val="Hyperlink"/>
            <w:noProof/>
            <w:sz w:val="24"/>
            <w:szCs w:val="24"/>
          </w:rPr>
          <w:t>6.</w:t>
        </w:r>
        <w:r>
          <w:rPr>
            <w:rFonts w:eastAsiaTheme="minorEastAsia"/>
            <w:caps w:val="0"/>
            <w:noProof/>
            <w:sz w:val="24"/>
            <w:szCs w:val="24"/>
            <w:lang w:val="en-US"/>
          </w:rPr>
          <w:tab/>
        </w:r>
        <w:r>
          <w:rPr>
            <w:rStyle w:val="Hyperlink"/>
            <w:noProof/>
            <w:sz w:val="24"/>
            <w:szCs w:val="24"/>
          </w:rPr>
          <w:t>Methodological approach for port investments</w:t>
        </w:r>
        <w:r>
          <w:rPr>
            <w:noProof/>
            <w:webHidden/>
            <w:sz w:val="24"/>
            <w:szCs w:val="24"/>
          </w:rPr>
          <w:tab/>
        </w:r>
        <w:r>
          <w:rPr>
            <w:noProof/>
            <w:webHidden/>
            <w:sz w:val="24"/>
            <w:szCs w:val="24"/>
          </w:rPr>
          <w:fldChar w:fldCharType="begin"/>
        </w:r>
        <w:r>
          <w:rPr>
            <w:noProof/>
            <w:webHidden/>
            <w:sz w:val="24"/>
            <w:szCs w:val="24"/>
          </w:rPr>
          <w:instrText xml:space="preserve"> PAGEREF _Toc63438534 \h </w:instrText>
        </w:r>
        <w:r>
          <w:rPr>
            <w:noProof/>
            <w:webHidden/>
            <w:sz w:val="24"/>
            <w:szCs w:val="24"/>
          </w:rPr>
        </w:r>
        <w:r>
          <w:rPr>
            <w:noProof/>
            <w:webHidden/>
            <w:sz w:val="24"/>
            <w:szCs w:val="24"/>
          </w:rPr>
          <w:fldChar w:fldCharType="separate"/>
        </w:r>
        <w:r>
          <w:rPr>
            <w:noProof/>
            <w:webHidden/>
            <w:sz w:val="24"/>
            <w:szCs w:val="24"/>
          </w:rPr>
          <w:t>134</w:t>
        </w:r>
        <w:r>
          <w:rPr>
            <w:noProof/>
            <w:webHidden/>
            <w:sz w:val="24"/>
            <w:szCs w:val="24"/>
          </w:rPr>
          <w:fldChar w:fldCharType="end"/>
        </w:r>
      </w:hyperlink>
    </w:p>
    <w:p>
      <w:pPr>
        <w:pStyle w:val="TOC1"/>
        <w:rPr>
          <w:rFonts w:eastAsiaTheme="minorEastAsia"/>
          <w:caps w:val="0"/>
          <w:noProof/>
          <w:sz w:val="24"/>
          <w:szCs w:val="24"/>
          <w:lang w:val="en-US"/>
        </w:rPr>
      </w:pPr>
      <w:hyperlink w:anchor="_Toc63438535" w:history="1">
        <w:r>
          <w:rPr>
            <w:rStyle w:val="Hyperlink"/>
            <w:noProof/>
            <w:sz w:val="24"/>
            <w:szCs w:val="24"/>
          </w:rPr>
          <w:t>7.</w:t>
        </w:r>
        <w:r>
          <w:rPr>
            <w:rFonts w:eastAsiaTheme="minorEastAsia"/>
            <w:caps w:val="0"/>
            <w:noProof/>
            <w:sz w:val="24"/>
            <w:szCs w:val="24"/>
            <w:lang w:val="en-US"/>
          </w:rPr>
          <w:tab/>
        </w:r>
        <w:r>
          <w:rPr>
            <w:rStyle w:val="Hyperlink"/>
            <w:noProof/>
            <w:sz w:val="24"/>
            <w:szCs w:val="24"/>
          </w:rPr>
          <w:t>Methodological approach and results of the risk of carbon leakage analysis</w:t>
        </w:r>
        <w:r>
          <w:rPr>
            <w:noProof/>
            <w:webHidden/>
            <w:sz w:val="24"/>
            <w:szCs w:val="24"/>
          </w:rPr>
          <w:tab/>
        </w:r>
        <w:r>
          <w:rPr>
            <w:noProof/>
            <w:webHidden/>
            <w:sz w:val="24"/>
            <w:szCs w:val="24"/>
          </w:rPr>
          <w:fldChar w:fldCharType="begin"/>
        </w:r>
        <w:r>
          <w:rPr>
            <w:noProof/>
            <w:webHidden/>
            <w:sz w:val="24"/>
            <w:szCs w:val="24"/>
          </w:rPr>
          <w:instrText xml:space="preserve"> PAGEREF _Toc63438535 \h </w:instrText>
        </w:r>
        <w:r>
          <w:rPr>
            <w:noProof/>
            <w:webHidden/>
            <w:sz w:val="24"/>
            <w:szCs w:val="24"/>
          </w:rPr>
        </w:r>
        <w:r>
          <w:rPr>
            <w:noProof/>
            <w:webHidden/>
            <w:sz w:val="24"/>
            <w:szCs w:val="24"/>
          </w:rPr>
          <w:fldChar w:fldCharType="separate"/>
        </w:r>
        <w:r>
          <w:rPr>
            <w:noProof/>
            <w:webHidden/>
            <w:sz w:val="24"/>
            <w:szCs w:val="24"/>
          </w:rPr>
          <w:t>136</w:t>
        </w:r>
        <w:r>
          <w:rPr>
            <w:noProof/>
            <w:webHidden/>
            <w:sz w:val="24"/>
            <w:szCs w:val="24"/>
          </w:rPr>
          <w:fldChar w:fldCharType="end"/>
        </w:r>
      </w:hyperlink>
    </w:p>
    <w:p>
      <w:pPr>
        <w:pStyle w:val="TOC1"/>
        <w:rPr>
          <w:rFonts w:eastAsiaTheme="minorEastAsia"/>
          <w:caps w:val="0"/>
          <w:noProof/>
          <w:sz w:val="24"/>
          <w:szCs w:val="24"/>
          <w:lang w:val="en-US"/>
        </w:rPr>
      </w:pPr>
      <w:hyperlink w:anchor="_Toc63438536" w:history="1">
        <w:r>
          <w:rPr>
            <w:rStyle w:val="Hyperlink"/>
            <w:noProof/>
            <w:sz w:val="24"/>
            <w:szCs w:val="24"/>
          </w:rPr>
          <w:t>Annex 5: Current maritime fuel mix and overview of available alternative fuels for maritime transport and their maturity</w:t>
        </w:r>
        <w:r>
          <w:rPr>
            <w:noProof/>
            <w:webHidden/>
            <w:sz w:val="24"/>
            <w:szCs w:val="24"/>
          </w:rPr>
          <w:tab/>
        </w:r>
        <w:r>
          <w:rPr>
            <w:noProof/>
            <w:webHidden/>
            <w:sz w:val="24"/>
            <w:szCs w:val="24"/>
          </w:rPr>
          <w:fldChar w:fldCharType="begin"/>
        </w:r>
        <w:r>
          <w:rPr>
            <w:noProof/>
            <w:webHidden/>
            <w:sz w:val="24"/>
            <w:szCs w:val="24"/>
          </w:rPr>
          <w:instrText xml:space="preserve"> PAGEREF _Toc63438536 \h </w:instrText>
        </w:r>
        <w:r>
          <w:rPr>
            <w:noProof/>
            <w:webHidden/>
            <w:sz w:val="24"/>
            <w:szCs w:val="24"/>
          </w:rPr>
        </w:r>
        <w:r>
          <w:rPr>
            <w:noProof/>
            <w:webHidden/>
            <w:sz w:val="24"/>
            <w:szCs w:val="24"/>
          </w:rPr>
          <w:fldChar w:fldCharType="separate"/>
        </w:r>
        <w:r>
          <w:rPr>
            <w:noProof/>
            <w:webHidden/>
            <w:sz w:val="24"/>
            <w:szCs w:val="24"/>
          </w:rPr>
          <w:t>171</w:t>
        </w:r>
        <w:r>
          <w:rPr>
            <w:noProof/>
            <w:webHidden/>
            <w:sz w:val="24"/>
            <w:szCs w:val="24"/>
          </w:rPr>
          <w:fldChar w:fldCharType="end"/>
        </w:r>
      </w:hyperlink>
    </w:p>
    <w:p>
      <w:pPr>
        <w:pStyle w:val="TOC1"/>
        <w:rPr>
          <w:rFonts w:eastAsiaTheme="minorEastAsia"/>
          <w:caps w:val="0"/>
          <w:noProof/>
          <w:sz w:val="24"/>
          <w:szCs w:val="24"/>
          <w:lang w:val="en-US"/>
        </w:rPr>
      </w:pPr>
      <w:hyperlink w:anchor="_Toc63438537" w:history="1">
        <w:r>
          <w:rPr>
            <w:rStyle w:val="Hyperlink"/>
            <w:noProof/>
            <w:sz w:val="24"/>
            <w:szCs w:val="24"/>
          </w:rPr>
          <w:t>Annex 6: Methodology followed for the definition of the policy options</w:t>
        </w:r>
        <w:r>
          <w:rPr>
            <w:noProof/>
            <w:webHidden/>
            <w:sz w:val="24"/>
            <w:szCs w:val="24"/>
          </w:rPr>
          <w:tab/>
        </w:r>
        <w:r>
          <w:rPr>
            <w:noProof/>
            <w:webHidden/>
            <w:sz w:val="24"/>
            <w:szCs w:val="24"/>
          </w:rPr>
          <w:fldChar w:fldCharType="begin"/>
        </w:r>
        <w:r>
          <w:rPr>
            <w:noProof/>
            <w:webHidden/>
            <w:sz w:val="24"/>
            <w:szCs w:val="24"/>
          </w:rPr>
          <w:instrText xml:space="preserve"> PAGEREF _Toc63438537 \h </w:instrText>
        </w:r>
        <w:r>
          <w:rPr>
            <w:noProof/>
            <w:webHidden/>
            <w:sz w:val="24"/>
            <w:szCs w:val="24"/>
          </w:rPr>
        </w:r>
        <w:r>
          <w:rPr>
            <w:noProof/>
            <w:webHidden/>
            <w:sz w:val="24"/>
            <w:szCs w:val="24"/>
          </w:rPr>
          <w:fldChar w:fldCharType="separate"/>
        </w:r>
        <w:r>
          <w:rPr>
            <w:noProof/>
            <w:webHidden/>
            <w:sz w:val="24"/>
            <w:szCs w:val="24"/>
          </w:rPr>
          <w:t>184</w:t>
        </w:r>
        <w:r>
          <w:rPr>
            <w:noProof/>
            <w:webHidden/>
            <w:sz w:val="24"/>
            <w:szCs w:val="24"/>
          </w:rPr>
          <w:fldChar w:fldCharType="end"/>
        </w:r>
      </w:hyperlink>
    </w:p>
    <w:p>
      <w:pPr>
        <w:pStyle w:val="TOC1"/>
        <w:rPr>
          <w:rFonts w:eastAsiaTheme="minorEastAsia"/>
          <w:caps w:val="0"/>
          <w:noProof/>
          <w:sz w:val="24"/>
          <w:szCs w:val="24"/>
          <w:lang w:val="en-US"/>
        </w:rPr>
      </w:pPr>
      <w:hyperlink w:anchor="_Toc63438538" w:history="1">
        <w:r>
          <w:rPr>
            <w:rStyle w:val="Hyperlink"/>
            <w:noProof/>
            <w:sz w:val="24"/>
            <w:szCs w:val="24"/>
            <w:lang w:val="en-IE"/>
          </w:rPr>
          <w:t>5.</w:t>
        </w:r>
        <w:r>
          <w:rPr>
            <w:rFonts w:eastAsiaTheme="minorEastAsia"/>
            <w:caps w:val="0"/>
            <w:noProof/>
            <w:sz w:val="24"/>
            <w:szCs w:val="24"/>
            <w:lang w:val="en-US"/>
          </w:rPr>
          <w:tab/>
        </w:r>
        <w:r>
          <w:rPr>
            <w:rStyle w:val="Hyperlink"/>
            <w:noProof/>
            <w:sz w:val="24"/>
            <w:szCs w:val="24"/>
            <w:lang w:val="en-IE"/>
          </w:rPr>
          <w:t>Full list of identified policy measures</w:t>
        </w:r>
        <w:r>
          <w:rPr>
            <w:noProof/>
            <w:webHidden/>
            <w:sz w:val="24"/>
            <w:szCs w:val="24"/>
          </w:rPr>
          <w:tab/>
        </w:r>
        <w:r>
          <w:rPr>
            <w:noProof/>
            <w:webHidden/>
            <w:sz w:val="24"/>
            <w:szCs w:val="24"/>
          </w:rPr>
          <w:fldChar w:fldCharType="begin"/>
        </w:r>
        <w:r>
          <w:rPr>
            <w:noProof/>
            <w:webHidden/>
            <w:sz w:val="24"/>
            <w:szCs w:val="24"/>
          </w:rPr>
          <w:instrText xml:space="preserve"> PAGEREF _Toc63438538 \h </w:instrText>
        </w:r>
        <w:r>
          <w:rPr>
            <w:noProof/>
            <w:webHidden/>
            <w:sz w:val="24"/>
            <w:szCs w:val="24"/>
          </w:rPr>
        </w:r>
        <w:r>
          <w:rPr>
            <w:noProof/>
            <w:webHidden/>
            <w:sz w:val="24"/>
            <w:szCs w:val="24"/>
          </w:rPr>
          <w:fldChar w:fldCharType="separate"/>
        </w:r>
        <w:r>
          <w:rPr>
            <w:b/>
            <w:bCs/>
            <w:noProof/>
            <w:webHidden/>
            <w:sz w:val="24"/>
            <w:szCs w:val="24"/>
            <w:lang w:val="en-US"/>
          </w:rPr>
          <w:t>Error! Bookmark not defined.</w:t>
        </w:r>
        <w:r>
          <w:rPr>
            <w:noProof/>
            <w:webHidden/>
            <w:sz w:val="24"/>
            <w:szCs w:val="24"/>
          </w:rPr>
          <w:fldChar w:fldCharType="end"/>
        </w:r>
      </w:hyperlink>
    </w:p>
    <w:p>
      <w:pPr>
        <w:pStyle w:val="TOC1"/>
        <w:rPr>
          <w:rFonts w:eastAsiaTheme="minorEastAsia"/>
          <w:caps w:val="0"/>
          <w:noProof/>
          <w:sz w:val="24"/>
          <w:szCs w:val="24"/>
          <w:lang w:val="en-US"/>
        </w:rPr>
      </w:pPr>
      <w:hyperlink w:anchor="_Toc63438539" w:history="1">
        <w:r>
          <w:rPr>
            <w:rStyle w:val="Hyperlink"/>
            <w:noProof/>
            <w:sz w:val="24"/>
            <w:szCs w:val="24"/>
          </w:rPr>
          <w:t>Annex 7: Overview of the monitoring and evaluation framework</w:t>
        </w:r>
        <w:r>
          <w:rPr>
            <w:noProof/>
            <w:webHidden/>
            <w:sz w:val="24"/>
            <w:szCs w:val="24"/>
          </w:rPr>
          <w:tab/>
        </w:r>
        <w:r>
          <w:rPr>
            <w:noProof/>
            <w:webHidden/>
            <w:sz w:val="24"/>
            <w:szCs w:val="24"/>
          </w:rPr>
          <w:fldChar w:fldCharType="begin"/>
        </w:r>
        <w:r>
          <w:rPr>
            <w:noProof/>
            <w:webHidden/>
            <w:sz w:val="24"/>
            <w:szCs w:val="24"/>
          </w:rPr>
          <w:instrText xml:space="preserve"> PAGEREF _Toc63438539 \h </w:instrText>
        </w:r>
        <w:r>
          <w:rPr>
            <w:noProof/>
            <w:webHidden/>
            <w:sz w:val="24"/>
            <w:szCs w:val="24"/>
          </w:rPr>
        </w:r>
        <w:r>
          <w:rPr>
            <w:noProof/>
            <w:webHidden/>
            <w:sz w:val="24"/>
            <w:szCs w:val="24"/>
          </w:rPr>
          <w:fldChar w:fldCharType="separate"/>
        </w:r>
        <w:r>
          <w:rPr>
            <w:noProof/>
            <w:webHidden/>
            <w:sz w:val="24"/>
            <w:szCs w:val="24"/>
          </w:rPr>
          <w:t>192</w:t>
        </w:r>
        <w:r>
          <w:rPr>
            <w:noProof/>
            <w:webHidden/>
            <w:sz w:val="24"/>
            <w:szCs w:val="24"/>
          </w:rPr>
          <w:fldChar w:fldCharType="end"/>
        </w:r>
      </w:hyperlink>
    </w:p>
    <w:p>
      <w:pPr>
        <w:rPr>
          <w:rFonts w:ascii="Times New Roman" w:hAnsi="Times New Roman" w:cs="Times New Roman"/>
          <w:noProof/>
        </w:rPr>
        <w:sectPr>
          <w:headerReference w:type="even" r:id="rId19"/>
          <w:headerReference w:type="default" r:id="rId20"/>
          <w:footerReference w:type="even" r:id="rId21"/>
          <w:footerReference w:type="default" r:id="rId22"/>
          <w:headerReference w:type="first" r:id="rId23"/>
          <w:footerReference w:type="first" r:id="rId24"/>
          <w:pgSz w:w="11906" w:h="16838"/>
          <w:pgMar w:top="1020" w:right="1701" w:bottom="1020" w:left="1587" w:header="601" w:footer="1077" w:gutter="0"/>
          <w:pgNumType w:start="1"/>
          <w:cols w:space="720"/>
          <w:titlePg/>
        </w:sectPr>
      </w:pPr>
      <w:r>
        <w:rPr>
          <w:rFonts w:ascii="Times New Roman" w:hAnsi="Times New Roman" w:cs="Times New Roman"/>
          <w:noProof/>
          <w:sz w:val="24"/>
          <w:szCs w:val="24"/>
        </w:rPr>
        <w:fldChar w:fldCharType="end"/>
      </w:r>
    </w:p>
    <w:p>
      <w:pPr>
        <w:jc w:val="center"/>
        <w:rPr>
          <w:rFonts w:ascii="Times New Roman" w:hAnsi="Times New Roman" w:cs="Times New Roman"/>
          <w:b/>
          <w:bCs/>
          <w:noProof/>
          <w:sz w:val="28"/>
          <w:szCs w:val="28"/>
        </w:rPr>
      </w:pPr>
      <w:r>
        <w:rPr>
          <w:rFonts w:ascii="Times New Roman" w:hAnsi="Times New Roman" w:cs="Times New Roman"/>
          <w:b/>
          <w:bCs/>
          <w:noProof/>
          <w:sz w:val="28"/>
          <w:szCs w:val="28"/>
        </w:rPr>
        <w:lastRenderedPageBreak/>
        <w:t>Glossary</w:t>
      </w:r>
    </w:p>
    <w:tbl>
      <w:tblPr>
        <w:tblStyle w:val="TableGrid"/>
        <w:tblW w:w="0" w:type="auto"/>
        <w:tblLook w:val="04A0" w:firstRow="1" w:lastRow="0" w:firstColumn="1" w:lastColumn="0" w:noHBand="0" w:noVBand="1"/>
      </w:tblPr>
      <w:tblGrid>
        <w:gridCol w:w="3227"/>
        <w:gridCol w:w="5607"/>
      </w:tblGrid>
      <w:tr>
        <w:tc>
          <w:tcPr>
            <w:tcW w:w="3227" w:type="dxa"/>
            <w:tcBorders>
              <w:bottom w:val="double" w:sz="4" w:space="0" w:color="auto"/>
            </w:tcBorders>
            <w:shd w:val="clear" w:color="auto" w:fill="F2F2F2" w:themeFill="background1" w:themeFillShade="F2"/>
          </w:tcPr>
          <w:p>
            <w:pPr>
              <w:spacing w:before="120" w:after="120"/>
              <w:jc w:val="center"/>
              <w:rPr>
                <w:b/>
                <w:bCs/>
                <w:i/>
                <w:iCs/>
                <w:noProof/>
              </w:rPr>
            </w:pPr>
            <w:r>
              <w:rPr>
                <w:b/>
                <w:bCs/>
                <w:i/>
                <w:iCs/>
                <w:noProof/>
              </w:rPr>
              <w:t>Term or acronym</w:t>
            </w:r>
          </w:p>
        </w:tc>
        <w:tc>
          <w:tcPr>
            <w:tcW w:w="5607" w:type="dxa"/>
            <w:tcBorders>
              <w:bottom w:val="double" w:sz="4" w:space="0" w:color="auto"/>
            </w:tcBorders>
            <w:shd w:val="clear" w:color="auto" w:fill="F2F2F2" w:themeFill="background1" w:themeFillShade="F2"/>
          </w:tcPr>
          <w:p>
            <w:pPr>
              <w:spacing w:before="120" w:after="120"/>
              <w:jc w:val="center"/>
              <w:rPr>
                <w:b/>
                <w:bCs/>
                <w:i/>
                <w:iCs/>
                <w:noProof/>
              </w:rPr>
            </w:pPr>
            <w:r>
              <w:rPr>
                <w:b/>
                <w:bCs/>
                <w:i/>
                <w:iCs/>
                <w:noProof/>
              </w:rPr>
              <w:t>Meaning or definition</w:t>
            </w:r>
          </w:p>
        </w:tc>
      </w:tr>
      <w:tr>
        <w:tc>
          <w:tcPr>
            <w:tcW w:w="3227" w:type="dxa"/>
            <w:tcMar>
              <w:top w:w="85" w:type="dxa"/>
              <w:left w:w="57" w:type="dxa"/>
              <w:bottom w:w="85" w:type="dxa"/>
              <w:right w:w="57" w:type="dxa"/>
            </w:tcMar>
          </w:tcPr>
          <w:p>
            <w:pPr>
              <w:rPr>
                <w:noProof/>
              </w:rPr>
            </w:pPr>
            <w:r>
              <w:rPr>
                <w:noProof/>
              </w:rPr>
              <w:t>AFID</w:t>
            </w:r>
          </w:p>
        </w:tc>
        <w:tc>
          <w:tcPr>
            <w:tcW w:w="5607" w:type="dxa"/>
            <w:tcMar>
              <w:top w:w="85" w:type="dxa"/>
              <w:left w:w="57" w:type="dxa"/>
              <w:bottom w:w="85" w:type="dxa"/>
              <w:right w:w="57" w:type="dxa"/>
            </w:tcMar>
          </w:tcPr>
          <w:p>
            <w:pPr>
              <w:rPr>
                <w:noProof/>
                <w:lang w:val="fr-BE"/>
              </w:rPr>
            </w:pPr>
            <w:r>
              <w:rPr>
                <w:noProof/>
                <w:lang w:val="fr-BE"/>
              </w:rPr>
              <w:t>Alternative Fuels Infrastructure Directive (2014/94/EU)</w:t>
            </w:r>
          </w:p>
        </w:tc>
      </w:tr>
      <w:tr>
        <w:tc>
          <w:tcPr>
            <w:tcW w:w="3227" w:type="dxa"/>
            <w:tcMar>
              <w:top w:w="85" w:type="dxa"/>
              <w:left w:w="57" w:type="dxa"/>
              <w:bottom w:w="85" w:type="dxa"/>
              <w:right w:w="57" w:type="dxa"/>
            </w:tcMar>
          </w:tcPr>
          <w:p>
            <w:pPr>
              <w:rPr>
                <w:noProof/>
              </w:rPr>
            </w:pPr>
            <w:r>
              <w:rPr>
                <w:noProof/>
              </w:rPr>
              <w:t>CAPEX</w:t>
            </w:r>
          </w:p>
        </w:tc>
        <w:tc>
          <w:tcPr>
            <w:tcW w:w="5607" w:type="dxa"/>
            <w:tcMar>
              <w:top w:w="85" w:type="dxa"/>
              <w:left w:w="57" w:type="dxa"/>
              <w:bottom w:w="85" w:type="dxa"/>
              <w:right w:w="57" w:type="dxa"/>
            </w:tcMar>
          </w:tcPr>
          <w:p>
            <w:pPr>
              <w:rPr>
                <w:noProof/>
                <w:lang w:val="fr-BE"/>
              </w:rPr>
            </w:pPr>
            <w:r>
              <w:rPr>
                <w:noProof/>
                <w:lang w:val="fr-BE"/>
              </w:rPr>
              <w:t>Capital expenditure</w:t>
            </w:r>
          </w:p>
        </w:tc>
      </w:tr>
      <w:tr>
        <w:tc>
          <w:tcPr>
            <w:tcW w:w="3227" w:type="dxa"/>
            <w:tcMar>
              <w:top w:w="85" w:type="dxa"/>
              <w:left w:w="57" w:type="dxa"/>
              <w:bottom w:w="85" w:type="dxa"/>
              <w:right w:w="57" w:type="dxa"/>
            </w:tcMar>
          </w:tcPr>
          <w:p>
            <w:pPr>
              <w:rPr>
                <w:noProof/>
              </w:rPr>
            </w:pPr>
            <w:r>
              <w:rPr>
                <w:noProof/>
              </w:rPr>
              <w:t>CO</w:t>
            </w:r>
            <w:r>
              <w:rPr>
                <w:noProof/>
                <w:vertAlign w:val="subscript"/>
              </w:rPr>
              <w:t>2</w:t>
            </w:r>
          </w:p>
        </w:tc>
        <w:tc>
          <w:tcPr>
            <w:tcW w:w="5607" w:type="dxa"/>
            <w:tcMar>
              <w:top w:w="85" w:type="dxa"/>
              <w:left w:w="57" w:type="dxa"/>
              <w:bottom w:w="85" w:type="dxa"/>
              <w:right w:w="57" w:type="dxa"/>
            </w:tcMar>
          </w:tcPr>
          <w:p>
            <w:pPr>
              <w:rPr>
                <w:noProof/>
                <w:lang w:val="fr-BE"/>
              </w:rPr>
            </w:pPr>
            <w:r>
              <w:rPr>
                <w:noProof/>
                <w:lang w:val="fr-BE"/>
              </w:rPr>
              <w:t>Carbon dioxide</w:t>
            </w:r>
          </w:p>
        </w:tc>
      </w:tr>
      <w:tr>
        <w:tc>
          <w:tcPr>
            <w:tcW w:w="3227" w:type="dxa"/>
            <w:tcMar>
              <w:top w:w="85" w:type="dxa"/>
              <w:left w:w="57" w:type="dxa"/>
              <w:bottom w:w="85" w:type="dxa"/>
              <w:right w:w="57" w:type="dxa"/>
            </w:tcMar>
          </w:tcPr>
          <w:p>
            <w:pPr>
              <w:rPr>
                <w:noProof/>
              </w:rPr>
            </w:pPr>
            <w:r>
              <w:rPr>
                <w:noProof/>
              </w:rPr>
              <w:t>CH</w:t>
            </w:r>
            <w:r>
              <w:rPr>
                <w:noProof/>
                <w:vertAlign w:val="subscript"/>
              </w:rPr>
              <w:t>4</w:t>
            </w:r>
          </w:p>
        </w:tc>
        <w:tc>
          <w:tcPr>
            <w:tcW w:w="5607" w:type="dxa"/>
            <w:tcMar>
              <w:top w:w="85" w:type="dxa"/>
              <w:left w:w="57" w:type="dxa"/>
              <w:bottom w:w="85" w:type="dxa"/>
              <w:right w:w="57" w:type="dxa"/>
            </w:tcMar>
          </w:tcPr>
          <w:p>
            <w:pPr>
              <w:rPr>
                <w:noProof/>
                <w:lang w:val="fr-BE"/>
              </w:rPr>
            </w:pPr>
            <w:r>
              <w:rPr>
                <w:noProof/>
                <w:lang w:val="fr-BE"/>
              </w:rPr>
              <w:t>Methane</w:t>
            </w:r>
          </w:p>
        </w:tc>
      </w:tr>
      <w:tr>
        <w:tc>
          <w:tcPr>
            <w:tcW w:w="3227" w:type="dxa"/>
            <w:tcMar>
              <w:top w:w="85" w:type="dxa"/>
              <w:left w:w="57" w:type="dxa"/>
              <w:bottom w:w="85" w:type="dxa"/>
              <w:right w:w="57" w:type="dxa"/>
            </w:tcMar>
          </w:tcPr>
          <w:p>
            <w:pPr>
              <w:rPr>
                <w:noProof/>
              </w:rPr>
            </w:pPr>
            <w:r>
              <w:rPr>
                <w:noProof/>
              </w:rPr>
              <w:t>CTP</w:t>
            </w:r>
          </w:p>
        </w:tc>
        <w:tc>
          <w:tcPr>
            <w:tcW w:w="5607" w:type="dxa"/>
            <w:tcMar>
              <w:top w:w="85" w:type="dxa"/>
              <w:left w:w="57" w:type="dxa"/>
              <w:bottom w:w="85" w:type="dxa"/>
              <w:right w:w="57" w:type="dxa"/>
            </w:tcMar>
          </w:tcPr>
          <w:p>
            <w:pPr>
              <w:rPr>
                <w:noProof/>
                <w:lang w:val="en-IE"/>
              </w:rPr>
            </w:pPr>
            <w:r>
              <w:rPr>
                <w:noProof/>
                <w:lang w:val="en-IE"/>
              </w:rPr>
              <w:t>Climate Target Plan, COM(2020) 562 final</w:t>
            </w:r>
          </w:p>
        </w:tc>
      </w:tr>
      <w:tr>
        <w:tc>
          <w:tcPr>
            <w:tcW w:w="3227" w:type="dxa"/>
            <w:tcMar>
              <w:top w:w="85" w:type="dxa"/>
              <w:left w:w="57" w:type="dxa"/>
              <w:bottom w:w="85" w:type="dxa"/>
              <w:right w:w="57" w:type="dxa"/>
            </w:tcMar>
          </w:tcPr>
          <w:p>
            <w:pPr>
              <w:rPr>
                <w:noProof/>
              </w:rPr>
            </w:pPr>
            <w:r>
              <w:rPr>
                <w:noProof/>
              </w:rPr>
              <w:t>Drop-in fuels</w:t>
            </w:r>
          </w:p>
        </w:tc>
        <w:tc>
          <w:tcPr>
            <w:tcW w:w="5607" w:type="dxa"/>
            <w:tcMar>
              <w:top w:w="85" w:type="dxa"/>
              <w:left w:w="57" w:type="dxa"/>
              <w:bottom w:w="85" w:type="dxa"/>
              <w:right w:w="57" w:type="dxa"/>
            </w:tcMar>
          </w:tcPr>
          <w:p>
            <w:pPr>
              <w:rPr>
                <w:noProof/>
                <w:lang w:val="en-IE"/>
              </w:rPr>
            </w:pPr>
            <w:r>
              <w:rPr>
                <w:noProof/>
                <w:lang w:val="en-IE"/>
              </w:rPr>
              <w:t>Fuel options that are functionally equivalent to the fossil fuels currently in use and fully compatible with the distribution infrastructure and the on-board machinery / engines</w:t>
            </w:r>
          </w:p>
        </w:tc>
      </w:tr>
      <w:tr>
        <w:tc>
          <w:tcPr>
            <w:tcW w:w="3227" w:type="dxa"/>
            <w:tcMar>
              <w:top w:w="85" w:type="dxa"/>
              <w:left w:w="57" w:type="dxa"/>
              <w:bottom w:w="85" w:type="dxa"/>
              <w:right w:w="57" w:type="dxa"/>
            </w:tcMar>
          </w:tcPr>
          <w:p>
            <w:pPr>
              <w:rPr>
                <w:noProof/>
              </w:rPr>
            </w:pPr>
            <w:r>
              <w:rPr>
                <w:noProof/>
              </w:rPr>
              <w:t>EEA</w:t>
            </w:r>
          </w:p>
        </w:tc>
        <w:tc>
          <w:tcPr>
            <w:tcW w:w="5607" w:type="dxa"/>
            <w:tcMar>
              <w:top w:w="85" w:type="dxa"/>
              <w:left w:w="57" w:type="dxa"/>
              <w:bottom w:w="85" w:type="dxa"/>
              <w:right w:w="57" w:type="dxa"/>
            </w:tcMar>
          </w:tcPr>
          <w:p>
            <w:pPr>
              <w:rPr>
                <w:noProof/>
                <w:lang w:val="fr-BE"/>
              </w:rPr>
            </w:pPr>
            <w:r>
              <w:rPr>
                <w:noProof/>
              </w:rPr>
              <w:t>European Economic Area</w:t>
            </w:r>
          </w:p>
        </w:tc>
      </w:tr>
      <w:tr>
        <w:tc>
          <w:tcPr>
            <w:tcW w:w="3227" w:type="dxa"/>
            <w:tcMar>
              <w:top w:w="85" w:type="dxa"/>
              <w:left w:w="57" w:type="dxa"/>
              <w:bottom w:w="85" w:type="dxa"/>
              <w:right w:w="57" w:type="dxa"/>
            </w:tcMar>
          </w:tcPr>
          <w:p>
            <w:pPr>
              <w:rPr>
                <w:noProof/>
              </w:rPr>
            </w:pPr>
            <w:r>
              <w:rPr>
                <w:noProof/>
              </w:rPr>
              <w:t>EEDI</w:t>
            </w:r>
          </w:p>
        </w:tc>
        <w:tc>
          <w:tcPr>
            <w:tcW w:w="5607" w:type="dxa"/>
            <w:tcMar>
              <w:top w:w="85" w:type="dxa"/>
              <w:left w:w="57" w:type="dxa"/>
              <w:bottom w:w="85" w:type="dxa"/>
              <w:right w:w="57" w:type="dxa"/>
            </w:tcMar>
          </w:tcPr>
          <w:p>
            <w:pPr>
              <w:rPr>
                <w:noProof/>
              </w:rPr>
            </w:pPr>
            <w:r>
              <w:rPr>
                <w:noProof/>
              </w:rPr>
              <w:t>Energy Efficiency Design Index</w:t>
            </w:r>
          </w:p>
        </w:tc>
      </w:tr>
      <w:tr>
        <w:tc>
          <w:tcPr>
            <w:tcW w:w="3227" w:type="dxa"/>
            <w:tcMar>
              <w:top w:w="85" w:type="dxa"/>
              <w:left w:w="57" w:type="dxa"/>
              <w:bottom w:w="85" w:type="dxa"/>
              <w:right w:w="57" w:type="dxa"/>
            </w:tcMar>
          </w:tcPr>
          <w:p>
            <w:pPr>
              <w:rPr>
                <w:noProof/>
              </w:rPr>
            </w:pPr>
            <w:r>
              <w:rPr>
                <w:noProof/>
              </w:rPr>
              <w:t>EGD</w:t>
            </w:r>
          </w:p>
        </w:tc>
        <w:tc>
          <w:tcPr>
            <w:tcW w:w="5607" w:type="dxa"/>
            <w:tcMar>
              <w:top w:w="85" w:type="dxa"/>
              <w:left w:w="57" w:type="dxa"/>
              <w:bottom w:w="85" w:type="dxa"/>
              <w:right w:w="57" w:type="dxa"/>
            </w:tcMar>
          </w:tcPr>
          <w:p>
            <w:pPr>
              <w:rPr>
                <w:noProof/>
              </w:rPr>
            </w:pPr>
            <w:r>
              <w:rPr>
                <w:noProof/>
              </w:rPr>
              <w:t>European Green Deal</w:t>
            </w:r>
          </w:p>
        </w:tc>
      </w:tr>
      <w:tr>
        <w:tc>
          <w:tcPr>
            <w:tcW w:w="3227" w:type="dxa"/>
            <w:tcBorders>
              <w:bottom w:val="single" w:sz="4" w:space="0" w:color="auto"/>
            </w:tcBorders>
            <w:tcMar>
              <w:top w:w="85" w:type="dxa"/>
              <w:left w:w="57" w:type="dxa"/>
              <w:bottom w:w="85" w:type="dxa"/>
              <w:right w:w="57" w:type="dxa"/>
            </w:tcMar>
          </w:tcPr>
          <w:p>
            <w:pPr>
              <w:rPr>
                <w:noProof/>
              </w:rPr>
            </w:pPr>
            <w:r>
              <w:rPr>
                <w:noProof/>
              </w:rPr>
              <w:t>EMSA</w:t>
            </w:r>
          </w:p>
        </w:tc>
        <w:tc>
          <w:tcPr>
            <w:tcW w:w="5607" w:type="dxa"/>
            <w:tcBorders>
              <w:bottom w:val="single" w:sz="4" w:space="0" w:color="auto"/>
            </w:tcBorders>
            <w:tcMar>
              <w:top w:w="85" w:type="dxa"/>
              <w:left w:w="57" w:type="dxa"/>
              <w:bottom w:w="85" w:type="dxa"/>
              <w:right w:w="57" w:type="dxa"/>
            </w:tcMar>
          </w:tcPr>
          <w:p>
            <w:pPr>
              <w:rPr>
                <w:noProof/>
              </w:rPr>
            </w:pPr>
            <w:r>
              <w:rPr>
                <w:noProof/>
              </w:rPr>
              <w:t>European Maritime Safety Agency</w:t>
            </w:r>
          </w:p>
        </w:tc>
      </w:tr>
      <w:tr>
        <w:tc>
          <w:tcPr>
            <w:tcW w:w="3227" w:type="dxa"/>
            <w:tcBorders>
              <w:bottom w:val="single" w:sz="4" w:space="0" w:color="auto"/>
            </w:tcBorders>
            <w:tcMar>
              <w:top w:w="85" w:type="dxa"/>
              <w:left w:w="57" w:type="dxa"/>
              <w:bottom w:w="85" w:type="dxa"/>
              <w:right w:w="57" w:type="dxa"/>
            </w:tcMar>
          </w:tcPr>
          <w:p>
            <w:pPr>
              <w:rPr>
                <w:noProof/>
              </w:rPr>
            </w:pPr>
            <w:r>
              <w:rPr>
                <w:noProof/>
              </w:rPr>
              <w:t>EPF</w:t>
            </w:r>
          </w:p>
        </w:tc>
        <w:tc>
          <w:tcPr>
            <w:tcW w:w="5607" w:type="dxa"/>
            <w:tcBorders>
              <w:bottom w:val="single" w:sz="4" w:space="0" w:color="auto"/>
            </w:tcBorders>
            <w:tcMar>
              <w:top w:w="85" w:type="dxa"/>
              <w:left w:w="57" w:type="dxa"/>
              <w:bottom w:w="85" w:type="dxa"/>
              <w:right w:w="57" w:type="dxa"/>
            </w:tcMar>
          </w:tcPr>
          <w:p>
            <w:pPr>
              <w:rPr>
                <w:noProof/>
              </w:rPr>
            </w:pPr>
            <w:r>
              <w:rPr>
                <w:noProof/>
              </w:rPr>
              <w:t>European Ports Forum</w:t>
            </w:r>
          </w:p>
        </w:tc>
      </w:tr>
      <w:tr>
        <w:tc>
          <w:tcPr>
            <w:tcW w:w="3227" w:type="dxa"/>
            <w:tcBorders>
              <w:bottom w:val="single" w:sz="4" w:space="0" w:color="auto"/>
            </w:tcBorders>
            <w:tcMar>
              <w:top w:w="85" w:type="dxa"/>
              <w:left w:w="57" w:type="dxa"/>
              <w:bottom w:w="85" w:type="dxa"/>
              <w:right w:w="57" w:type="dxa"/>
            </w:tcMar>
          </w:tcPr>
          <w:p>
            <w:pPr>
              <w:rPr>
                <w:noProof/>
              </w:rPr>
            </w:pPr>
            <w:r>
              <w:rPr>
                <w:noProof/>
              </w:rPr>
              <w:t>ESSF</w:t>
            </w:r>
          </w:p>
        </w:tc>
        <w:tc>
          <w:tcPr>
            <w:tcW w:w="5607" w:type="dxa"/>
            <w:tcBorders>
              <w:bottom w:val="single" w:sz="4" w:space="0" w:color="auto"/>
            </w:tcBorders>
            <w:tcMar>
              <w:top w:w="85" w:type="dxa"/>
              <w:left w:w="57" w:type="dxa"/>
              <w:bottom w:w="85" w:type="dxa"/>
              <w:right w:w="57" w:type="dxa"/>
            </w:tcMar>
          </w:tcPr>
          <w:p>
            <w:pPr>
              <w:rPr>
                <w:noProof/>
              </w:rPr>
            </w:pPr>
            <w:r>
              <w:rPr>
                <w:noProof/>
              </w:rPr>
              <w:t>European Sustainable Shipping Forum</w:t>
            </w:r>
          </w:p>
        </w:tc>
      </w:tr>
      <w:tr>
        <w:tc>
          <w:tcPr>
            <w:tcW w:w="3227" w:type="dxa"/>
            <w:tcMar>
              <w:top w:w="85" w:type="dxa"/>
              <w:left w:w="57" w:type="dxa"/>
              <w:bottom w:w="85" w:type="dxa"/>
              <w:right w:w="57" w:type="dxa"/>
            </w:tcMar>
          </w:tcPr>
          <w:p>
            <w:pPr>
              <w:rPr>
                <w:noProof/>
              </w:rPr>
            </w:pPr>
            <w:r>
              <w:rPr>
                <w:noProof/>
              </w:rPr>
              <w:t>GHG</w:t>
            </w:r>
          </w:p>
        </w:tc>
        <w:tc>
          <w:tcPr>
            <w:tcW w:w="5607" w:type="dxa"/>
            <w:tcMar>
              <w:top w:w="85" w:type="dxa"/>
              <w:left w:w="57" w:type="dxa"/>
              <w:bottom w:w="85" w:type="dxa"/>
              <w:right w:w="57" w:type="dxa"/>
            </w:tcMar>
          </w:tcPr>
          <w:p>
            <w:pPr>
              <w:rPr>
                <w:noProof/>
              </w:rPr>
            </w:pPr>
            <w:r>
              <w:rPr>
                <w:noProof/>
              </w:rPr>
              <w:t>Greenhouse gases</w:t>
            </w:r>
          </w:p>
        </w:tc>
      </w:tr>
      <w:tr>
        <w:tc>
          <w:tcPr>
            <w:tcW w:w="3227" w:type="dxa"/>
            <w:tcMar>
              <w:top w:w="85" w:type="dxa"/>
              <w:left w:w="57" w:type="dxa"/>
              <w:bottom w:w="85" w:type="dxa"/>
              <w:right w:w="57" w:type="dxa"/>
            </w:tcMar>
          </w:tcPr>
          <w:p>
            <w:pPr>
              <w:rPr>
                <w:noProof/>
              </w:rPr>
            </w:pPr>
            <w:r>
              <w:rPr>
                <w:noProof/>
              </w:rPr>
              <w:t>HFO</w:t>
            </w:r>
          </w:p>
        </w:tc>
        <w:tc>
          <w:tcPr>
            <w:tcW w:w="5607" w:type="dxa"/>
            <w:tcMar>
              <w:top w:w="85" w:type="dxa"/>
              <w:left w:w="57" w:type="dxa"/>
              <w:bottom w:w="85" w:type="dxa"/>
              <w:right w:w="57" w:type="dxa"/>
            </w:tcMar>
          </w:tcPr>
          <w:p>
            <w:pPr>
              <w:rPr>
                <w:noProof/>
              </w:rPr>
            </w:pPr>
            <w:r>
              <w:rPr>
                <w:noProof/>
              </w:rPr>
              <w:t>Heavy fuel oil</w:t>
            </w:r>
          </w:p>
        </w:tc>
      </w:tr>
      <w:tr>
        <w:tc>
          <w:tcPr>
            <w:tcW w:w="3227" w:type="dxa"/>
            <w:tcMar>
              <w:top w:w="85" w:type="dxa"/>
              <w:left w:w="57" w:type="dxa"/>
              <w:bottom w:w="85" w:type="dxa"/>
              <w:right w:w="57" w:type="dxa"/>
            </w:tcMar>
          </w:tcPr>
          <w:p>
            <w:pPr>
              <w:rPr>
                <w:noProof/>
              </w:rPr>
            </w:pPr>
            <w:r>
              <w:rPr>
                <w:noProof/>
              </w:rPr>
              <w:t>IMO</w:t>
            </w:r>
          </w:p>
        </w:tc>
        <w:tc>
          <w:tcPr>
            <w:tcW w:w="5607" w:type="dxa"/>
            <w:tcMar>
              <w:top w:w="85" w:type="dxa"/>
              <w:left w:w="57" w:type="dxa"/>
              <w:bottom w:w="85" w:type="dxa"/>
              <w:right w:w="57" w:type="dxa"/>
            </w:tcMar>
          </w:tcPr>
          <w:p>
            <w:pPr>
              <w:rPr>
                <w:noProof/>
              </w:rPr>
            </w:pPr>
            <w:r>
              <w:rPr>
                <w:noProof/>
              </w:rPr>
              <w:t>International Maritime Organization</w:t>
            </w:r>
          </w:p>
        </w:tc>
      </w:tr>
      <w:tr>
        <w:tc>
          <w:tcPr>
            <w:tcW w:w="3227" w:type="dxa"/>
            <w:tcMar>
              <w:top w:w="85" w:type="dxa"/>
              <w:left w:w="57" w:type="dxa"/>
              <w:bottom w:w="85" w:type="dxa"/>
              <w:right w:w="57" w:type="dxa"/>
            </w:tcMar>
          </w:tcPr>
          <w:p>
            <w:pPr>
              <w:rPr>
                <w:noProof/>
              </w:rPr>
            </w:pPr>
            <w:r>
              <w:rPr>
                <w:noProof/>
              </w:rPr>
              <w:t>Ktoe</w:t>
            </w:r>
          </w:p>
        </w:tc>
        <w:tc>
          <w:tcPr>
            <w:tcW w:w="5607" w:type="dxa"/>
            <w:tcMar>
              <w:top w:w="85" w:type="dxa"/>
              <w:left w:w="57" w:type="dxa"/>
              <w:bottom w:w="85" w:type="dxa"/>
              <w:right w:w="57" w:type="dxa"/>
            </w:tcMar>
          </w:tcPr>
          <w:p>
            <w:pPr>
              <w:rPr>
                <w:noProof/>
              </w:rPr>
            </w:pPr>
            <w:r>
              <w:rPr>
                <w:noProof/>
              </w:rPr>
              <w:t>Kilo-tonnes of oil equivalent</w:t>
            </w:r>
          </w:p>
        </w:tc>
      </w:tr>
      <w:tr>
        <w:tc>
          <w:tcPr>
            <w:tcW w:w="3227" w:type="dxa"/>
            <w:tcMar>
              <w:top w:w="85" w:type="dxa"/>
              <w:left w:w="57" w:type="dxa"/>
              <w:bottom w:w="85" w:type="dxa"/>
              <w:right w:w="57" w:type="dxa"/>
            </w:tcMar>
          </w:tcPr>
          <w:p>
            <w:pPr>
              <w:rPr>
                <w:noProof/>
              </w:rPr>
            </w:pPr>
            <w:r>
              <w:rPr>
                <w:noProof/>
              </w:rPr>
              <w:t>LNG</w:t>
            </w:r>
          </w:p>
        </w:tc>
        <w:tc>
          <w:tcPr>
            <w:tcW w:w="5607" w:type="dxa"/>
            <w:tcMar>
              <w:top w:w="85" w:type="dxa"/>
              <w:left w:w="57" w:type="dxa"/>
              <w:bottom w:w="85" w:type="dxa"/>
              <w:right w:w="57" w:type="dxa"/>
            </w:tcMar>
          </w:tcPr>
          <w:p>
            <w:pPr>
              <w:rPr>
                <w:noProof/>
              </w:rPr>
            </w:pPr>
            <w:r>
              <w:rPr>
                <w:noProof/>
              </w:rPr>
              <w:t>Liquefied Natural Gas</w:t>
            </w:r>
          </w:p>
        </w:tc>
      </w:tr>
      <w:tr>
        <w:tc>
          <w:tcPr>
            <w:tcW w:w="3227" w:type="dxa"/>
            <w:tcMar>
              <w:top w:w="85" w:type="dxa"/>
              <w:left w:w="57" w:type="dxa"/>
              <w:bottom w:w="85" w:type="dxa"/>
              <w:right w:w="57" w:type="dxa"/>
            </w:tcMar>
          </w:tcPr>
          <w:p>
            <w:pPr>
              <w:rPr>
                <w:noProof/>
              </w:rPr>
            </w:pPr>
            <w:r>
              <w:rPr>
                <w:noProof/>
              </w:rPr>
              <w:t>LPG</w:t>
            </w:r>
          </w:p>
        </w:tc>
        <w:tc>
          <w:tcPr>
            <w:tcW w:w="5607" w:type="dxa"/>
            <w:tcMar>
              <w:top w:w="85" w:type="dxa"/>
              <w:left w:w="57" w:type="dxa"/>
              <w:bottom w:w="85" w:type="dxa"/>
              <w:right w:w="57" w:type="dxa"/>
            </w:tcMar>
          </w:tcPr>
          <w:p>
            <w:pPr>
              <w:rPr>
                <w:noProof/>
              </w:rPr>
            </w:pPr>
            <w:r>
              <w:rPr>
                <w:noProof/>
              </w:rPr>
              <w:t>Liquefied Petroleum Gas</w:t>
            </w:r>
          </w:p>
        </w:tc>
      </w:tr>
      <w:tr>
        <w:tc>
          <w:tcPr>
            <w:tcW w:w="3227" w:type="dxa"/>
            <w:tcMar>
              <w:top w:w="85" w:type="dxa"/>
              <w:left w:w="57" w:type="dxa"/>
              <w:bottom w:w="85" w:type="dxa"/>
              <w:right w:w="57" w:type="dxa"/>
            </w:tcMar>
          </w:tcPr>
          <w:p>
            <w:pPr>
              <w:rPr>
                <w:noProof/>
              </w:rPr>
            </w:pPr>
            <w:r>
              <w:rPr>
                <w:noProof/>
              </w:rPr>
              <w:t>MDO</w:t>
            </w:r>
          </w:p>
        </w:tc>
        <w:tc>
          <w:tcPr>
            <w:tcW w:w="5607" w:type="dxa"/>
            <w:tcMar>
              <w:top w:w="85" w:type="dxa"/>
              <w:left w:w="57" w:type="dxa"/>
              <w:bottom w:w="85" w:type="dxa"/>
              <w:right w:w="57" w:type="dxa"/>
            </w:tcMar>
          </w:tcPr>
          <w:p>
            <w:pPr>
              <w:rPr>
                <w:noProof/>
              </w:rPr>
            </w:pPr>
            <w:r>
              <w:rPr>
                <w:noProof/>
              </w:rPr>
              <w:t>Marine diesel oil</w:t>
            </w:r>
          </w:p>
        </w:tc>
      </w:tr>
      <w:tr>
        <w:tc>
          <w:tcPr>
            <w:tcW w:w="3227" w:type="dxa"/>
            <w:tcMar>
              <w:top w:w="85" w:type="dxa"/>
              <w:left w:w="57" w:type="dxa"/>
              <w:bottom w:w="85" w:type="dxa"/>
              <w:right w:w="57" w:type="dxa"/>
            </w:tcMar>
          </w:tcPr>
          <w:p>
            <w:pPr>
              <w:rPr>
                <w:noProof/>
              </w:rPr>
            </w:pPr>
            <w:r>
              <w:rPr>
                <w:noProof/>
              </w:rPr>
              <w:t>MGO</w:t>
            </w:r>
          </w:p>
        </w:tc>
        <w:tc>
          <w:tcPr>
            <w:tcW w:w="5607" w:type="dxa"/>
            <w:tcMar>
              <w:top w:w="85" w:type="dxa"/>
              <w:left w:w="57" w:type="dxa"/>
              <w:bottom w:w="85" w:type="dxa"/>
              <w:right w:w="57" w:type="dxa"/>
            </w:tcMar>
          </w:tcPr>
          <w:p>
            <w:pPr>
              <w:rPr>
                <w:noProof/>
              </w:rPr>
            </w:pPr>
            <w:r>
              <w:rPr>
                <w:noProof/>
              </w:rPr>
              <w:t>Marine gas oil</w:t>
            </w:r>
          </w:p>
        </w:tc>
      </w:tr>
      <w:tr>
        <w:tc>
          <w:tcPr>
            <w:tcW w:w="3227" w:type="dxa"/>
            <w:tcMar>
              <w:top w:w="85" w:type="dxa"/>
              <w:left w:w="57" w:type="dxa"/>
              <w:bottom w:w="85" w:type="dxa"/>
              <w:right w:w="57" w:type="dxa"/>
            </w:tcMar>
          </w:tcPr>
          <w:p>
            <w:pPr>
              <w:rPr>
                <w:noProof/>
              </w:rPr>
            </w:pPr>
            <w:r>
              <w:rPr>
                <w:noProof/>
              </w:rPr>
              <w:t>MBM</w:t>
            </w:r>
          </w:p>
        </w:tc>
        <w:tc>
          <w:tcPr>
            <w:tcW w:w="5607" w:type="dxa"/>
            <w:tcMar>
              <w:top w:w="85" w:type="dxa"/>
              <w:left w:w="57" w:type="dxa"/>
              <w:bottom w:w="85" w:type="dxa"/>
              <w:right w:w="57" w:type="dxa"/>
            </w:tcMar>
          </w:tcPr>
          <w:p>
            <w:pPr>
              <w:rPr>
                <w:noProof/>
              </w:rPr>
            </w:pPr>
            <w:r>
              <w:rPr>
                <w:noProof/>
              </w:rPr>
              <w:t>Market-based measure</w:t>
            </w:r>
          </w:p>
        </w:tc>
      </w:tr>
      <w:tr>
        <w:tc>
          <w:tcPr>
            <w:tcW w:w="3227" w:type="dxa"/>
            <w:tcMar>
              <w:top w:w="85" w:type="dxa"/>
              <w:left w:w="57" w:type="dxa"/>
              <w:bottom w:w="85" w:type="dxa"/>
              <w:right w:w="57" w:type="dxa"/>
            </w:tcMar>
          </w:tcPr>
          <w:p>
            <w:pPr>
              <w:rPr>
                <w:noProof/>
              </w:rPr>
            </w:pPr>
            <w:r>
              <w:rPr>
                <w:noProof/>
              </w:rPr>
              <w:t>MARPOL</w:t>
            </w:r>
          </w:p>
        </w:tc>
        <w:tc>
          <w:tcPr>
            <w:tcW w:w="5607" w:type="dxa"/>
            <w:tcMar>
              <w:top w:w="85" w:type="dxa"/>
              <w:left w:w="57" w:type="dxa"/>
              <w:bottom w:w="85" w:type="dxa"/>
              <w:right w:w="57" w:type="dxa"/>
            </w:tcMar>
          </w:tcPr>
          <w:p>
            <w:pPr>
              <w:rPr>
                <w:noProof/>
              </w:rPr>
            </w:pPr>
            <w:r>
              <w:rPr>
                <w:noProof/>
              </w:rPr>
              <w:t xml:space="preserve">International Convention for the Prevention of Pollution from Ships </w:t>
            </w:r>
          </w:p>
        </w:tc>
      </w:tr>
      <w:tr>
        <w:tc>
          <w:tcPr>
            <w:tcW w:w="3227" w:type="dxa"/>
            <w:tcMar>
              <w:top w:w="85" w:type="dxa"/>
              <w:left w:w="57" w:type="dxa"/>
              <w:bottom w:w="85" w:type="dxa"/>
              <w:right w:w="57" w:type="dxa"/>
            </w:tcMar>
          </w:tcPr>
          <w:p>
            <w:pPr>
              <w:rPr>
                <w:noProof/>
              </w:rPr>
            </w:pPr>
            <w:r>
              <w:rPr>
                <w:noProof/>
              </w:rPr>
              <w:t>Methane slip</w:t>
            </w:r>
          </w:p>
        </w:tc>
        <w:tc>
          <w:tcPr>
            <w:tcW w:w="5607" w:type="dxa"/>
            <w:tcMar>
              <w:top w:w="85" w:type="dxa"/>
              <w:left w:w="57" w:type="dxa"/>
              <w:bottom w:w="85" w:type="dxa"/>
              <w:right w:w="57" w:type="dxa"/>
            </w:tcMar>
          </w:tcPr>
          <w:p>
            <w:pPr>
              <w:rPr>
                <w:noProof/>
              </w:rPr>
            </w:pPr>
            <w:r>
              <w:rPr>
                <w:noProof/>
              </w:rPr>
              <w:t xml:space="preserve">Release of methane in the atmosphere while using gaseous fuels due, for instance, to the possible incomplete combustion of the fuel </w:t>
            </w:r>
          </w:p>
        </w:tc>
      </w:tr>
      <w:tr>
        <w:tc>
          <w:tcPr>
            <w:tcW w:w="3227" w:type="dxa"/>
            <w:tcMar>
              <w:top w:w="85" w:type="dxa"/>
              <w:left w:w="57" w:type="dxa"/>
              <w:bottom w:w="85" w:type="dxa"/>
              <w:right w:w="57" w:type="dxa"/>
            </w:tcMar>
          </w:tcPr>
          <w:p>
            <w:pPr>
              <w:rPr>
                <w:noProof/>
              </w:rPr>
            </w:pPr>
            <w:r>
              <w:rPr>
                <w:noProof/>
              </w:rPr>
              <w:t>MOVE</w:t>
            </w:r>
          </w:p>
        </w:tc>
        <w:tc>
          <w:tcPr>
            <w:tcW w:w="5607" w:type="dxa"/>
            <w:tcMar>
              <w:top w:w="85" w:type="dxa"/>
              <w:left w:w="57" w:type="dxa"/>
              <w:bottom w:w="85" w:type="dxa"/>
              <w:right w:w="57" w:type="dxa"/>
            </w:tcMar>
          </w:tcPr>
          <w:p>
            <w:pPr>
              <w:rPr>
                <w:noProof/>
              </w:rPr>
            </w:pPr>
            <w:r>
              <w:rPr>
                <w:noProof/>
              </w:rPr>
              <w:t>Directorate Directorate-General for Mobility and Transport</w:t>
            </w:r>
          </w:p>
        </w:tc>
      </w:tr>
      <w:tr>
        <w:tc>
          <w:tcPr>
            <w:tcW w:w="3227" w:type="dxa"/>
            <w:tcMar>
              <w:top w:w="85" w:type="dxa"/>
              <w:left w:w="57" w:type="dxa"/>
              <w:bottom w:w="85" w:type="dxa"/>
              <w:right w:w="57" w:type="dxa"/>
            </w:tcMar>
          </w:tcPr>
          <w:p>
            <w:pPr>
              <w:rPr>
                <w:noProof/>
              </w:rPr>
            </w:pPr>
            <w:r>
              <w:rPr>
                <w:noProof/>
              </w:rPr>
              <w:t>MRV</w:t>
            </w:r>
          </w:p>
        </w:tc>
        <w:tc>
          <w:tcPr>
            <w:tcW w:w="5607" w:type="dxa"/>
            <w:tcMar>
              <w:top w:w="85" w:type="dxa"/>
              <w:left w:w="57" w:type="dxa"/>
              <w:bottom w:w="85" w:type="dxa"/>
              <w:right w:w="57" w:type="dxa"/>
            </w:tcMar>
          </w:tcPr>
          <w:p>
            <w:pPr>
              <w:rPr>
                <w:noProof/>
              </w:rPr>
            </w:pPr>
            <w:r>
              <w:rPr>
                <w:noProof/>
              </w:rPr>
              <w:t>Monitoring Reporting and Verification (in the meaning of Regulation (EU) 2015/757 as amended)</w:t>
            </w:r>
          </w:p>
        </w:tc>
      </w:tr>
      <w:tr>
        <w:tc>
          <w:tcPr>
            <w:tcW w:w="3227" w:type="dxa"/>
            <w:tcMar>
              <w:top w:w="85" w:type="dxa"/>
              <w:left w:w="57" w:type="dxa"/>
              <w:bottom w:w="85" w:type="dxa"/>
              <w:right w:w="57" w:type="dxa"/>
            </w:tcMar>
          </w:tcPr>
          <w:p>
            <w:pPr>
              <w:rPr>
                <w:noProof/>
              </w:rPr>
            </w:pPr>
            <w:r>
              <w:rPr>
                <w:noProof/>
              </w:rPr>
              <w:t>N</w:t>
            </w:r>
            <w:r>
              <w:rPr>
                <w:noProof/>
                <w:vertAlign w:val="subscript"/>
              </w:rPr>
              <w:t>2</w:t>
            </w:r>
            <w:r>
              <w:rPr>
                <w:noProof/>
              </w:rPr>
              <w:t>O</w:t>
            </w:r>
          </w:p>
        </w:tc>
        <w:tc>
          <w:tcPr>
            <w:tcW w:w="5607" w:type="dxa"/>
            <w:tcMar>
              <w:top w:w="85" w:type="dxa"/>
              <w:left w:w="57" w:type="dxa"/>
              <w:bottom w:w="85" w:type="dxa"/>
              <w:right w:w="57" w:type="dxa"/>
            </w:tcMar>
          </w:tcPr>
          <w:p>
            <w:pPr>
              <w:rPr>
                <w:noProof/>
              </w:rPr>
            </w:pPr>
            <w:r>
              <w:rPr>
                <w:noProof/>
              </w:rPr>
              <w:t>Nitrous oxide (greenhouse gas)</w:t>
            </w:r>
          </w:p>
        </w:tc>
      </w:tr>
      <w:tr>
        <w:tc>
          <w:tcPr>
            <w:tcW w:w="3227" w:type="dxa"/>
            <w:tcMar>
              <w:top w:w="85" w:type="dxa"/>
              <w:left w:w="57" w:type="dxa"/>
              <w:bottom w:w="85" w:type="dxa"/>
              <w:right w:w="57" w:type="dxa"/>
            </w:tcMar>
          </w:tcPr>
          <w:p>
            <w:pPr>
              <w:rPr>
                <w:noProof/>
              </w:rPr>
            </w:pPr>
            <w:r>
              <w:rPr>
                <w:noProof/>
              </w:rPr>
              <w:t>Nm</w:t>
            </w:r>
          </w:p>
        </w:tc>
        <w:tc>
          <w:tcPr>
            <w:tcW w:w="5607" w:type="dxa"/>
            <w:tcMar>
              <w:top w:w="85" w:type="dxa"/>
              <w:left w:w="57" w:type="dxa"/>
              <w:bottom w:w="85" w:type="dxa"/>
              <w:right w:w="57" w:type="dxa"/>
            </w:tcMar>
          </w:tcPr>
          <w:p>
            <w:pPr>
              <w:rPr>
                <w:noProof/>
              </w:rPr>
            </w:pPr>
            <w:r>
              <w:rPr>
                <w:noProof/>
              </w:rPr>
              <w:t>Nautical mile</w:t>
            </w:r>
          </w:p>
        </w:tc>
      </w:tr>
      <w:tr>
        <w:tc>
          <w:tcPr>
            <w:tcW w:w="3227" w:type="dxa"/>
            <w:tcMar>
              <w:top w:w="85" w:type="dxa"/>
              <w:left w:w="57" w:type="dxa"/>
              <w:bottom w:w="85" w:type="dxa"/>
              <w:right w:w="57" w:type="dxa"/>
            </w:tcMar>
          </w:tcPr>
          <w:p>
            <w:pPr>
              <w:rPr>
                <w:noProof/>
              </w:rPr>
            </w:pPr>
            <w:r>
              <w:rPr>
                <w:noProof/>
              </w:rPr>
              <w:t>NOx</w:t>
            </w:r>
          </w:p>
        </w:tc>
        <w:tc>
          <w:tcPr>
            <w:tcW w:w="5607" w:type="dxa"/>
            <w:tcMar>
              <w:top w:w="85" w:type="dxa"/>
              <w:left w:w="57" w:type="dxa"/>
              <w:bottom w:w="85" w:type="dxa"/>
              <w:right w:w="57" w:type="dxa"/>
            </w:tcMar>
          </w:tcPr>
          <w:p>
            <w:pPr>
              <w:rPr>
                <w:noProof/>
              </w:rPr>
            </w:pPr>
            <w:r>
              <w:rPr>
                <w:noProof/>
              </w:rPr>
              <w:t>Nitrogen Oxides (air pollutant emissions to air)</w:t>
            </w:r>
          </w:p>
        </w:tc>
      </w:tr>
      <w:tr>
        <w:tc>
          <w:tcPr>
            <w:tcW w:w="3227" w:type="dxa"/>
            <w:tcMar>
              <w:top w:w="85" w:type="dxa"/>
              <w:left w:w="57" w:type="dxa"/>
              <w:bottom w:w="85" w:type="dxa"/>
              <w:right w:w="57" w:type="dxa"/>
            </w:tcMar>
          </w:tcPr>
          <w:p>
            <w:pPr>
              <w:rPr>
                <w:noProof/>
              </w:rPr>
            </w:pPr>
            <w:r>
              <w:rPr>
                <w:bCs/>
                <w:noProof/>
              </w:rPr>
              <w:t>NMVOCs</w:t>
            </w:r>
          </w:p>
        </w:tc>
        <w:tc>
          <w:tcPr>
            <w:tcW w:w="5607" w:type="dxa"/>
            <w:tcMar>
              <w:top w:w="85" w:type="dxa"/>
              <w:left w:w="57" w:type="dxa"/>
              <w:bottom w:w="85" w:type="dxa"/>
              <w:right w:w="57" w:type="dxa"/>
            </w:tcMar>
          </w:tcPr>
          <w:p>
            <w:pPr>
              <w:rPr>
                <w:noProof/>
              </w:rPr>
            </w:pPr>
            <w:r>
              <w:rPr>
                <w:noProof/>
              </w:rPr>
              <w:t>N</w:t>
            </w:r>
            <w:r>
              <w:rPr>
                <w:bCs/>
                <w:noProof/>
              </w:rPr>
              <w:t xml:space="preserve">on-methane volatile organic compounds </w:t>
            </w:r>
            <w:r>
              <w:rPr>
                <w:noProof/>
              </w:rPr>
              <w:t>(air pollutant emissions to air)</w:t>
            </w:r>
          </w:p>
        </w:tc>
      </w:tr>
      <w:tr>
        <w:tc>
          <w:tcPr>
            <w:tcW w:w="3227" w:type="dxa"/>
            <w:tcMar>
              <w:top w:w="85" w:type="dxa"/>
              <w:left w:w="57" w:type="dxa"/>
              <w:bottom w:w="85" w:type="dxa"/>
              <w:right w:w="57" w:type="dxa"/>
            </w:tcMar>
          </w:tcPr>
          <w:p>
            <w:pPr>
              <w:rPr>
                <w:bCs/>
                <w:noProof/>
              </w:rPr>
            </w:pPr>
            <w:r>
              <w:rPr>
                <w:bCs/>
                <w:noProof/>
              </w:rPr>
              <w:t>OPC</w:t>
            </w:r>
          </w:p>
        </w:tc>
        <w:tc>
          <w:tcPr>
            <w:tcW w:w="5607" w:type="dxa"/>
            <w:tcMar>
              <w:top w:w="85" w:type="dxa"/>
              <w:left w:w="57" w:type="dxa"/>
              <w:bottom w:w="85" w:type="dxa"/>
              <w:right w:w="57" w:type="dxa"/>
            </w:tcMar>
          </w:tcPr>
          <w:p>
            <w:pPr>
              <w:rPr>
                <w:noProof/>
              </w:rPr>
            </w:pPr>
            <w:r>
              <w:rPr>
                <w:noProof/>
              </w:rPr>
              <w:t>Open public consultation</w:t>
            </w:r>
          </w:p>
        </w:tc>
      </w:tr>
      <w:tr>
        <w:tc>
          <w:tcPr>
            <w:tcW w:w="3227" w:type="dxa"/>
            <w:tcMar>
              <w:top w:w="85" w:type="dxa"/>
              <w:left w:w="57" w:type="dxa"/>
              <w:bottom w:w="85" w:type="dxa"/>
              <w:right w:w="57" w:type="dxa"/>
            </w:tcMar>
          </w:tcPr>
          <w:p>
            <w:pPr>
              <w:rPr>
                <w:bCs/>
                <w:noProof/>
              </w:rPr>
            </w:pPr>
            <w:r>
              <w:rPr>
                <w:bCs/>
                <w:noProof/>
              </w:rPr>
              <w:t>OPEX</w:t>
            </w:r>
          </w:p>
        </w:tc>
        <w:tc>
          <w:tcPr>
            <w:tcW w:w="5607" w:type="dxa"/>
            <w:tcMar>
              <w:top w:w="85" w:type="dxa"/>
              <w:left w:w="57" w:type="dxa"/>
              <w:bottom w:w="85" w:type="dxa"/>
              <w:right w:w="57" w:type="dxa"/>
            </w:tcMar>
          </w:tcPr>
          <w:p>
            <w:pPr>
              <w:rPr>
                <w:noProof/>
              </w:rPr>
            </w:pPr>
            <w:r>
              <w:rPr>
                <w:noProof/>
              </w:rPr>
              <w:t>Operating expenditure</w:t>
            </w:r>
          </w:p>
        </w:tc>
      </w:tr>
      <w:tr>
        <w:tc>
          <w:tcPr>
            <w:tcW w:w="3227" w:type="dxa"/>
            <w:tcMar>
              <w:top w:w="85" w:type="dxa"/>
              <w:left w:w="57" w:type="dxa"/>
              <w:bottom w:w="85" w:type="dxa"/>
              <w:right w:w="57" w:type="dxa"/>
            </w:tcMar>
          </w:tcPr>
          <w:p>
            <w:pPr>
              <w:rPr>
                <w:noProof/>
              </w:rPr>
            </w:pPr>
            <w:r>
              <w:rPr>
                <w:noProof/>
              </w:rPr>
              <w:t>OPS</w:t>
            </w:r>
          </w:p>
        </w:tc>
        <w:tc>
          <w:tcPr>
            <w:tcW w:w="5607" w:type="dxa"/>
            <w:tcMar>
              <w:top w:w="85" w:type="dxa"/>
              <w:left w:w="57" w:type="dxa"/>
              <w:bottom w:w="85" w:type="dxa"/>
              <w:right w:w="57" w:type="dxa"/>
            </w:tcMar>
          </w:tcPr>
          <w:p>
            <w:pPr>
              <w:rPr>
                <w:noProof/>
              </w:rPr>
            </w:pPr>
            <w:r>
              <w:rPr>
                <w:noProof/>
              </w:rPr>
              <w:t>On-shore power supply</w:t>
            </w:r>
          </w:p>
        </w:tc>
      </w:tr>
      <w:tr>
        <w:tc>
          <w:tcPr>
            <w:tcW w:w="3227" w:type="dxa"/>
            <w:tcMar>
              <w:top w:w="85" w:type="dxa"/>
              <w:left w:w="57" w:type="dxa"/>
              <w:bottom w:w="85" w:type="dxa"/>
              <w:right w:w="57" w:type="dxa"/>
            </w:tcMar>
          </w:tcPr>
          <w:p>
            <w:pPr>
              <w:rPr>
                <w:noProof/>
              </w:rPr>
            </w:pPr>
            <w:r>
              <w:rPr>
                <w:noProof/>
              </w:rPr>
              <w:t>PM</w:t>
            </w:r>
          </w:p>
        </w:tc>
        <w:tc>
          <w:tcPr>
            <w:tcW w:w="5607" w:type="dxa"/>
            <w:tcMar>
              <w:top w:w="85" w:type="dxa"/>
              <w:left w:w="57" w:type="dxa"/>
              <w:bottom w:w="85" w:type="dxa"/>
              <w:right w:w="57" w:type="dxa"/>
            </w:tcMar>
          </w:tcPr>
          <w:p>
            <w:pPr>
              <w:rPr>
                <w:noProof/>
              </w:rPr>
            </w:pPr>
            <w:r>
              <w:rPr>
                <w:noProof/>
              </w:rPr>
              <w:t>Particulate matter (air pollutant emissions to air)</w:t>
            </w:r>
          </w:p>
        </w:tc>
      </w:tr>
      <w:tr>
        <w:tc>
          <w:tcPr>
            <w:tcW w:w="3227" w:type="dxa"/>
            <w:tcMar>
              <w:top w:w="85" w:type="dxa"/>
              <w:left w:w="57" w:type="dxa"/>
              <w:bottom w:w="85" w:type="dxa"/>
              <w:right w:w="57" w:type="dxa"/>
            </w:tcMar>
          </w:tcPr>
          <w:p>
            <w:pPr>
              <w:rPr>
                <w:noProof/>
              </w:rPr>
            </w:pPr>
            <w:r>
              <w:rPr>
                <w:noProof/>
              </w:rPr>
              <w:t>PO</w:t>
            </w:r>
          </w:p>
        </w:tc>
        <w:tc>
          <w:tcPr>
            <w:tcW w:w="5607" w:type="dxa"/>
            <w:tcMar>
              <w:top w:w="85" w:type="dxa"/>
              <w:left w:w="57" w:type="dxa"/>
              <w:bottom w:w="85" w:type="dxa"/>
              <w:right w:w="57" w:type="dxa"/>
            </w:tcMar>
          </w:tcPr>
          <w:p>
            <w:pPr>
              <w:rPr>
                <w:noProof/>
              </w:rPr>
            </w:pPr>
            <w:r>
              <w:rPr>
                <w:noProof/>
              </w:rPr>
              <w:t>Policy option</w:t>
            </w:r>
          </w:p>
        </w:tc>
      </w:tr>
      <w:tr>
        <w:tc>
          <w:tcPr>
            <w:tcW w:w="3227" w:type="dxa"/>
            <w:tcMar>
              <w:top w:w="85" w:type="dxa"/>
              <w:left w:w="57" w:type="dxa"/>
              <w:bottom w:w="85" w:type="dxa"/>
              <w:right w:w="57" w:type="dxa"/>
            </w:tcMar>
          </w:tcPr>
          <w:p>
            <w:pPr>
              <w:rPr>
                <w:noProof/>
              </w:rPr>
            </w:pPr>
            <w:r>
              <w:rPr>
                <w:noProof/>
              </w:rPr>
              <w:t>PSC</w:t>
            </w:r>
          </w:p>
        </w:tc>
        <w:tc>
          <w:tcPr>
            <w:tcW w:w="5607" w:type="dxa"/>
            <w:tcMar>
              <w:top w:w="85" w:type="dxa"/>
              <w:left w:w="57" w:type="dxa"/>
              <w:bottom w:w="85" w:type="dxa"/>
              <w:right w:w="57" w:type="dxa"/>
            </w:tcMar>
          </w:tcPr>
          <w:p>
            <w:pPr>
              <w:rPr>
                <w:noProof/>
              </w:rPr>
            </w:pPr>
            <w:r>
              <w:rPr>
                <w:noProof/>
              </w:rPr>
              <w:t>Port State Control</w:t>
            </w:r>
          </w:p>
        </w:tc>
      </w:tr>
      <w:tr>
        <w:tc>
          <w:tcPr>
            <w:tcW w:w="3227" w:type="dxa"/>
            <w:tcMar>
              <w:top w:w="85" w:type="dxa"/>
              <w:left w:w="57" w:type="dxa"/>
              <w:bottom w:w="85" w:type="dxa"/>
              <w:right w:w="57" w:type="dxa"/>
            </w:tcMar>
          </w:tcPr>
          <w:p>
            <w:pPr>
              <w:rPr>
                <w:noProof/>
              </w:rPr>
            </w:pPr>
            <w:r>
              <w:rPr>
                <w:noProof/>
              </w:rPr>
              <w:t>RED II</w:t>
            </w:r>
          </w:p>
        </w:tc>
        <w:tc>
          <w:tcPr>
            <w:tcW w:w="5607" w:type="dxa"/>
            <w:tcMar>
              <w:top w:w="85" w:type="dxa"/>
              <w:left w:w="57" w:type="dxa"/>
              <w:bottom w:w="85" w:type="dxa"/>
              <w:right w:w="57" w:type="dxa"/>
            </w:tcMar>
          </w:tcPr>
          <w:p>
            <w:pPr>
              <w:rPr>
                <w:noProof/>
                <w:lang w:val="fr-BE"/>
              </w:rPr>
            </w:pPr>
            <w:r>
              <w:rPr>
                <w:noProof/>
                <w:lang w:val="fr-BE"/>
              </w:rPr>
              <w:t>Renewable Energy Directive (Directive (EU) 2018/2001)</w:t>
            </w:r>
          </w:p>
        </w:tc>
      </w:tr>
      <w:tr>
        <w:tc>
          <w:tcPr>
            <w:tcW w:w="3227" w:type="dxa"/>
            <w:tcMar>
              <w:top w:w="85" w:type="dxa"/>
              <w:left w:w="57" w:type="dxa"/>
              <w:bottom w:w="85" w:type="dxa"/>
              <w:right w:w="57" w:type="dxa"/>
            </w:tcMar>
          </w:tcPr>
          <w:p>
            <w:pPr>
              <w:rPr>
                <w:noProof/>
              </w:rPr>
            </w:pPr>
            <w:r>
              <w:rPr>
                <w:noProof/>
              </w:rPr>
              <w:t>RFNBO</w:t>
            </w:r>
          </w:p>
        </w:tc>
        <w:tc>
          <w:tcPr>
            <w:tcW w:w="5607" w:type="dxa"/>
            <w:tcMar>
              <w:top w:w="85" w:type="dxa"/>
              <w:left w:w="57" w:type="dxa"/>
              <w:bottom w:w="85" w:type="dxa"/>
              <w:right w:w="57" w:type="dxa"/>
            </w:tcMar>
          </w:tcPr>
          <w:p>
            <w:pPr>
              <w:rPr>
                <w:noProof/>
                <w:lang w:val="en-US"/>
              </w:rPr>
            </w:pPr>
            <w:r>
              <w:rPr>
                <w:noProof/>
                <w:lang w:val="en-US"/>
              </w:rPr>
              <w:t>Renewable fuels of non-biological origin</w:t>
            </w:r>
          </w:p>
        </w:tc>
      </w:tr>
      <w:tr>
        <w:tc>
          <w:tcPr>
            <w:tcW w:w="3227" w:type="dxa"/>
            <w:tcMar>
              <w:top w:w="85" w:type="dxa"/>
              <w:left w:w="57" w:type="dxa"/>
              <w:bottom w:w="85" w:type="dxa"/>
              <w:right w:w="57" w:type="dxa"/>
            </w:tcMar>
          </w:tcPr>
          <w:p>
            <w:pPr>
              <w:rPr>
                <w:noProof/>
              </w:rPr>
            </w:pPr>
            <w:r>
              <w:rPr>
                <w:noProof/>
              </w:rPr>
              <w:t>RLF</w:t>
            </w:r>
          </w:p>
        </w:tc>
        <w:tc>
          <w:tcPr>
            <w:tcW w:w="5607" w:type="dxa"/>
            <w:tcMar>
              <w:top w:w="85" w:type="dxa"/>
              <w:left w:w="57" w:type="dxa"/>
              <w:bottom w:w="85" w:type="dxa"/>
              <w:right w:w="57" w:type="dxa"/>
            </w:tcMar>
          </w:tcPr>
          <w:p>
            <w:pPr>
              <w:rPr>
                <w:noProof/>
              </w:rPr>
            </w:pPr>
            <w:r>
              <w:rPr>
                <w:noProof/>
              </w:rPr>
              <w:t>Renewable and low-carbon fuels</w:t>
            </w:r>
          </w:p>
        </w:tc>
      </w:tr>
      <w:tr>
        <w:tc>
          <w:tcPr>
            <w:tcW w:w="3227" w:type="dxa"/>
            <w:tcMar>
              <w:top w:w="85" w:type="dxa"/>
              <w:left w:w="57" w:type="dxa"/>
              <w:bottom w:w="85" w:type="dxa"/>
              <w:right w:w="57" w:type="dxa"/>
            </w:tcMar>
          </w:tcPr>
          <w:p>
            <w:pPr>
              <w:rPr>
                <w:noProof/>
              </w:rPr>
            </w:pPr>
            <w:r>
              <w:rPr>
                <w:noProof/>
              </w:rPr>
              <w:t>R&amp;I</w:t>
            </w:r>
          </w:p>
        </w:tc>
        <w:tc>
          <w:tcPr>
            <w:tcW w:w="5607" w:type="dxa"/>
            <w:tcMar>
              <w:top w:w="85" w:type="dxa"/>
              <w:left w:w="57" w:type="dxa"/>
              <w:bottom w:w="85" w:type="dxa"/>
              <w:right w:w="57" w:type="dxa"/>
            </w:tcMar>
          </w:tcPr>
          <w:p>
            <w:pPr>
              <w:rPr>
                <w:noProof/>
              </w:rPr>
            </w:pPr>
            <w:r>
              <w:rPr>
                <w:noProof/>
              </w:rPr>
              <w:t>Research and Innovation</w:t>
            </w:r>
          </w:p>
        </w:tc>
      </w:tr>
      <w:tr>
        <w:tc>
          <w:tcPr>
            <w:tcW w:w="3227" w:type="dxa"/>
            <w:tcMar>
              <w:top w:w="85" w:type="dxa"/>
              <w:left w:w="57" w:type="dxa"/>
              <w:bottom w:w="85" w:type="dxa"/>
              <w:right w:w="57" w:type="dxa"/>
            </w:tcMar>
          </w:tcPr>
          <w:p>
            <w:pPr>
              <w:rPr>
                <w:noProof/>
              </w:rPr>
            </w:pPr>
            <w:r>
              <w:rPr>
                <w:noProof/>
              </w:rPr>
              <w:t>SO</w:t>
            </w:r>
          </w:p>
        </w:tc>
        <w:tc>
          <w:tcPr>
            <w:tcW w:w="5607" w:type="dxa"/>
            <w:tcMar>
              <w:top w:w="85" w:type="dxa"/>
              <w:left w:w="57" w:type="dxa"/>
              <w:bottom w:w="85" w:type="dxa"/>
              <w:right w:w="57" w:type="dxa"/>
            </w:tcMar>
          </w:tcPr>
          <w:p>
            <w:pPr>
              <w:rPr>
                <w:noProof/>
              </w:rPr>
            </w:pPr>
            <w:r>
              <w:rPr>
                <w:noProof/>
              </w:rPr>
              <w:t>Specific objective</w:t>
            </w:r>
          </w:p>
        </w:tc>
      </w:tr>
      <w:tr>
        <w:tc>
          <w:tcPr>
            <w:tcW w:w="3227" w:type="dxa"/>
            <w:tcMar>
              <w:top w:w="85" w:type="dxa"/>
              <w:left w:w="57" w:type="dxa"/>
              <w:bottom w:w="85" w:type="dxa"/>
              <w:right w:w="57" w:type="dxa"/>
            </w:tcMar>
          </w:tcPr>
          <w:p>
            <w:pPr>
              <w:rPr>
                <w:noProof/>
              </w:rPr>
            </w:pPr>
            <w:r>
              <w:rPr>
                <w:noProof/>
              </w:rPr>
              <w:t>SOx</w:t>
            </w:r>
          </w:p>
        </w:tc>
        <w:tc>
          <w:tcPr>
            <w:tcW w:w="5607" w:type="dxa"/>
            <w:tcMar>
              <w:top w:w="85" w:type="dxa"/>
              <w:left w:w="57" w:type="dxa"/>
              <w:bottom w:w="85" w:type="dxa"/>
              <w:right w:w="57" w:type="dxa"/>
            </w:tcMar>
          </w:tcPr>
          <w:p>
            <w:pPr>
              <w:rPr>
                <w:noProof/>
              </w:rPr>
            </w:pPr>
            <w:r>
              <w:rPr>
                <w:noProof/>
              </w:rPr>
              <w:t>Sulphur Oxides (air pollutant emissions to air)</w:t>
            </w:r>
          </w:p>
        </w:tc>
      </w:tr>
      <w:tr>
        <w:tc>
          <w:tcPr>
            <w:tcW w:w="3227" w:type="dxa"/>
            <w:tcMar>
              <w:top w:w="85" w:type="dxa"/>
              <w:left w:w="57" w:type="dxa"/>
              <w:bottom w:w="85" w:type="dxa"/>
              <w:right w:w="57" w:type="dxa"/>
            </w:tcMar>
          </w:tcPr>
          <w:p>
            <w:pPr>
              <w:rPr>
                <w:noProof/>
              </w:rPr>
            </w:pPr>
            <w:r>
              <w:rPr>
                <w:noProof/>
              </w:rPr>
              <w:t>STCW</w:t>
            </w:r>
          </w:p>
        </w:tc>
        <w:tc>
          <w:tcPr>
            <w:tcW w:w="5607" w:type="dxa"/>
            <w:tcMar>
              <w:top w:w="85" w:type="dxa"/>
              <w:left w:w="57" w:type="dxa"/>
              <w:bottom w:w="85" w:type="dxa"/>
              <w:right w:w="57" w:type="dxa"/>
            </w:tcMar>
          </w:tcPr>
          <w:p>
            <w:pPr>
              <w:rPr>
                <w:noProof/>
              </w:rPr>
            </w:pPr>
            <w:r>
              <w:rPr>
                <w:noProof/>
              </w:rPr>
              <w:t>International Convention on Standards on Training, Certification and Watchkeeping for Seafarers</w:t>
            </w:r>
          </w:p>
        </w:tc>
      </w:tr>
      <w:tr>
        <w:tc>
          <w:tcPr>
            <w:tcW w:w="3227" w:type="dxa"/>
            <w:tcMar>
              <w:top w:w="85" w:type="dxa"/>
              <w:left w:w="57" w:type="dxa"/>
              <w:bottom w:w="85" w:type="dxa"/>
              <w:right w:w="57" w:type="dxa"/>
            </w:tcMar>
          </w:tcPr>
          <w:p>
            <w:pPr>
              <w:rPr>
                <w:noProof/>
              </w:rPr>
            </w:pPr>
            <w:r>
              <w:rPr>
                <w:noProof/>
              </w:rPr>
              <w:t>Sulphur Directive</w:t>
            </w:r>
          </w:p>
        </w:tc>
        <w:tc>
          <w:tcPr>
            <w:tcW w:w="5607" w:type="dxa"/>
            <w:tcMar>
              <w:top w:w="85" w:type="dxa"/>
              <w:left w:w="57" w:type="dxa"/>
              <w:bottom w:w="85" w:type="dxa"/>
              <w:right w:w="57" w:type="dxa"/>
            </w:tcMar>
          </w:tcPr>
          <w:p>
            <w:pPr>
              <w:rPr>
                <w:noProof/>
              </w:rPr>
            </w:pPr>
            <w:r>
              <w:rPr>
                <w:noProof/>
              </w:rPr>
              <w:t>Codified Directive (EU) 2016/802 regulating the sulphur content in marine fuels (adopted in 2012 and codified in 2016)</w:t>
            </w:r>
          </w:p>
        </w:tc>
      </w:tr>
      <w:tr>
        <w:tc>
          <w:tcPr>
            <w:tcW w:w="3227" w:type="dxa"/>
            <w:tcMar>
              <w:top w:w="85" w:type="dxa"/>
              <w:left w:w="57" w:type="dxa"/>
              <w:bottom w:w="85" w:type="dxa"/>
              <w:right w:w="57" w:type="dxa"/>
            </w:tcMar>
          </w:tcPr>
          <w:p>
            <w:pPr>
              <w:rPr>
                <w:noProof/>
              </w:rPr>
            </w:pPr>
            <w:r>
              <w:rPr>
                <w:noProof/>
              </w:rPr>
              <w:t>Tank-to-wake</w:t>
            </w:r>
          </w:p>
        </w:tc>
        <w:tc>
          <w:tcPr>
            <w:tcW w:w="5607" w:type="dxa"/>
            <w:tcMar>
              <w:top w:w="85" w:type="dxa"/>
              <w:left w:w="57" w:type="dxa"/>
              <w:bottom w:w="85" w:type="dxa"/>
              <w:right w:w="57" w:type="dxa"/>
            </w:tcMar>
          </w:tcPr>
          <w:p>
            <w:pPr>
              <w:rPr>
                <w:noProof/>
              </w:rPr>
            </w:pPr>
            <w:r>
              <w:rPr>
                <w:noProof/>
              </w:rPr>
              <w:t>Method for calculating emissions that takes into account the greenhouse gas impact of combustion of a specific source of energy</w:t>
            </w:r>
          </w:p>
        </w:tc>
      </w:tr>
      <w:tr>
        <w:tc>
          <w:tcPr>
            <w:tcW w:w="3227" w:type="dxa"/>
            <w:tcMar>
              <w:top w:w="85" w:type="dxa"/>
              <w:left w:w="57" w:type="dxa"/>
              <w:bottom w:w="85" w:type="dxa"/>
              <w:right w:w="57" w:type="dxa"/>
            </w:tcMar>
          </w:tcPr>
          <w:p>
            <w:pPr>
              <w:rPr>
                <w:noProof/>
              </w:rPr>
            </w:pPr>
            <w:r>
              <w:rPr>
                <w:noProof/>
              </w:rPr>
              <w:t>TC</w:t>
            </w:r>
          </w:p>
        </w:tc>
        <w:tc>
          <w:tcPr>
            <w:tcW w:w="5607" w:type="dxa"/>
            <w:tcMar>
              <w:top w:w="85" w:type="dxa"/>
              <w:left w:w="57" w:type="dxa"/>
              <w:bottom w:w="85" w:type="dxa"/>
              <w:right w:w="57" w:type="dxa"/>
            </w:tcMar>
          </w:tcPr>
          <w:p>
            <w:pPr>
              <w:rPr>
                <w:noProof/>
              </w:rPr>
            </w:pPr>
            <w:r>
              <w:rPr>
                <w:noProof/>
              </w:rPr>
              <w:t>Targeted consultation</w:t>
            </w:r>
          </w:p>
        </w:tc>
      </w:tr>
      <w:tr>
        <w:tc>
          <w:tcPr>
            <w:tcW w:w="3227" w:type="dxa"/>
            <w:tcMar>
              <w:top w:w="85" w:type="dxa"/>
              <w:left w:w="57" w:type="dxa"/>
              <w:bottom w:w="85" w:type="dxa"/>
              <w:right w:w="57" w:type="dxa"/>
            </w:tcMar>
          </w:tcPr>
          <w:p>
            <w:pPr>
              <w:rPr>
                <w:noProof/>
              </w:rPr>
            </w:pPr>
            <w:r>
              <w:rPr>
                <w:noProof/>
              </w:rPr>
              <w:t>TEN-T</w:t>
            </w:r>
          </w:p>
        </w:tc>
        <w:tc>
          <w:tcPr>
            <w:tcW w:w="5607" w:type="dxa"/>
            <w:tcMar>
              <w:top w:w="85" w:type="dxa"/>
              <w:left w:w="57" w:type="dxa"/>
              <w:bottom w:w="85" w:type="dxa"/>
              <w:right w:w="57" w:type="dxa"/>
            </w:tcMar>
          </w:tcPr>
          <w:p>
            <w:pPr>
              <w:rPr>
                <w:noProof/>
              </w:rPr>
            </w:pPr>
            <w:r>
              <w:rPr>
                <w:noProof/>
              </w:rPr>
              <w:t>Trans-European Network of Transport</w:t>
            </w:r>
          </w:p>
        </w:tc>
      </w:tr>
      <w:tr>
        <w:tc>
          <w:tcPr>
            <w:tcW w:w="3227" w:type="dxa"/>
            <w:tcMar>
              <w:top w:w="85" w:type="dxa"/>
              <w:left w:w="57" w:type="dxa"/>
              <w:bottom w:w="85" w:type="dxa"/>
              <w:right w:w="57" w:type="dxa"/>
            </w:tcMar>
          </w:tcPr>
          <w:p>
            <w:pPr>
              <w:rPr>
                <w:noProof/>
              </w:rPr>
            </w:pPr>
            <w:r>
              <w:rPr>
                <w:noProof/>
              </w:rPr>
              <w:t>TRL</w:t>
            </w:r>
          </w:p>
        </w:tc>
        <w:tc>
          <w:tcPr>
            <w:tcW w:w="5607" w:type="dxa"/>
            <w:tcMar>
              <w:top w:w="85" w:type="dxa"/>
              <w:left w:w="57" w:type="dxa"/>
              <w:bottom w:w="85" w:type="dxa"/>
              <w:right w:w="57" w:type="dxa"/>
            </w:tcMar>
          </w:tcPr>
          <w:p>
            <w:pPr>
              <w:rPr>
                <w:noProof/>
              </w:rPr>
            </w:pPr>
            <w:r>
              <w:rPr>
                <w:noProof/>
              </w:rPr>
              <w:t>Technology readiness level</w:t>
            </w:r>
          </w:p>
        </w:tc>
      </w:tr>
      <w:tr>
        <w:tc>
          <w:tcPr>
            <w:tcW w:w="3227" w:type="dxa"/>
            <w:tcMar>
              <w:top w:w="85" w:type="dxa"/>
              <w:left w:w="57" w:type="dxa"/>
              <w:bottom w:w="85" w:type="dxa"/>
              <w:right w:w="57" w:type="dxa"/>
            </w:tcMar>
          </w:tcPr>
          <w:p>
            <w:pPr>
              <w:rPr>
                <w:noProof/>
              </w:rPr>
            </w:pPr>
            <w:r>
              <w:rPr>
                <w:noProof/>
              </w:rPr>
              <w:t>Well-to-wake</w:t>
            </w:r>
          </w:p>
        </w:tc>
        <w:tc>
          <w:tcPr>
            <w:tcW w:w="5607" w:type="dxa"/>
            <w:tcMar>
              <w:top w:w="85" w:type="dxa"/>
              <w:left w:w="57" w:type="dxa"/>
              <w:bottom w:w="85" w:type="dxa"/>
              <w:right w:w="57" w:type="dxa"/>
            </w:tcMar>
          </w:tcPr>
          <w:p>
            <w:pPr>
              <w:rPr>
                <w:noProof/>
              </w:rPr>
            </w:pPr>
            <w:r>
              <w:rPr>
                <w:noProof/>
              </w:rPr>
              <w:t>Method for calculating emissions that takes into account the greenhouse gas impact of energy production, transport, distribution (“upstream emissions”) and use on-board, including during combustion</w:t>
            </w:r>
          </w:p>
        </w:tc>
      </w:tr>
    </w:tbl>
    <w:p>
      <w:pPr>
        <w:rPr>
          <w:rFonts w:ascii="Times New Roman" w:hAnsi="Times New Roman" w:cs="Times New Roman"/>
          <w:noProof/>
        </w:rPr>
      </w:pPr>
    </w:p>
    <w:p>
      <w:pPr>
        <w:rPr>
          <w:rFonts w:ascii="Times New Roman" w:hAnsi="Times New Roman" w:cs="Times New Roman"/>
          <w:noProof/>
        </w:rPr>
      </w:pPr>
      <w:r>
        <w:rPr>
          <w:rFonts w:ascii="Times New Roman" w:hAnsi="Times New Roman" w:cs="Times New Roman"/>
          <w:noProof/>
        </w:rPr>
        <w:br w:type="page"/>
      </w:r>
    </w:p>
    <w:p>
      <w:pPr>
        <w:pStyle w:val="Heading1"/>
        <w:rPr>
          <w:noProof/>
        </w:rPr>
      </w:pPr>
      <w:bookmarkStart w:id="2" w:name="_Toc49520276"/>
      <w:bookmarkStart w:id="3" w:name="_Toc57907262"/>
      <w:bookmarkStart w:id="4" w:name="_Toc59152597"/>
      <w:bookmarkStart w:id="5" w:name="_Toc63426105"/>
      <w:bookmarkStart w:id="6" w:name="_Toc63438451"/>
      <w:r>
        <w:rPr>
          <w:noProof/>
        </w:rPr>
        <w:t>Introduction: Political and legal context</w:t>
      </w:r>
      <w:bookmarkEnd w:id="2"/>
      <w:bookmarkEnd w:id="3"/>
      <w:bookmarkEnd w:id="4"/>
      <w:bookmarkEnd w:id="5"/>
      <w:bookmarkEnd w:id="6"/>
    </w:p>
    <w:p>
      <w:pPr>
        <w:pStyle w:val="Heading2"/>
        <w:rPr>
          <w:noProof/>
        </w:rPr>
      </w:pPr>
      <w:bookmarkStart w:id="7" w:name="_Toc49520277"/>
      <w:bookmarkStart w:id="8" w:name="_Toc57907263"/>
      <w:bookmarkStart w:id="9" w:name="_Toc59152598"/>
      <w:bookmarkStart w:id="10" w:name="_Toc63426106"/>
      <w:bookmarkStart w:id="11" w:name="_Toc63438452"/>
      <w:r>
        <w:rPr>
          <w:noProof/>
        </w:rPr>
        <w:t>Overall political context</w:t>
      </w:r>
      <w:bookmarkEnd w:id="7"/>
      <w:bookmarkEnd w:id="8"/>
      <w:bookmarkEnd w:id="9"/>
      <w:bookmarkEnd w:id="10"/>
      <w:bookmarkEnd w:id="11"/>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This Impact Assessment accompanies a legislative proposal – hereby ‘FuelEU Maritime’ – aimed at increasing the demand of renewable and low-carbon fuels (RLF) in the maritime transport sector. These include </w:t>
      </w:r>
      <w:r>
        <w:rPr>
          <w:rFonts w:ascii="Times New Roman" w:hAnsi="Times New Roman" w:cs="Times New Roman"/>
          <w:noProof/>
          <w:sz w:val="24"/>
          <w:szCs w:val="24"/>
          <w:lang w:val="en-IE"/>
        </w:rPr>
        <w:t>liquid biofuels, e-liquids, decarbonised gas (including bio-LNG and e-gas), decarbonised hydrogen, decarbonised hydrogen-derived fuels (including methanol, and ammonia) and electricity</w:t>
      </w:r>
      <w:r>
        <w:rPr>
          <w:rStyle w:val="FootnoteReference"/>
          <w:rFonts w:ascii="Times New Roman" w:hAnsi="Times New Roman" w:cs="Times New Roman"/>
          <w:noProof/>
          <w:sz w:val="24"/>
          <w:szCs w:val="24"/>
          <w:lang w:val="en-IE"/>
        </w:rPr>
        <w:footnoteReference w:id="2"/>
      </w:r>
      <w:r>
        <w:rPr>
          <w:rFonts w:ascii="Times New Roman" w:hAnsi="Times New Roman" w:cs="Times New Roman"/>
          <w:noProof/>
          <w:sz w:val="24"/>
          <w:szCs w:val="24"/>
          <w:lang w:val="en-IE"/>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By contributing to around 75% of EU external trade volumes and 31% of EU internal trade volumes, maritime transport is an essential component of Europe’s transport system and plays a critical role for the European economy. Every year, around 400 million passengers embark or disembark in EU ports, including around 14 million on cruise ships, and fulfil an important role in safeguarding the connectivity of islands and peripheral maritime regions with the rest of the internal market</w:t>
      </w:r>
      <w:r>
        <w:rPr>
          <w:rStyle w:val="FootnoteReference"/>
          <w:rFonts w:ascii="Times New Roman" w:hAnsi="Times New Roman" w:cs="Times New Roman"/>
          <w:noProof/>
          <w:sz w:val="24"/>
          <w:szCs w:val="24"/>
        </w:rPr>
        <w:footnoteReference w:id="3"/>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While maritime transport constitutes arguably the most energy efficient way of moving large quantities of cargo</w:t>
      </w:r>
      <w:r>
        <w:rPr>
          <w:rStyle w:val="FootnoteReference"/>
          <w:rFonts w:ascii="Times New Roman" w:hAnsi="Times New Roman" w:cs="Times New Roman"/>
          <w:noProof/>
          <w:sz w:val="24"/>
          <w:szCs w:val="24"/>
        </w:rPr>
        <w:footnoteReference w:id="4"/>
      </w:r>
      <w:r>
        <w:rPr>
          <w:rFonts w:ascii="Times New Roman" w:hAnsi="Times New Roman" w:cs="Times New Roman"/>
          <w:noProof/>
          <w:sz w:val="24"/>
          <w:szCs w:val="24"/>
        </w:rPr>
        <w:t>, it nevertheless has a noticeable impact on the environment, notably in terms of air pollution</w:t>
      </w:r>
      <w:r>
        <w:rPr>
          <w:rStyle w:val="FootnoteReference"/>
          <w:rFonts w:ascii="Times New Roman" w:hAnsi="Times New Roman" w:cs="Times New Roman"/>
          <w:noProof/>
          <w:sz w:val="24"/>
          <w:szCs w:val="24"/>
        </w:rPr>
        <w:footnoteReference w:id="5"/>
      </w:r>
      <w:r>
        <w:rPr>
          <w:rFonts w:ascii="Times New Roman" w:hAnsi="Times New Roman" w:cs="Times New Roman"/>
          <w:noProof/>
          <w:sz w:val="24"/>
          <w:szCs w:val="24"/>
        </w:rPr>
        <w:t>, emissions of GHG</w:t>
      </w:r>
      <w:r>
        <w:rPr>
          <w:rStyle w:val="FootnoteReference"/>
          <w:rFonts w:ascii="Times New Roman" w:hAnsi="Times New Roman" w:cs="Times New Roman"/>
          <w:noProof/>
          <w:sz w:val="24"/>
          <w:szCs w:val="24"/>
        </w:rPr>
        <w:footnoteReference w:id="6"/>
      </w:r>
      <w:r>
        <w:rPr>
          <w:rFonts w:ascii="Times New Roman" w:hAnsi="Times New Roman" w:cs="Times New Roman"/>
          <w:noProof/>
          <w:sz w:val="24"/>
          <w:szCs w:val="24"/>
        </w:rPr>
        <w:t xml:space="preserve"> and marine pollution. In 2018,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from international shipping in the EU27 were still around 36% above 1990 levels, despite their 18% reduction between 2008 and 2018</w:t>
      </w:r>
      <w:r>
        <w:rPr>
          <w:rStyle w:val="FootnoteReference"/>
          <w:rFonts w:ascii="Times New Roman" w:hAnsi="Times New Roman" w:cs="Times New Roman"/>
          <w:noProof/>
          <w:sz w:val="24"/>
          <w:szCs w:val="24"/>
        </w:rPr>
        <w:footnoteReference w:id="7"/>
      </w:r>
      <w:r>
        <w:rPr>
          <w:rFonts w:ascii="Times New Roman" w:hAnsi="Times New Roman" w:cs="Times New Roman"/>
          <w:noProof/>
          <w:sz w:val="24"/>
          <w:szCs w:val="24"/>
        </w:rPr>
        <w:t xml:space="preserve">. This is driven by the growth in transport activity not sufficiently compensated by corresponding improvements in energy efficiency, and exacerbated by slow implementation of emission reduction measures and heavy reliance on fossil fuels. </w:t>
      </w:r>
    </w:p>
    <w:p>
      <w:pPr>
        <w:jc w:val="both"/>
        <w:rPr>
          <w:rFonts w:ascii="Times New Roman" w:hAnsi="Times New Roman" w:cs="Times New Roman"/>
          <w:noProof/>
          <w:sz w:val="24"/>
          <w:szCs w:val="24"/>
        </w:rPr>
      </w:pPr>
      <w:r>
        <w:rPr>
          <w:rFonts w:ascii="Times New Roman" w:hAnsi="Times New Roman" w:cs="Times New Roman"/>
          <w:noProof/>
          <w:sz w:val="24"/>
          <w:szCs w:val="24"/>
        </w:rPr>
        <w:t>The European Green Deal (EGD) Communication</w:t>
      </w:r>
      <w:r>
        <w:rPr>
          <w:rStyle w:val="FootnoteReference"/>
          <w:rFonts w:ascii="Times New Roman" w:hAnsi="Times New Roman" w:cs="Times New Roman"/>
          <w:noProof/>
          <w:sz w:val="24"/>
          <w:szCs w:val="24"/>
        </w:rPr>
        <w:footnoteReference w:id="8"/>
      </w:r>
      <w:r>
        <w:rPr>
          <w:rFonts w:ascii="Times New Roman" w:hAnsi="Times New Roman" w:cs="Times New Roman"/>
          <w:noProof/>
          <w:sz w:val="24"/>
          <w:szCs w:val="24"/>
        </w:rPr>
        <w:t xml:space="preserve"> of December 2019 emphasised the need to accelerate the transition to a climate-neutral economy and a toxic-free environment, also by shifting to sustainable and smart mobility. The EU is committed to implement the Paris Agreement, which calls for reaching carbon neutrality in the second half of this century, and has adopted a long-term vision to become carbon neutral by 2050. Furthermore, the European Commission has proposed to translate the political commitment into a legal obligation as part of the Climate Law</w:t>
      </w:r>
      <w:r>
        <w:rPr>
          <w:rStyle w:val="FootnoteReference"/>
          <w:rFonts w:ascii="Times New Roman" w:hAnsi="Times New Roman" w:cs="Times New Roman"/>
          <w:noProof/>
          <w:sz w:val="24"/>
          <w:szCs w:val="24"/>
        </w:rPr>
        <w:footnoteReference w:id="9"/>
      </w:r>
      <w:r>
        <w:rPr>
          <w:rFonts w:ascii="Times New Roman" w:hAnsi="Times New Roman" w:cs="Times New Roman"/>
          <w:noProof/>
          <w:sz w:val="24"/>
          <w:szCs w:val="24"/>
        </w:rPr>
        <w:t>, which also integrates the target of reducing GHG emissions by at least 55% below 1990 levels by 2030. On 11 December 2020, the European Council endorsed the binding EU target of a net domestic reduction of at least 55% in GHG emissions by 2030 compared to 1990</w:t>
      </w:r>
      <w:r>
        <w:rPr>
          <w:rStyle w:val="FootnoteReference"/>
          <w:rFonts w:ascii="Times New Roman" w:hAnsi="Times New Roman" w:cs="Times New Roman"/>
          <w:noProof/>
          <w:sz w:val="24"/>
          <w:szCs w:val="24"/>
        </w:rPr>
        <w:footnoteReference w:id="10"/>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2030 Climate Target Plan (CTP)</w:t>
      </w:r>
      <w:r>
        <w:rPr>
          <w:rStyle w:val="FootnoteReference"/>
          <w:rFonts w:ascii="Times New Roman" w:hAnsi="Times New Roman" w:cs="Times New Roman"/>
          <w:noProof/>
          <w:sz w:val="24"/>
          <w:szCs w:val="24"/>
        </w:rPr>
        <w:footnoteReference w:id="11"/>
      </w:r>
      <w:r>
        <w:rPr>
          <w:rFonts w:ascii="Times New Roman" w:hAnsi="Times New Roman" w:cs="Times New Roman"/>
          <w:noProof/>
          <w:sz w:val="24"/>
          <w:szCs w:val="24"/>
        </w:rPr>
        <w:t xml:space="preserve"> adopted in September 2020</w:t>
      </w:r>
      <w:r>
        <w:rPr>
          <w:rStyle w:val="FootnoteReference"/>
          <w:rFonts w:ascii="Times New Roman" w:hAnsi="Times New Roman" w:cs="Times New Roman"/>
          <w:noProof/>
          <w:sz w:val="24"/>
          <w:szCs w:val="24"/>
        </w:rPr>
        <w:t xml:space="preserve"> </w:t>
      </w:r>
      <w:r>
        <w:rPr>
          <w:rFonts w:ascii="Times New Roman" w:hAnsi="Times New Roman" w:cs="Times New Roman"/>
          <w:noProof/>
          <w:sz w:val="24"/>
          <w:szCs w:val="24"/>
        </w:rPr>
        <w:t>sets out in more detail the steps towards climate-neutrality by 2050. The Commission has already indicated in the EGD and 2030 CTP that it will propose to deploy various complementary policy instruments (‘basket of measures’) to ensure that maritime transport fairly contributes to the increased EU climate effort, along with the measures agreed at global level within the International Maritime Organization (IMO). The interaction between these policy instruments in described in details in Section 1.2.</w:t>
      </w:r>
    </w:p>
    <w:p>
      <w:pPr>
        <w:spacing w:after="240"/>
        <w:jc w:val="both"/>
        <w:rPr>
          <w:rFonts w:ascii="Times New Roman" w:hAnsi="Times New Roman" w:cs="Times New Roman"/>
          <w:noProof/>
          <w:sz w:val="24"/>
          <w:szCs w:val="24"/>
        </w:rPr>
      </w:pPr>
      <w:r>
        <w:rPr>
          <w:rFonts w:ascii="Times New Roman" w:hAnsi="Times New Roman" w:cs="Times New Roman"/>
          <w:noProof/>
          <w:sz w:val="24"/>
          <w:szCs w:val="24"/>
        </w:rPr>
        <w:t>The Commission strategy for sustainable and smart mobility</w:t>
      </w:r>
      <w:r>
        <w:rPr>
          <w:rStyle w:val="FootnoteReference"/>
          <w:rFonts w:ascii="Times New Roman" w:hAnsi="Times New Roman" w:cs="Times New Roman"/>
          <w:noProof/>
          <w:sz w:val="24"/>
          <w:szCs w:val="24"/>
        </w:rPr>
        <w:footnoteReference w:id="12"/>
      </w:r>
      <w:r>
        <w:rPr>
          <w:rFonts w:ascii="Times New Roman" w:hAnsi="Times New Roman" w:cs="Times New Roman"/>
          <w:noProof/>
          <w:sz w:val="24"/>
          <w:szCs w:val="24"/>
        </w:rPr>
        <w:t xml:space="preserve"> defines a framework of EU measures for the transport sector in line with the political ambitions of the EGD and of the 2030 CTP, and in synergy with zero pollution efforts</w:t>
      </w:r>
      <w:r>
        <w:rPr>
          <w:rStyle w:val="FootnoteReference"/>
          <w:rFonts w:ascii="Times New Roman" w:hAnsi="Times New Roman" w:cs="Times New Roman"/>
          <w:noProof/>
          <w:sz w:val="24"/>
          <w:szCs w:val="24"/>
        </w:rPr>
        <w:footnoteReference w:id="13"/>
      </w:r>
      <w:r>
        <w:rPr>
          <w:rFonts w:ascii="Times New Roman" w:hAnsi="Times New Roman" w:cs="Times New Roman"/>
          <w:noProof/>
          <w:sz w:val="24"/>
          <w:szCs w:val="24"/>
        </w:rPr>
        <w:t>. This strategy sets the course of action for each mode of transport to decrease its carbon footprint in line with the objective of cutting GHG emissions by at least 55% by 2030 and reaching EU climate neutrality by 2050. It also sets a number of milestones for the transport sector, drawing on the common analytical work underpinning the 2030 Climate Target Plan and the Sustainable and Smart Mobility Strategy, while considering deploying a broad mix of policy instruments, including carbon pricing and a moderate increase in the energy and transport sectoral regulatory policy ambition. Furthermore, the strategy acknowledges the severe effects that the COVID-19 pandemic has had on the entire transport sector including maritime. The public support mobilized to help the economy recover should create a leap forward to a sustainable and smarter future by accelerating the decarbonisation and modernisation of maritime transport, reducing its negative impact on the environment while safeguarding safety and competitiveness.</w:t>
      </w:r>
    </w:p>
    <w:p>
      <w:pPr>
        <w:spacing w:after="240"/>
        <w:jc w:val="both"/>
        <w:rPr>
          <w:rFonts w:ascii="Times New Roman" w:hAnsi="Times New Roman" w:cs="Times New Roman"/>
          <w:noProof/>
          <w:sz w:val="24"/>
          <w:szCs w:val="24"/>
        </w:rPr>
      </w:pPr>
      <w:r>
        <w:rPr>
          <w:rFonts w:ascii="Times New Roman" w:hAnsi="Times New Roman" w:cs="Times New Roman"/>
          <w:noProof/>
          <w:sz w:val="24"/>
          <w:szCs w:val="24"/>
        </w:rPr>
        <w:t>As part of the ‘Fit for 55 package’, the Commission aims at proposing a package of initiatives (e.g. the revision of the EU Emissions Trading System, an amendment to the Renewable Energy Directive, the revision of the Energy Tax Directive, the revision of the Directive on deployment of alternative fuels infrastructure, etc.) that together with the ‘ReFuelEU Aviation’ and ‘FuelEU Maritime’ initiatives, will deliver on the increased ambition to cut economy-wide GHG emissions by at least 55% by 2030.</w:t>
      </w:r>
    </w:p>
    <w:p>
      <w:pPr>
        <w:pStyle w:val="Heading2"/>
        <w:rPr>
          <w:noProof/>
        </w:rPr>
      </w:pPr>
      <w:bookmarkStart w:id="12" w:name="_Toc49520279"/>
      <w:bookmarkStart w:id="13" w:name="_Toc57907265"/>
      <w:bookmarkStart w:id="14" w:name="_Toc59152601"/>
      <w:bookmarkStart w:id="15" w:name="_Toc63426107"/>
      <w:bookmarkStart w:id="16" w:name="_Ref63435250"/>
      <w:bookmarkStart w:id="17" w:name="_Ref63435265"/>
      <w:bookmarkStart w:id="18" w:name="_Ref63435272"/>
      <w:bookmarkStart w:id="19" w:name="_Ref63435285"/>
      <w:bookmarkStart w:id="20" w:name="_Ref63436061"/>
      <w:bookmarkStart w:id="21" w:name="_Ref63436067"/>
      <w:bookmarkStart w:id="22" w:name="_Ref63437005"/>
      <w:bookmarkStart w:id="23" w:name="_Ref63437118"/>
      <w:bookmarkStart w:id="24" w:name="_Ref63437178"/>
      <w:bookmarkStart w:id="25" w:name="_Ref63437489"/>
      <w:bookmarkStart w:id="26" w:name="_Ref63437600"/>
      <w:bookmarkStart w:id="27" w:name="_Ref63437710"/>
      <w:bookmarkStart w:id="28" w:name="_Toc63438453"/>
      <w:r>
        <w:rPr>
          <w:noProof/>
        </w:rPr>
        <w:t>Interaction between policy tools to address maritime CO</w:t>
      </w:r>
      <w:r>
        <w:rPr>
          <w:noProof/>
          <w:vertAlign w:val="subscript"/>
        </w:rPr>
        <w:t>2</w:t>
      </w:r>
      <w:r>
        <w:rPr>
          <w:noProof/>
        </w:rPr>
        <w:t xml:space="preserve"> emissions: the ‘basket of measures’</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interaction and expected contribution of the basket of measures to the overall carbon neutrality objective has been assessed in details as part of the CTP impact assessment, which involved contributions from all relevant initiatives to reach the 55% increased ambition and, ultimately, the carbon neutrality target by 2050. All the policy scenarios of the Climate Target Plan impact assessment include a combination of a pricing mechanism in maritime as well as a fuel-specific measures to ensure minimum uptake and deployment of renewable and low carbon fuels.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unsatisfactory progress in the reduction of emissions from shipping can be explained by insufficient incentives for operators to cut emissions and by the lack of mature, affordable, and globally utilisable technological alternatives to fossil fuels in the sector. A number of market failures – including negative externalities; interdependencies between supply, distribution and demand of fuels; split incentives; lack of information on future regulatory requirements; long life span of assets (vessels and bunkering infrastructure); and insufficient access to finance – partly cause and reinforce these problems. </w:t>
      </w:r>
    </w:p>
    <w:p>
      <w:pPr>
        <w:jc w:val="both"/>
        <w:rPr>
          <w:rFonts w:ascii="Times New Roman" w:hAnsi="Times New Roman" w:cs="Times New Roman"/>
          <w:noProof/>
          <w:sz w:val="24"/>
          <w:szCs w:val="24"/>
        </w:rPr>
      </w:pPr>
      <w:r>
        <w:rPr>
          <w:rFonts w:ascii="Times New Roman" w:hAnsi="Times New Roman" w:cs="Times New Roman"/>
          <w:noProof/>
          <w:sz w:val="24"/>
          <w:szCs w:val="24"/>
        </w:rPr>
        <w:t>A basket of measures is considered necessary to address these various and distinct market failures hindering the deployment of mitigation actions in the sector. Beside the FuelEU Maritime initiative that aims at increasing the demand of RLF a proposal to extend the European emissions trading system (ETS)</w:t>
      </w:r>
      <w:r>
        <w:rPr>
          <w:rStyle w:val="FootnoteReference"/>
          <w:rFonts w:ascii="Times New Roman" w:hAnsi="Times New Roman" w:cs="Times New Roman"/>
          <w:noProof/>
          <w:sz w:val="24"/>
          <w:szCs w:val="24"/>
        </w:rPr>
        <w:footnoteReference w:id="14"/>
      </w:r>
      <w:r>
        <w:rPr>
          <w:rFonts w:ascii="Times New Roman" w:hAnsi="Times New Roman" w:cs="Times New Roman"/>
          <w:noProof/>
          <w:sz w:val="24"/>
          <w:szCs w:val="24"/>
        </w:rPr>
        <w:t xml:space="preserve"> to maritime and a proposal to review the Energy Taxation Directive (ETD)</w:t>
      </w:r>
      <w:r>
        <w:rPr>
          <w:rStyle w:val="FootnoteReference"/>
          <w:rFonts w:ascii="Times New Roman" w:hAnsi="Times New Roman" w:cs="Times New Roman"/>
          <w:noProof/>
          <w:sz w:val="24"/>
          <w:szCs w:val="24"/>
        </w:rPr>
        <w:footnoteReference w:id="15"/>
      </w:r>
      <w:r>
        <w:rPr>
          <w:rFonts w:ascii="Times New Roman" w:hAnsi="Times New Roman" w:cs="Times New Roman"/>
          <w:noProof/>
          <w:sz w:val="24"/>
          <w:szCs w:val="24"/>
        </w:rPr>
        <w:t xml:space="preserve"> are part of the ‘Fit for 55’ package. These two initiatives should ensure that the price of transport reflects the impact it has on the environment, health and energy security. </w:t>
      </w:r>
    </w:p>
    <w:p>
      <w:pPr>
        <w:jc w:val="both"/>
        <w:rPr>
          <w:rFonts w:ascii="Times New Roman" w:hAnsi="Times New Roman" w:cs="Times New Roman"/>
          <w:noProof/>
          <w:sz w:val="24"/>
          <w:szCs w:val="24"/>
        </w:rPr>
      </w:pPr>
      <w:r>
        <w:rPr>
          <w:rFonts w:ascii="Times New Roman" w:hAnsi="Times New Roman" w:cs="Times New Roman"/>
          <w:noProof/>
          <w:sz w:val="24"/>
          <w:szCs w:val="24"/>
        </w:rPr>
        <w:t>In addition, the basket of measures includes the review of several other directives, including the Alternative Fuels Infrastructure Directive (AFID)</w:t>
      </w:r>
      <w:r>
        <w:rPr>
          <w:rStyle w:val="FootnoteReference"/>
          <w:rFonts w:ascii="Times New Roman" w:hAnsi="Times New Roman" w:cs="Times New Roman"/>
          <w:noProof/>
          <w:sz w:val="24"/>
          <w:szCs w:val="24"/>
        </w:rPr>
        <w:footnoteReference w:id="16"/>
      </w:r>
      <w:r>
        <w:rPr>
          <w:rFonts w:ascii="Times New Roman" w:hAnsi="Times New Roman" w:cs="Times New Roman"/>
          <w:noProof/>
          <w:sz w:val="24"/>
          <w:szCs w:val="24"/>
        </w:rPr>
        <w:t xml:space="preserve"> and the Renewable Energy Directive (RED II)</w:t>
      </w:r>
      <w:r>
        <w:rPr>
          <w:rStyle w:val="FootnoteReference"/>
          <w:rFonts w:ascii="Times New Roman" w:hAnsi="Times New Roman" w:cs="Times New Roman"/>
          <w:noProof/>
          <w:sz w:val="24"/>
          <w:szCs w:val="24"/>
        </w:rPr>
        <w:footnoteReference w:id="17"/>
      </w:r>
      <w:r>
        <w:rPr>
          <w:rFonts w:ascii="Times New Roman" w:hAnsi="Times New Roman" w:cs="Times New Roman"/>
          <w:noProof/>
          <w:sz w:val="24"/>
          <w:szCs w:val="24"/>
        </w:rPr>
        <w:t>, part of the ‘Fit for 55’ package. Next to these revised legislations, the Commission will address the need for additional research and innovation (R&amp;I) activities, in particular through the co-programmed Zero Emissions Waterborne Transport partnership proposed by the Waterborne Technology Platform under Horizon Europe</w:t>
      </w:r>
      <w:r>
        <w:rPr>
          <w:rStyle w:val="FootnoteReference"/>
          <w:rFonts w:ascii="Times New Roman" w:hAnsi="Times New Roman" w:cs="Times New Roman"/>
          <w:noProof/>
          <w:sz w:val="24"/>
          <w:szCs w:val="24"/>
        </w:rPr>
        <w:footnoteReference w:id="18"/>
      </w:r>
      <w:r>
        <w:rPr>
          <w:rFonts w:ascii="Times New Roman" w:hAnsi="Times New Roman" w:cs="Times New Roman"/>
          <w:noProof/>
          <w:sz w:val="24"/>
          <w:szCs w:val="24"/>
        </w:rPr>
        <w:t>. It will also revise the Guidelines on State aid for environmental protection and energy</w:t>
      </w:r>
      <w:r>
        <w:rPr>
          <w:rStyle w:val="FootnoteReference"/>
          <w:rFonts w:ascii="Times New Roman" w:hAnsi="Times New Roman" w:cs="Times New Roman"/>
          <w:noProof/>
          <w:sz w:val="24"/>
          <w:szCs w:val="24"/>
        </w:rPr>
        <w:footnoteReference w:id="19"/>
      </w:r>
      <w:r>
        <w:rPr>
          <w:rFonts w:ascii="Times New Roman" w:hAnsi="Times New Roman" w:cs="Times New Roman"/>
          <w:noProof/>
          <w:sz w:val="24"/>
          <w:szCs w:val="24"/>
        </w:rPr>
        <w:t xml:space="preserve"> in line with the policy objectives of the EGD, which should allow adequate funding of the sector’s green transformation (including for deployment of on-shore charging infrastructures), while avoiding any distortion of competition.</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Looking more specifically at proposed actions, there is currently no mechanism, neither at the IMO level nor in the EU, to correct for the presence of negative externalities in the sector. This prevents operators from taking into account, in their operational and investment choices, the social cost of their activity in terms of climate change and air pollution. The economic literature indicates pricing mechanisms as the instruments of choice to ‘internalise’ external costs. The main examples would be a tax fixed at the level of the external cost, or a ‘cap and trade’ instrument, such as the EU emission trading system (ETS), that sets a limit to the overall emissions and lets the market determine their appropriate price. Both are described as ‘market-based measures’ (MBMs). </w:t>
      </w:r>
    </w:p>
    <w:p>
      <w:pPr>
        <w:jc w:val="both"/>
        <w:rPr>
          <w:rFonts w:ascii="Times New Roman" w:hAnsi="Times New Roman" w:cs="Times New Roman"/>
          <w:noProof/>
          <w:sz w:val="24"/>
          <w:szCs w:val="24"/>
        </w:rPr>
      </w:pPr>
      <w:r>
        <w:rPr>
          <w:rFonts w:ascii="Times New Roman" w:hAnsi="Times New Roman" w:cs="Times New Roman"/>
          <w:noProof/>
          <w:sz w:val="24"/>
          <w:szCs w:val="24"/>
        </w:rPr>
        <w:t>The Commission proposes to give an increasing role to ETS because it has proven to be an effective tool in reducing GHG emissions. The  implementation of carbon pricing policies in the maritime transport sector is subject to another comprehensive impact assessment presented in the framework of the ‘Fit for 55’ package. In general, emissions trading can achieve GHG emissions reductions cost‑effectively and provides a correct price signal that influences decisions of operators, investors and consumers.</w:t>
      </w:r>
    </w:p>
    <w:p>
      <w:pPr>
        <w:jc w:val="both"/>
        <w:rPr>
          <w:rFonts w:ascii="Times New Roman" w:hAnsi="Times New Roman" w:cs="Times New Roman"/>
          <w:noProof/>
          <w:sz w:val="24"/>
          <w:szCs w:val="24"/>
        </w:rPr>
      </w:pPr>
      <w:r>
        <w:rPr>
          <w:rFonts w:ascii="Times New Roman" w:hAnsi="Times New Roman" w:cs="Times New Roman"/>
          <w:noProof/>
          <w:sz w:val="24"/>
          <w:szCs w:val="24"/>
        </w:rPr>
        <w:t>However, carbon pricing does not address all barriers to the deployment of low and zero emissions solutions. Additional policy actions are necessary to ensure that other obstacles to investments in clean energy technologies and infrastructure are removed, thereby reducing abatement costs and complementing the action of the ETS. This is particularly relevant to support mitigation measures – such as the use of RLF in the maritime transport sector – that have a high potential to reduce emissions in the future but which, presently, face high abatement costs as well as specific market barriers.</w:t>
      </w:r>
    </w:p>
    <w:p>
      <w:pPr>
        <w:jc w:val="both"/>
        <w:rPr>
          <w:rFonts w:ascii="Times New Roman" w:hAnsi="Times New Roman" w:cs="Times New Roman"/>
          <w:noProof/>
          <w:sz w:val="24"/>
          <w:szCs w:val="24"/>
        </w:rPr>
      </w:pPr>
      <w:r>
        <w:rPr>
          <w:rFonts w:ascii="Times New Roman" w:hAnsi="Times New Roman" w:cs="Times New Roman"/>
          <w:noProof/>
          <w:sz w:val="24"/>
          <w:szCs w:val="24"/>
        </w:rPr>
        <w:t>Achieving significant reductions in CO</w:t>
      </w:r>
      <w:r>
        <w:rPr>
          <w:rFonts w:ascii="Times New Roman" w:hAnsi="Times New Roman" w:cs="Times New Roman"/>
          <w:noProof/>
          <w:sz w:val="24"/>
          <w:szCs w:val="24"/>
          <w:vertAlign w:val="subscript"/>
        </w:rPr>
        <w:t xml:space="preserve">2 </w:t>
      </w:r>
      <w:r>
        <w:rPr>
          <w:rFonts w:ascii="Times New Roman" w:hAnsi="Times New Roman" w:cs="Times New Roman"/>
          <w:noProof/>
          <w:sz w:val="24"/>
          <w:szCs w:val="24"/>
        </w:rPr>
        <w:t xml:space="preserve">emissions of international maritime transport by 2050, would require using both less energy (increasing energy efficiency) and a cleaner type of energy (using RLF). While a carbon price is likely to further drive energy efficiency improvements and narrow the price gap between conventional and low-emission technologies, its ability to support the deployment of RLF technologies in the maritime sector would strongly depend on its actual price level, which is unlikely to reach sufficient levels for this purpose in the short to medium term. These aspects are further examined and presented in greater detail in Section 5.3.1.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Similarly, legislation dealing with fuel </w:t>
      </w:r>
      <w:r>
        <w:rPr>
          <w:rFonts w:ascii="Times New Roman" w:hAnsi="Times New Roman" w:cs="Times New Roman"/>
          <w:i/>
          <w:noProof/>
          <w:sz w:val="24"/>
          <w:szCs w:val="24"/>
        </w:rPr>
        <w:t>supply</w:t>
      </w:r>
      <w:r>
        <w:rPr>
          <w:rFonts w:ascii="Times New Roman" w:hAnsi="Times New Roman" w:cs="Times New Roman"/>
          <w:noProof/>
          <w:sz w:val="24"/>
          <w:szCs w:val="24"/>
        </w:rPr>
        <w:t xml:space="preserve"> (RED II) and </w:t>
      </w:r>
      <w:r>
        <w:rPr>
          <w:rFonts w:ascii="Times New Roman" w:hAnsi="Times New Roman" w:cs="Times New Roman"/>
          <w:i/>
          <w:noProof/>
          <w:sz w:val="24"/>
          <w:szCs w:val="24"/>
        </w:rPr>
        <w:t>infrastructure</w:t>
      </w:r>
      <w:r>
        <w:rPr>
          <w:rFonts w:ascii="Times New Roman" w:hAnsi="Times New Roman" w:cs="Times New Roman"/>
          <w:noProof/>
          <w:sz w:val="24"/>
          <w:szCs w:val="24"/>
        </w:rPr>
        <w:t xml:space="preserve"> (AFID) has not had a significant impact on the uptake of RLF in the maritime sector and needs to be complemented by measures that are capable of creating a </w:t>
      </w:r>
      <w:r>
        <w:rPr>
          <w:rFonts w:ascii="Times New Roman" w:hAnsi="Times New Roman" w:cs="Times New Roman"/>
          <w:i/>
          <w:noProof/>
          <w:sz w:val="24"/>
          <w:szCs w:val="24"/>
        </w:rPr>
        <w:t>demand</w:t>
      </w:r>
      <w:r>
        <w:rPr>
          <w:rFonts w:ascii="Times New Roman" w:hAnsi="Times New Roman" w:cs="Times New Roman"/>
          <w:noProof/>
          <w:sz w:val="24"/>
          <w:szCs w:val="24"/>
        </w:rPr>
        <w:t xml:space="preserve"> for RLF. In addition, the review of the RED II is not be able to address the high risk of fuel bunkering outside the EU for the shipping sector. Further considerations on this issue are presented in Section 5.3.3. </w:t>
      </w:r>
    </w:p>
    <w:p>
      <w:pPr>
        <w:jc w:val="both"/>
        <w:rPr>
          <w:rFonts w:ascii="Times New Roman" w:hAnsi="Times New Roman" w:cs="Times New Roman"/>
          <w:noProof/>
          <w:sz w:val="24"/>
          <w:szCs w:val="24"/>
        </w:rPr>
      </w:pPr>
      <w:r>
        <w:rPr>
          <w:rFonts w:ascii="Times New Roman" w:hAnsi="Times New Roman" w:cs="Times New Roman"/>
          <w:noProof/>
          <w:sz w:val="24"/>
          <w:szCs w:val="24"/>
        </w:rPr>
        <w:t>This impact assessment report looks specifically at how to address the specific market barriers preventing the deployment of RLF in the maritime transport sector, in the context of the overall approach to maritime transport sustainability.</w:t>
      </w:r>
    </w:p>
    <w:p>
      <w:pPr>
        <w:jc w:val="both"/>
        <w:rPr>
          <w:rFonts w:ascii="Times New Roman" w:hAnsi="Times New Roman" w:cs="Times New Roman"/>
          <w:noProof/>
          <w:sz w:val="24"/>
          <w:szCs w:val="24"/>
        </w:rPr>
      </w:pPr>
      <w:r>
        <w:rPr>
          <w:rFonts w:ascii="Times New Roman" w:hAnsi="Times New Roman" w:cs="Times New Roman"/>
          <w:noProof/>
          <w:sz w:val="24"/>
          <w:szCs w:val="24"/>
        </w:rPr>
        <w:t>Summing up, the proposed approach is to deploy various complementary policy instruments (‘basket of measures’) to address various and distinct market failures. In this context, the impact assessment accompanying the EU’s 2030 CTP has looked at the interaction between measures focusing on fuels obligations and carbon pricing</w:t>
      </w:r>
      <w:r>
        <w:rPr>
          <w:rStyle w:val="FootnoteReference"/>
          <w:rFonts w:ascii="Times New Roman" w:hAnsi="Times New Roman" w:cs="Times New Roman"/>
          <w:noProof/>
          <w:sz w:val="24"/>
          <w:szCs w:val="24"/>
        </w:rPr>
        <w:footnoteReference w:id="20"/>
      </w:r>
      <w:r>
        <w:rPr>
          <w:rFonts w:ascii="Times New Roman" w:hAnsi="Times New Roman" w:cs="Times New Roman"/>
          <w:noProof/>
          <w:sz w:val="24"/>
          <w:szCs w:val="24"/>
        </w:rPr>
        <w:t>.</w:t>
      </w:r>
    </w:p>
    <w:p>
      <w:pPr>
        <w:pStyle w:val="Heading2"/>
        <w:rPr>
          <w:noProof/>
        </w:rPr>
      </w:pPr>
      <w:bookmarkStart w:id="29" w:name="_Toc49520278"/>
      <w:bookmarkStart w:id="30" w:name="_Toc57907264"/>
      <w:bookmarkStart w:id="31" w:name="_Toc59152600"/>
      <w:bookmarkStart w:id="32" w:name="_Toc63426108"/>
      <w:bookmarkStart w:id="33" w:name="_Toc63438454"/>
      <w:r>
        <w:rPr>
          <w:noProof/>
        </w:rPr>
        <w:t>EU approach to alternative fuels in maritime transport</w:t>
      </w:r>
      <w:bookmarkEnd w:id="29"/>
      <w:bookmarkEnd w:id="30"/>
      <w:bookmarkEnd w:id="31"/>
      <w:bookmarkEnd w:id="32"/>
      <w:bookmarkEnd w:id="33"/>
    </w:p>
    <w:p>
      <w:pPr>
        <w:jc w:val="both"/>
        <w:rPr>
          <w:rFonts w:ascii="Times New Roman" w:hAnsi="Times New Roman" w:cs="Times New Roman"/>
          <w:noProof/>
          <w:sz w:val="24"/>
          <w:szCs w:val="24"/>
        </w:rPr>
      </w:pPr>
      <w:r>
        <w:rPr>
          <w:rFonts w:ascii="Times New Roman" w:hAnsi="Times New Roman" w:cs="Times New Roman"/>
          <w:noProof/>
          <w:sz w:val="24"/>
          <w:szCs w:val="24"/>
        </w:rPr>
        <w:t>The importance of developing and introducing alternative and cleaner fuels in maritime transport is present in several policy documents adopted by the Commission in recent years, such as the European Strategy for Low-Emission Mobility of 2016</w:t>
      </w:r>
      <w:r>
        <w:rPr>
          <w:rStyle w:val="FootnoteReference"/>
          <w:rFonts w:ascii="Times New Roman" w:hAnsi="Times New Roman" w:cs="Times New Roman"/>
          <w:noProof/>
          <w:sz w:val="24"/>
          <w:szCs w:val="24"/>
        </w:rPr>
        <w:footnoteReference w:id="21"/>
      </w:r>
      <w:r>
        <w:rPr>
          <w:rFonts w:ascii="Times New Roman" w:hAnsi="Times New Roman" w:cs="Times New Roman"/>
          <w:noProof/>
          <w:sz w:val="24"/>
          <w:szCs w:val="24"/>
        </w:rPr>
        <w:t>; the Commission Communication of 2013 on integrating maritime transport emissions in EU’s GHG reduction policies</w:t>
      </w:r>
      <w:r>
        <w:rPr>
          <w:rStyle w:val="FootnoteReference"/>
          <w:rFonts w:ascii="Times New Roman" w:hAnsi="Times New Roman" w:cs="Times New Roman"/>
          <w:noProof/>
          <w:sz w:val="24"/>
          <w:szCs w:val="24"/>
        </w:rPr>
        <w:footnoteReference w:id="22"/>
      </w:r>
      <w:r>
        <w:rPr>
          <w:rFonts w:ascii="Times New Roman" w:hAnsi="Times New Roman" w:cs="Times New Roman"/>
          <w:noProof/>
          <w:sz w:val="24"/>
          <w:szCs w:val="24"/>
        </w:rPr>
        <w:t>; and the 2016 Implementation report of the EU Maritime Transport Strategy</w:t>
      </w:r>
      <w:r>
        <w:rPr>
          <w:rStyle w:val="FootnoteReference"/>
          <w:rFonts w:ascii="Times New Roman" w:hAnsi="Times New Roman" w:cs="Times New Roman"/>
          <w:noProof/>
          <w:sz w:val="24"/>
          <w:szCs w:val="24"/>
        </w:rPr>
        <w:footnoteReference w:id="23"/>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June 2020 Council Conclusions on </w:t>
      </w:r>
      <w:r>
        <w:rPr>
          <w:rFonts w:ascii="Times New Roman" w:hAnsi="Times New Roman" w:cs="Times New Roman"/>
          <w:i/>
          <w:iCs/>
          <w:noProof/>
          <w:sz w:val="24"/>
          <w:szCs w:val="24"/>
        </w:rPr>
        <w:t>“EU Waterborne Transport Sector – Future outlook: Towards a carbon-neutral, zero accidents, automated and competitive EU Waterborne Transport Sector”</w:t>
      </w:r>
      <w:r>
        <w:rPr>
          <w:rStyle w:val="FootnoteReference"/>
          <w:rFonts w:ascii="Times New Roman" w:hAnsi="Times New Roman" w:cs="Times New Roman"/>
          <w:noProof/>
          <w:sz w:val="24"/>
          <w:szCs w:val="24"/>
        </w:rPr>
        <w:footnoteReference w:id="24"/>
      </w:r>
      <w:r>
        <w:rPr>
          <w:rFonts w:ascii="Times New Roman" w:hAnsi="Times New Roman" w:cs="Times New Roman"/>
          <w:noProof/>
          <w:sz w:val="24"/>
          <w:szCs w:val="24"/>
        </w:rPr>
        <w:t xml:space="preserve"> also stress the need to support the development of alternative fuels for use in all segments of waterborne transport. The document presents a vision for green and carbon-neutral ports and coastal areas that includes the use of liquefied natural gas (LNG) as a transitional fuel and the provision of onshore power supply and alternative fuels. The Council Conclusions also emphasize the need to ensure sufficient financial support through Horizon Europe.</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There is currently no regulatory framework in the EU specifically addressing the use of RLF in maritime transport. However, the EU acquis already contains a number of legal requirements related to this initiative, notably: </w:t>
      </w:r>
    </w:p>
    <w:p>
      <w:pPr>
        <w:pStyle w:val="ListParagraph"/>
        <w:numPr>
          <w:ilvl w:val="0"/>
          <w:numId w:val="6"/>
        </w:numPr>
        <w:jc w:val="both"/>
        <w:rPr>
          <w:rFonts w:ascii="Times New Roman" w:hAnsi="Times New Roman" w:cs="Times New Roman"/>
          <w:noProof/>
          <w:sz w:val="24"/>
          <w:szCs w:val="24"/>
        </w:rPr>
      </w:pPr>
      <w:r>
        <w:rPr>
          <w:rFonts w:ascii="Times New Roman" w:hAnsi="Times New Roman" w:cs="Times New Roman"/>
          <w:noProof/>
          <w:sz w:val="24"/>
          <w:szCs w:val="24"/>
        </w:rPr>
        <w:t xml:space="preserve">The AFID establishes requirements for the deployment of an appropriate number of LNG bunkering points in the ports of the TEN-T Core Network by 31 December 2025 and those of the TEN-T Comprehensive Network by 31 December 2030. The Directive provides also for the installation of shore-side electricity supply as a priority in ports of the TEN-T Core Network, and in other ports, by 31 December 2025, unless there is no demand and the costs are disproportionate to the benefits, including environmental benefits. </w:t>
      </w:r>
    </w:p>
    <w:p>
      <w:pPr>
        <w:pStyle w:val="ListParagraph"/>
        <w:numPr>
          <w:ilvl w:val="0"/>
          <w:numId w:val="6"/>
        </w:numPr>
        <w:jc w:val="both"/>
        <w:rPr>
          <w:rFonts w:ascii="Times New Roman" w:hAnsi="Times New Roman" w:cs="Times New Roman"/>
          <w:noProof/>
          <w:sz w:val="24"/>
          <w:szCs w:val="24"/>
        </w:rPr>
      </w:pPr>
      <w:r>
        <w:rPr>
          <w:rFonts w:ascii="Times New Roman" w:hAnsi="Times New Roman" w:cs="Times New Roman"/>
          <w:noProof/>
          <w:sz w:val="24"/>
          <w:szCs w:val="24"/>
        </w:rPr>
        <w:t xml:space="preserve">The RED II establishes an obligation on fuel suppliers to ensure a minimum mandatory share of 14% of renewable energy within the final consumption of energy in the transport sector by 2030. Although this provision targets mainly the fuels used in road and rail transport, the renewable fuels supplied to the maritime sector (except those produced from food and feed crops) may also be considered for compliance, and would count 1.2 times their energy content. </w:t>
      </w:r>
    </w:p>
    <w:p>
      <w:pPr>
        <w:pStyle w:val="ListParagraph"/>
        <w:numPr>
          <w:ilvl w:val="0"/>
          <w:numId w:val="6"/>
        </w:numPr>
        <w:jc w:val="both"/>
        <w:rPr>
          <w:rFonts w:ascii="Times New Roman" w:hAnsi="Times New Roman" w:cs="Times New Roman"/>
          <w:noProof/>
          <w:sz w:val="24"/>
          <w:szCs w:val="24"/>
        </w:rPr>
      </w:pPr>
      <w:r>
        <w:rPr>
          <w:rFonts w:ascii="Times New Roman" w:hAnsi="Times New Roman" w:cs="Times New Roman"/>
          <w:noProof/>
          <w:sz w:val="24"/>
          <w:szCs w:val="24"/>
        </w:rPr>
        <w:t>The Monitoring, Reporting and Verification Regulation (MRV)</w:t>
      </w:r>
      <w:r>
        <w:rPr>
          <w:rStyle w:val="FootnoteReference"/>
          <w:rFonts w:ascii="Times New Roman" w:hAnsi="Times New Roman" w:cs="Times New Roman"/>
          <w:noProof/>
          <w:sz w:val="24"/>
          <w:szCs w:val="24"/>
        </w:rPr>
        <w:footnoteReference w:id="25"/>
      </w:r>
      <w:r>
        <w:rPr>
          <w:rFonts w:ascii="Times New Roman" w:hAnsi="Times New Roman" w:cs="Times New Roman"/>
          <w:noProof/>
          <w:sz w:val="24"/>
          <w:szCs w:val="24"/>
        </w:rPr>
        <w:t xml:space="preserve"> establishes the system to monitor and report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from ships above 5000 gross tonnes sailing to or from ports of the EEA. It contains methods for calculating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which rely on applying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 factors to data on fuel consumption</w:t>
      </w:r>
      <w:r>
        <w:rPr>
          <w:rStyle w:val="FootnoteReference"/>
          <w:rFonts w:ascii="Times New Roman" w:hAnsi="Times New Roman" w:cs="Times New Roman"/>
          <w:noProof/>
          <w:sz w:val="24"/>
          <w:szCs w:val="24"/>
        </w:rPr>
        <w:footnoteReference w:id="26"/>
      </w:r>
      <w:r>
        <w:rPr>
          <w:rFonts w:ascii="Times New Roman" w:hAnsi="Times New Roman" w:cs="Times New Roman"/>
          <w:noProof/>
          <w:sz w:val="24"/>
          <w:szCs w:val="24"/>
        </w:rPr>
        <w:t>. The MRV already contains default values for emission factors of fuels other than the traditional liquid marine fuels</w:t>
      </w:r>
      <w:r>
        <w:rPr>
          <w:rStyle w:val="FootnoteReference"/>
          <w:rFonts w:ascii="Times New Roman" w:hAnsi="Times New Roman" w:cs="Times New Roman"/>
          <w:noProof/>
          <w:sz w:val="24"/>
          <w:szCs w:val="24"/>
        </w:rPr>
        <w:footnoteReference w:id="27"/>
      </w:r>
      <w:r>
        <w:rPr>
          <w:rFonts w:ascii="Times New Roman" w:hAnsi="Times New Roman" w:cs="Times New Roman"/>
          <w:noProof/>
          <w:sz w:val="24"/>
          <w:szCs w:val="24"/>
        </w:rPr>
        <w:t xml:space="preserve"> (such as Liquefied Petroleum Gas, LNG, methanol and ethanol) and it provides that </w:t>
      </w:r>
      <w:r>
        <w:rPr>
          <w:rFonts w:ascii="Times New Roman" w:hAnsi="Times New Roman" w:cs="Times New Roman"/>
          <w:i/>
          <w:iCs/>
          <w:noProof/>
          <w:sz w:val="24"/>
          <w:szCs w:val="24"/>
        </w:rPr>
        <w:t>“appropriate emission factors shall be applied for biofuels, alternative non-fossil fuels and other fuels for which no default values are specified”</w:t>
      </w:r>
      <w:r>
        <w:rPr>
          <w:rFonts w:ascii="Times New Roman" w:hAnsi="Times New Roman" w:cs="Times New Roman"/>
          <w:noProof/>
          <w:sz w:val="24"/>
          <w:szCs w:val="24"/>
        </w:rPr>
        <w:t xml:space="preserve">. </w:t>
      </w:r>
    </w:p>
    <w:p>
      <w:pPr>
        <w:pStyle w:val="ListParagraph"/>
        <w:numPr>
          <w:ilvl w:val="0"/>
          <w:numId w:val="6"/>
        </w:numPr>
        <w:jc w:val="both"/>
        <w:rPr>
          <w:rFonts w:ascii="Times New Roman" w:hAnsi="Times New Roman" w:cs="Times New Roman"/>
          <w:noProof/>
          <w:sz w:val="24"/>
          <w:szCs w:val="24"/>
        </w:rPr>
      </w:pPr>
      <w:r>
        <w:rPr>
          <w:rFonts w:ascii="Times New Roman" w:hAnsi="Times New Roman" w:cs="Times New Roman"/>
          <w:noProof/>
          <w:sz w:val="24"/>
          <w:szCs w:val="24"/>
        </w:rPr>
        <w:t>The Sulphur Directive</w:t>
      </w:r>
      <w:r>
        <w:rPr>
          <w:rStyle w:val="FootnoteReference"/>
          <w:rFonts w:ascii="Times New Roman" w:hAnsi="Times New Roman" w:cs="Times New Roman"/>
          <w:noProof/>
          <w:sz w:val="24"/>
          <w:szCs w:val="24"/>
        </w:rPr>
        <w:footnoteReference w:id="28"/>
      </w:r>
      <w:r>
        <w:rPr>
          <w:rFonts w:ascii="Times New Roman" w:hAnsi="Times New Roman" w:cs="Times New Roman"/>
          <w:noProof/>
          <w:sz w:val="24"/>
          <w:szCs w:val="24"/>
        </w:rPr>
        <w:t xml:space="preserve"> sets the maximum sulphur content for the fuels used by ships in Europe to protect the health of coastal citizens and their environment from the impacts of SOx emissions. It also encourages compliance beyond EU legislation through the use of alternative fuels and on-shore power supply (OPS) for ships at berth as alternative emission abatement methods. Furthermore, it allows the use of mixtures of heavy fuel oil (HFO) and boil-off liquefied natural gas to comply with the stricter sulphur requirement at berth or in SOx-Emission Control Area (SECA) or the use of biofuels and their mixture with HFO. </w:t>
      </w:r>
    </w:p>
    <w:p>
      <w:pPr>
        <w:jc w:val="both"/>
        <w:rPr>
          <w:rFonts w:ascii="Times New Roman" w:hAnsi="Times New Roman" w:cs="Times New Roman"/>
          <w:noProof/>
          <w:sz w:val="24"/>
          <w:szCs w:val="24"/>
        </w:rPr>
      </w:pPr>
      <w:r>
        <w:rPr>
          <w:rFonts w:ascii="Times New Roman" w:hAnsi="Times New Roman" w:cs="Times New Roman"/>
          <w:noProof/>
          <w:sz w:val="24"/>
          <w:szCs w:val="24"/>
        </w:rPr>
        <w:t>On 8 July 2020, the Commission also adopted a new dedicated Strategy on hydrogen in Europe</w:t>
      </w:r>
      <w:r>
        <w:rPr>
          <w:rStyle w:val="FootnoteReference"/>
          <w:rFonts w:ascii="Times New Roman" w:hAnsi="Times New Roman" w:cs="Times New Roman"/>
          <w:noProof/>
          <w:sz w:val="24"/>
          <w:szCs w:val="24"/>
        </w:rPr>
        <w:footnoteReference w:id="29"/>
      </w:r>
      <w:r>
        <w:rPr>
          <w:rFonts w:ascii="Times New Roman" w:hAnsi="Times New Roman" w:cs="Times New Roman"/>
          <w:noProof/>
          <w:sz w:val="24"/>
          <w:szCs w:val="24"/>
        </w:rPr>
        <w:t>, in parallel with the Strategy on energy system integration</w:t>
      </w:r>
      <w:r>
        <w:rPr>
          <w:rStyle w:val="FootnoteReference"/>
          <w:rFonts w:ascii="Times New Roman" w:hAnsi="Times New Roman" w:cs="Times New Roman"/>
          <w:noProof/>
          <w:sz w:val="24"/>
          <w:szCs w:val="24"/>
        </w:rPr>
        <w:footnoteReference w:id="30"/>
      </w:r>
      <w:r>
        <w:rPr>
          <w:rFonts w:ascii="Times New Roman" w:hAnsi="Times New Roman" w:cs="Times New Roman"/>
          <w:noProof/>
          <w:sz w:val="24"/>
          <w:szCs w:val="24"/>
        </w:rPr>
        <w:t xml:space="preserve">. These strategies bring together different strands of action, from R&amp;I over production and infrastructure to the international dimension. For waterborne transport, the importance of hydrogen is highlighted as a stepping stone to the production of derived fuels such as methanol or ammonia and synthetic “drop-in” fuels, which can be used with existing technology and infrastructure. The importance of biofuels is also recognised in particular for “hard-to-decarbonise” sectors, such as aviation and maritime transport. </w:t>
      </w:r>
    </w:p>
    <w:p>
      <w:pPr>
        <w:jc w:val="both"/>
        <w:rPr>
          <w:rFonts w:ascii="Times New Roman" w:hAnsi="Times New Roman" w:cs="Times New Roman"/>
          <w:noProof/>
          <w:sz w:val="24"/>
          <w:szCs w:val="24"/>
        </w:rPr>
      </w:pPr>
      <w:r>
        <w:rPr>
          <w:rFonts w:ascii="Times New Roman" w:hAnsi="Times New Roman" w:cs="Times New Roman"/>
          <w:noProof/>
          <w:sz w:val="24"/>
          <w:szCs w:val="24"/>
        </w:rPr>
        <w:t>The 2030 CTP, adopted in September 2020</w:t>
      </w:r>
      <w:r>
        <w:rPr>
          <w:rStyle w:val="FootnoteReference"/>
          <w:rFonts w:ascii="Times New Roman" w:hAnsi="Times New Roman" w:cs="Times New Roman"/>
          <w:noProof/>
          <w:sz w:val="24"/>
          <w:szCs w:val="24"/>
        </w:rPr>
        <w:footnoteReference w:id="31"/>
      </w:r>
      <w:r>
        <w:rPr>
          <w:rFonts w:ascii="Times New Roman" w:hAnsi="Times New Roman" w:cs="Times New Roman"/>
          <w:noProof/>
          <w:sz w:val="24"/>
          <w:szCs w:val="24"/>
        </w:rPr>
        <w:t xml:space="preserve">, mentions that </w:t>
      </w:r>
      <w:r>
        <w:rPr>
          <w:rFonts w:ascii="Times New Roman" w:hAnsi="Times New Roman" w:cs="Times New Roman"/>
          <w:i/>
          <w:noProof/>
          <w:sz w:val="24"/>
          <w:szCs w:val="24"/>
        </w:rPr>
        <w:t>“Both the aviation and maritime sectors will need to scale up efforts to improve the efficiency of aircraft, ships and their operations and to increase the use of sustainably produced renewable and low-carbon fuels. This will be assessed in greater detail in the context of the ReFuelEU Aviation and FuelEU Maritime initiatives that aim to increase the production and the uptake of sustainable alternative fuels for these sectors. The necessary technology development and deployment has to happen already by 2030 to prepare for much more rapid change thereafter.”</w:t>
      </w:r>
    </w:p>
    <w:p>
      <w:pPr>
        <w:pStyle w:val="Heading2"/>
        <w:rPr>
          <w:noProof/>
        </w:rPr>
      </w:pPr>
      <w:bookmarkStart w:id="34" w:name="_Toc63426109"/>
      <w:bookmarkStart w:id="35" w:name="_Toc63438455"/>
      <w:r>
        <w:rPr>
          <w:noProof/>
        </w:rPr>
        <w:t>International context</w:t>
      </w:r>
      <w:bookmarkEnd w:id="34"/>
      <w:bookmarkEnd w:id="35"/>
      <w:r>
        <w:rPr>
          <w:noProof/>
        </w:rPr>
        <w:t xml:space="preserve"> </w:t>
      </w:r>
    </w:p>
    <w:p>
      <w:pPr>
        <w:jc w:val="both"/>
        <w:rPr>
          <w:rFonts w:ascii="Times New Roman" w:hAnsi="Times New Roman" w:cs="Times New Roman"/>
          <w:noProof/>
        </w:rPr>
      </w:pPr>
      <w:r>
        <w:rPr>
          <w:rFonts w:ascii="Times New Roman" w:hAnsi="Times New Roman" w:cs="Times New Roman"/>
          <w:noProof/>
          <w:sz w:val="24"/>
          <w:szCs w:val="24"/>
        </w:rPr>
        <w:t>Given the strong international nature of maritime transport, the sector is also subject to international rules and conventions adopted by the IMO. The IMO is the specialised United Nations’ agency acting as the global standard-setting authority for the safety, security and environmental performance of international shipping</w:t>
      </w:r>
      <w:r>
        <w:rPr>
          <w:rStyle w:val="FootnoteReference"/>
          <w:rFonts w:ascii="Times New Roman" w:hAnsi="Times New Roman" w:cs="Times New Roman"/>
          <w:noProof/>
          <w:sz w:val="24"/>
          <w:szCs w:val="24"/>
        </w:rPr>
        <w:footnoteReference w:id="32"/>
      </w:r>
      <w:r>
        <w:rPr>
          <w:rFonts w:ascii="Times New Roman" w:hAnsi="Times New Roman" w:cs="Times New Roman"/>
          <w:noProof/>
          <w:sz w:val="24"/>
          <w:szCs w:val="24"/>
        </w:rPr>
        <w:t>.</w:t>
      </w:r>
      <w:r>
        <w:rPr>
          <w:rFonts w:ascii="Times New Roman" w:hAnsi="Times New Roman" w:cs="Times New Roman"/>
          <w:noProof/>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main set of international rules on the environmental performance of ships is contained in the International Convention for the Prevention of Pollution from Ships (MARPOL)</w:t>
      </w:r>
      <w:r>
        <w:rPr>
          <w:rStyle w:val="FootnoteReference"/>
          <w:rFonts w:ascii="Times New Roman" w:hAnsi="Times New Roman" w:cs="Times New Roman"/>
          <w:noProof/>
          <w:sz w:val="24"/>
          <w:szCs w:val="24"/>
        </w:rPr>
        <w:footnoteReference w:id="33"/>
      </w:r>
      <w:r>
        <w:rPr>
          <w:rFonts w:ascii="Times New Roman" w:hAnsi="Times New Roman" w:cs="Times New Roman"/>
          <w:noProof/>
          <w:sz w:val="24"/>
          <w:szCs w:val="24"/>
        </w:rPr>
        <w:t>. While MARPOL does not contain explicit mandatory requirements on the use of alternative fuels from ships, it sets a series of rules</w:t>
      </w:r>
      <w:r>
        <w:rPr>
          <w:rStyle w:val="FootnoteReference"/>
          <w:rFonts w:ascii="Times New Roman" w:hAnsi="Times New Roman" w:cs="Times New Roman"/>
          <w:noProof/>
          <w:sz w:val="24"/>
          <w:szCs w:val="24"/>
        </w:rPr>
        <w:footnoteReference w:id="34"/>
      </w:r>
      <w:r>
        <w:rPr>
          <w:rFonts w:ascii="Times New Roman" w:hAnsi="Times New Roman" w:cs="Times New Roman"/>
          <w:noProof/>
          <w:sz w:val="24"/>
          <w:szCs w:val="24"/>
        </w:rPr>
        <w:t xml:space="preserve"> regarding emissions to air, which may provide an incentive for the use of alternative energy sources. </w:t>
      </w:r>
    </w:p>
    <w:p>
      <w:pPr>
        <w:jc w:val="both"/>
        <w:rPr>
          <w:rFonts w:ascii="Times New Roman" w:hAnsi="Times New Roman" w:cs="Times New Roman"/>
          <w:noProof/>
          <w:sz w:val="24"/>
          <w:szCs w:val="24"/>
        </w:rPr>
      </w:pPr>
      <w:r>
        <w:rPr>
          <w:rFonts w:ascii="Times New Roman" w:hAnsi="Times New Roman" w:cs="Times New Roman"/>
          <w:noProof/>
          <w:sz w:val="24"/>
          <w:szCs w:val="24"/>
        </w:rPr>
        <w:t>The IMO has adopted in 2011 the Energy Efficiency Design Index (EEDI), which sets mandatory energy efficiency standards for all new built ships, and in 2018 the Initial Strategy</w:t>
      </w:r>
      <w:r>
        <w:rPr>
          <w:rFonts w:ascii="Times New Roman" w:hAnsi="Times New Roman" w:cs="Times New Roman"/>
          <w:noProof/>
        </w:rPr>
        <w:t xml:space="preserve"> </w:t>
      </w:r>
      <w:r>
        <w:rPr>
          <w:rFonts w:ascii="Times New Roman" w:hAnsi="Times New Roman" w:cs="Times New Roman"/>
          <w:noProof/>
          <w:sz w:val="24"/>
          <w:szCs w:val="24"/>
        </w:rPr>
        <w:t>on the reduction of GHG emissions from ships</w:t>
      </w:r>
      <w:r>
        <w:rPr>
          <w:rStyle w:val="FootnoteReference"/>
          <w:rFonts w:ascii="Times New Roman" w:hAnsi="Times New Roman" w:cs="Times New Roman"/>
          <w:noProof/>
          <w:sz w:val="24"/>
          <w:szCs w:val="24"/>
        </w:rPr>
        <w:footnoteReference w:id="35"/>
      </w:r>
      <w:r>
        <w:rPr>
          <w:rFonts w:ascii="Times New Roman" w:hAnsi="Times New Roman" w:cs="Times New Roman"/>
          <w:noProof/>
          <w:sz w:val="24"/>
          <w:szCs w:val="24"/>
        </w:rPr>
        <w:t>. Discussions are ongoing on the implementation of the 2018 IMO’s Initial Strategy</w:t>
      </w:r>
      <w:r>
        <w:rPr>
          <w:rFonts w:ascii="Times New Roman" w:hAnsi="Times New Roman" w:cs="Times New Roman"/>
          <w:noProof/>
        </w:rPr>
        <w:t xml:space="preserve"> </w:t>
      </w:r>
      <w:r>
        <w:rPr>
          <w:rFonts w:ascii="Times New Roman" w:hAnsi="Times New Roman" w:cs="Times New Roman"/>
          <w:noProof/>
          <w:sz w:val="24"/>
          <w:szCs w:val="24"/>
        </w:rPr>
        <w:t>on the reduction of GHG emissions from ships, starting with energy efficiency standards to set minimum improvement thresholds both in terms of technical and operational carbon intensity of existing ships.</w:t>
      </w:r>
      <w:r>
        <w:rPr>
          <w:rStyle w:val="FootnoteReference"/>
          <w:rFonts w:ascii="Times New Roman" w:hAnsi="Times New Roman" w:cs="Times New Roman"/>
          <w:noProof/>
          <w:sz w:val="24"/>
          <w:szCs w:val="24"/>
        </w:rPr>
        <w:footnoteReference w:id="36"/>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strategy recognises that the </w:t>
      </w:r>
      <w:r>
        <w:rPr>
          <w:rFonts w:ascii="Times New Roman" w:hAnsi="Times New Roman" w:cs="Times New Roman"/>
          <w:i/>
          <w:iCs/>
          <w:noProof/>
          <w:sz w:val="24"/>
          <w:szCs w:val="24"/>
        </w:rPr>
        <w:t>“global introduction of alternative fuels and/or energy sources for international shipping will be integral to achieve the overall ambition”</w:t>
      </w:r>
      <w:r>
        <w:rPr>
          <w:rFonts w:ascii="Times New Roman" w:hAnsi="Times New Roman" w:cs="Times New Roman"/>
          <w:noProof/>
          <w:sz w:val="24"/>
          <w:szCs w:val="24"/>
        </w:rPr>
        <w:t>. Within the list of identified candidate short-term measures (meant to enter into force before 2023), the IMO includes the promotion of uptake of alternative low-carbon and zero-carbon fuels and the provision of shore-side electricity. It also calls for the development of robust lifecycle GHG/carbon intensity guidelines for all types of fuels, to prepare a programme for effective uptake of alternative low-carbon and zero-carbon fuels. The discussion on the uptake of alternative fuels as well as on market-based measures (MBM) is expected to start at IMO in the course of 2021, also based on the EU proposal on fuel lifecycle guidelines based on sustainability and GHG emissions saving criteria</w:t>
      </w:r>
      <w:r>
        <w:rPr>
          <w:rStyle w:val="FootnoteReference"/>
          <w:rFonts w:ascii="Times New Roman" w:hAnsi="Times New Roman" w:cs="Times New Roman"/>
          <w:noProof/>
          <w:sz w:val="24"/>
          <w:szCs w:val="24"/>
        </w:rPr>
        <w:t xml:space="preserve"> </w:t>
      </w:r>
      <w:r>
        <w:rPr>
          <w:rStyle w:val="FootnoteReference"/>
          <w:rFonts w:ascii="Times New Roman" w:hAnsi="Times New Roman" w:cs="Times New Roman"/>
          <w:noProof/>
          <w:sz w:val="24"/>
          <w:szCs w:val="24"/>
        </w:rPr>
        <w:footnoteReference w:id="37"/>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International Code of Safety for Ships using Gases or other Low-flashpoint Fuels (IGF Code)</w:t>
      </w:r>
      <w:r>
        <w:rPr>
          <w:rStyle w:val="FootnoteReference"/>
          <w:rFonts w:ascii="Times New Roman" w:hAnsi="Times New Roman" w:cs="Times New Roman"/>
          <w:noProof/>
          <w:sz w:val="24"/>
          <w:szCs w:val="24"/>
        </w:rPr>
        <w:footnoteReference w:id="38"/>
      </w:r>
      <w:r>
        <w:rPr>
          <w:rFonts w:ascii="Times New Roman" w:hAnsi="Times New Roman" w:cs="Times New Roman"/>
          <w:noProof/>
          <w:sz w:val="24"/>
          <w:szCs w:val="24"/>
        </w:rPr>
        <w:t xml:space="preserve"> also entered into force on 1 January 2017, along with new training requirements for seafarers working on those ships. These rules contain mandatory provisions for the arrangement, installation, control and monitoring of machinery, equipment and systems using low-flashpoint fuels, focusing initially on LNG. </w:t>
      </w:r>
    </w:p>
    <w:p>
      <w:pPr>
        <w:pStyle w:val="Heading2"/>
        <w:rPr>
          <w:noProof/>
        </w:rPr>
      </w:pPr>
      <w:bookmarkStart w:id="36" w:name="_Toc63426110"/>
      <w:bookmarkStart w:id="37" w:name="_Ref63435558"/>
      <w:bookmarkStart w:id="38" w:name="_Ref63435666"/>
      <w:bookmarkStart w:id="39" w:name="_Ref63435693"/>
      <w:bookmarkStart w:id="40" w:name="_Ref63435878"/>
      <w:bookmarkStart w:id="41" w:name="_Ref63435966"/>
      <w:bookmarkStart w:id="42" w:name="_Ref63436131"/>
      <w:bookmarkStart w:id="43" w:name="_Ref63436158"/>
      <w:bookmarkStart w:id="44" w:name="_Ref63436178"/>
      <w:bookmarkStart w:id="45" w:name="_Ref63436786"/>
      <w:bookmarkStart w:id="46" w:name="_Ref63436984"/>
      <w:bookmarkStart w:id="47" w:name="_Ref63437071"/>
      <w:bookmarkStart w:id="48" w:name="_Ref63437103"/>
      <w:bookmarkStart w:id="49" w:name="_Ref63437195"/>
      <w:bookmarkStart w:id="50" w:name="_Ref63437472"/>
      <w:bookmarkStart w:id="51" w:name="_Ref63437481"/>
      <w:bookmarkStart w:id="52" w:name="_Ref63437534"/>
      <w:bookmarkStart w:id="53" w:name="_Ref63437608"/>
      <w:bookmarkStart w:id="54" w:name="_Ref63437692"/>
      <w:bookmarkStart w:id="55" w:name="_Toc63438456"/>
      <w:r>
        <w:rPr>
          <w:noProof/>
        </w:rPr>
        <w:t>Trajectories for renewable and low carbon fuels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noProof/>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European Green Deal has set the key objective to deliver a 90% reduction in transport-related greenhouse gas emissions by 2050, drawing on the in-depth analysis underpinning the 2050 long-term strategy</w:t>
      </w:r>
      <w:r>
        <w:rPr>
          <w:rStyle w:val="FootnoteReference"/>
          <w:rFonts w:ascii="Times New Roman" w:hAnsi="Times New Roman" w:cs="Times New Roman"/>
          <w:noProof/>
        </w:rPr>
        <w:footnoteReference w:id="39"/>
      </w:r>
      <w:r>
        <w:rPr>
          <w:rFonts w:ascii="Times New Roman" w:hAnsi="Times New Roman" w:cs="Times New Roman"/>
          <w:noProof/>
          <w:sz w:val="24"/>
          <w:szCs w:val="24"/>
        </w:rPr>
        <w:t>. The common scenarios underpinning the Impact Assessment accompanying the 2030 Climate Target Plan</w:t>
      </w:r>
      <w:r>
        <w:rPr>
          <w:rStyle w:val="FootnoteReference"/>
          <w:rFonts w:ascii="Times New Roman" w:hAnsi="Times New Roman" w:cs="Times New Roman"/>
          <w:noProof/>
        </w:rPr>
        <w:footnoteReference w:id="40"/>
      </w:r>
      <w:r>
        <w:rPr>
          <w:rFonts w:ascii="Times New Roman" w:hAnsi="Times New Roman" w:cs="Times New Roman"/>
          <w:noProof/>
          <w:sz w:val="24"/>
          <w:szCs w:val="24"/>
        </w:rPr>
        <w:t xml:space="preserve"> and the Staff Working Document accompanying the Sustainable and Smart Mobility Strategy confirmed that for achieving climate neutrality by 2050 transport emissions (including intra-EU aviation and intra-EU maritime) would need to decrease by 95-96% by 2050 relative to 2015 (94-96% relative to 1990). When considering all intra-EU and extra-EU maritime transport, the emissions reductions are projected at around 91-92% relative to 2015 (89-90% relative to 1990). The lower emissions reductions in transport relative to other sectors like for example power generation is in recognition of the fact that emissions in some transport modes, in particular aviation and maritime, are more difficult to abate. The EU’s pathway towards climate neutrality, covering all sectors of the economy, is provided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_Ref67565804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w:t>
      </w:r>
      <w:r>
        <w:rPr>
          <w:rFonts w:ascii="Times New Roman" w:hAnsi="Times New Roman" w:cs="Times New Roman"/>
          <w:noProof/>
          <w:sz w:val="24"/>
          <w:szCs w:val="24"/>
        </w:rPr>
        <w:fldChar w:fldCharType="end"/>
      </w:r>
      <w:r>
        <w:rPr>
          <w:rFonts w:ascii="Times New Roman" w:hAnsi="Times New Roman" w:cs="Times New Roman"/>
          <w:noProof/>
          <w:sz w:val="24"/>
          <w:szCs w:val="24"/>
        </w:rPr>
        <w:t>.</w:t>
      </w:r>
    </w:p>
    <w:p>
      <w:pPr>
        <w:pStyle w:val="Caption"/>
        <w:keepNext/>
        <w:rPr>
          <w:noProof/>
        </w:rPr>
      </w:pPr>
      <w:bookmarkStart w:id="56" w:name="_Ref67565804"/>
      <w:r>
        <w:rPr>
          <w:noProof/>
        </w:rP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bookmarkEnd w:id="56"/>
      <w:r>
        <w:rPr>
          <w:noProof/>
        </w:rPr>
        <w:t>: The EU’s pathway to sustained economic prosperity and climate neutrality, 1990-2050</w:t>
      </w:r>
    </w:p>
    <w:p>
      <w:pPr>
        <w:pStyle w:val="LegalNumPar"/>
        <w:keepNext/>
        <w:pBdr>
          <w:top w:val="nil"/>
          <w:left w:val="nil"/>
          <w:bottom w:val="nil"/>
          <w:right w:val="nil"/>
          <w:between w:val="nil"/>
          <w:bar w:val="nil"/>
        </w:pBdr>
        <w:tabs>
          <w:tab w:val="left" w:pos="476"/>
        </w:tabs>
        <w:spacing w:after="0" w:line="240" w:lineRule="auto"/>
        <w:ind w:left="476" w:hanging="476"/>
        <w:jc w:val="center"/>
        <w:rPr>
          <w:noProof/>
          <w:sz w:val="22"/>
          <w:szCs w:val="22"/>
        </w:rPr>
      </w:pPr>
      <w:r>
        <w:rPr>
          <w:noProof/>
          <w:sz w:val="22"/>
          <w:szCs w:val="22"/>
        </w:rPr>
        <w:drawing>
          <wp:inline distT="0" distB="0" distL="0" distR="0">
            <wp:extent cx="4635661" cy="3454345"/>
            <wp:effectExtent l="0" t="0" r="0" b="0"/>
            <wp:docPr id="1528954630" name="Picture 1528954630" descr="C:\Users\sulyoge\Documents\Picture24-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sulyoge\Documents\Picture24-min.jpg"/>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4657381" cy="3470530"/>
                    </a:xfrm>
                    <a:prstGeom prst="rect">
                      <a:avLst/>
                    </a:prstGeom>
                    <a:noFill/>
                    <a:ln>
                      <a:noFill/>
                    </a:ln>
                  </pic:spPr>
                </pic:pic>
              </a:graphicData>
            </a:graphic>
          </wp:inline>
        </w:drawing>
      </w:r>
    </w:p>
    <w:p>
      <w:pPr>
        <w:pStyle w:val="LegalNumPar"/>
        <w:keepNext/>
        <w:pBdr>
          <w:top w:val="nil"/>
          <w:left w:val="nil"/>
          <w:bottom w:val="nil"/>
          <w:right w:val="nil"/>
          <w:between w:val="nil"/>
          <w:bar w:val="nil"/>
        </w:pBdr>
        <w:tabs>
          <w:tab w:val="left" w:pos="476"/>
        </w:tabs>
        <w:spacing w:after="0" w:line="240" w:lineRule="auto"/>
        <w:ind w:left="476" w:hanging="476"/>
        <w:rPr>
          <w:noProof/>
          <w:sz w:val="22"/>
          <w:szCs w:val="22"/>
        </w:rPr>
      </w:pPr>
    </w:p>
    <w:p>
      <w:pPr>
        <w:pStyle w:val="LegalNumPar"/>
        <w:pBdr>
          <w:top w:val="nil"/>
          <w:left w:val="nil"/>
          <w:bottom w:val="nil"/>
          <w:right w:val="nil"/>
          <w:between w:val="nil"/>
          <w:bar w:val="nil"/>
        </w:pBdr>
        <w:spacing w:line="240" w:lineRule="auto"/>
        <w:rPr>
          <w:i/>
          <w:noProof/>
          <w:sz w:val="18"/>
          <w:szCs w:val="18"/>
        </w:rPr>
      </w:pPr>
      <w:r>
        <w:rPr>
          <w:i/>
          <w:iCs/>
          <w:noProof/>
          <w:sz w:val="18"/>
          <w:szCs w:val="18"/>
        </w:rPr>
        <w:t>Source: COM(2020) 562 final. Commission Communication “Stepping up Europe’s 2030 climate ambition Investing in a climate-neutral future for the benefit our people</w:t>
      </w:r>
    </w:p>
    <w:p>
      <w:pPr>
        <w:jc w:val="both"/>
        <w:rPr>
          <w:rFonts w:ascii="Times New Roman" w:hAnsi="Times New Roman" w:cs="Times New Roman"/>
          <w:noProof/>
          <w:sz w:val="24"/>
          <w:szCs w:val="24"/>
        </w:rPr>
      </w:pPr>
      <w:r>
        <w:rPr>
          <w:rFonts w:ascii="Times New Roman" w:hAnsi="Times New Roman" w:cs="Times New Roman"/>
          <w:noProof/>
          <w:sz w:val="24"/>
          <w:szCs w:val="24"/>
        </w:rPr>
        <w:t>Among the transport modes, road and rail transport would need to be almost fully decarbonised by 2050. Lower emissions reductions are projected in aviation and maritime, due to the more limited technological options available for these sectors. Nevertheless, air transport sector would need to achieve emissions reductions of at least 52-59% by 2050 relative to 2015 (equivalent to 14-25% reduction relative to 1990) and international maritime of at least 84-86% (equivalent to 80-82% emissions reductions relative to 1990).</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common economic assessment underpinning the 2030 Climate Target Plan and the Sustainable and Smart Mobility Strategy, looked at a range of pathways/scenarios to explore the delivery of the increased ambition of cutting the economy-wide GHG emissions by at least 55% by 2030 and achieving climate neutrality by 2050. These pathways/scenarios were constructed around a set of specific policies for all sectors of the economy that either focus on carbon pricing or focus on regulatory measures, or combine the two types of instruments. For the maritime transport, the same policy instruments (including ‘FuelEU Maritime’ initiative) were included in all scenario configurations.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staff working document accompanying the Sustainable and Smart Mobility Strategy describes the trajectories for renewable and low carbon fuels in more detail</w:t>
      </w:r>
      <w:r>
        <w:rPr>
          <w:rStyle w:val="FootnoteReference"/>
          <w:rFonts w:ascii="Times New Roman" w:hAnsi="Times New Roman" w:cs="Times New Roman"/>
          <w:noProof/>
          <w:sz w:val="24"/>
          <w:szCs w:val="24"/>
        </w:rPr>
        <w:footnoteReference w:id="41"/>
      </w:r>
      <w:r>
        <w:rPr>
          <w:rFonts w:ascii="Times New Roman" w:hAnsi="Times New Roman" w:cs="Times New Roman"/>
          <w:noProof/>
          <w:sz w:val="24"/>
          <w:szCs w:val="24"/>
        </w:rPr>
        <w:t>, drawing on the common economic analysis underpinning the 2030 Climate Target Plan and the Sustainable and Smart Mobility Strategy. These trajectories are derived in a way that enables kick starting the scale-up of renewable and low carbon fuels in the maritime sector from 2025 onwards and their large scale deployment by 2050, while ensuring the consistency with the required overall GHG emissions reductions by 2030 and 2050, preserving the competitiveness of the sector, promoting innovation, and ensuring feedstock availability for renewable and low carbon fuels in all energy and transport sectors in the transition towards a climate neutral economy. The pathways/scenarios delivering a reduction in the EU GHG emissions by at least 55% by 2030 and climate neutrality by 2050 show that renewable and low carbon fuels should represent 6 to 9% of the energy used in the international maritime sector in 2030 and 86 to 88% by 2050</w:t>
      </w:r>
      <w:r>
        <w:rPr>
          <w:rStyle w:val="FootnoteReference"/>
          <w:rFonts w:ascii="Times New Roman" w:hAnsi="Times New Roman" w:cs="Times New Roman"/>
          <w:noProof/>
          <w:sz w:val="24"/>
          <w:szCs w:val="24"/>
        </w:rPr>
        <w:footnoteReference w:id="42"/>
      </w:r>
      <w:r>
        <w:rPr>
          <w:rFonts w:ascii="Times New Roman" w:hAnsi="Times New Roman" w:cs="Times New Roman"/>
          <w:noProof/>
          <w:sz w:val="24"/>
          <w:szCs w:val="24"/>
          <w:vertAlign w:val="superscript"/>
        </w:rPr>
        <w:t>,</w:t>
      </w:r>
      <w:r>
        <w:rPr>
          <w:rStyle w:val="FootnoteReference"/>
          <w:rFonts w:ascii="Times New Roman" w:hAnsi="Times New Roman" w:cs="Times New Roman"/>
          <w:noProof/>
          <w:sz w:val="24"/>
          <w:szCs w:val="24"/>
        </w:rPr>
        <w:footnoteReference w:id="43"/>
      </w:r>
      <w:r>
        <w:rPr>
          <w:rFonts w:ascii="Times New Roman" w:hAnsi="Times New Roman" w:cs="Times New Roman"/>
          <w:noProof/>
          <w:sz w:val="24"/>
          <w:szCs w:val="24"/>
        </w:rPr>
        <w:t xml:space="preserve">.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When considering a pathway/scenario that strengthens and further expands the carbon pricing to the road transport and buildings sectors, be it via EU ETS or other carbon pricing instruments, in combination with low intensification of transport policies and no intensification of energy efficiency and renewables policies, the analysis shows that renewable and low carbon fuels should represent at least 6% of the energy used in the international maritime sector in 2030 and 86% by 2050.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When considering a pathway/scenario that assumes high increase of the ambition of energy efficiency, renewables and transport policies, while keeping the EU ETS scope unchanged, renewable and low carbon fuels should represent close to 9% of the energy used in the international maritime sector in 2030 and 88% by 2050.</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Finally, the pathway/scenario focusing on a combination of carbon pricing and medium intensification of regulatory measures in all sectors of the economy shows that renewable and low carbon fuels should represent 7.5% of the energy used in the international maritime sector in 2030 and 86% by 2050.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All the pathways described above are consistent with the increased ambition of cutting the economy-wide GHG emissions by at least 55% by 2030 and achieving climate neutrality by 2050. They all deliver a 90% reduction in transport emissions by 2050, in line with the European Green Deal Communication and the Sustainable and Smart Mobility Strategy, and 80-82% emissions reductions in the international shipping sector by 2050 relative to 1990 (equivalent to 88-89% emissions reductions relative to 2008)</w:t>
      </w:r>
      <w:r>
        <w:rPr>
          <w:rStyle w:val="FootnoteReference"/>
          <w:rFonts w:ascii="Times New Roman" w:hAnsi="Times New Roman" w:cs="Times New Roman"/>
          <w:noProof/>
          <w:sz w:val="24"/>
          <w:szCs w:val="24"/>
        </w:rPr>
        <w:footnoteReference w:id="44"/>
      </w:r>
      <w:r>
        <w:rPr>
          <w:rFonts w:ascii="Times New Roman" w:hAnsi="Times New Roman" w:cs="Times New Roman"/>
          <w:noProof/>
          <w:sz w:val="24"/>
          <w:szCs w:val="24"/>
        </w:rPr>
        <w:t>. In addition, the impact assessment underpinning the 2030 Climate Target Plan</w:t>
      </w:r>
      <w:r>
        <w:rPr>
          <w:rStyle w:val="FootnoteReference"/>
          <w:rFonts w:ascii="Times New Roman" w:hAnsi="Times New Roman" w:cs="Times New Roman"/>
          <w:noProof/>
          <w:sz w:val="24"/>
          <w:szCs w:val="24"/>
        </w:rPr>
        <w:footnoteReference w:id="45"/>
      </w:r>
      <w:r>
        <w:rPr>
          <w:rFonts w:ascii="Times New Roman" w:hAnsi="Times New Roman" w:cs="Times New Roman"/>
          <w:noProof/>
          <w:sz w:val="24"/>
          <w:szCs w:val="24"/>
        </w:rPr>
        <w:t xml:space="preserve"> noted particular benefits in deploying a broad mix of policy instruments, including carbon pricing and increased energy and transport sectoral regulatory policy ambition, and clearly suggested that there is no single policy instrument being capable of achieving all the objectives considered in the assessment alone.</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This impact assessment takes as starting point the pathway for renewable and low carbon fuels</w:t>
      </w:r>
      <w:r>
        <w:rPr>
          <w:rFonts w:ascii="Times New Roman" w:hAnsi="Times New Roman" w:cs="Times New Roman"/>
          <w:b/>
          <w:noProof/>
          <w:sz w:val="24"/>
          <w:szCs w:val="24"/>
        </w:rPr>
        <w:t xml:space="preserve"> </w:t>
      </w:r>
      <w:r>
        <w:rPr>
          <w:rFonts w:ascii="Times New Roman" w:hAnsi="Times New Roman" w:cs="Times New Roman"/>
          <w:noProof/>
          <w:sz w:val="24"/>
          <w:szCs w:val="24"/>
        </w:rPr>
        <w:t>that represent 7.5%</w:t>
      </w:r>
      <w:r>
        <w:rPr>
          <w:rFonts w:ascii="Times New Roman" w:hAnsi="Times New Roman" w:cs="Times New Roman"/>
          <w:b/>
          <w:noProof/>
          <w:sz w:val="24"/>
          <w:szCs w:val="24"/>
        </w:rPr>
        <w:t xml:space="preserve"> </w:t>
      </w:r>
      <w:r>
        <w:rPr>
          <w:rFonts w:ascii="Times New Roman" w:hAnsi="Times New Roman" w:cs="Times New Roman"/>
          <w:noProof/>
          <w:sz w:val="24"/>
          <w:szCs w:val="24"/>
        </w:rPr>
        <w:t>of the energy used in the international maritime sector by 2030 and 86% by 2050 in the scenario focusing on a combination of carbon pricing and medium intensification of regulatory measures in all sectors of the economy, while additionally considering the contribution of the on-shore power supply</w:t>
      </w:r>
      <w:r>
        <w:rPr>
          <w:rFonts w:ascii="Times New Roman" w:hAnsi="Times New Roman" w:cs="Times New Roman"/>
          <w:b/>
          <w:noProof/>
          <w:sz w:val="24"/>
          <w:szCs w:val="24"/>
        </w:rPr>
        <w:t xml:space="preserve">. </w:t>
      </w:r>
      <w:r>
        <w:rPr>
          <w:rFonts w:ascii="Times New Roman" w:hAnsi="Times New Roman" w:cs="Times New Roman"/>
          <w:noProof/>
          <w:sz w:val="24"/>
          <w:szCs w:val="24"/>
        </w:rPr>
        <w:t>It ensures consistency with the 2030 Climate Target Plan and with the other initiatives of the ‘Fit for 55’ package by delivering the necessary contribution in terms of emissions reductions to the increased ambition of cutting the economy-wide GHG emissions by at least 55% by 2030 and achieving climate neutrality by 2050. The impact assessment focuses on the specific design of the policy option that would best allow to reach this contribution. A qualitative assessment of the implications of lower/higher trajectory for the renewable and low carbon fuels</w:t>
      </w:r>
      <w:r>
        <w:rPr>
          <w:rFonts w:ascii="Times New Roman" w:hAnsi="Times New Roman" w:cs="Times New Roman"/>
          <w:b/>
          <w:noProof/>
          <w:sz w:val="24"/>
          <w:szCs w:val="24"/>
        </w:rPr>
        <w:t xml:space="preserve"> </w:t>
      </w:r>
      <w:r>
        <w:rPr>
          <w:rFonts w:ascii="Times New Roman" w:hAnsi="Times New Roman" w:cs="Times New Roman"/>
          <w:noProof/>
          <w:sz w:val="24"/>
          <w:szCs w:val="24"/>
        </w:rPr>
        <w:t>is however provided in Sections 5.4 and 6.1.2</w:t>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An update of the pathway/scenario focusing on a combination of carbon pricing and medium intensification of regulatory measures in all sectors of the economy</w:t>
      </w:r>
      <w:r>
        <w:rPr>
          <w:noProof/>
        </w:rPr>
        <w:t xml:space="preserve"> </w:t>
      </w:r>
      <w:r>
        <w:rPr>
          <w:rFonts w:ascii="Times New Roman" w:hAnsi="Times New Roman" w:cs="Times New Roman"/>
          <w:noProof/>
          <w:sz w:val="24"/>
          <w:szCs w:val="24"/>
        </w:rPr>
        <w:t>for the purpose of the ‘Fit for 55’ package, while also reflecting the COVID-19 pandemics,  the National Energy and Climate Plans and refining the policy design of the initiatives, confirms that maritime transport effectively contributes to the EU climate goals while considering the central trajectory for the renewable and low carbon fuels.</w:t>
      </w:r>
    </w:p>
    <w:p>
      <w:pPr>
        <w:pStyle w:val="Heading1"/>
        <w:rPr>
          <w:noProof/>
        </w:rPr>
      </w:pPr>
      <w:bookmarkStart w:id="57" w:name="_Toc57907266"/>
      <w:bookmarkStart w:id="58" w:name="_Toc59152602"/>
      <w:bookmarkStart w:id="59" w:name="_Toc63426111"/>
      <w:bookmarkStart w:id="60" w:name="_Ref63435795"/>
      <w:bookmarkStart w:id="61" w:name="_Ref63437884"/>
      <w:bookmarkStart w:id="62" w:name="_Toc63438457"/>
      <w:bookmarkStart w:id="63" w:name="_Toc49520280"/>
      <w:r>
        <w:rPr>
          <w:noProof/>
        </w:rPr>
        <w:t>Problem definition</w:t>
      </w:r>
      <w:bookmarkEnd w:id="57"/>
      <w:bookmarkEnd w:id="58"/>
      <w:bookmarkEnd w:id="59"/>
      <w:bookmarkEnd w:id="60"/>
      <w:bookmarkEnd w:id="61"/>
      <w:bookmarkEnd w:id="62"/>
    </w:p>
    <w:p>
      <w:pPr>
        <w:pStyle w:val="Heading2"/>
        <w:rPr>
          <w:noProof/>
        </w:rPr>
      </w:pPr>
      <w:bookmarkStart w:id="64" w:name="_Toc49520281"/>
      <w:bookmarkStart w:id="65" w:name="_Toc57907267"/>
      <w:bookmarkStart w:id="66" w:name="_Toc59152603"/>
      <w:bookmarkStart w:id="67" w:name="_Ref63413291"/>
      <w:bookmarkStart w:id="68" w:name="_Ref63413298"/>
      <w:bookmarkStart w:id="69" w:name="_Toc63426112"/>
      <w:bookmarkStart w:id="70" w:name="_Ref63435600"/>
      <w:bookmarkStart w:id="71" w:name="_Ref63435672"/>
      <w:bookmarkStart w:id="72" w:name="_Ref63437663"/>
      <w:bookmarkStart w:id="73" w:name="_Toc63438458"/>
      <w:bookmarkEnd w:id="63"/>
      <w:r>
        <w:rPr>
          <w:noProof/>
        </w:rPr>
        <w:t>What is the problem?</w:t>
      </w:r>
      <w:bookmarkEnd w:id="64"/>
      <w:bookmarkEnd w:id="65"/>
      <w:bookmarkEnd w:id="66"/>
      <w:bookmarkEnd w:id="67"/>
      <w:bookmarkEnd w:id="68"/>
      <w:bookmarkEnd w:id="69"/>
      <w:bookmarkEnd w:id="70"/>
      <w:bookmarkEnd w:id="71"/>
      <w:bookmarkEnd w:id="72"/>
      <w:bookmarkEnd w:id="73"/>
    </w:p>
    <w:p>
      <w:pPr>
        <w:jc w:val="both"/>
        <w:rPr>
          <w:rFonts w:ascii="Times New Roman" w:hAnsi="Times New Roman" w:cs="Times New Roman"/>
          <w:noProof/>
          <w:sz w:val="24"/>
          <w:szCs w:val="24"/>
        </w:rPr>
      </w:pPr>
      <w:r>
        <w:rPr>
          <w:rFonts w:ascii="Times New Roman" w:hAnsi="Times New Roman" w:cs="Times New Roman"/>
          <w:noProof/>
          <w:sz w:val="24"/>
          <w:szCs w:val="24"/>
        </w:rPr>
        <w:t>Currently, the fuel mix in the maritime sector relies entirely on fossil fuels. The vast majority of the 44 million tonnes of fuel consumed and reported by ships within MRV in 2018 concerned liquid fossil fuels. The use of LNG was only 3% of the total amount of fuel consumed (mostly by LNG and gas carriers) and other alternatives, in particular renewable fuels, were negligible</w:t>
      </w:r>
      <w:r>
        <w:rPr>
          <w:rStyle w:val="FootnoteReference"/>
          <w:rFonts w:ascii="Times New Roman" w:hAnsi="Times New Roman" w:cs="Times New Roman"/>
          <w:noProof/>
          <w:sz w:val="24"/>
          <w:szCs w:val="24"/>
        </w:rPr>
        <w:footnoteReference w:id="46"/>
      </w:r>
      <w:r>
        <w:rPr>
          <w:rFonts w:ascii="Times New Roman" w:hAnsi="Times New Roman" w:cs="Times New Roman"/>
          <w:noProof/>
          <w:sz w:val="24"/>
          <w:szCs w:val="24"/>
        </w:rPr>
        <w:t>. According to the fourth IMO GHG study, 98.4% of all engines used in the fleet in 2018 were conventional fuel oil engines and 0.52% were LNG engines (including dual-fuel engines)</w:t>
      </w:r>
      <w:r>
        <w:rPr>
          <w:rStyle w:val="FootnoteReference"/>
          <w:rFonts w:ascii="Times New Roman" w:hAnsi="Times New Roman" w:cs="Times New Roman"/>
          <w:noProof/>
          <w:sz w:val="24"/>
          <w:szCs w:val="24"/>
        </w:rPr>
        <w:footnoteReference w:id="47"/>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ship traffic monitored under the MRV accounted for more than 138 million tonnes of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in 2018</w:t>
      </w:r>
      <w:r>
        <w:rPr>
          <w:rStyle w:val="FootnoteReference"/>
          <w:rFonts w:ascii="Times New Roman" w:hAnsi="Times New Roman" w:cs="Times New Roman"/>
          <w:noProof/>
          <w:sz w:val="24"/>
          <w:szCs w:val="24"/>
        </w:rPr>
        <w:footnoteReference w:id="48"/>
      </w:r>
      <w:r>
        <w:rPr>
          <w:rFonts w:ascii="Times New Roman" w:hAnsi="Times New Roman" w:cs="Times New Roman"/>
          <w:noProof/>
          <w:sz w:val="24"/>
          <w:szCs w:val="24"/>
        </w:rPr>
        <w:t>. This represents around 11% of all EU transport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and 3-4% of total EU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w:t>
      </w:r>
      <w:r>
        <w:rPr>
          <w:rStyle w:val="FootnoteReference"/>
          <w:rFonts w:ascii="Times New Roman" w:hAnsi="Times New Roman" w:cs="Times New Roman"/>
          <w:noProof/>
          <w:sz w:val="24"/>
          <w:szCs w:val="24"/>
        </w:rPr>
        <w:footnoteReference w:id="49"/>
      </w:r>
      <w:r>
        <w:rPr>
          <w:rFonts w:ascii="Times New Roman" w:hAnsi="Times New Roman" w:cs="Times New Roman"/>
          <w:noProof/>
          <w:sz w:val="24"/>
          <w:szCs w:val="24"/>
        </w:rPr>
        <w:t>. EU international shipping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are projected to grow by over 30% between 2015 and 2050 under current trends and policies, also considering the impacts of the COVID-19 pandemic</w:t>
      </w:r>
      <w:r>
        <w:rPr>
          <w:rStyle w:val="FootnoteReference"/>
          <w:rFonts w:ascii="Times New Roman" w:hAnsi="Times New Roman" w:cs="Times New Roman"/>
          <w:noProof/>
          <w:sz w:val="24"/>
          <w:szCs w:val="24"/>
        </w:rPr>
        <w:footnoteReference w:id="50"/>
      </w:r>
      <w:r>
        <w:rPr>
          <w:rFonts w:ascii="Times New Roman" w:hAnsi="Times New Roman" w:cs="Times New Roman"/>
          <w:noProof/>
          <w:sz w:val="24"/>
          <w:szCs w:val="24"/>
          <w:vertAlign w:val="superscript"/>
        </w:rPr>
        <w:t>,</w:t>
      </w:r>
      <w:r>
        <w:rPr>
          <w:rStyle w:val="FootnoteReference"/>
          <w:rFonts w:ascii="Times New Roman" w:hAnsi="Times New Roman" w:cs="Times New Roman"/>
          <w:noProof/>
          <w:sz w:val="24"/>
          <w:szCs w:val="24"/>
        </w:rPr>
        <w:footnoteReference w:id="51"/>
      </w:r>
      <w:r>
        <w:rPr>
          <w:rFonts w:ascii="Times New Roman" w:hAnsi="Times New Roman" w:cs="Times New Roman"/>
          <w:noProof/>
          <w:sz w:val="24"/>
          <w:szCs w:val="24"/>
        </w:rPr>
        <w:t>. Since emissions had fallen between 2008 and 2015, this implies a stabilisation of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by 2050 relative to 2008 levels. This development is however not in line with the climate neutrality objective. </w:t>
      </w:r>
    </w:p>
    <w:p>
      <w:pPr>
        <w:jc w:val="both"/>
        <w:rPr>
          <w:rFonts w:ascii="Times New Roman" w:eastAsia="Times New Roman" w:hAnsi="Times New Roman" w:cs="Times New Roman"/>
          <w:noProof/>
          <w:sz w:val="24"/>
          <w:szCs w:val="24"/>
          <w:lang w:eastAsia="fr-BE"/>
        </w:rPr>
      </w:pPr>
      <w:r>
        <w:rPr>
          <w:rFonts w:ascii="Times New Roman" w:hAnsi="Times New Roman" w:cs="Times New Roman"/>
          <w:noProof/>
          <w:sz w:val="24"/>
          <w:szCs w:val="24"/>
        </w:rPr>
        <w:t>Emissions occurring when the ships were at berth (anchored or navigating in EEA ports) amounted to around 6% of the total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as reported under the MRV. In addition, emissions of sulphur oxides (SOx), nitrogen oxides (NOx), and particulate matter (PM) significantly contributed to air pollution in coastal areas and port cities, where ship engines are still being used to produce the necessary power during the port visit</w:t>
      </w:r>
      <w:r>
        <w:rPr>
          <w:rStyle w:val="FootnoteReference"/>
          <w:rFonts w:ascii="Times New Roman" w:hAnsi="Times New Roman" w:cs="Times New Roman"/>
          <w:noProof/>
          <w:sz w:val="24"/>
          <w:szCs w:val="24"/>
        </w:rPr>
        <w:footnoteReference w:id="52"/>
      </w:r>
      <w:r>
        <w:rPr>
          <w:rFonts w:ascii="Times New Roman" w:hAnsi="Times New Roman" w:cs="Times New Roman"/>
          <w:noProof/>
          <w:sz w:val="24"/>
          <w:szCs w:val="24"/>
        </w:rPr>
        <w:t xml:space="preserve">. </w:t>
      </w:r>
      <w:r>
        <w:rPr>
          <w:rFonts w:ascii="Times New Roman" w:eastAsia="Times New Roman" w:hAnsi="Times New Roman" w:cs="Times New Roman"/>
          <w:noProof/>
          <w:sz w:val="24"/>
          <w:szCs w:val="24"/>
          <w:lang w:eastAsia="fr-BE"/>
        </w:rPr>
        <w:t>There are hotspot areas in Europe where the contribution of shipping to air pollutant emissions can be up to 80% for NO</w:t>
      </w:r>
      <w:r>
        <w:rPr>
          <w:rFonts w:ascii="Times New Roman" w:eastAsia="Times New Roman" w:hAnsi="Times New Roman" w:cs="Times New Roman"/>
          <w:noProof/>
          <w:sz w:val="24"/>
          <w:szCs w:val="24"/>
          <w:vertAlign w:val="subscript"/>
          <w:lang w:eastAsia="fr-BE"/>
        </w:rPr>
        <w:t>x</w:t>
      </w:r>
      <w:r>
        <w:rPr>
          <w:rFonts w:ascii="Times New Roman" w:eastAsia="Times New Roman" w:hAnsi="Times New Roman" w:cs="Times New Roman"/>
          <w:noProof/>
          <w:sz w:val="24"/>
          <w:szCs w:val="24"/>
          <w:lang w:eastAsia="fr-BE"/>
        </w:rPr>
        <w:t xml:space="preserve"> and SO</w:t>
      </w:r>
      <w:r>
        <w:rPr>
          <w:rFonts w:ascii="Times New Roman" w:eastAsia="Times New Roman" w:hAnsi="Times New Roman" w:cs="Times New Roman"/>
          <w:noProof/>
          <w:sz w:val="24"/>
          <w:szCs w:val="24"/>
          <w:vertAlign w:val="subscript"/>
          <w:lang w:eastAsia="fr-BE"/>
        </w:rPr>
        <w:t>2</w:t>
      </w:r>
      <w:r>
        <w:rPr>
          <w:rFonts w:ascii="Times New Roman" w:eastAsia="Times New Roman" w:hAnsi="Times New Roman" w:cs="Times New Roman"/>
          <w:noProof/>
          <w:sz w:val="24"/>
          <w:szCs w:val="24"/>
          <w:lang w:eastAsia="fr-BE"/>
        </w:rPr>
        <w:t xml:space="preserve"> and up to 25% for primary PM</w:t>
      </w:r>
      <w:r>
        <w:rPr>
          <w:rFonts w:ascii="Times New Roman" w:eastAsia="Times New Roman" w:hAnsi="Times New Roman" w:cs="Times New Roman"/>
          <w:noProof/>
          <w:sz w:val="24"/>
          <w:szCs w:val="24"/>
          <w:vertAlign w:val="subscript"/>
          <w:lang w:eastAsia="fr-BE"/>
        </w:rPr>
        <w:t>2.5</w:t>
      </w:r>
      <w:r>
        <w:rPr>
          <w:rStyle w:val="FootnoteReference"/>
          <w:rFonts w:ascii="Times New Roman" w:eastAsia="Times New Roman" w:hAnsi="Times New Roman" w:cs="Times New Roman"/>
          <w:noProof/>
          <w:sz w:val="24"/>
          <w:szCs w:val="24"/>
          <w:lang w:eastAsia="fr-BE"/>
        </w:rPr>
        <w:footnoteReference w:id="53"/>
      </w:r>
      <w:r>
        <w:rPr>
          <w:rFonts w:ascii="Times New Roman" w:eastAsia="Times New Roman" w:hAnsi="Times New Roman" w:cs="Times New Roman"/>
          <w:noProof/>
          <w:sz w:val="24"/>
          <w:szCs w:val="24"/>
          <w:lang w:eastAsia="fr-BE"/>
        </w:rPr>
        <w:t>. While the situation is improving with the use of cleaner fuels resulting from the introduction of the Sulphur Directive and the establishment of ECAs</w:t>
      </w:r>
      <w:r>
        <w:rPr>
          <w:rStyle w:val="FootnoteReference"/>
          <w:rFonts w:ascii="Times New Roman" w:eastAsia="Times New Roman" w:hAnsi="Times New Roman" w:cs="Times New Roman"/>
          <w:noProof/>
          <w:sz w:val="24"/>
          <w:szCs w:val="24"/>
          <w:lang w:eastAsia="fr-BE"/>
        </w:rPr>
        <w:footnoteReference w:id="54"/>
      </w:r>
      <w:r>
        <w:rPr>
          <w:rFonts w:ascii="Times New Roman" w:eastAsia="Times New Roman" w:hAnsi="Times New Roman" w:cs="Times New Roman"/>
          <w:noProof/>
          <w:sz w:val="24"/>
          <w:szCs w:val="24"/>
          <w:lang w:eastAsia="fr-BE"/>
        </w:rPr>
        <w:t xml:space="preserve"> in Northern Europe, as confirmed by the 2018 Commission report on the implementation of the Sulphur Directive</w:t>
      </w:r>
      <w:r>
        <w:rPr>
          <w:rStyle w:val="FootnoteReference"/>
          <w:rFonts w:ascii="Times New Roman" w:eastAsia="Times New Roman" w:hAnsi="Times New Roman" w:cs="Times New Roman"/>
          <w:noProof/>
          <w:sz w:val="24"/>
          <w:szCs w:val="24"/>
          <w:lang w:eastAsia="fr-BE"/>
        </w:rPr>
        <w:footnoteReference w:id="55"/>
      </w:r>
      <w:r>
        <w:rPr>
          <w:rFonts w:ascii="Times New Roman" w:eastAsia="Times New Roman" w:hAnsi="Times New Roman" w:cs="Times New Roman"/>
          <w:noProof/>
          <w:sz w:val="24"/>
          <w:szCs w:val="24"/>
          <w:lang w:eastAsia="fr-BE"/>
        </w:rPr>
        <w:t>, air quality remains an important area of concern for port cities. This is also clearly recognised by the industry; in the past five years, air quality ranked first among the top 10 environmental priorities of the port sector as illustrated in the environmental report from the European Sea Ports Organisation (ESPO)</w:t>
      </w:r>
      <w:r>
        <w:rPr>
          <w:rStyle w:val="FootnoteReference"/>
          <w:rFonts w:ascii="Times New Roman" w:eastAsia="Times New Roman" w:hAnsi="Times New Roman" w:cs="Times New Roman"/>
          <w:noProof/>
          <w:sz w:val="24"/>
          <w:szCs w:val="24"/>
          <w:lang w:eastAsia="fr-BE"/>
        </w:rPr>
        <w:footnoteReference w:id="56"/>
      </w:r>
      <w:r>
        <w:rPr>
          <w:rFonts w:ascii="Times New Roman" w:eastAsia="Times New Roman" w:hAnsi="Times New Roman" w:cs="Times New Roman"/>
          <w:noProof/>
          <w:sz w:val="24"/>
          <w:szCs w:val="24"/>
          <w:lang w:eastAsia="fr-BE"/>
        </w:rPr>
        <w:t>. While the use of on-shore power supply (OPS) for ships at berth would allow removing these emissions, its uptake has so far remained negligible</w:t>
      </w:r>
      <w:r>
        <w:rPr>
          <w:rStyle w:val="FootnoteReference"/>
          <w:rFonts w:ascii="Times New Roman" w:eastAsia="Times New Roman" w:hAnsi="Times New Roman" w:cs="Times New Roman"/>
          <w:noProof/>
          <w:sz w:val="24"/>
          <w:szCs w:val="24"/>
          <w:lang w:eastAsia="fr-BE"/>
        </w:rPr>
        <w:footnoteReference w:id="57"/>
      </w:r>
      <w:r>
        <w:rPr>
          <w:rFonts w:ascii="Times New Roman" w:eastAsia="Times New Roman" w:hAnsi="Times New Roman" w:cs="Times New Roman"/>
          <w:noProof/>
          <w:sz w:val="24"/>
          <w:szCs w:val="24"/>
          <w:lang w:eastAsia="fr-BE"/>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almost exclusive reliance on fossil fuels constitutes an important risk to the sector’s ability to contribute effectively to the carbon neutrality objectives in the long term. As explained in Section 1.5, RLF should provide 6-9% of the international maritime transport fuel mix in 2030 and 86-88% by 2050 to contribute to the EU economy-wide GHG emissions reduction targets</w:t>
      </w:r>
      <w:r>
        <w:rPr>
          <w:rStyle w:val="FootnoteReference"/>
          <w:rFonts w:ascii="Times New Roman" w:hAnsi="Times New Roman" w:cs="Times New Roman"/>
          <w:noProof/>
          <w:sz w:val="24"/>
          <w:szCs w:val="24"/>
        </w:rPr>
        <w:footnoteReference w:id="58"/>
      </w:r>
      <w:r>
        <w:rPr>
          <w:rFonts w:ascii="Times New Roman" w:hAnsi="Times New Roman" w:cs="Times New Roman"/>
          <w:noProof/>
          <w:sz w:val="24"/>
          <w:szCs w:val="24"/>
        </w:rPr>
        <w:t>. This, in combination with carbon pricing and other operational and technical measures would allow the sector to reduce its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by 22% by 2030 and 88-89% by 2050 compared to 2008 levels (equivalent to 80-82% reduction relative to 1990)</w:t>
      </w:r>
      <w:r>
        <w:rPr>
          <w:rStyle w:val="FootnoteReference"/>
          <w:rFonts w:ascii="Times New Roman" w:hAnsi="Times New Roman" w:cs="Times New Roman"/>
          <w:noProof/>
          <w:sz w:val="24"/>
          <w:szCs w:val="24"/>
        </w:rPr>
        <w:footnoteReference w:id="59"/>
      </w:r>
      <w:r>
        <w:rPr>
          <w:rFonts w:ascii="Times New Roman" w:hAnsi="Times New Roman" w:cs="Times New Roman"/>
          <w:noProof/>
          <w:sz w:val="24"/>
          <w:szCs w:val="24"/>
        </w:rPr>
        <w:t>. In the same vein, the IMO estimates that about 64% of the total amount of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reduction in 2050 would result from the use of alternative fuels</w:t>
      </w:r>
      <w:r>
        <w:rPr>
          <w:rStyle w:val="FootnoteReference"/>
          <w:rFonts w:ascii="Times New Roman" w:hAnsi="Times New Roman" w:cs="Times New Roman"/>
          <w:noProof/>
          <w:sz w:val="24"/>
          <w:szCs w:val="24"/>
        </w:rPr>
        <w:footnoteReference w:id="60"/>
      </w:r>
      <w:r>
        <w:rPr>
          <w:rFonts w:ascii="Times New Roman" w:hAnsi="Times New Roman" w:cs="Times New Roman"/>
          <w:noProof/>
          <w:sz w:val="24"/>
          <w:szCs w:val="24"/>
        </w:rPr>
        <w:t>.</w:t>
      </w:r>
    </w:p>
    <w:p>
      <w:pPr>
        <w:jc w:val="both"/>
        <w:rPr>
          <w:rFonts w:ascii="Times New Roman" w:hAnsi="Times New Roman" w:cs="Times New Roman"/>
          <w:noProof/>
          <w:sz w:val="24"/>
          <w:szCs w:val="24"/>
        </w:rPr>
      </w:pPr>
      <w:r>
        <w:rPr>
          <w:rFonts w:ascii="Times New Roman" w:hAnsi="Times New Roman" w:cs="Times New Roman"/>
          <w:noProof/>
          <w:sz w:val="24"/>
          <w:szCs w:val="24"/>
        </w:rPr>
        <w:t>In addition, the slow uptake of RLF in the maritime sector is an issue to be addressed in the short term because the adoption of new fuels in the sector takes time. LNG provides a good illustration of the time necessary for adoption of new fuels in the sector; while LNG was primarily used already as fuel in Norway in 2000, it took 13 years for it to spread outside Norway</w:t>
      </w:r>
      <w:r>
        <w:rPr>
          <w:rStyle w:val="FootnoteReference"/>
          <w:rFonts w:ascii="Times New Roman" w:hAnsi="Times New Roman" w:cs="Times New Roman"/>
          <w:noProof/>
          <w:sz w:val="24"/>
          <w:szCs w:val="24"/>
        </w:rPr>
        <w:footnoteReference w:id="61"/>
      </w:r>
      <w:r>
        <w:rPr>
          <w:rFonts w:ascii="Times New Roman" w:hAnsi="Times New Roman" w:cs="Times New Roman"/>
          <w:noProof/>
          <w:sz w:val="24"/>
          <w:szCs w:val="24"/>
        </w:rPr>
        <w:t>. Still today, LNG powered ships represent a minor fraction of the fleet, despite the competitive fuel price and the attractiveness of this option to meet the existing requirements on SOx and NOx emissions</w:t>
      </w:r>
      <w:r>
        <w:rPr>
          <w:rStyle w:val="FootnoteReference"/>
          <w:rFonts w:ascii="Times New Roman" w:hAnsi="Times New Roman" w:cs="Times New Roman"/>
          <w:noProof/>
          <w:sz w:val="24"/>
          <w:szCs w:val="24"/>
        </w:rPr>
        <w:footnoteReference w:id="62"/>
      </w:r>
      <w:r>
        <w:rPr>
          <w:rFonts w:ascii="Times New Roman" w:hAnsi="Times New Roman" w:cs="Times New Roman"/>
          <w:noProof/>
          <w:sz w:val="24"/>
          <w:szCs w:val="24"/>
        </w:rPr>
        <w:t>.</w:t>
      </w:r>
    </w:p>
    <w:p>
      <w:pPr>
        <w:jc w:val="both"/>
        <w:rPr>
          <w:rFonts w:ascii="Times New Roman" w:hAnsi="Times New Roman" w:cs="Times New Roman"/>
          <w:noProof/>
          <w:sz w:val="24"/>
          <w:szCs w:val="24"/>
        </w:rPr>
      </w:pPr>
      <w:r>
        <w:rPr>
          <w:rFonts w:ascii="Times New Roman" w:hAnsi="Times New Roman" w:cs="Times New Roman"/>
          <w:noProof/>
          <w:sz w:val="24"/>
          <w:szCs w:val="24"/>
        </w:rPr>
        <w:t>In the open public consultation (OPC), 95% (129/136) of the respondents confirmed that it is ‘very relevant’ or ‘relevant’ to promote the uptake of sustainable alternative fuels and diversify the fuel mix of maritime transport to accelerate the decarbonisation of shipping. Without action at EU level, 59% (19/32) of the respondents to the targeted consultation (TC) think that by 2030, the use of RLF will remain the same as today for ships in navigation. For ships at berth, the share of TC respondents is 44% (14/32).</w:t>
      </w:r>
      <w:r>
        <w:rPr>
          <w:rStyle w:val="FootnoteReference"/>
          <w:rFonts w:ascii="Times New Roman" w:hAnsi="Times New Roman" w:cs="Times New Roman"/>
          <w:noProof/>
          <w:sz w:val="24"/>
          <w:szCs w:val="24"/>
        </w:rPr>
        <w:footnoteReference w:id="63"/>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main problems that this initiative will address therefore concern: </w:t>
      </w:r>
      <w:r>
        <w:rPr>
          <w:rFonts w:ascii="Times New Roman" w:hAnsi="Times New Roman" w:cs="Times New Roman"/>
          <w:b/>
          <w:noProof/>
          <w:sz w:val="24"/>
          <w:szCs w:val="24"/>
        </w:rPr>
        <w:t>(1) the low uptake of RLF by ships calling EU ports</w:t>
      </w:r>
      <w:r>
        <w:rPr>
          <w:rFonts w:ascii="Times New Roman" w:hAnsi="Times New Roman" w:cs="Times New Roman"/>
          <w:noProof/>
          <w:sz w:val="24"/>
          <w:szCs w:val="24"/>
        </w:rPr>
        <w:t xml:space="preserve"> and </w:t>
      </w:r>
      <w:r>
        <w:rPr>
          <w:rFonts w:ascii="Times New Roman" w:hAnsi="Times New Roman" w:cs="Times New Roman"/>
          <w:b/>
          <w:noProof/>
          <w:sz w:val="24"/>
          <w:szCs w:val="24"/>
        </w:rPr>
        <w:t>(2) and the low uptake of zero-pollution fuels by ships at berth in EU ports</w:t>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Although closely resembling, and sharing most of the problem drivers, these are assessed as distinct problems because of two important aspects that differentiate them. The first relates to the consequence of the (non)use of RLF: while the climate effect does not change with respect to the place of emission, the impact of air pollution is considerably higher for ships at berth. This might justify a different and more ambitious policy in terms of type and use of RLF in ports. Indeed, fuels that perform well in terms of both GHG and local pollutants (NOx or PM), such as electricity or hydrogen, are much preferable for use at berth than fuels that perform well on GHG but less so on local pollutants, as is the case of, for example, advanced biofuels and e-fuels. The second aspect relates to the availability of additional technologies for use in ports, where energy can be drawn from shore and use of fuels with low energy density is less problematic. Also this aspect might justify a different approach for ships at berth. </w:t>
      </w:r>
    </w:p>
    <w:p>
      <w:pPr>
        <w:jc w:val="both"/>
        <w:rPr>
          <w:rFonts w:ascii="Times New Roman" w:hAnsi="Times New Roman" w:cs="Times New Roman"/>
          <w:noProof/>
          <w:sz w:val="24"/>
          <w:szCs w:val="24"/>
        </w:rPr>
      </w:pPr>
      <w:r>
        <w:rPr>
          <w:rFonts w:ascii="Times New Roman" w:hAnsi="Times New Roman" w:cs="Times New Roman"/>
          <w:noProof/>
          <w:sz w:val="24"/>
          <w:szCs w:val="24"/>
        </w:rPr>
        <w:t>These two problems need to be addressed because they hamper the sector’s ability to effectively decarbonise in the long term, while also reducing the air pollution emissions in the ports. Ensuring a higher penetration of RLF, along with energy efficiency improvements is critical to bring maritime transport in line with the European ambition of climate-neutrality by 2050 and reduce air pollution from ships in ports and coastal cities.</w:t>
      </w:r>
    </w:p>
    <w:p>
      <w:pPr>
        <w:pStyle w:val="Heading2"/>
        <w:rPr>
          <w:noProof/>
        </w:rPr>
      </w:pPr>
      <w:bookmarkStart w:id="74" w:name="_Toc49520282"/>
      <w:bookmarkStart w:id="75" w:name="_Toc57907268"/>
      <w:bookmarkStart w:id="76" w:name="_Toc59152604"/>
      <w:bookmarkStart w:id="77" w:name="_Toc63426113"/>
      <w:bookmarkStart w:id="78" w:name="_Ref63435756"/>
      <w:bookmarkStart w:id="79" w:name="_Toc63438459"/>
      <w:r>
        <w:rPr>
          <w:noProof/>
        </w:rPr>
        <w:t>What are the problem drivers?</w:t>
      </w:r>
      <w:bookmarkEnd w:id="74"/>
      <w:bookmarkEnd w:id="75"/>
      <w:bookmarkEnd w:id="76"/>
      <w:bookmarkEnd w:id="77"/>
      <w:bookmarkEnd w:id="78"/>
      <w:bookmarkEnd w:id="79"/>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Several drivers underpin these problems and result from significant technological, market or regulatory barriers. They consist in the lack of predictability of the regulatory environment and the resulting high risk for investments; the uncertainty over alternative technologies and the risk for first movers; the higher costs of low-carbon technologies in the absence of significant levels of production; the interdependency between demand, supply and distribution aspects; and sector specific issues related to the possibility of bunkering outside the EU. These issues are summarised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_Ref63432949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2</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w:t>
      </w:r>
    </w:p>
    <w:p>
      <w:pPr>
        <w:pStyle w:val="Caption"/>
        <w:rPr>
          <w:noProof/>
        </w:rPr>
      </w:pPr>
      <w:bookmarkStart w:id="80" w:name="_Ref63432949"/>
      <w:r>
        <w:rPr>
          <w:noProof/>
        </w:rPr>
        <w:t xml:space="preserve">Figure </w:t>
      </w:r>
      <w:r>
        <w:rPr>
          <w:noProof/>
        </w:rPr>
        <w:fldChar w:fldCharType="begin"/>
      </w:r>
      <w:r>
        <w:rPr>
          <w:noProof/>
        </w:rPr>
        <w:instrText xml:space="preserve"> SEQ Figure \* ARABIC </w:instrText>
      </w:r>
      <w:r>
        <w:rPr>
          <w:noProof/>
        </w:rPr>
        <w:fldChar w:fldCharType="separate"/>
      </w:r>
      <w:r>
        <w:rPr>
          <w:noProof/>
        </w:rPr>
        <w:t>2</w:t>
      </w:r>
      <w:r>
        <w:rPr>
          <w:noProof/>
        </w:rPr>
        <w:fldChar w:fldCharType="end"/>
      </w:r>
      <w:bookmarkEnd w:id="80"/>
      <w:r>
        <w:rPr>
          <w:noProof/>
        </w:rPr>
        <w:t>: Problem tree</w:t>
      </w:r>
    </w:p>
    <w:p>
      <w:pPr>
        <w:jc w:val="center"/>
        <w:rPr>
          <w:noProof/>
          <w:szCs w:val="24"/>
        </w:rPr>
      </w:pPr>
      <w:r>
        <w:rPr>
          <w:noProof/>
          <w:szCs w:val="24"/>
          <w:lang w:eastAsia="en-GB"/>
        </w:rPr>
        <w:drawing>
          <wp:inline distT="0" distB="0" distL="0" distR="0">
            <wp:extent cx="4613677" cy="189364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29592" cy="1900177"/>
                    </a:xfrm>
                    <a:prstGeom prst="rect">
                      <a:avLst/>
                    </a:prstGeom>
                    <a:noFill/>
                  </pic:spPr>
                </pic:pic>
              </a:graphicData>
            </a:graphic>
          </wp:inline>
        </w:drawing>
      </w:r>
    </w:p>
    <w:p>
      <w:pPr>
        <w:pStyle w:val="Heading3"/>
        <w:rPr>
          <w:noProof/>
        </w:rPr>
      </w:pPr>
      <w:bookmarkStart w:id="81" w:name="_Toc49520283"/>
      <w:bookmarkStart w:id="82" w:name="_Toc57907269"/>
      <w:bookmarkStart w:id="83" w:name="_Toc59152605"/>
      <w:bookmarkStart w:id="84" w:name="_Toc63426114"/>
      <w:bookmarkStart w:id="85" w:name="_Toc63438460"/>
      <w:r>
        <w:rPr>
          <w:noProof/>
        </w:rPr>
        <w:t>Lack of predictability of the regulatory framework and high risk of investment choices (high risk of stranded assets)</w:t>
      </w:r>
      <w:bookmarkEnd w:id="81"/>
      <w:bookmarkEnd w:id="82"/>
      <w:bookmarkEnd w:id="83"/>
      <w:bookmarkEnd w:id="84"/>
      <w:bookmarkEnd w:id="85"/>
    </w:p>
    <w:p>
      <w:pPr>
        <w:jc w:val="both"/>
        <w:rPr>
          <w:rFonts w:ascii="Times New Roman" w:hAnsi="Times New Roman" w:cs="Times New Roman"/>
          <w:noProof/>
          <w:sz w:val="24"/>
          <w:szCs w:val="24"/>
        </w:rPr>
      </w:pPr>
      <w:r>
        <w:rPr>
          <w:rFonts w:ascii="Times New Roman" w:hAnsi="Times New Roman" w:cs="Times New Roman"/>
          <w:noProof/>
          <w:sz w:val="24"/>
          <w:szCs w:val="24"/>
        </w:rPr>
        <w:t>Ships are costly and long-lived assets; in accordance with data from UNCTAD, the average age of the world merchant fleet in 2019 was around 21 years</w:t>
      </w:r>
      <w:r>
        <w:rPr>
          <w:rStyle w:val="FootnoteReference"/>
          <w:rFonts w:ascii="Times New Roman" w:hAnsi="Times New Roman" w:cs="Times New Roman"/>
          <w:noProof/>
          <w:sz w:val="24"/>
          <w:szCs w:val="24"/>
        </w:rPr>
        <w:footnoteReference w:id="64"/>
      </w:r>
      <w:r>
        <w:rPr>
          <w:rFonts w:ascii="Times New Roman" w:hAnsi="Times New Roman" w:cs="Times New Roman"/>
          <w:noProof/>
          <w:sz w:val="24"/>
          <w:szCs w:val="24"/>
        </w:rPr>
        <w:t xml:space="preserve">, even though differences can be observed across different market segments. The age distribution of ships monitored in 2018 under the MRV system indicate that that the age of vessels operating in Europe is usually lower than the global average as ships are either relocated or sold on the second-hand market. Given this, it is important for ship-owners to anticipate the framework conditions that could impact the economic value of the investment and lead to assets being stranded. This applies both to the operating life of the vessels and to their potential value on the second-hand market. </w:t>
      </w:r>
    </w:p>
    <w:p>
      <w:pPr>
        <w:jc w:val="both"/>
        <w:rPr>
          <w:rFonts w:ascii="Times New Roman" w:hAnsi="Times New Roman" w:cs="Times New Roman"/>
          <w:noProof/>
          <w:sz w:val="24"/>
          <w:szCs w:val="24"/>
        </w:rPr>
      </w:pPr>
      <w:r>
        <w:rPr>
          <w:rFonts w:ascii="Times New Roman" w:hAnsi="Times New Roman" w:cs="Times New Roman"/>
          <w:noProof/>
          <w:sz w:val="24"/>
          <w:szCs w:val="24"/>
        </w:rPr>
        <w:t>Assets would be stranded when they lose economic value well ahead of their anticipated useful life</w:t>
      </w:r>
      <w:r>
        <w:rPr>
          <w:rStyle w:val="FootnoteReference"/>
          <w:rFonts w:ascii="Times New Roman" w:hAnsi="Times New Roman" w:cs="Times New Roman"/>
          <w:noProof/>
          <w:sz w:val="24"/>
          <w:szCs w:val="24"/>
        </w:rPr>
        <w:footnoteReference w:id="65"/>
      </w:r>
      <w:r>
        <w:rPr>
          <w:rFonts w:ascii="Times New Roman" w:hAnsi="Times New Roman" w:cs="Times New Roman"/>
          <w:noProof/>
          <w:sz w:val="24"/>
          <w:szCs w:val="24"/>
        </w:rPr>
        <w:t xml:space="preserve">. The main risk factors resulting in ships becoming stranded assets can be associated with ship specifications no longer meeting needs of demand or regulatory requirements (e.g. possible introduction of new standards). In this context, a predictable regulatory environment is very important for investment decisions. Climate policy can reinforce the risk of stranded assets. This is mainly related to evolving standards, such as the increased level of energy efficiency that cannot be sustained by older equipment.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importance of this driver was also confirmed by the public consultation. After the higher price of RLF, the high risk of investment in vessels technology and port infrastructure was the second most important barrier identified by the respondents. In addition, 61.5% (83/136) of the respondents indicated that the lack of predictability of the regulatory framework was either an important or the most important barrier to the deployment of RLF in maritime transport.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In the absence of clear-cut technological choices (see Section 2.2.2) and of a defined regulatory path setting clear provisions for the decarbonisation of the future fuel mix, it is difficult for operators to build a business case and make long-term investment decisions. Given the potential investment risks, a wait-and-see approach is likely to prevail and defer deployment of new technologies and hence of RLF. </w:t>
      </w:r>
    </w:p>
    <w:p>
      <w:pPr>
        <w:pStyle w:val="Heading3"/>
        <w:rPr>
          <w:noProof/>
          <w:lang w:val="en-IE"/>
        </w:rPr>
      </w:pPr>
      <w:bookmarkStart w:id="86" w:name="_Toc49520284"/>
      <w:bookmarkStart w:id="87" w:name="_Toc57907270"/>
      <w:bookmarkStart w:id="88" w:name="_Toc59152606"/>
      <w:bookmarkStart w:id="89" w:name="_Toc63426115"/>
      <w:bookmarkStart w:id="90" w:name="_Ref63427187"/>
      <w:bookmarkStart w:id="91" w:name="_Toc63438461"/>
      <w:r>
        <w:rPr>
          <w:noProof/>
          <w:lang w:val="en-IE"/>
        </w:rPr>
        <w:t>Low maturity of new renewable and low-carbon fuels/technologies with high risk for first movers</w:t>
      </w:r>
      <w:bookmarkEnd w:id="86"/>
      <w:bookmarkEnd w:id="87"/>
      <w:bookmarkEnd w:id="88"/>
      <w:bookmarkEnd w:id="89"/>
      <w:bookmarkEnd w:id="90"/>
      <w:bookmarkEnd w:id="91"/>
    </w:p>
    <w:p>
      <w:pPr>
        <w:jc w:val="both"/>
        <w:rPr>
          <w:rFonts w:ascii="Times New Roman" w:hAnsi="Times New Roman" w:cs="Times New Roman"/>
          <w:noProof/>
          <w:sz w:val="24"/>
          <w:szCs w:val="24"/>
        </w:rPr>
      </w:pPr>
      <w:r>
        <w:rPr>
          <w:rFonts w:ascii="Times New Roman" w:hAnsi="Times New Roman" w:cs="Times New Roman"/>
          <w:noProof/>
          <w:sz w:val="24"/>
          <w:szCs w:val="24"/>
        </w:rPr>
        <w:t>The uncertainty caused by the unpredictable regulatory environment is compounded by the absence of a clear substitute to fossil fuels. No technological solution has yet emerged as a preferred choice among various alternatives. Most of the alternative technologies are at a low level of maturity</w:t>
      </w:r>
      <w:r>
        <w:rPr>
          <w:rStyle w:val="FootnoteReference"/>
          <w:rFonts w:ascii="Times New Roman" w:hAnsi="Times New Roman" w:cs="Times New Roman"/>
          <w:noProof/>
          <w:sz w:val="24"/>
          <w:szCs w:val="24"/>
        </w:rPr>
        <w:footnoteReference w:id="66"/>
      </w:r>
      <w:r>
        <w:rPr>
          <w:rFonts w:ascii="Times New Roman" w:hAnsi="Times New Roman" w:cs="Times New Roman"/>
          <w:noProof/>
          <w:sz w:val="24"/>
          <w:szCs w:val="24"/>
        </w:rPr>
        <w:t xml:space="preserve"> and the market has not yet started a process of deployment and selection. The difficulty for the market to converge on the choice of alternative technologies is also due to the operating conditions of the sector, which reflect the specific needs and constraints of market operators. The maritime sector is not uniform and important differences can be observed between market segments. </w:t>
      </w:r>
    </w:p>
    <w:p>
      <w:pPr>
        <w:jc w:val="both"/>
        <w:rPr>
          <w:rFonts w:ascii="Times New Roman" w:hAnsi="Times New Roman" w:cs="Times New Roman"/>
          <w:noProof/>
          <w:sz w:val="24"/>
          <w:szCs w:val="24"/>
        </w:rPr>
      </w:pPr>
      <w:r>
        <w:rPr>
          <w:rFonts w:ascii="Times New Roman" w:hAnsi="Times New Roman" w:cs="Times New Roman"/>
          <w:noProof/>
          <w:sz w:val="24"/>
          <w:szCs w:val="24"/>
        </w:rPr>
        <w:t>A first differentiation can be made between short-sea and deep-sea shipping. In the EU, short-sea shipping is defined usually as maritime transport between ports situated in geographical Europe, as well as on the Mediterranean and Black seas</w:t>
      </w:r>
      <w:r>
        <w:rPr>
          <w:rStyle w:val="FootnoteReference"/>
          <w:rFonts w:ascii="Times New Roman" w:hAnsi="Times New Roman" w:cs="Times New Roman"/>
          <w:noProof/>
          <w:sz w:val="24"/>
          <w:szCs w:val="24"/>
        </w:rPr>
        <w:footnoteReference w:id="67"/>
      </w:r>
      <w:r>
        <w:rPr>
          <w:rFonts w:ascii="Times New Roman" w:hAnsi="Times New Roman" w:cs="Times New Roman"/>
          <w:noProof/>
          <w:sz w:val="24"/>
          <w:szCs w:val="24"/>
        </w:rPr>
        <w:t xml:space="preserve">. This type of traffic typically consists of relatively short routes with frequent port calls and can include fixed-schedule routes. In comparison, deep-sea shipping is mainly characterised by vessels covering long routes, without necessarily a regular schedule (with the exception of liners). In practical terms, this differentiation affects the operators’ needs in terms of quantity of fuel carried, energy density (energy per unit volume) and global availability of fuels.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On shorter distances and in ports, lower energy density is sufficient, already opening additional decarbonisation and zero-pollution pathways (e.g. hydrogen and electrification). However, currently, these solutions remain limited to experimental vessels and very specific market segments (e.g. short-distance ferries) with relatively low power requirements and the possibility to bunker or recharge frequently.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An additional element concerns the compatibility of the new fuel options with the existing machinery (no or minor needs to retrofit the ship) and infrastructure. The performance of the different fuel options in terms of air pollutant reduction can also be considered, even though these emissions (e.g. NOx or PM) may be addressed by technical means such as engine management and exhaust gas treatment. This is particularly relevant for the second problem (low uptake of zero pollution fuels by ships at berth), which as mentioned in Section 2.1 is important in these areas. </w:t>
      </w:r>
    </w:p>
    <w:p>
      <w:pPr>
        <w:jc w:val="both"/>
        <w:rPr>
          <w:rFonts w:ascii="Times New Roman" w:hAnsi="Times New Roman" w:cs="Times New Roman"/>
          <w:noProof/>
          <w:sz w:val="24"/>
          <w:szCs w:val="24"/>
        </w:rPr>
      </w:pPr>
      <w:r>
        <w:rPr>
          <w:rFonts w:ascii="Times New Roman" w:hAnsi="Times New Roman" w:cs="Times New Roman"/>
          <w:noProof/>
          <w:sz w:val="24"/>
          <w:szCs w:val="24"/>
        </w:rPr>
        <w:t>Biofuels, biomethane and drop-in e-fuels are compatible with the existing assets and infrastructure (liquid or gaseous) and can therefore be deployed immediately in existing oil- or LNG-fuelled vessels. However, the supply of this type of fuels to the maritime sector is very limited and their GHG reduction potential depends on whether they can be produced and used sustainably at scale (availability of feedstocks, etc.). LNG is a technologically mature solution that substantially contributes to air pollution reduction, but its contribution towards GHG reduction can be limited, particularly taking into account methane slip, and depends on the engine technology</w:t>
      </w:r>
      <w:r>
        <w:rPr>
          <w:rStyle w:val="FootnoteReference"/>
          <w:rFonts w:ascii="Times New Roman" w:hAnsi="Times New Roman" w:cs="Times New Roman"/>
          <w:noProof/>
          <w:sz w:val="24"/>
          <w:szCs w:val="24"/>
        </w:rPr>
        <w:footnoteReference w:id="68"/>
      </w:r>
      <w:r>
        <w:rPr>
          <w:rFonts w:ascii="Times New Roman" w:hAnsi="Times New Roman" w:cs="Times New Roman"/>
          <w:noProof/>
          <w:sz w:val="24"/>
          <w:szCs w:val="24"/>
        </w:rPr>
        <w:t>. Other RLF may be deployable within existing vessels as a retrofit, but these options are at an early stage of development. Regarding OPS, the technology can be considered to be at a mature stage. Based on information by the European Alternative Fuels Observatory (EAFO)</w:t>
      </w:r>
      <w:r>
        <w:rPr>
          <w:rStyle w:val="FootnoteReference"/>
          <w:rFonts w:ascii="Times New Roman" w:hAnsi="Times New Roman" w:cs="Times New Roman"/>
          <w:noProof/>
          <w:sz w:val="24"/>
          <w:szCs w:val="24"/>
        </w:rPr>
        <w:footnoteReference w:id="69"/>
      </w:r>
      <w:r>
        <w:rPr>
          <w:rFonts w:ascii="Times New Roman" w:hAnsi="Times New Roman" w:cs="Times New Roman"/>
          <w:noProof/>
          <w:sz w:val="24"/>
          <w:szCs w:val="24"/>
        </w:rPr>
        <w:t>, ports in Europe have started the first steps in using these installations as of the 1990’s, and an increased trend in their installation is recorded since 2010. Ports now have experience with such installations for different vessel types.</w:t>
      </w:r>
    </w:p>
    <w:p>
      <w:pPr>
        <w:jc w:val="both"/>
        <w:rPr>
          <w:rFonts w:ascii="Times New Roman" w:hAnsi="Times New Roman" w:cs="Times New Roman"/>
          <w:noProof/>
          <w:sz w:val="24"/>
          <w:szCs w:val="24"/>
        </w:rPr>
      </w:pPr>
      <w:r>
        <w:rPr>
          <w:rFonts w:ascii="Times New Roman" w:hAnsi="Times New Roman" w:cs="Times New Roman"/>
          <w:noProof/>
          <w:sz w:val="24"/>
          <w:szCs w:val="24"/>
        </w:rPr>
        <w:t>The feedback received from the consultation activities in preparation of this initiative confirmed that market actors expect using a variety of fuels still in 2050 with no dominant source of energy. The respondents of the targeted consultation survey indicated also their expectation on fuels most likely to be used in 2030 and 2050, both during navigation and at berth. Concerning 2030, biofuels are perceived as most promising for use in navigation, followed by batteries. Looking at 2050, the expectations are different: the categories ‘other decarbonised hydrogen-derived fuels (including ammonia)’ and ‘Decarbonized hydrogen (including fuel cells)’ received the highest scores. For emissions at berth, the alternative fuel option that stands out in being promising both for 2030 and 2050 is OPS</w:t>
      </w:r>
      <w:r>
        <w:rPr>
          <w:rStyle w:val="FootnoteReference"/>
          <w:rFonts w:ascii="Times New Roman" w:hAnsi="Times New Roman" w:cs="Times New Roman"/>
          <w:noProof/>
          <w:sz w:val="24"/>
          <w:szCs w:val="24"/>
        </w:rPr>
        <w:footnoteReference w:id="70"/>
      </w:r>
      <w:r>
        <w:rPr>
          <w:rFonts w:ascii="Times New Roman" w:hAnsi="Times New Roman" w:cs="Times New Roman"/>
          <w:noProof/>
          <w:sz w:val="24"/>
          <w:szCs w:val="24"/>
        </w:rPr>
        <w:t>.</w:t>
      </w:r>
    </w:p>
    <w:p>
      <w:pPr>
        <w:jc w:val="both"/>
        <w:rPr>
          <w:rFonts w:ascii="Times New Roman" w:hAnsi="Times New Roman" w:cs="Times New Roman"/>
          <w:noProof/>
          <w:sz w:val="24"/>
          <w:szCs w:val="24"/>
        </w:rPr>
      </w:pPr>
      <w:r>
        <w:rPr>
          <w:rFonts w:ascii="Times New Roman" w:hAnsi="Times New Roman" w:cs="Times New Roman"/>
          <w:noProof/>
          <w:sz w:val="24"/>
          <w:szCs w:val="24"/>
        </w:rPr>
        <w:t>The ‘wait and see’ attitude of market operators can therefore be explained with the uncertainty on both the right timing of investments – also in connection with regulatory requirements (see also 2.2.1) – and on the choice of technologies; all in a context of long-lived and costly assets (vessels) and different needs in different business segments.</w:t>
      </w:r>
    </w:p>
    <w:p>
      <w:pPr>
        <w:pStyle w:val="Heading3"/>
        <w:rPr>
          <w:noProof/>
        </w:rPr>
      </w:pPr>
      <w:bookmarkStart w:id="92" w:name="_Toc49520285"/>
      <w:bookmarkStart w:id="93" w:name="_Toc57907271"/>
      <w:bookmarkStart w:id="94" w:name="_Toc59152607"/>
      <w:bookmarkStart w:id="95" w:name="_Toc63426116"/>
      <w:bookmarkStart w:id="96" w:name="_Toc63438462"/>
      <w:r>
        <w:rPr>
          <w:noProof/>
        </w:rPr>
        <w:t>Higher costs of alternatives compared to fossil fuels (also due to insufficient economies of scale)</w:t>
      </w:r>
      <w:bookmarkEnd w:id="92"/>
      <w:bookmarkEnd w:id="93"/>
      <w:bookmarkEnd w:id="94"/>
      <w:bookmarkEnd w:id="95"/>
      <w:bookmarkEnd w:id="96"/>
    </w:p>
    <w:p>
      <w:pPr>
        <w:jc w:val="both"/>
        <w:rPr>
          <w:rFonts w:ascii="Times New Roman" w:hAnsi="Times New Roman" w:cs="Times New Roman"/>
          <w:noProof/>
          <w:sz w:val="24"/>
          <w:szCs w:val="24"/>
        </w:rPr>
      </w:pPr>
      <w:r>
        <w:rPr>
          <w:rFonts w:ascii="Times New Roman" w:hAnsi="Times New Roman" w:cs="Times New Roman"/>
          <w:noProof/>
          <w:sz w:val="24"/>
          <w:szCs w:val="24"/>
        </w:rPr>
        <w:t>In response to the public consultation carried out in the context of this initiative 47.8% of the respondents (65/136) indicated the higher price of RLF as a very relevant barrier to their uptake, which made this barrier score the highest. This problem driver is particularly critical as the costs of fuel is the single most important item determining the voyage costs of a ship, accounting for 47% of the total</w:t>
      </w:r>
      <w:r>
        <w:rPr>
          <w:rStyle w:val="FootnoteReference"/>
          <w:rFonts w:ascii="Times New Roman" w:hAnsi="Times New Roman" w:cs="Times New Roman"/>
          <w:noProof/>
          <w:sz w:val="24"/>
          <w:szCs w:val="24"/>
        </w:rPr>
        <w:footnoteReference w:id="71"/>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cost of RLF is generally higher than that of fossil fuels. Increasing the production volumes can be expected to reduce production cost due to learning effects and economies of scales, but the lack of current profitability and of significant volumes of expected demand forms a major barrier to investment.</w:t>
      </w:r>
    </w:p>
    <w:p>
      <w:pPr>
        <w:jc w:val="both"/>
        <w:rPr>
          <w:noProof/>
          <w:sz w:val="24"/>
          <w:szCs w:val="24"/>
          <w:lang w:val="en-US"/>
        </w:rPr>
      </w:pPr>
      <w:r>
        <w:rPr>
          <w:rFonts w:ascii="Times New Roman" w:hAnsi="Times New Roman" w:cs="Times New Roman"/>
          <w:noProof/>
          <w:sz w:val="24"/>
          <w:szCs w:val="24"/>
        </w:rPr>
        <w:t xml:space="preserve">While existing literature confirms the price gap between RLF and conventional fuels, it also shows that the production cost ranges of biofuels and e-fuels are larger than those of fossil fuels. To some extent, this is caused by the fact that production systems for biofuels and e-fuels are newer and subject of uncertainties and on-going research. For biofuels, this also relates to the variety of biomass feedstocks and feedstock prices and the variety of production technologies in existence. For e-fuels the wide ranges also relate to the uncertainty about renewable electricity costs, which are linked to electricity market price developments and which form a major part of the production costs of e-fuels. This is a similar challenge for the uptake of OPS. The energy price at the grid (including taxes) must be comparable to the bunkering price of the conventional fuel for the OPS to be economically attractive for use on a vessel. The price gap is an element that stakeholders like the </w:t>
      </w:r>
      <w:r>
        <w:rPr>
          <w:rFonts w:ascii="Times New Roman" w:hAnsi="Times New Roman" w:cs="Times New Roman"/>
          <w:noProof/>
          <w:sz w:val="24"/>
          <w:szCs w:val="24"/>
          <w:lang w:val="en-US"/>
        </w:rPr>
        <w:t>European Sea Ports Organisation (ESPO), are considering as reducing the demand for OPS</w:t>
      </w:r>
      <w:r>
        <w:rPr>
          <w:rStyle w:val="FootnoteReference"/>
          <w:rFonts w:ascii="Times New Roman" w:hAnsi="Times New Roman" w:cs="Times New Roman"/>
          <w:noProof/>
          <w:sz w:val="24"/>
          <w:szCs w:val="24"/>
          <w:lang w:val="en-US"/>
        </w:rPr>
        <w:footnoteReference w:id="72"/>
      </w:r>
      <w:r>
        <w:rPr>
          <w:rFonts w:ascii="Times New Roman" w:hAnsi="Times New Roman" w:cs="Times New Roman"/>
          <w:noProof/>
          <w:sz w:val="24"/>
          <w:szCs w:val="24"/>
          <w:lang w:val="en-US"/>
        </w:rPr>
        <w:t>.</w:t>
      </w:r>
    </w:p>
    <w:p>
      <w:pPr>
        <w:jc w:val="both"/>
        <w:rPr>
          <w:noProof/>
          <w:szCs w:val="24"/>
        </w:rPr>
      </w:pPr>
      <w:r>
        <w:rPr>
          <w:rFonts w:ascii="Times New Roman" w:hAnsi="Times New Roman" w:cs="Times New Roman"/>
          <w:noProof/>
          <w:sz w:val="24"/>
          <w:szCs w:val="24"/>
        </w:rPr>
        <w:t xml:space="preserve">These prices are expected to fall as technology matures. In this respect, the EU Hydrogen Strategy already notes that costs for renewable hydrogen are going down quickly. For instance, the costs for electrolysers, which are necessary for the production of renewable hydrogen, have already been reduced by 60% in the last ten years, and are expected to halve in 2030 compared to today with economies of scale. In regions where renewable electricity is cheap and available, electrolysers may be able to compete with fossil-based hydrogen already in 2030. On the other hand, in the medium to long term the competition for biomass feedstocks with other energy and transport sectors in the transition towards a climate neutral economy is expected to push the feedstock prices upwards. This is fully taken into account in the analysis and further explained in Section 5.4.   </w:t>
      </w:r>
    </w:p>
    <w:p>
      <w:pPr>
        <w:jc w:val="both"/>
        <w:rPr>
          <w:rFonts w:ascii="Times New Roman" w:hAnsi="Times New Roman" w:cs="Times New Roman"/>
          <w:noProof/>
          <w:sz w:val="24"/>
          <w:szCs w:val="24"/>
        </w:rPr>
      </w:pPr>
      <w:r>
        <w:rPr>
          <w:rFonts w:ascii="Times New Roman" w:hAnsi="Times New Roman" w:cs="Times New Roman"/>
          <w:noProof/>
          <w:sz w:val="24"/>
          <w:szCs w:val="24"/>
        </w:rPr>
        <w:t>The fragmentation of the sector and the high level of customisation of vessels represent a barrier to reach critical mass for the deployment of new technologies, unless a significant number of operators takes action. The lack of sufficient production levels contribute to the higher cost of RLF compared to conventional fossil fuels, which remains a barrier to their uptake</w:t>
      </w:r>
      <w:r>
        <w:rPr>
          <w:rStyle w:val="FootnoteReference"/>
          <w:rFonts w:ascii="Times New Roman" w:hAnsi="Times New Roman" w:cs="Times New Roman"/>
          <w:noProof/>
          <w:sz w:val="24"/>
          <w:szCs w:val="24"/>
        </w:rPr>
        <w:footnoteReference w:id="73"/>
      </w:r>
      <w:r>
        <w:rPr>
          <w:rFonts w:ascii="Times New Roman" w:hAnsi="Times New Roman" w:cs="Times New Roman"/>
          <w:noProof/>
          <w:sz w:val="24"/>
          <w:szCs w:val="24"/>
        </w:rPr>
        <w:t>. MBMs, such as ETS or ETD, may help bridging the gap, but the price difference is likely to remain too high until the production of sustainable fuels and technologies achieves sufficient economies of scale. A price of emission allowances of at least €200/tCO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would be necessary to make RLF economically interesting, which is unlikely in the short- or medium-term. </w:t>
      </w:r>
    </w:p>
    <w:p>
      <w:pPr>
        <w:pStyle w:val="Heading3"/>
        <w:rPr>
          <w:noProof/>
          <w:lang w:val="en-IE"/>
        </w:rPr>
      </w:pPr>
      <w:bookmarkStart w:id="97" w:name="_Toc49520286"/>
      <w:bookmarkStart w:id="98" w:name="_Toc57907272"/>
      <w:bookmarkStart w:id="99" w:name="_Toc59152608"/>
      <w:bookmarkStart w:id="100" w:name="_Toc63426117"/>
      <w:bookmarkStart w:id="101" w:name="_Ref63435783"/>
      <w:bookmarkStart w:id="102" w:name="_Toc63438463"/>
      <w:r>
        <w:rPr>
          <w:noProof/>
          <w:lang w:val="en-IE"/>
        </w:rPr>
        <w:t>High interdependency with supply and distribution (chicken-and-egg situation)</w:t>
      </w:r>
      <w:bookmarkEnd w:id="97"/>
      <w:bookmarkEnd w:id="98"/>
      <w:bookmarkEnd w:id="99"/>
      <w:bookmarkEnd w:id="100"/>
      <w:bookmarkEnd w:id="101"/>
      <w:bookmarkEnd w:id="102"/>
    </w:p>
    <w:p>
      <w:pPr>
        <w:jc w:val="both"/>
        <w:rPr>
          <w:rFonts w:ascii="Times New Roman" w:hAnsi="Times New Roman" w:cs="Times New Roman"/>
          <w:noProof/>
          <w:sz w:val="24"/>
          <w:szCs w:val="24"/>
        </w:rPr>
      </w:pPr>
      <w:r>
        <w:rPr>
          <w:rFonts w:ascii="Times New Roman" w:hAnsi="Times New Roman" w:cs="Times New Roman"/>
          <w:noProof/>
          <w:sz w:val="24"/>
          <w:szCs w:val="24"/>
          <w:lang w:val="en-IE"/>
        </w:rPr>
        <w:t>The introduction of new fuels does not only require the development of appropriate vessel technologies (</w:t>
      </w:r>
      <w:r>
        <w:rPr>
          <w:rFonts w:ascii="Times New Roman" w:hAnsi="Times New Roman" w:cs="Times New Roman"/>
          <w:noProof/>
          <w:sz w:val="24"/>
          <w:szCs w:val="24"/>
        </w:rPr>
        <w:t xml:space="preserve">see 2.2.2) or the willingness of users to adopt a new source of energy; it also necessitates sufficient availability of fuels in terms of production (type and quantity of fuel produced), supply and distribution through an adequate bunkering infrastructure. The global nature of the maritime business means that many vessels need to be able to operate and refuel across the world. Therefore, an alternative technology to fossil fuels would require the availability of sufficient production of the energy carrier, vessels capable of using it, and an infrastructure for its distribution in ports around the world.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Although the situation differs depending on the technology, in all cases there is a strong need for coordination between supply and demand. Investments in production are not made, and economies of scale are not reached, without enough demand; conversely, there is not enough demand without a reasonable priced supply (‘chicken-and-egg’ situation). This is a clear case of interdependency of business decisions by market actors on the side of demand (ship operators and ship owners) and supply (fuel production, supply and infrastructure). At present, the EU regulatory framework focusses on the supply, infrastructure and distribution of fuels, but puts no obligations on their use. </w:t>
      </w:r>
    </w:p>
    <w:p>
      <w:pPr>
        <w:jc w:val="both"/>
        <w:rPr>
          <w:rFonts w:ascii="Times New Roman" w:hAnsi="Times New Roman" w:cs="Times New Roman"/>
          <w:noProof/>
          <w:sz w:val="24"/>
          <w:szCs w:val="24"/>
        </w:rPr>
      </w:pPr>
      <w:r>
        <w:rPr>
          <w:rFonts w:ascii="Times New Roman" w:hAnsi="Times New Roman" w:cs="Times New Roman"/>
          <w:noProof/>
          <w:sz w:val="24"/>
          <w:szCs w:val="24"/>
        </w:rPr>
        <w:t>AFID establishes rules on the deployment of alternative fuels infrastructure for transport, including provisions for equipment of ports on the Trans-European Transport Network (TEN-T) for the supply of LNG and OPS</w:t>
      </w:r>
      <w:r>
        <w:rPr>
          <w:rStyle w:val="FootnoteReference"/>
          <w:rFonts w:ascii="Times New Roman" w:hAnsi="Times New Roman" w:cs="Times New Roman"/>
          <w:noProof/>
          <w:sz w:val="24"/>
          <w:szCs w:val="24"/>
        </w:rPr>
        <w:footnoteReference w:id="74"/>
      </w:r>
      <w:r>
        <w:rPr>
          <w:rFonts w:ascii="Times New Roman" w:hAnsi="Times New Roman" w:cs="Times New Roman"/>
          <w:noProof/>
          <w:sz w:val="24"/>
          <w:szCs w:val="24"/>
        </w:rPr>
        <w:t>. While the Directive was expected to create sufficient conditions for the use of alternative fuels, the very low demand for alternative fuels or connections to the electric grid while at berth gave grounds to ports to delay investments in the relevant infrastructure. AFID is due to be reviewed</w:t>
      </w:r>
      <w:r>
        <w:rPr>
          <w:rStyle w:val="FootnoteReference"/>
          <w:rFonts w:ascii="Times New Roman" w:hAnsi="Times New Roman" w:cs="Times New Roman"/>
          <w:noProof/>
          <w:sz w:val="24"/>
          <w:szCs w:val="24"/>
        </w:rPr>
        <w:footnoteReference w:id="75"/>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Indeed, data compiled by the European Alternative Fuels Observatory (EAFO)</w:t>
      </w:r>
      <w:r>
        <w:rPr>
          <w:rStyle w:val="FootnoteReference"/>
          <w:rFonts w:ascii="Times New Roman" w:hAnsi="Times New Roman" w:cs="Times New Roman"/>
          <w:noProof/>
          <w:sz w:val="24"/>
          <w:szCs w:val="24"/>
        </w:rPr>
        <w:footnoteReference w:id="76"/>
      </w:r>
      <w:r>
        <w:rPr>
          <w:rFonts w:ascii="Times New Roman" w:hAnsi="Times New Roman" w:cs="Times New Roman"/>
          <w:noProof/>
          <w:sz w:val="24"/>
          <w:szCs w:val="24"/>
        </w:rPr>
        <w:t xml:space="preserve"> show that the deployment of OPS has been slower than initially expected – in December 2020, 41 maritime and inland waterway EU ports had at least one berth equipped with OPS. However, depending on the location within the port and the power provided at each OPS, only specific vessels can be supplied with power while at berth. For example, an OPS located at a container terminal can only supply container vessels but not passenger vessels.  Concentrating the regulatory approach solely on the provision of infrastructure may therefore not be sufficient to break the “chicken-and-egg” situation. </w:t>
      </w:r>
    </w:p>
    <w:p>
      <w:pPr>
        <w:jc w:val="both"/>
        <w:rPr>
          <w:rFonts w:ascii="Times New Roman" w:hAnsi="Times New Roman" w:cs="Times New Roman"/>
          <w:noProof/>
          <w:sz w:val="24"/>
          <w:szCs w:val="24"/>
        </w:rPr>
      </w:pPr>
      <w:r>
        <w:rPr>
          <w:rFonts w:ascii="Times New Roman" w:hAnsi="Times New Roman" w:cs="Times New Roman"/>
          <w:noProof/>
          <w:sz w:val="24"/>
          <w:szCs w:val="24"/>
        </w:rPr>
        <w:t>The development of the LNG-fuelled fleet and the LNG bunkering infrastructure is a case in point. LNG requires ships with special tanks, piping and engines. It is most cost-effective to supply LNG to these ships with a bunker vessel, but this requires a significant investment which can only be earned back when there is sufficient demand. It has taken about half a decade before the increase in the number of LNG-fuelled ships resulted in the deployment of LNG bunker vessels in ports</w:t>
      </w:r>
      <w:r>
        <w:rPr>
          <w:rStyle w:val="FootnoteReference"/>
          <w:rFonts w:ascii="Times New Roman" w:hAnsi="Times New Roman" w:cs="Times New Roman"/>
          <w:noProof/>
          <w:sz w:val="24"/>
          <w:szCs w:val="24"/>
        </w:rPr>
        <w:footnoteReference w:id="77"/>
      </w:r>
      <w:r>
        <w:rPr>
          <w:rFonts w:ascii="Times New Roman" w:hAnsi="Times New Roman" w:cs="Times New Roman"/>
          <w:noProof/>
          <w:sz w:val="24"/>
          <w:szCs w:val="24"/>
        </w:rPr>
        <w:t>. Note that, even though the use of LNG required an upfront investment (in particular in vessels’ technologies and the development of the bunkering infrastructure), LNG was cheaper than HFO per unit of energy, throughout the 2010-2020 period in all years except 2016 (DNVGL (2020), Alternative Fuels Insight</w:t>
      </w:r>
      <w:r>
        <w:rPr>
          <w:rStyle w:val="FootnoteReference"/>
          <w:rFonts w:ascii="Times New Roman" w:hAnsi="Times New Roman" w:cs="Times New Roman"/>
          <w:noProof/>
          <w:sz w:val="24"/>
          <w:szCs w:val="24"/>
        </w:rPr>
        <w:footnoteReference w:id="78"/>
      </w:r>
      <w:r>
        <w:rPr>
          <w:rFonts w:ascii="Times New Roman" w:hAnsi="Times New Roman" w:cs="Times New Roman"/>
          <w:noProof/>
          <w:sz w:val="24"/>
          <w:szCs w:val="24"/>
        </w:rPr>
        <w:t>) and significantly cheaper than marine gas oil (MGO)</w:t>
      </w:r>
      <w:r>
        <w:rPr>
          <w:rStyle w:val="FootnoteReference"/>
          <w:rFonts w:ascii="Times New Roman" w:hAnsi="Times New Roman" w:cs="Times New Roman"/>
          <w:noProof/>
          <w:sz w:val="24"/>
          <w:szCs w:val="24"/>
        </w:rPr>
        <w:footnoteReference w:id="79"/>
      </w:r>
      <w:r>
        <w:rPr>
          <w:rFonts w:ascii="Times New Roman" w:hAnsi="Times New Roman" w:cs="Times New Roman"/>
          <w:noProof/>
          <w:sz w:val="24"/>
          <w:szCs w:val="24"/>
        </w:rPr>
        <w:t xml:space="preserve"> for the entire period.</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Besides the provision of adequate distribution infrastructure, there is an additional interdependency with the production of fuels. Alternative fuels are not put in production unless there is a demand, or at least market prospects; but without guaranteed availability of fuels, operators do not invest in alternative fuel vessels and do not generate demand. </w:t>
      </w:r>
    </w:p>
    <w:p>
      <w:pPr>
        <w:jc w:val="both"/>
        <w:rPr>
          <w:rFonts w:ascii="Times New Roman" w:hAnsi="Times New Roman" w:cs="Times New Roman"/>
          <w:noProof/>
          <w:sz w:val="24"/>
          <w:szCs w:val="24"/>
        </w:rPr>
      </w:pPr>
      <w:r>
        <w:rPr>
          <w:rFonts w:ascii="Times New Roman" w:hAnsi="Times New Roman" w:cs="Times New Roman"/>
          <w:noProof/>
          <w:sz w:val="24"/>
          <w:szCs w:val="24"/>
        </w:rPr>
        <w:t>The RED II supports the supply of RLF for the land (road and rail) transport sectors and indirectly for the aviation and maritime transport sector, via the use of multipliers. The Directive must be transposed by the Member States into national legislation by 30 June 2021. Its impact on the use of RLF in maritime remains still uncertain at this stage.</w:t>
      </w:r>
      <w:r>
        <w:rPr>
          <w:noProof/>
        </w:rPr>
        <w:t xml:space="preserve"> </w:t>
      </w:r>
      <w:r>
        <w:rPr>
          <w:rFonts w:ascii="Times New Roman" w:hAnsi="Times New Roman" w:cs="Times New Roman"/>
          <w:noProof/>
          <w:sz w:val="24"/>
          <w:szCs w:val="24"/>
        </w:rPr>
        <w:t xml:space="preserve">The revision of the REDII Directive is also part of the ‘Fit for 55’ package. This should provide further incentives for the supply of RLF to the maritime transport sector.   </w:t>
      </w:r>
    </w:p>
    <w:p>
      <w:pPr>
        <w:pStyle w:val="Heading3"/>
        <w:rPr>
          <w:noProof/>
          <w:lang w:val="en-IE"/>
        </w:rPr>
      </w:pPr>
      <w:bookmarkStart w:id="103" w:name="_Toc57907273"/>
      <w:bookmarkStart w:id="104" w:name="_Toc59152609"/>
      <w:bookmarkStart w:id="105" w:name="_Toc63426118"/>
      <w:bookmarkStart w:id="106" w:name="_Toc63438464"/>
      <w:bookmarkStart w:id="107" w:name="_Toc49520287"/>
      <w:r>
        <w:rPr>
          <w:noProof/>
          <w:lang w:val="en-IE"/>
        </w:rPr>
        <w:t>Possibility of bunkering outside EU (risk of carbon leakage)</w:t>
      </w:r>
      <w:bookmarkEnd w:id="103"/>
      <w:bookmarkEnd w:id="104"/>
      <w:bookmarkEnd w:id="105"/>
      <w:bookmarkEnd w:id="106"/>
      <w:r>
        <w:rPr>
          <w:noProof/>
          <w:lang w:val="en-IE"/>
        </w:rPr>
        <w:t xml:space="preserve"> </w:t>
      </w:r>
      <w:bookmarkEnd w:id="107"/>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Being an international sector by nature, maritime transport is highly prone to carbon leakage. If rules were to apply to fuels </w:t>
      </w:r>
      <w:r>
        <w:rPr>
          <w:rFonts w:ascii="Times New Roman" w:hAnsi="Times New Roman" w:cs="Times New Roman"/>
          <w:i/>
          <w:iCs/>
          <w:noProof/>
          <w:sz w:val="24"/>
          <w:szCs w:val="24"/>
        </w:rPr>
        <w:t>sold</w:t>
      </w:r>
      <w:r>
        <w:rPr>
          <w:rFonts w:ascii="Times New Roman" w:hAnsi="Times New Roman" w:cs="Times New Roman"/>
          <w:noProof/>
          <w:sz w:val="24"/>
          <w:szCs w:val="24"/>
        </w:rPr>
        <w:t xml:space="preserve"> in Europe without obligations for their use, it would be possible for many vessels active in both deep sea and short sea trades to bunker fuel outside the EU. Due to their large tank capacities, most ships are able to undertake long voyages on a single bunkering. Estimations made in the framework of the support study for this impact assessment (Ecorys / CE Delft, forthcoming) indicate that bulk carriers can sail more than 30,000 nautical miles (nm) on average on full tanks, containerships up to 50,000 nm and tankers between 10,000 nm and 30,000 nm on average. To put this into perspective, a transatlantic journey from Europe would cover around 6,000-7,000 nm and a journey to South-East Asia around 10,000 nm. </w:t>
      </w:r>
    </w:p>
    <w:p>
      <w:pPr>
        <w:jc w:val="both"/>
        <w:rPr>
          <w:rFonts w:ascii="Times New Roman" w:hAnsi="Times New Roman" w:cs="Times New Roman"/>
          <w:noProof/>
          <w:sz w:val="24"/>
          <w:szCs w:val="24"/>
        </w:rPr>
      </w:pPr>
      <w:r>
        <w:rPr>
          <w:rFonts w:ascii="Times New Roman" w:hAnsi="Times New Roman" w:cs="Times New Roman"/>
          <w:noProof/>
          <w:sz w:val="24"/>
          <w:szCs w:val="24"/>
        </w:rPr>
        <w:t>A number of important bunkering hubs are located in the EU, in particular the ports of Rotterdam, Antwerp and Algeciras, which rank among the world’s ten largest ports for bunkering (in terms of volume)</w:t>
      </w:r>
      <w:r>
        <w:rPr>
          <w:rStyle w:val="FootnoteReference"/>
          <w:rFonts w:ascii="Times New Roman" w:hAnsi="Times New Roman" w:cs="Times New Roman"/>
          <w:noProof/>
          <w:sz w:val="24"/>
          <w:szCs w:val="24"/>
        </w:rPr>
        <w:footnoteReference w:id="80"/>
      </w:r>
      <w:r>
        <w:rPr>
          <w:rFonts w:ascii="Times New Roman" w:hAnsi="Times New Roman" w:cs="Times New Roman"/>
          <w:noProof/>
          <w:sz w:val="24"/>
          <w:szCs w:val="24"/>
        </w:rPr>
        <w:t>. Overall, in 2017, European countries (including the UK) supplied a little less than 20% of the international maritime bunker fuels</w:t>
      </w:r>
      <w:r>
        <w:rPr>
          <w:rStyle w:val="FootnoteReference"/>
          <w:rFonts w:ascii="Times New Roman" w:hAnsi="Times New Roman" w:cs="Times New Roman"/>
          <w:noProof/>
          <w:sz w:val="24"/>
          <w:szCs w:val="24"/>
        </w:rPr>
        <w:footnoteReference w:id="81"/>
      </w:r>
      <w:r>
        <w:rPr>
          <w:rFonts w:ascii="Times New Roman" w:hAnsi="Times New Roman" w:cs="Times New Roman"/>
          <w:noProof/>
          <w:sz w:val="24"/>
          <w:szCs w:val="24"/>
        </w:rPr>
        <w:t>. The study carried out in 2011 in support for the impact assessment of a proposal to address maritime transport GHG emissions</w:t>
      </w:r>
      <w:r>
        <w:rPr>
          <w:rStyle w:val="FootnoteReference"/>
          <w:rFonts w:ascii="Times New Roman" w:hAnsi="Times New Roman" w:cs="Times New Roman"/>
          <w:noProof/>
          <w:sz w:val="24"/>
          <w:szCs w:val="24"/>
        </w:rPr>
        <w:footnoteReference w:id="82"/>
      </w:r>
      <w:r>
        <w:rPr>
          <w:rFonts w:ascii="Times New Roman" w:hAnsi="Times New Roman" w:cs="Times New Roman"/>
          <w:noProof/>
          <w:sz w:val="24"/>
          <w:szCs w:val="24"/>
        </w:rPr>
        <w:t xml:space="preserve">, notes that the possible introduction of taxes on fuel supplied is likely to be circumvented by bunkering outside the scheme (either in ports outside the EU, or by using offshore bunkering facilities). Addressing only the EU supply of RLF would, in principle, not be sufficient to provide the expected results in terms of higher penetration of these fuels in the maritime fuel mix.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possibility of bunkering outside the EU also calls for requirements that do not distort the level playing field between fuel distributors and producers within and outside the EU. </w:t>
      </w:r>
    </w:p>
    <w:p>
      <w:pPr>
        <w:pStyle w:val="Heading2"/>
        <w:rPr>
          <w:noProof/>
        </w:rPr>
      </w:pPr>
      <w:bookmarkStart w:id="108" w:name="_Toc49520288"/>
      <w:bookmarkStart w:id="109" w:name="_Toc57907274"/>
      <w:bookmarkStart w:id="110" w:name="_Toc59152610"/>
      <w:bookmarkStart w:id="111" w:name="_Toc63426119"/>
      <w:bookmarkStart w:id="112" w:name="_Ref63435817"/>
      <w:bookmarkStart w:id="113" w:name="_Toc63438465"/>
      <w:r>
        <w:rPr>
          <w:noProof/>
        </w:rPr>
        <w:t>How will the problem evolve?</w:t>
      </w:r>
      <w:bookmarkEnd w:id="108"/>
      <w:bookmarkEnd w:id="109"/>
      <w:bookmarkEnd w:id="110"/>
      <w:bookmarkEnd w:id="111"/>
      <w:bookmarkEnd w:id="112"/>
      <w:bookmarkEnd w:id="113"/>
    </w:p>
    <w:p>
      <w:pPr>
        <w:jc w:val="both"/>
        <w:rPr>
          <w:rFonts w:ascii="Times New Roman" w:hAnsi="Times New Roman" w:cs="Times New Roman"/>
          <w:noProof/>
          <w:sz w:val="24"/>
          <w:szCs w:val="24"/>
        </w:rPr>
      </w:pPr>
      <w:r>
        <w:rPr>
          <w:rFonts w:ascii="Times New Roman" w:hAnsi="Times New Roman" w:cs="Times New Roman"/>
          <w:noProof/>
          <w:sz w:val="24"/>
          <w:szCs w:val="24"/>
        </w:rPr>
        <w:t>It is unlikely that the situation will evolve towards a significantly greater penetration of RLF in shipping without further policy intervention. The uptake is likely to remain anecdotal, driven by pioneers in the sector. The baseline scenario, showing developments under current trends and policies</w:t>
      </w:r>
      <w:r>
        <w:rPr>
          <w:rStyle w:val="FootnoteReference"/>
          <w:rFonts w:ascii="Times New Roman" w:hAnsi="Times New Roman" w:cs="Times New Roman"/>
          <w:noProof/>
          <w:sz w:val="24"/>
          <w:szCs w:val="24"/>
        </w:rPr>
        <w:footnoteReference w:id="83"/>
      </w:r>
      <w:r>
        <w:rPr>
          <w:rFonts w:ascii="Times New Roman" w:hAnsi="Times New Roman" w:cs="Times New Roman"/>
          <w:noProof/>
          <w:sz w:val="24"/>
          <w:szCs w:val="24"/>
        </w:rPr>
        <w:t>, projects a limited uptake of biofuels in international maritime by 2050 (0.1% in 2030 and 1.3% in 2050). Electricity use at berth is also projected to remain limited at around 0.1% of the total fuel mix by 2050. No other type of RLF is foreseen to enter the international maritime fuel mix by 2050 without further intervention. As a result, tank to wake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are projected to increase by 14% by 2030 and by over 30% by 2050 relative to 2015. By 2050 this would imply a stabilisation of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to their 2008 levels, which is however not in line with the climate neutrality objectives. Well to wake GHG emissions would grow slightly faster at 15% during 2015-2030 and over 35% for 2015-2050.</w:t>
      </w:r>
      <w:r>
        <w:rPr>
          <w:rStyle w:val="FootnoteReference"/>
          <w:rFonts w:ascii="Times New Roman" w:hAnsi="Times New Roman" w:cs="Times New Roman"/>
          <w:noProof/>
          <w:sz w:val="24"/>
          <w:szCs w:val="24"/>
        </w:rPr>
        <w:footnoteReference w:id="84"/>
      </w:r>
      <w:r>
        <w:rPr>
          <w:rFonts w:ascii="Times New Roman" w:hAnsi="Times New Roman" w:cs="Times New Roman"/>
          <w:noProof/>
          <w:sz w:val="24"/>
          <w:szCs w:val="24"/>
        </w:rPr>
        <w:t xml:space="preserve"> The increase in emissions is driven by the </w:t>
      </w:r>
      <w:r>
        <w:rPr>
          <w:rFonts w:ascii="Times New Roman" w:hAnsi="Times New Roman" w:cs="Times New Roman"/>
          <w:noProof/>
          <w:sz w:val="24"/>
          <w:szCs w:val="24"/>
          <w:lang w:val="en-US"/>
        </w:rPr>
        <w:t>sustained growth projected for transport activity (</w:t>
      </w:r>
      <w:r>
        <w:rPr>
          <w:rFonts w:ascii="Times New Roman" w:hAnsi="Times New Roman" w:cs="Times New Roman"/>
          <w:bCs/>
          <w:noProof/>
          <w:sz w:val="24"/>
          <w:szCs w:val="24"/>
          <w:lang w:val="en-US"/>
        </w:rPr>
        <w:t>20% during 2015-2030 and 50% for 2015-2050),</w:t>
      </w:r>
      <w:r>
        <w:rPr>
          <w:rFonts w:ascii="Times New Roman" w:hAnsi="Times New Roman" w:cs="Times New Roman"/>
          <w:b/>
          <w:bCs/>
          <w:noProof/>
          <w:sz w:val="24"/>
          <w:szCs w:val="24"/>
          <w:lang w:val="en-US"/>
        </w:rPr>
        <w:t xml:space="preserve"> </w:t>
      </w:r>
      <w:r>
        <w:rPr>
          <w:rFonts w:ascii="Times New Roman" w:hAnsi="Times New Roman" w:cs="Times New Roman"/>
          <w:noProof/>
          <w:sz w:val="24"/>
          <w:szCs w:val="24"/>
          <w:lang w:val="en-US"/>
        </w:rPr>
        <w:t>even when accounting for the impact of the COVID-19 pandemic, and despite the projected significant improvements in energy efficiency. More details on the baseline scenario are provided in Annex 4.</w:t>
      </w:r>
    </w:p>
    <w:p>
      <w:pPr>
        <w:jc w:val="both"/>
        <w:rPr>
          <w:rFonts w:ascii="Times New Roman" w:hAnsi="Times New Roman" w:cs="Times New Roman"/>
          <w:noProof/>
          <w:sz w:val="24"/>
          <w:szCs w:val="24"/>
        </w:rPr>
      </w:pPr>
      <w:r>
        <w:rPr>
          <w:rFonts w:ascii="Times New Roman" w:hAnsi="Times New Roman" w:cs="Times New Roman"/>
          <w:noProof/>
          <w:sz w:val="24"/>
          <w:szCs w:val="24"/>
        </w:rPr>
        <w:t>It is also worth noting that the existing provisions of EU legislation (in particular the Sulphur Directive or the AFID), which could have encouraged the uptake of alternative fuels, in particular LNG and OPS, have not produced yet any significant uptake of new sources of energy in maritime transport. However, by 2050 LNG is projected to represent around 19% of the international maritime fuel mix, mainly as a result of more stringent requirements on air pollution control (in particular SOx and NOx emissions)</w:t>
      </w:r>
      <w:r>
        <w:rPr>
          <w:rStyle w:val="FootnoteReference"/>
          <w:rFonts w:ascii="Times New Roman" w:hAnsi="Times New Roman" w:cs="Times New Roman"/>
          <w:noProof/>
          <w:sz w:val="24"/>
          <w:szCs w:val="24"/>
        </w:rPr>
        <w:footnoteReference w:id="85"/>
      </w:r>
      <w:r>
        <w:rPr>
          <w:rFonts w:ascii="Times New Roman" w:hAnsi="Times New Roman" w:cs="Times New Roman"/>
          <w:noProof/>
          <w:sz w:val="24"/>
          <w:szCs w:val="24"/>
        </w:rPr>
        <w:t>. Even though the GHG benefits of fossil LNG remain modest (in particular due to possible methane slip) and insufficient to meet EU GHG reduction targets; this fuel provides a good solution to air pollution issues, allowing reductions in SOx and NOx emissions and, as a result, it represented an attractive compliance option to the Sulphur Directive and MARPOL Annex VI. In the longer term, LNG can pave the way to the use of bio-LNG or e-gas, which would also offer climate-related benefits.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feedback received in the context of the public consultation confirms that, without policy intervention, the uptake of RLF in maritime transport is unlikely to happen to a significant extent before 2040. </w:t>
      </w:r>
    </w:p>
    <w:p>
      <w:pPr>
        <w:pStyle w:val="Caption"/>
        <w:rPr>
          <w:noProof/>
        </w:rPr>
      </w:pPr>
      <w:r>
        <w:rPr>
          <w:noProof/>
        </w:rPr>
        <w:t xml:space="preserve">Figure </w:t>
      </w:r>
      <w:r>
        <w:rPr>
          <w:noProof/>
        </w:rPr>
        <w:fldChar w:fldCharType="begin"/>
      </w:r>
      <w:r>
        <w:rPr>
          <w:noProof/>
        </w:rPr>
        <w:instrText xml:space="preserve"> SEQ Figure \* ARABIC </w:instrText>
      </w:r>
      <w:r>
        <w:rPr>
          <w:noProof/>
        </w:rPr>
        <w:fldChar w:fldCharType="separate"/>
      </w:r>
      <w:r>
        <w:rPr>
          <w:noProof/>
        </w:rPr>
        <w:t>3</w:t>
      </w:r>
      <w:r>
        <w:rPr>
          <w:noProof/>
        </w:rPr>
        <w:fldChar w:fldCharType="end"/>
      </w:r>
      <w:r>
        <w:rPr>
          <w:noProof/>
        </w:rPr>
        <w:t xml:space="preserve"> Feedback from the public consultation on the likely uptake of RLF without specific policy intervention</w:t>
      </w:r>
    </w:p>
    <w:p>
      <w:pPr>
        <w:jc w:val="both"/>
        <w:rPr>
          <w:rFonts w:ascii="Times New Roman" w:hAnsi="Times New Roman" w:cs="Times New Roman"/>
          <w:noProof/>
          <w:sz w:val="24"/>
          <w:szCs w:val="24"/>
        </w:rPr>
      </w:pPr>
      <w:r>
        <w:rPr>
          <w:noProof/>
          <w:lang w:eastAsia="en-GB"/>
        </w:rPr>
        <w:drawing>
          <wp:inline distT="0" distB="0" distL="0" distR="0">
            <wp:extent cx="5472430" cy="1810633"/>
            <wp:effectExtent l="0" t="0" r="13970" b="184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jc w:val="both"/>
        <w:rPr>
          <w:rFonts w:ascii="Times New Roman" w:hAnsi="Times New Roman" w:cs="Times New Roman"/>
          <w:noProof/>
          <w:sz w:val="24"/>
          <w:szCs w:val="24"/>
        </w:rPr>
      </w:pPr>
      <w:r>
        <w:rPr>
          <w:rFonts w:ascii="Times New Roman" w:hAnsi="Times New Roman" w:cs="Times New Roman"/>
          <w:noProof/>
          <w:sz w:val="24"/>
          <w:szCs w:val="24"/>
        </w:rPr>
        <w:t>Breaking this deadlock would require some external development, such as a significant technological breakthrough on the side of research and development (including lowering the cost and upscaling maturing technology solutions), a strong push from public authorities towards the use of certain technologies, or the imposition of performance requirements that would force operators to choose low carbon technologies and kick-start a process of transition. Whereas a breakthrough in research providing a superior technology that the market would spontaneously adopt cannot be excluded, there is no certainty of this happening in time to reduce maritime emissions by the desired amount by 2050. To reduce maritime emissions in a timely fashion, additional policy intervention is required, as also indicated by respondents to the public consultation</w:t>
      </w:r>
      <w:r>
        <w:rPr>
          <w:rStyle w:val="FootnoteReference"/>
          <w:rFonts w:ascii="Times New Roman" w:hAnsi="Times New Roman" w:cs="Times New Roman"/>
          <w:noProof/>
          <w:sz w:val="24"/>
          <w:szCs w:val="24"/>
        </w:rPr>
        <w:footnoteReference w:id="86"/>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As explained in Sections 1.5 and 2.1, maritime transport should reduce its CO</w:t>
      </w:r>
      <w:r>
        <w:rPr>
          <w:rFonts w:ascii="Times New Roman" w:hAnsi="Times New Roman" w:cs="Times New Roman"/>
          <w:noProof/>
          <w:sz w:val="18"/>
          <w:szCs w:val="24"/>
        </w:rPr>
        <w:t>2</w:t>
      </w:r>
      <w:r>
        <w:rPr>
          <w:rFonts w:ascii="Times New Roman" w:hAnsi="Times New Roman" w:cs="Times New Roman"/>
          <w:noProof/>
          <w:sz w:val="24"/>
          <w:szCs w:val="24"/>
        </w:rPr>
        <w:t xml:space="preserve"> emissions by at least 22% by 2030 and 88-89% by 2050 compared to 2008, to be in line with the EU climate objectives. Existing literature suggests that with current technologies, at best, a vessel can improve the energy efficiency of its operations by roughly further 20 to 30% compared to current levels</w:t>
      </w:r>
      <w:r>
        <w:rPr>
          <w:rStyle w:val="FootnoteReference"/>
          <w:rFonts w:ascii="Times New Roman" w:hAnsi="Times New Roman" w:cs="Times New Roman"/>
          <w:noProof/>
          <w:sz w:val="24"/>
          <w:szCs w:val="24"/>
        </w:rPr>
        <w:footnoteReference w:id="87"/>
      </w:r>
      <w:r>
        <w:rPr>
          <w:rFonts w:ascii="Times New Roman" w:hAnsi="Times New Roman" w:cs="Times New Roman"/>
          <w:noProof/>
          <w:sz w:val="24"/>
          <w:szCs w:val="24"/>
        </w:rPr>
        <w:t>.  Moreover, individual energy savings are likely to be partially offset by an increase in the volume of maritime activity. As a result, a large part of the emission savings would need to also be achieved via use of RLF already within the next couple of decades. It is therefore clear that a specific approach dedicated to the uptake of RLF is essential for the sector to effectively contribute to the post-2030 climate targets. As explained in Section 1.5, RLF should provide 6-9% of the international maritime transport fuel mix in 2030 and 86-88% by 2050. The scenario assessing a combination of carbon pricing and medium intensification of regulatory measures underpinning the impact assessment accompanying the 2030 Climate Target Plan and the staff working document accompanying the Sustainable and Smart Mobility Strategy projects a share of 7.5% for 2030 and 86% by 2050.</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Achieving 2050 emission reduction targets in maritime transport is highly unlikely, as shown by the Baseline scenario projections, if the production of sustainable fuels, the testing and certification for maritime use, the deployment of the necessary infrastructure in ports, and the renewal of the fleet do not start as soon as possible, particularly in the case of technologies that require dedicated infrastructure, retrofit solutions as well as new vessels and engine design. RLF that can be blended with the fossil fuels currently in use (drop-in fuels) can be deployed much more rapidly, but even in their case production needs to be scaled up and production costs reduced. </w:t>
      </w:r>
    </w:p>
    <w:p>
      <w:pPr>
        <w:jc w:val="both"/>
        <w:rPr>
          <w:rFonts w:ascii="Times New Roman" w:hAnsi="Times New Roman" w:cs="Times New Roman"/>
          <w:noProof/>
          <w:sz w:val="24"/>
          <w:szCs w:val="24"/>
        </w:rPr>
      </w:pPr>
      <w:r>
        <w:rPr>
          <w:rFonts w:ascii="Times New Roman" w:hAnsi="Times New Roman" w:cs="Times New Roman"/>
          <w:noProof/>
          <w:sz w:val="24"/>
          <w:szCs w:val="24"/>
        </w:rPr>
        <w:t>These considerations suggest that a scenario in which a new dominant technology replaces rapidly the current one is not very likely</w:t>
      </w:r>
      <w:r>
        <w:rPr>
          <w:rStyle w:val="FootnoteReference"/>
          <w:rFonts w:ascii="Times New Roman" w:hAnsi="Times New Roman" w:cs="Times New Roman"/>
          <w:noProof/>
          <w:sz w:val="24"/>
          <w:szCs w:val="24"/>
        </w:rPr>
        <w:footnoteReference w:id="88"/>
      </w:r>
      <w:r>
        <w:rPr>
          <w:rFonts w:ascii="Times New Roman" w:hAnsi="Times New Roman" w:cs="Times New Roman"/>
          <w:noProof/>
          <w:sz w:val="24"/>
          <w:szCs w:val="24"/>
        </w:rPr>
        <w:t xml:space="preserve">. The most probable scenario is that various technologies, possibly used in different segments of the market, will coexist for a prolonged period of time. This tends to indicate that the process of decarbonisation of the energy used in the sector must start promptly and develop in parallel with the improvements in energy efficiency. </w:t>
      </w:r>
    </w:p>
    <w:p>
      <w:pPr>
        <w:jc w:val="both"/>
        <w:rPr>
          <w:rFonts w:ascii="Times New Roman" w:hAnsi="Times New Roman" w:cs="Times New Roman"/>
          <w:noProof/>
          <w:sz w:val="24"/>
          <w:szCs w:val="24"/>
        </w:rPr>
      </w:pPr>
      <w:r>
        <w:rPr>
          <w:rFonts w:ascii="Times New Roman" w:hAnsi="Times New Roman" w:cs="Times New Roman"/>
          <w:noProof/>
          <w:sz w:val="24"/>
          <w:szCs w:val="24"/>
        </w:rPr>
        <w:t>In addition, it is important to stress that increasing the penetration of alternative fuels in maritime transport is a long and complicated process, requiring cooperation and coordination among different market actors. Availability of technology (including the technical means to use it), sufficient supply of fuels (in terms of production and bunkering/charging infrastructure) as well as sufficient conditions to sustain the use of the technology by market operators is critical. Without a regulatory framework providing a clearly identified pathway for decarbonising the maritime fuel mix and for the necessary technology developments, the uptake of new fuels is likely to remain marginal and the costs for their introduction will solely fall upon first movers (even though these may not receive any competitive advantage as a result</w:t>
      </w:r>
      <w:r>
        <w:rPr>
          <w:rStyle w:val="FootnoteReference"/>
          <w:rFonts w:ascii="Times New Roman" w:hAnsi="Times New Roman" w:cs="Times New Roman"/>
          <w:noProof/>
          <w:sz w:val="24"/>
          <w:szCs w:val="24"/>
        </w:rPr>
        <w:footnoteReference w:id="89"/>
      </w:r>
      <w:r>
        <w:rPr>
          <w:rFonts w:ascii="Times New Roman" w:hAnsi="Times New Roman" w:cs="Times New Roman"/>
          <w:noProof/>
          <w:sz w:val="24"/>
          <w:szCs w:val="24"/>
        </w:rPr>
        <w:t xml:space="preserve">). </w:t>
      </w:r>
    </w:p>
    <w:p>
      <w:pPr>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review of the Renewable Energy Directive is expected to drive scaling up the production of renewable and low carbon fuels in the EU. However, as explained in section 2.2.4, and given the possibility of ships to bunker internationally and carry long journeys on a single bunkering, any requirements relying solely on supply may be easily circumvented in the context of maritime and would not ensure their uptake in the sector. On the other hand, the current initiative complements the review of the Renewable Energy Directive by securing the demand for these fuels in the maritime sector and thus reinforcing the delivery of renewable energy in the transport sector. In this regard, it should be highlighted that this initiative intends to fully match the definitions and sustainability criteria of the Renewable Energy Directive. In fact, in the absence of RLF supply in the EU, maritime would rely exclusively on imports or bunkering such fuels in third countries. Further insights in related policy instruments governing the supply and infrastructure of RLF are provided in Section 5.3.1.</w:t>
      </w:r>
    </w:p>
    <w:p>
      <w:pPr>
        <w:jc w:val="both"/>
        <w:rPr>
          <w:rFonts w:ascii="Times New Roman" w:hAnsi="Times New Roman" w:cs="Times New Roman"/>
          <w:noProof/>
          <w:sz w:val="24"/>
          <w:szCs w:val="24"/>
        </w:rPr>
      </w:pPr>
      <w:r>
        <w:rPr>
          <w:rFonts w:ascii="Times New Roman" w:eastAsia="Times New Roman" w:hAnsi="Times New Roman" w:cs="Times New Roman"/>
          <w:noProof/>
          <w:sz w:val="24"/>
          <w:szCs w:val="24"/>
        </w:rPr>
        <w:t>The revision of the Energy Taxation Directive revisits the tax exemptions for conventional fossil fuels used in shipping. This will however not be able to address problem drivers 1, 2, 4 and 5 of the present initiative. Finally, as explained above, for the EU ETS to make RLF economically interesting for the maritime sector, a price of CO</w:t>
      </w:r>
      <w:r>
        <w:rPr>
          <w:rFonts w:ascii="Times New Roman" w:eastAsia="Times New Roman" w:hAnsi="Times New Roman" w:cs="Times New Roman"/>
          <w:noProof/>
          <w:sz w:val="24"/>
          <w:szCs w:val="24"/>
          <w:vertAlign w:val="subscript"/>
        </w:rPr>
        <w:t>2</w:t>
      </w:r>
      <w:r>
        <w:rPr>
          <w:rFonts w:ascii="Times New Roman" w:eastAsia="Times New Roman" w:hAnsi="Times New Roman" w:cs="Times New Roman"/>
          <w:noProof/>
          <w:sz w:val="24"/>
          <w:szCs w:val="24"/>
        </w:rPr>
        <w:t xml:space="preserve"> emission allowances of at least €200 would be necessary. By comparison, the impact assessment</w:t>
      </w:r>
      <w:r>
        <w:rPr>
          <w:rStyle w:val="FootnoteReference"/>
          <w:rFonts w:ascii="Times New Roman" w:eastAsia="Times New Roman" w:hAnsi="Times New Roman" w:cs="Times New Roman"/>
          <w:noProof/>
          <w:sz w:val="24"/>
          <w:szCs w:val="24"/>
        </w:rPr>
        <w:footnoteReference w:id="90"/>
      </w:r>
      <w:r>
        <w:rPr>
          <w:rFonts w:ascii="Times New Roman" w:eastAsia="Times New Roman" w:hAnsi="Times New Roman" w:cs="Times New Roman"/>
          <w:noProof/>
          <w:sz w:val="24"/>
          <w:szCs w:val="24"/>
        </w:rPr>
        <w:t xml:space="preserve"> accompanying the 2030 Climate Target Plan projected carbon prices for the ETS sector (including the maritime sector) in the range of 32 to 65 €/tCO2, to cut the economy-wide GHG emissions by at least 55% by 2030. The EU ETS is therefore unlikely, by itself, to drive RLF uptake in the medium-term. More details are provided in Section 5.3.3.</w:t>
      </w:r>
    </w:p>
    <w:p>
      <w:pPr>
        <w:pStyle w:val="Heading1"/>
        <w:rPr>
          <w:noProof/>
        </w:rPr>
      </w:pPr>
      <w:bookmarkStart w:id="114" w:name="_Toc49520289"/>
      <w:bookmarkStart w:id="115" w:name="_Toc57907275"/>
      <w:bookmarkStart w:id="116" w:name="_Toc59152611"/>
      <w:bookmarkStart w:id="117" w:name="_Toc63426120"/>
      <w:bookmarkStart w:id="118" w:name="_Toc63438466"/>
      <w:r>
        <w:rPr>
          <w:noProof/>
        </w:rPr>
        <w:t>Why should the EU act?</w:t>
      </w:r>
      <w:bookmarkEnd w:id="114"/>
      <w:bookmarkEnd w:id="115"/>
      <w:bookmarkEnd w:id="116"/>
      <w:bookmarkEnd w:id="117"/>
      <w:bookmarkEnd w:id="118"/>
    </w:p>
    <w:p>
      <w:pPr>
        <w:pStyle w:val="Heading2"/>
        <w:rPr>
          <w:noProof/>
        </w:rPr>
      </w:pPr>
      <w:bookmarkStart w:id="119" w:name="_Toc49520290"/>
      <w:bookmarkStart w:id="120" w:name="_Toc57907276"/>
      <w:bookmarkStart w:id="121" w:name="_Toc59152612"/>
      <w:bookmarkStart w:id="122" w:name="_Ref62825640"/>
      <w:bookmarkStart w:id="123" w:name="_Toc63426121"/>
      <w:bookmarkStart w:id="124" w:name="_Toc63438467"/>
      <w:r>
        <w:rPr>
          <w:noProof/>
        </w:rPr>
        <w:t>Legal basis</w:t>
      </w:r>
      <w:bookmarkEnd w:id="119"/>
      <w:bookmarkEnd w:id="120"/>
      <w:bookmarkEnd w:id="121"/>
      <w:bookmarkEnd w:id="122"/>
      <w:bookmarkEnd w:id="123"/>
      <w:bookmarkEnd w:id="124"/>
    </w:p>
    <w:p>
      <w:pPr>
        <w:jc w:val="both"/>
        <w:rPr>
          <w:rFonts w:ascii="Times New Roman" w:hAnsi="Times New Roman" w:cs="Times New Roman"/>
          <w:noProof/>
          <w:sz w:val="24"/>
          <w:szCs w:val="24"/>
          <w:lang w:val="en-IE"/>
        </w:rPr>
      </w:pPr>
      <w:r>
        <w:rPr>
          <w:rFonts w:ascii="Times New Roman" w:hAnsi="Times New Roman" w:cs="Times New Roman"/>
          <w:noProof/>
          <w:sz w:val="24"/>
          <w:szCs w:val="24"/>
        </w:rPr>
        <w:t>The legal basis giving the EU the right to act is Article 100(2) of the Treaty on the Functioning of the European Union. In accordance with Article 4(2) of the Treaty, shared competence between the EU and the Member applies in the area of transport.</w:t>
      </w:r>
    </w:p>
    <w:p>
      <w:pPr>
        <w:pStyle w:val="Heading2"/>
        <w:rPr>
          <w:noProof/>
        </w:rPr>
      </w:pPr>
      <w:bookmarkStart w:id="125" w:name="_Toc49520291"/>
      <w:bookmarkStart w:id="126" w:name="_Toc57907277"/>
      <w:bookmarkStart w:id="127" w:name="_Toc59152613"/>
      <w:bookmarkStart w:id="128" w:name="_Toc63426122"/>
      <w:bookmarkStart w:id="129" w:name="_Toc63438468"/>
      <w:r>
        <w:rPr>
          <w:noProof/>
        </w:rPr>
        <w:t>Subsidiarity: Necessity of EU action</w:t>
      </w:r>
      <w:bookmarkEnd w:id="125"/>
      <w:bookmarkEnd w:id="126"/>
      <w:bookmarkEnd w:id="127"/>
      <w:bookmarkEnd w:id="128"/>
      <w:bookmarkEnd w:id="129"/>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Maritime transport is an international sector by nature. In Europe, approximately 75% of the voyages reported under the MRV are within the EEA (and could therefore be a proxy for intra-EU traffic) and only around 9% of the traffic is estimated to be domestic voyages (between ports within the same Member State). The cross-border dimension of the sector is therefore essential and calls for coordinated action at European level.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Without action at EU level, the risk is the establishment of a patchwork of regional or national requirements across Members States, which would trigger the development of technical solutions that may not necessarily be compatible with each other. Several Member States are already developing national maritime strategies that include specific approaches to ship emissions and in particular the uptake of alternative fuels</w:t>
      </w:r>
      <w:r>
        <w:rPr>
          <w:rStyle w:val="FootnoteReference"/>
          <w:rFonts w:ascii="Times New Roman" w:hAnsi="Times New Roman" w:cs="Times New Roman"/>
          <w:noProof/>
          <w:sz w:val="24"/>
          <w:szCs w:val="24"/>
          <w:lang w:val="en-IE"/>
        </w:rPr>
        <w:footnoteReference w:id="91"/>
      </w:r>
      <w:r>
        <w:rPr>
          <w:rFonts w:ascii="Times New Roman" w:hAnsi="Times New Roman" w:cs="Times New Roman"/>
          <w:noProof/>
          <w:sz w:val="24"/>
          <w:szCs w:val="24"/>
          <w:lang w:val="en-IE"/>
        </w:rPr>
        <w:t>. As the problem drivers identified in Section 2.2 do not fundamentally differ from one Member State to another, and given the cross-border dimension of sector’s activities, these issues can be best addressed at EU level. EU action can also inspire and pave the way for the development of future measures to accelerate the uptake of alternative fuels at global level</w:t>
      </w:r>
      <w:r>
        <w:rPr>
          <w:rStyle w:val="FootnoteReference"/>
          <w:rFonts w:ascii="Times New Roman" w:hAnsi="Times New Roman" w:cs="Times New Roman"/>
          <w:noProof/>
          <w:sz w:val="24"/>
          <w:szCs w:val="24"/>
          <w:lang w:val="en-IE"/>
        </w:rPr>
        <w:footnoteReference w:id="92"/>
      </w:r>
      <w:r>
        <w:rPr>
          <w:rFonts w:ascii="Times New Roman" w:hAnsi="Times New Roman" w:cs="Times New Roman"/>
          <w:noProof/>
          <w:sz w:val="24"/>
          <w:szCs w:val="24"/>
          <w:lang w:val="en-IE"/>
        </w:rPr>
        <w:t xml:space="preserv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Previous EU action on GHG issues has already stimulated a corresponding response from the IMO, notably by the adoption of the EU Regulation on Monitoring, Reporting and Verification of GHG emissions from ships that led shortly afterwards to IMO adopting a similar mandatory global GHG Data Collection System. A coordinated approach by EU Member States to developments in GHG emission reduction at IMO has more recently ensured that mandatory operational energy efficiency measures are included within IMO’s short term actions to reduce GHG. Projecting a common viewpoint from a considerable group of IMO member states within the IMO fora means that the EU can have a significant impact on the direction and outcome of IMO discussions.</w:t>
      </w:r>
    </w:p>
    <w:p>
      <w:pPr>
        <w:pStyle w:val="Heading2"/>
        <w:rPr>
          <w:noProof/>
        </w:rPr>
      </w:pPr>
      <w:bookmarkStart w:id="130" w:name="_Toc49520292"/>
      <w:bookmarkStart w:id="131" w:name="_Toc57907278"/>
      <w:bookmarkStart w:id="132" w:name="_Toc59152614"/>
      <w:bookmarkStart w:id="133" w:name="_Toc63426123"/>
      <w:bookmarkStart w:id="134" w:name="_Toc63438469"/>
      <w:r>
        <w:rPr>
          <w:noProof/>
        </w:rPr>
        <w:t>Subsidiarity: Added value of EU action</w:t>
      </w:r>
      <w:bookmarkEnd w:id="130"/>
      <w:bookmarkEnd w:id="131"/>
      <w:bookmarkEnd w:id="132"/>
      <w:bookmarkEnd w:id="133"/>
      <w:bookmarkEnd w:id="134"/>
    </w:p>
    <w:p>
      <w:pPr>
        <w:spacing w:after="120"/>
        <w:jc w:val="both"/>
        <w:rPr>
          <w:rFonts w:ascii="Times New Roman" w:hAnsi="Times New Roman" w:cs="Times New Roman"/>
          <w:noProof/>
        </w:rPr>
      </w:pPr>
      <w:r>
        <w:rPr>
          <w:rFonts w:ascii="Times New Roman" w:hAnsi="Times New Roman" w:cs="Times New Roman"/>
          <w:noProof/>
          <w:sz w:val="24"/>
          <w:szCs w:val="24"/>
          <w:lang w:val="en-IE"/>
        </w:rPr>
        <w:t xml:space="preserve">The implementation of this initiative at European level is necessary to achieve the economies of scale in the uptake of RLF in maritime transport as well as avoiding carbon leakage, and ensuring level playing field between operators calling in EU ports and between the EU ports themselves. To give an example, obligations established at national level on the use of RLF could divert traffic to competing ports of other MSs and distort competition. Accordingly, harmonisation at EU level is necessary to ensure a level playing field for all actors of the maritime cluster (in particular, operators, ports and fuel suppliers). </w:t>
      </w:r>
    </w:p>
    <w:p>
      <w:pPr>
        <w:pStyle w:val="Heading1"/>
        <w:rPr>
          <w:noProof/>
        </w:rPr>
      </w:pPr>
      <w:bookmarkStart w:id="135" w:name="_Toc49520293"/>
      <w:bookmarkStart w:id="136" w:name="_Toc57907279"/>
      <w:bookmarkStart w:id="137" w:name="_Toc59152615"/>
      <w:bookmarkStart w:id="138" w:name="_Toc63426124"/>
      <w:bookmarkStart w:id="139" w:name="_Ref63435838"/>
      <w:bookmarkStart w:id="140" w:name="_Toc63438470"/>
      <w:r>
        <w:rPr>
          <w:noProof/>
        </w:rPr>
        <w:t>Objectives: What is to be achieved?</w:t>
      </w:r>
      <w:bookmarkEnd w:id="135"/>
      <w:bookmarkEnd w:id="136"/>
      <w:bookmarkEnd w:id="137"/>
      <w:bookmarkEnd w:id="138"/>
      <w:bookmarkEnd w:id="139"/>
      <w:bookmarkEnd w:id="140"/>
    </w:p>
    <w:p>
      <w:pPr>
        <w:pStyle w:val="Heading2"/>
        <w:rPr>
          <w:noProof/>
        </w:rPr>
      </w:pPr>
      <w:bookmarkStart w:id="141" w:name="_Toc49520294"/>
      <w:bookmarkStart w:id="142" w:name="_Toc57907280"/>
      <w:bookmarkStart w:id="143" w:name="_Toc59152616"/>
      <w:bookmarkStart w:id="144" w:name="_Toc63426125"/>
      <w:bookmarkStart w:id="145" w:name="_Ref63436861"/>
      <w:bookmarkStart w:id="146" w:name="_Toc63438471"/>
      <w:r>
        <w:rPr>
          <w:noProof/>
        </w:rPr>
        <w:t>General objectives</w:t>
      </w:r>
      <w:bookmarkEnd w:id="141"/>
      <w:bookmarkEnd w:id="142"/>
      <w:bookmarkEnd w:id="143"/>
      <w:bookmarkEnd w:id="144"/>
      <w:bookmarkEnd w:id="145"/>
      <w:bookmarkEnd w:id="146"/>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This initiative aims at increasing the uptake of RLF in EU maritime transport with a view to reducing emissions from the sector, both in navigation and at berth and thereby contribute to achieving EU and international climate objectives. Ensuring a more diverse fuel mix and higher penetration of RLF is critical to ensure the sector’s contribution to the European ambition of climate-neutrality by 2050. At the same time, a differentiated approach to the use of RLF in navigation and in ports is important to account for different implications on air pollution (more relevant for ships in ports) and different availability of technologies (more options for ships in ports).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initiative aims at setting a harmonised regulatory framework in the EU with a view to increase the share of RLF in the fuel mix of international maritime transport, including: liquid biofuels, e-liquids, decarbonised gas (including bio-LNG and e-gas), decarbonised hydrogen, decarbonised hydrogen-derived fuels (including methanol, and ammonia) and electricity. The present intervention is focused on demand-side aspects (the </w:t>
      </w:r>
      <w:r>
        <w:rPr>
          <w:rFonts w:ascii="Times New Roman" w:hAnsi="Times New Roman" w:cs="Times New Roman"/>
          <w:i/>
          <w:noProof/>
          <w:sz w:val="24"/>
          <w:szCs w:val="24"/>
          <w:lang w:val="en-IE"/>
        </w:rPr>
        <w:t>use</w:t>
      </w:r>
      <w:r>
        <w:rPr>
          <w:rFonts w:ascii="Times New Roman" w:hAnsi="Times New Roman" w:cs="Times New Roman"/>
          <w:noProof/>
          <w:sz w:val="24"/>
          <w:szCs w:val="24"/>
          <w:lang w:val="en-IE"/>
        </w:rPr>
        <w:t xml:space="preserve"> of fuels, in this case RLF) and will complement the existing EU regulatory framework related to supply and infrastructure. It will also provide synergies with pollution reduction initiatives. </w:t>
      </w:r>
    </w:p>
    <w:p>
      <w:pPr>
        <w:pStyle w:val="Heading2"/>
        <w:rPr>
          <w:noProof/>
        </w:rPr>
      </w:pPr>
      <w:bookmarkStart w:id="147" w:name="_Toc49520295"/>
      <w:bookmarkStart w:id="148" w:name="_Toc57907281"/>
      <w:bookmarkStart w:id="149" w:name="_Toc59152617"/>
      <w:bookmarkStart w:id="150" w:name="_Toc63426126"/>
      <w:bookmarkStart w:id="151" w:name="_Ref63436866"/>
      <w:bookmarkStart w:id="152" w:name="_Toc63438472"/>
      <w:r>
        <w:rPr>
          <w:noProof/>
        </w:rPr>
        <w:t>Specific objectives</w:t>
      </w:r>
      <w:bookmarkEnd w:id="147"/>
      <w:bookmarkEnd w:id="148"/>
      <w:bookmarkEnd w:id="149"/>
      <w:bookmarkEnd w:id="150"/>
      <w:bookmarkEnd w:id="151"/>
      <w:bookmarkEnd w:id="152"/>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This initiative is designed to effectively address the existing barriers that hamper the further deployment of RLF.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specific objectives (SOs) and their correspondence with the problem drivers are presented in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_Ref63432984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rPr>
        <w:t>Figure 4</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w:t>
      </w:r>
    </w:p>
    <w:p>
      <w:pPr>
        <w:pStyle w:val="Caption"/>
        <w:rPr>
          <w:noProof/>
        </w:rPr>
      </w:pPr>
      <w:bookmarkStart w:id="153" w:name="_Ref63432984"/>
      <w:r>
        <w:rPr>
          <w:noProof/>
        </w:rPr>
        <w:t xml:space="preserve">Figure </w:t>
      </w:r>
      <w:r>
        <w:rPr>
          <w:noProof/>
        </w:rPr>
        <w:fldChar w:fldCharType="begin"/>
      </w:r>
      <w:r>
        <w:rPr>
          <w:noProof/>
        </w:rPr>
        <w:instrText xml:space="preserve"> SEQ Figure \* ARABIC </w:instrText>
      </w:r>
      <w:r>
        <w:rPr>
          <w:noProof/>
        </w:rPr>
        <w:fldChar w:fldCharType="separate"/>
      </w:r>
      <w:r>
        <w:rPr>
          <w:noProof/>
        </w:rPr>
        <w:t>4</w:t>
      </w:r>
      <w:r>
        <w:rPr>
          <w:noProof/>
        </w:rPr>
        <w:fldChar w:fldCharType="end"/>
      </w:r>
      <w:bookmarkEnd w:id="153"/>
      <w:r>
        <w:rPr>
          <w:noProof/>
        </w:rPr>
        <w:t xml:space="preserve"> Correspondence between the specific objectives and the problem drivers</w:t>
      </w:r>
    </w:p>
    <w:p>
      <w:pPr>
        <w:spacing w:after="120"/>
        <w:jc w:val="center"/>
        <w:rPr>
          <w:rFonts w:ascii="Times New Roman" w:hAnsi="Times New Roman" w:cs="Times New Roman"/>
          <w:noProof/>
          <w:sz w:val="24"/>
          <w:szCs w:val="24"/>
          <w:lang w:val="en-IE"/>
        </w:rPr>
      </w:pPr>
      <w:r>
        <w:rPr>
          <w:rFonts w:ascii="Times New Roman" w:hAnsi="Times New Roman" w:cs="Times New Roman"/>
          <w:noProof/>
          <w:sz w:val="24"/>
          <w:szCs w:val="24"/>
          <w:lang w:eastAsia="en-GB"/>
        </w:rPr>
        <w:drawing>
          <wp:inline distT="0" distB="0" distL="0" distR="0">
            <wp:extent cx="4814225" cy="1742722"/>
            <wp:effectExtent l="0" t="0" r="5715"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20232" cy="1744896"/>
                    </a:xfrm>
                    <a:prstGeom prst="rect">
                      <a:avLst/>
                    </a:prstGeom>
                    <a:noFill/>
                  </pic:spPr>
                </pic:pic>
              </a:graphicData>
            </a:graphic>
          </wp:inline>
        </w:drawing>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initiative will contribute to the achievement of the general objective by pursuing the following SOs:</w:t>
      </w:r>
    </w:p>
    <w:p>
      <w:pPr>
        <w:pStyle w:val="ListParagraph"/>
        <w:numPr>
          <w:ilvl w:val="0"/>
          <w:numId w:val="7"/>
        </w:numPr>
        <w:spacing w:after="120"/>
        <w:jc w:val="both"/>
        <w:rPr>
          <w:rFonts w:ascii="Times New Roman" w:hAnsi="Times New Roman" w:cs="Times New Roman"/>
          <w:noProof/>
          <w:sz w:val="24"/>
          <w:szCs w:val="24"/>
          <w:lang w:val="en-IE"/>
        </w:rPr>
      </w:pPr>
      <w:r>
        <w:rPr>
          <w:rFonts w:ascii="Times New Roman" w:hAnsi="Times New Roman" w:cs="Times New Roman"/>
          <w:b/>
          <w:bCs/>
          <w:noProof/>
          <w:sz w:val="24"/>
          <w:szCs w:val="24"/>
          <w:lang w:val="en-IE"/>
        </w:rPr>
        <w:t>Enhance predictability through the setting of a clear regulatory environment concerning the use of RLF in maritime transport.</w:t>
      </w:r>
      <w:r>
        <w:rPr>
          <w:rFonts w:ascii="Times New Roman" w:hAnsi="Times New Roman" w:cs="Times New Roman"/>
          <w:noProof/>
          <w:sz w:val="24"/>
          <w:szCs w:val="24"/>
          <w:lang w:val="en-IE"/>
        </w:rPr>
        <w:t xml:space="preserve"> The establishment of clear and mandatory targets for decarbonising the marine fuel mix to be used on-board will provide certainty on future obligations, facilitate planning of investments, and counteract a ‘wait-and-see’ attitude of operators. Setting a clear pathway for decarbonising the marine fuel mix, with progressively more stringent requirements, will also help understanding which technologies are more ‘future proof’ than others.</w:t>
      </w:r>
    </w:p>
    <w:p>
      <w:pPr>
        <w:pStyle w:val="ListParagraph"/>
        <w:numPr>
          <w:ilvl w:val="0"/>
          <w:numId w:val="7"/>
        </w:numPr>
        <w:spacing w:after="120"/>
        <w:jc w:val="both"/>
        <w:rPr>
          <w:rFonts w:ascii="Times New Roman" w:hAnsi="Times New Roman" w:cs="Times New Roman"/>
          <w:noProof/>
          <w:sz w:val="24"/>
          <w:szCs w:val="24"/>
          <w:lang w:val="en-IE"/>
        </w:rPr>
      </w:pPr>
      <w:r>
        <w:rPr>
          <w:rFonts w:ascii="Times New Roman" w:hAnsi="Times New Roman" w:cs="Times New Roman"/>
          <w:b/>
          <w:bCs/>
          <w:noProof/>
          <w:sz w:val="24"/>
          <w:szCs w:val="24"/>
          <w:lang w:val="en-IE"/>
        </w:rPr>
        <w:t>Stimulate technology development.</w:t>
      </w:r>
      <w:r>
        <w:rPr>
          <w:rFonts w:ascii="Times New Roman" w:hAnsi="Times New Roman" w:cs="Times New Roman"/>
          <w:noProof/>
          <w:sz w:val="24"/>
          <w:szCs w:val="24"/>
          <w:lang w:val="en-IE"/>
        </w:rPr>
        <w:t xml:space="preserve"> Establishing minimum levels of demand for RLF in the maritime sector </w:t>
      </w:r>
      <w:r>
        <w:rPr>
          <w:rFonts w:ascii="Times New Roman" w:hAnsi="Times New Roman" w:cs="Times New Roman"/>
          <w:noProof/>
          <w:sz w:val="24"/>
          <w:szCs w:val="24"/>
        </w:rPr>
        <w:t xml:space="preserve">is expected to stimulate the process of their selection and deployment, as well as of gradual technological improvement of yet immature solutions. It is expected to speed-up the deployment of more performant propulsion systems (energy converters) that can be used with specific fuels (e.g. fuel cells to be used with hydrogen and hydrogen-based fuels). It would also ensure that the development and deployment costs are spread more evenly across the sector and not only on first movers, who may not gain any competitive advantage in return. It is also important that the chosen intervention, while encouraging a more rapid deployment of the more mature options (e.g. drop-in fuels) in the medium-term, does not prevent additional progress on the most environmentally sound, but yet immature, technologies that are needed in the longer term. </w:t>
      </w:r>
    </w:p>
    <w:p>
      <w:pPr>
        <w:pStyle w:val="ListParagraph"/>
        <w:numPr>
          <w:ilvl w:val="0"/>
          <w:numId w:val="7"/>
        </w:numPr>
        <w:spacing w:after="120"/>
        <w:jc w:val="both"/>
        <w:rPr>
          <w:rFonts w:ascii="Times New Roman" w:hAnsi="Times New Roman" w:cs="Times New Roman"/>
          <w:noProof/>
          <w:sz w:val="24"/>
          <w:szCs w:val="24"/>
          <w:lang w:val="en-IE"/>
        </w:rPr>
      </w:pPr>
      <w:r>
        <w:rPr>
          <w:rFonts w:ascii="Times New Roman" w:hAnsi="Times New Roman" w:cs="Times New Roman"/>
          <w:b/>
          <w:bCs/>
          <w:noProof/>
          <w:sz w:val="24"/>
          <w:szCs w:val="24"/>
          <w:lang w:val="en-IE"/>
        </w:rPr>
        <w:t>Stimulate production on a larger scale of RLF with sufficient high technology readiness level (TRLs) and reduce the price gap with current fuels and technologies.</w:t>
      </w:r>
      <w:r>
        <w:rPr>
          <w:rFonts w:ascii="Times New Roman" w:hAnsi="Times New Roman" w:cs="Times New Roman"/>
          <w:noProof/>
          <w:sz w:val="24"/>
          <w:szCs w:val="24"/>
          <w:lang w:val="en-IE"/>
        </w:rPr>
        <w:t xml:space="preserve"> By triggering demand of RLF by maritime operators, this initiative would create the conditions for higher volumes of production and attainment of economies of scale. This could contribute towards reducing the existing price gap with respect to conventional fuels.</w:t>
      </w:r>
    </w:p>
    <w:p>
      <w:pPr>
        <w:pStyle w:val="ListParagraph"/>
        <w:numPr>
          <w:ilvl w:val="0"/>
          <w:numId w:val="7"/>
        </w:numPr>
        <w:spacing w:after="120"/>
        <w:jc w:val="both"/>
        <w:rPr>
          <w:rFonts w:ascii="Times New Roman" w:hAnsi="Times New Roman" w:cs="Times New Roman"/>
          <w:noProof/>
          <w:sz w:val="24"/>
          <w:szCs w:val="24"/>
          <w:lang w:val="en-IE"/>
        </w:rPr>
      </w:pPr>
      <w:r>
        <w:rPr>
          <w:rFonts w:ascii="Times New Roman" w:hAnsi="Times New Roman" w:cs="Times New Roman"/>
          <w:b/>
          <w:bCs/>
          <w:noProof/>
          <w:sz w:val="24"/>
          <w:szCs w:val="24"/>
          <w:lang w:val="en-IE"/>
        </w:rPr>
        <w:t xml:space="preserve">Create demand from ship operators to bunker RLF or connect to the electric grid while at berth. </w:t>
      </w:r>
      <w:r>
        <w:rPr>
          <w:rFonts w:ascii="Times New Roman" w:hAnsi="Times New Roman" w:cs="Times New Roman"/>
          <w:noProof/>
          <w:sz w:val="24"/>
          <w:szCs w:val="24"/>
          <w:lang w:val="en-IE"/>
        </w:rPr>
        <w:t>At the moment, the EU legislative framework is solely focussed on fuel supply and provision of infrastructure. However, in the absence of sufficient and predictable levels of demand, investments in production and infrastructure remain unprofitable and extremely limited in practice (as explained in Section 2.2.4). In order to address this interdependency issue, this initiative should complement measures taken on the supply and distribution side with a corresponding demand-side intervention (i.e. the use of fuels).</w:t>
      </w:r>
    </w:p>
    <w:p>
      <w:pPr>
        <w:pStyle w:val="ListParagraph"/>
        <w:numPr>
          <w:ilvl w:val="0"/>
          <w:numId w:val="7"/>
        </w:numPr>
        <w:spacing w:after="120"/>
        <w:jc w:val="both"/>
        <w:rPr>
          <w:rFonts w:ascii="Times New Roman" w:hAnsi="Times New Roman" w:cs="Times New Roman"/>
          <w:noProof/>
          <w:sz w:val="24"/>
          <w:szCs w:val="24"/>
          <w:lang w:val="en-IE"/>
        </w:rPr>
      </w:pPr>
      <w:r>
        <w:rPr>
          <w:rFonts w:ascii="Times New Roman" w:hAnsi="Times New Roman" w:cs="Times New Roman"/>
          <w:b/>
          <w:bCs/>
          <w:noProof/>
          <w:sz w:val="24"/>
          <w:szCs w:val="24"/>
          <w:lang w:val="en-IE"/>
        </w:rPr>
        <w:t>Avoid carbon leakage</w:t>
      </w:r>
      <w:r>
        <w:rPr>
          <w:rFonts w:ascii="Times New Roman" w:hAnsi="Times New Roman" w:cs="Times New Roman"/>
          <w:bCs/>
          <w:noProof/>
          <w:sz w:val="24"/>
          <w:szCs w:val="24"/>
          <w:lang w:val="en-IE"/>
        </w:rPr>
        <w:t>.</w:t>
      </w:r>
      <w:r>
        <w:rPr>
          <w:rFonts w:ascii="Times New Roman" w:hAnsi="Times New Roman" w:cs="Times New Roman"/>
          <w:noProof/>
          <w:sz w:val="24"/>
          <w:szCs w:val="24"/>
          <w:lang w:val="en-IE"/>
        </w:rPr>
        <w:t xml:space="preserve"> This initiative should help avoiding the carbon leakage that would derive from bunkering fuels outside the EU. This would be achieved by setting specific performance requirements on the fuel used by ships, regardless of where the fuel is acquired. The intervention should also be designed with a view to avoid any possible distortion of competition and regulatory advantage derived from ships belonging to different jurisdictions.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These objectives are consistent with the objectives of other Commission initiatives currently being pursued as part of the overall basket of measures to address GHG emissions from maritime transport, in line with the renewed EU climate ambition. </w:t>
      </w:r>
    </w:p>
    <w:p>
      <w:pPr>
        <w:pStyle w:val="Heading1"/>
        <w:rPr>
          <w:noProof/>
        </w:rPr>
      </w:pPr>
      <w:bookmarkStart w:id="154" w:name="_Toc49520296"/>
      <w:bookmarkStart w:id="155" w:name="_Toc57907282"/>
      <w:bookmarkStart w:id="156" w:name="_Toc59152618"/>
      <w:bookmarkStart w:id="157" w:name="_Toc63426127"/>
      <w:bookmarkStart w:id="158" w:name="_Toc63438473"/>
      <w:r>
        <w:rPr>
          <w:noProof/>
        </w:rPr>
        <w:t>What are the available policy options?</w:t>
      </w:r>
      <w:bookmarkEnd w:id="154"/>
      <w:bookmarkEnd w:id="155"/>
      <w:bookmarkEnd w:id="156"/>
      <w:bookmarkEnd w:id="157"/>
      <w:bookmarkEnd w:id="158"/>
    </w:p>
    <w:p>
      <w:pPr>
        <w:pStyle w:val="Heading2"/>
        <w:rPr>
          <w:noProof/>
        </w:rPr>
      </w:pPr>
      <w:bookmarkStart w:id="159" w:name="_Toc49501560"/>
      <w:bookmarkStart w:id="160" w:name="_Toc49521804"/>
      <w:bookmarkStart w:id="161" w:name="_Toc49520297"/>
      <w:bookmarkStart w:id="162" w:name="_Toc57907283"/>
      <w:bookmarkStart w:id="163" w:name="_Toc59152619"/>
      <w:bookmarkStart w:id="164" w:name="_Toc63426128"/>
      <w:bookmarkStart w:id="165" w:name="_Ref63437589"/>
      <w:bookmarkStart w:id="166" w:name="_Toc63438474"/>
      <w:bookmarkEnd w:id="159"/>
      <w:bookmarkEnd w:id="160"/>
      <w:r>
        <w:rPr>
          <w:noProof/>
        </w:rPr>
        <w:t>What is the baseline from which options are assessed?</w:t>
      </w:r>
      <w:bookmarkEnd w:id="161"/>
      <w:bookmarkEnd w:id="162"/>
      <w:bookmarkEnd w:id="163"/>
      <w:bookmarkEnd w:id="164"/>
      <w:bookmarkEnd w:id="165"/>
      <w:bookmarkEnd w:id="166"/>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baseline scenario reflects developments under current trends and adopted policies as described in Section 2, and without further EU-level intervention. It builds on the baseline scenario underpinning the impact assessment accompanying the 2030 Climate Target Plan and the staff working document accompanying the Sustainable and Smart Mobility Strategy</w:t>
      </w:r>
      <w:r>
        <w:rPr>
          <w:rStyle w:val="FootnoteReference"/>
          <w:rFonts w:ascii="Times New Roman" w:hAnsi="Times New Roman" w:cs="Times New Roman"/>
          <w:noProof/>
          <w:sz w:val="24"/>
          <w:szCs w:val="24"/>
          <w:lang w:val="en-IE"/>
        </w:rPr>
        <w:footnoteReference w:id="93"/>
      </w:r>
      <w:r>
        <w:rPr>
          <w:rFonts w:ascii="Times New Roman" w:hAnsi="Times New Roman" w:cs="Times New Roman"/>
          <w:noProof/>
          <w:sz w:val="24"/>
          <w:szCs w:val="24"/>
          <w:lang w:val="en-IE"/>
        </w:rPr>
        <w:t xml:space="preserve">, but it additionally considers the impacts of the COVID-19 pandemic and the National Energy and Climate Plans. In this scenario, the penetration of RLF would continue to remain extremely limited (1.4% of the fuel mix by 2050, of which 1.3% biofuels and 0.1% electricity use at berth). </w:t>
      </w:r>
      <w:r>
        <w:rPr>
          <w:rFonts w:ascii="Times New Roman" w:hAnsi="Times New Roman" w:cs="Times New Roman"/>
          <w:noProof/>
          <w:sz w:val="24"/>
          <w:szCs w:val="24"/>
        </w:rPr>
        <w:t xml:space="preserve">No other type of RLF is foreseen to enter the international maritime fuel mix by 2050 without further intervention. </w:t>
      </w:r>
      <w:r>
        <w:rPr>
          <w:rFonts w:ascii="Times New Roman" w:hAnsi="Times New Roman" w:cs="Times New Roman"/>
          <w:noProof/>
          <w:sz w:val="24"/>
          <w:szCs w:val="24"/>
          <w:lang w:val="en-IE"/>
        </w:rPr>
        <w:t xml:space="preserve">A series of independent, and potentially diverging, company-based approaches would characterise the development and deployment of alternative fuel solutions. While ship operators are currently making different assumptions on the type of energy to be used in their market segment in the future, the uptake of RLF in the baseline scenario is expected to principally concentrate on the most mature and currently available option for maritime transport, which is biofuels. In this scenario, LNG uptake will continue growing, as the result of the application of more </w:t>
      </w:r>
      <w:r>
        <w:rPr>
          <w:rFonts w:ascii="Times New Roman" w:hAnsi="Times New Roman" w:cs="Times New Roman"/>
          <w:noProof/>
          <w:sz w:val="24"/>
          <w:szCs w:val="24"/>
        </w:rPr>
        <w:t>stringent requirements on air pollution control in the maritime sector (in particular SOx and NOx emissions).</w:t>
      </w:r>
      <w:r>
        <w:rPr>
          <w:rFonts w:ascii="Times New Roman" w:hAnsi="Times New Roman" w:cs="Times New Roman"/>
          <w:noProof/>
          <w:sz w:val="24"/>
          <w:szCs w:val="24"/>
          <w:lang w:val="en-IE"/>
        </w:rPr>
        <w:t xml:space="preserve"> LNG is projected to represent 19% of the fuel mix by 2050 without further EU-level intervention.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This is explained by the maturity of the technology, the gradual availability of infrastructure and considerations on fuel supply (bearing also in mind the limited competition for feedstock for LNG compared to other potential fuel options). The lack of sector-wide coordination and harmonised approach at EU level regarding the type and emission footprint of fuels, the limited geographical scope of application as well as the timeframe for their deployment is likely to lead to sub-optimal results and overall insufficient penetration on RLF to meet the EU climate objectives set out in the</w:t>
      </w:r>
      <w:r>
        <w:rPr>
          <w:rFonts w:ascii="Times New Roman" w:hAnsi="Times New Roman" w:cs="Times New Roman"/>
          <w:noProof/>
          <w:sz w:val="24"/>
          <w:szCs w:val="24"/>
        </w:rPr>
        <w:t xml:space="preserve"> EGD and</w:t>
      </w:r>
      <w:r>
        <w:rPr>
          <w:rFonts w:ascii="Times New Roman" w:hAnsi="Times New Roman" w:cs="Times New Roman"/>
          <w:noProof/>
          <w:sz w:val="24"/>
          <w:szCs w:val="24"/>
          <w:lang w:val="en-IE"/>
        </w:rPr>
        <w:t xml:space="preserve"> the 2030 CTP. </w:t>
      </w:r>
    </w:p>
    <w:p>
      <w:pPr>
        <w:jc w:val="both"/>
        <w:rPr>
          <w:rFonts w:ascii="Times New Roman" w:hAnsi="Times New Roman" w:cs="Times New Roman"/>
          <w:noProof/>
          <w:sz w:val="24"/>
          <w:szCs w:val="24"/>
        </w:rPr>
      </w:pPr>
      <w:r>
        <w:rPr>
          <w:rFonts w:ascii="Times New Roman" w:hAnsi="Times New Roman" w:cs="Times New Roman"/>
          <w:noProof/>
          <w:sz w:val="24"/>
          <w:szCs w:val="24"/>
          <w:lang w:val="en-IE"/>
        </w:rPr>
        <w:t>T</w:t>
      </w:r>
      <w:r>
        <w:rPr>
          <w:rFonts w:ascii="Times New Roman" w:hAnsi="Times New Roman" w:cs="Times New Roman"/>
          <w:noProof/>
          <w:sz w:val="24"/>
          <w:szCs w:val="24"/>
        </w:rPr>
        <w:t>ank to wake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from international shipping are projected to increase by 14% by 2030 and by over 30% by 2050 relative to 2015. By 2050 this would imply a stabilisation of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to their 2008 levels, which is however not in line with the climate neutrality objectives. Well to wake GHG emissions would grow slightly faster at 15% during 2015-2030 and over 35% for 2015-2050.</w:t>
      </w:r>
      <w:r>
        <w:rPr>
          <w:rStyle w:val="FootnoteReference"/>
          <w:rFonts w:ascii="Times New Roman" w:hAnsi="Times New Roman" w:cs="Times New Roman"/>
          <w:noProof/>
          <w:sz w:val="24"/>
          <w:szCs w:val="24"/>
        </w:rPr>
        <w:footnoteReference w:id="94"/>
      </w:r>
      <w:r>
        <w:rPr>
          <w:rFonts w:ascii="Times New Roman" w:hAnsi="Times New Roman" w:cs="Times New Roman"/>
          <w:noProof/>
          <w:sz w:val="24"/>
          <w:szCs w:val="24"/>
        </w:rPr>
        <w:t xml:space="preserve"> The increase in emissions is driven by the </w:t>
      </w:r>
      <w:r>
        <w:rPr>
          <w:rFonts w:ascii="Times New Roman" w:hAnsi="Times New Roman" w:cs="Times New Roman"/>
          <w:noProof/>
          <w:sz w:val="24"/>
          <w:szCs w:val="24"/>
          <w:lang w:val="en-US"/>
        </w:rPr>
        <w:t>sustained growth projected for transport activity</w:t>
      </w:r>
      <w:r>
        <w:rPr>
          <w:rFonts w:ascii="Times New Roman" w:hAnsi="Times New Roman" w:cs="Times New Roman"/>
          <w:bCs/>
          <w:noProof/>
          <w:sz w:val="24"/>
          <w:szCs w:val="24"/>
          <w:lang w:val="en-US"/>
        </w:rPr>
        <w:t>,</w:t>
      </w:r>
      <w:r>
        <w:rPr>
          <w:rFonts w:ascii="Times New Roman" w:hAnsi="Times New Roman" w:cs="Times New Roman"/>
          <w:b/>
          <w:bCs/>
          <w:noProof/>
          <w:sz w:val="24"/>
          <w:szCs w:val="24"/>
          <w:lang w:val="en-US"/>
        </w:rPr>
        <w:t xml:space="preserve"> </w:t>
      </w:r>
      <w:r>
        <w:rPr>
          <w:rFonts w:ascii="Times New Roman" w:hAnsi="Times New Roman" w:cs="Times New Roman"/>
          <w:noProof/>
          <w:sz w:val="24"/>
          <w:szCs w:val="24"/>
          <w:lang w:val="en-US"/>
        </w:rPr>
        <w:t>even when accounting for the impact of the COVID-19 pandemic, and despite the projected significant improvements in energy efficiency. More details on the baseline scenario are provided in Annex 4.</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baseline scenario does not include the other ‘Fit for 55’ initiatives. This ensures a consistent approach with the impact assessments accompanying the other ‘Fit for 55’ initiatives. However, a qualitative assessment of their possible impact on how the problem will evolve is provided in Section 2.3.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lang w:val="en-IE"/>
        </w:rPr>
        <w:t xml:space="preserve">In addition, as explained in Section 1.5, the </w:t>
      </w:r>
      <w:r>
        <w:rPr>
          <w:rFonts w:ascii="Times New Roman" w:eastAsia="Times New Roman" w:hAnsi="Times New Roman" w:cs="Times New Roman"/>
          <w:noProof/>
          <w:sz w:val="24"/>
          <w:szCs w:val="24"/>
        </w:rPr>
        <w:t xml:space="preserve">trajectory of the RLF uptake from 2025 to 2050 in the policy options is based on the </w:t>
      </w:r>
      <w:r>
        <w:rPr>
          <w:rFonts w:ascii="Times New Roman" w:hAnsi="Times New Roman" w:cs="Times New Roman"/>
          <w:noProof/>
          <w:sz w:val="24"/>
          <w:szCs w:val="24"/>
        </w:rPr>
        <w:t>common economic assessment underpinning the 2030 Climate Target Plan and the Sustainable and Smart Mobility Strategy, while considering a combination of carbon pricing and medium intensification of regulatory measures in all sectors of the economy. This ensures a consistent approach for delivering the EU climate ambition by 2030 and 2050, while at the same time identifying the impacts of the design of the policy option that would best allow to reach this contribution. A qualitative assessment of the implications of lower/higher trajectory for the renewable and low carbon fuels</w:t>
      </w:r>
      <w:r>
        <w:rPr>
          <w:rFonts w:ascii="Times New Roman" w:hAnsi="Times New Roman" w:cs="Times New Roman"/>
          <w:b/>
          <w:noProof/>
          <w:sz w:val="24"/>
          <w:szCs w:val="24"/>
        </w:rPr>
        <w:t xml:space="preserve"> </w:t>
      </w:r>
      <w:r>
        <w:rPr>
          <w:rFonts w:ascii="Times New Roman" w:hAnsi="Times New Roman" w:cs="Times New Roman"/>
          <w:noProof/>
          <w:sz w:val="24"/>
          <w:szCs w:val="24"/>
        </w:rPr>
        <w:t>is however provided in Section 5.4</w:t>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 </w:t>
      </w:r>
    </w:p>
    <w:p>
      <w:pPr>
        <w:spacing w:after="120"/>
        <w:jc w:val="both"/>
        <w:rPr>
          <w:rFonts w:ascii="Times New Roman" w:hAnsi="Times New Roman" w:cs="Times New Roman"/>
          <w:noProof/>
          <w:sz w:val="24"/>
          <w:szCs w:val="24"/>
        </w:rPr>
      </w:pPr>
    </w:p>
    <w:p>
      <w:pPr>
        <w:pStyle w:val="Heading2"/>
        <w:rPr>
          <w:noProof/>
        </w:rPr>
      </w:pPr>
      <w:bookmarkStart w:id="167" w:name="_Toc49520298"/>
      <w:bookmarkStart w:id="168" w:name="_Toc57907284"/>
      <w:bookmarkStart w:id="169" w:name="_Toc59152620"/>
      <w:bookmarkStart w:id="170" w:name="_Toc63426129"/>
      <w:bookmarkStart w:id="171" w:name="_Toc63438475"/>
      <w:r>
        <w:rPr>
          <w:noProof/>
        </w:rPr>
        <w:t>Description of the policy options</w:t>
      </w:r>
      <w:bookmarkEnd w:id="167"/>
      <w:bookmarkEnd w:id="168"/>
      <w:bookmarkEnd w:id="169"/>
      <w:bookmarkEnd w:id="170"/>
      <w:bookmarkEnd w:id="171"/>
    </w:p>
    <w:p>
      <w:pPr>
        <w:pStyle w:val="Heading3"/>
        <w:rPr>
          <w:noProof/>
          <w:lang w:val="en-IE"/>
        </w:rPr>
      </w:pPr>
      <w:bookmarkStart w:id="172" w:name="_Toc57907285"/>
      <w:bookmarkStart w:id="173" w:name="_Toc59152621"/>
      <w:bookmarkStart w:id="174" w:name="_Toc63426130"/>
      <w:bookmarkStart w:id="175" w:name="_Ref63435940"/>
      <w:bookmarkStart w:id="176" w:name="_Ref63436040"/>
      <w:bookmarkStart w:id="177" w:name="_Ref63436146"/>
      <w:bookmarkStart w:id="178" w:name="_Ref63436879"/>
      <w:bookmarkStart w:id="179" w:name="_Ref63436957"/>
      <w:bookmarkStart w:id="180" w:name="_Ref63436960"/>
      <w:bookmarkStart w:id="181" w:name="_Toc63438476"/>
      <w:bookmarkEnd w:id="172"/>
      <w:bookmarkEnd w:id="173"/>
      <w:r>
        <w:rPr>
          <w:noProof/>
          <w:lang w:val="en-IE"/>
        </w:rPr>
        <w:t>Possible policy measures and preliminary screening of options</w:t>
      </w:r>
      <w:bookmarkEnd w:id="174"/>
      <w:bookmarkEnd w:id="175"/>
      <w:bookmarkEnd w:id="176"/>
      <w:bookmarkEnd w:id="177"/>
      <w:bookmarkEnd w:id="178"/>
      <w:bookmarkEnd w:id="179"/>
      <w:bookmarkEnd w:id="180"/>
      <w:bookmarkEnd w:id="181"/>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As a first step, a comprehensive list of possible policy measures was established after extensive consultations with stakeholders, expert meetings, independent research and the Commission’s own analysis. This initial list is presented in Annex 6. This list was subsequently screened based on the likely effectiveness, efficiency and proportionality of the proposed measures in relation to the given objectives, as well as their legal, political and technical feasibility.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As a result of this analysis, several measures were not retained in the main policy options, although, in some cases, their important role as complementary measures, supporting the climate objective for the maritime transport sector, is fully recognised. The non-retained options are discussed in greater detail in Section 5.3.</w:t>
      </w:r>
    </w:p>
    <w:p>
      <w:pPr>
        <w:pStyle w:val="Heading3"/>
        <w:rPr>
          <w:noProof/>
          <w:lang w:val="en-IE"/>
        </w:rPr>
      </w:pPr>
      <w:bookmarkStart w:id="182" w:name="_Toc57907286"/>
      <w:bookmarkStart w:id="183" w:name="_Toc59152622"/>
      <w:bookmarkStart w:id="184" w:name="_Toc63426131"/>
      <w:bookmarkStart w:id="185" w:name="_Ref63437290"/>
      <w:bookmarkStart w:id="186" w:name="_Ref63437556"/>
      <w:bookmarkStart w:id="187" w:name="_Ref63437650"/>
      <w:bookmarkStart w:id="188" w:name="_Ref63437742"/>
      <w:bookmarkStart w:id="189" w:name="_Toc63438477"/>
      <w:bookmarkEnd w:id="182"/>
      <w:bookmarkEnd w:id="183"/>
      <w:r>
        <w:rPr>
          <w:noProof/>
          <w:lang w:val="en-IE"/>
        </w:rPr>
        <w:t>Identification of the general policy approach and the choice of main policy options</w:t>
      </w:r>
      <w:bookmarkEnd w:id="184"/>
      <w:bookmarkEnd w:id="185"/>
      <w:bookmarkEnd w:id="186"/>
      <w:bookmarkEnd w:id="187"/>
      <w:bookmarkEnd w:id="188"/>
      <w:bookmarkEnd w:id="189"/>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screening of the initial list of possible policy measures was accompanied by a reflection on what type of approaches would be needed to address each of the SOs identified in Section 4. The list of suitable approaches related to each of the SOs is presented in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_Ref63427220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rPr>
        <w:t>Figure 5</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w:t>
      </w:r>
    </w:p>
    <w:p>
      <w:pPr>
        <w:pStyle w:val="Caption"/>
        <w:rPr>
          <w:rFonts w:ascii="Times New Roman" w:hAnsi="Times New Roman" w:cs="Times New Roman"/>
          <w:noProof/>
          <w:sz w:val="24"/>
          <w:szCs w:val="24"/>
        </w:rPr>
      </w:pPr>
      <w:bookmarkStart w:id="190" w:name="_Ref63427220"/>
      <w:r>
        <w:rPr>
          <w:noProof/>
        </w:rPr>
        <w:t xml:space="preserve">Figure </w:t>
      </w:r>
      <w:r>
        <w:rPr>
          <w:noProof/>
        </w:rPr>
        <w:fldChar w:fldCharType="begin"/>
      </w:r>
      <w:r>
        <w:rPr>
          <w:noProof/>
        </w:rPr>
        <w:instrText xml:space="preserve"> SEQ Figure \* ARABIC </w:instrText>
      </w:r>
      <w:r>
        <w:rPr>
          <w:noProof/>
        </w:rPr>
        <w:fldChar w:fldCharType="separate"/>
      </w:r>
      <w:r>
        <w:rPr>
          <w:noProof/>
        </w:rPr>
        <w:t>5</w:t>
      </w:r>
      <w:r>
        <w:rPr>
          <w:noProof/>
        </w:rPr>
        <w:fldChar w:fldCharType="end"/>
      </w:r>
      <w:bookmarkEnd w:id="190"/>
      <w:r>
        <w:rPr>
          <w:noProof/>
        </w:rPr>
        <w:t xml:space="preserve"> General policy approaches to address the problem drivers</w:t>
      </w:r>
      <w:r>
        <w:rPr>
          <w:rFonts w:ascii="Times New Roman" w:hAnsi="Times New Roman" w:cs="Times New Roman"/>
          <w:noProof/>
          <w:sz w:val="24"/>
          <w:szCs w:val="24"/>
          <w:lang w:val="en-IE"/>
        </w:rPr>
        <w:t xml:space="preserve"> </w:t>
      </w:r>
    </w:p>
    <w:p>
      <w:pPr>
        <w:spacing w:after="120"/>
        <w:jc w:val="center"/>
        <w:rPr>
          <w:noProof/>
          <w:szCs w:val="24"/>
          <w:lang w:val="en-IE"/>
        </w:rPr>
      </w:pPr>
      <w:r>
        <w:rPr>
          <w:noProof/>
          <w:szCs w:val="24"/>
          <w:lang w:eastAsia="en-GB"/>
        </w:rPr>
        <w:drawing>
          <wp:inline distT="0" distB="0" distL="0" distR="0">
            <wp:extent cx="4994096" cy="18893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59628" cy="1914148"/>
                    </a:xfrm>
                    <a:prstGeom prst="rect">
                      <a:avLst/>
                    </a:prstGeom>
                    <a:noFill/>
                  </pic:spPr>
                </pic:pic>
              </a:graphicData>
            </a:graphic>
          </wp:inline>
        </w:drawing>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Following this analysis, it appears that all policy approaches potentially capable of fulfilling the given objectives would need to share two principal characteristics: </w:t>
      </w:r>
    </w:p>
    <w:p>
      <w:pPr>
        <w:pStyle w:val="Text2"/>
        <w:numPr>
          <w:ilvl w:val="0"/>
          <w:numId w:val="8"/>
        </w:numPr>
        <w:rPr>
          <w:noProof/>
          <w:szCs w:val="24"/>
          <w:lang w:val="en-IE"/>
        </w:rPr>
      </w:pPr>
      <w:r>
        <w:rPr>
          <w:noProof/>
          <w:szCs w:val="24"/>
          <w:lang w:val="en-IE"/>
        </w:rPr>
        <w:t>They should provide certainty on the future short to long-term policy targets for the carbon intensity of the energy used by ships. Such targets should preferably be mandatory and enforceable, thus providing legal certainty.</w:t>
      </w:r>
    </w:p>
    <w:p>
      <w:pPr>
        <w:pStyle w:val="Text2"/>
        <w:numPr>
          <w:ilvl w:val="0"/>
          <w:numId w:val="8"/>
        </w:numPr>
        <w:rPr>
          <w:noProof/>
          <w:szCs w:val="24"/>
          <w:lang w:val="en-IE"/>
        </w:rPr>
      </w:pPr>
      <w:r>
        <w:rPr>
          <w:noProof/>
          <w:szCs w:val="24"/>
          <w:lang w:val="en-IE"/>
        </w:rPr>
        <w:t xml:space="preserve">They should address the demand side component, by incentivising or prescribing minimum performance requirements of the marine energy mix. This is necessary for complementing existing supply-side measures and solving the interdependency issue, as well as for avoiding carbon leakage.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Policy approaches could, however, differ on the way that the required level of performance is achieved. This could either be done by prescribing the use of certain technologies/fuels or by setting certain goals that operators could meet with technologies/fuels of their choice. As a result, this aspect was considered to be the main factor differentiating the suitable policy options (POs) to be analysed for this initiative.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In the next step, the retained policy measures were classified according to their approach and characteristics in relation to three areas of policy intervention: i) improve the penetration rate of RLF, ii) stimulate the introduction of zero-emissions energy solutions, and iii) certification, reporting and enforcement.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correspondence between the SOs and the areas of policy intervention are illustrated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_Ref63433012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6</w:t>
      </w:r>
      <w:r>
        <w:rPr>
          <w:rFonts w:ascii="Times New Roman" w:hAnsi="Times New Roman" w:cs="Times New Roman"/>
          <w:noProof/>
          <w:sz w:val="24"/>
          <w:szCs w:val="24"/>
        </w:rPr>
        <w:fldChar w:fldCharType="end"/>
      </w:r>
      <w:r>
        <w:rPr>
          <w:rFonts w:ascii="Times New Roman" w:hAnsi="Times New Roman" w:cs="Times New Roman"/>
          <w:noProof/>
          <w:sz w:val="24"/>
          <w:szCs w:val="24"/>
        </w:rPr>
        <w:t>:</w:t>
      </w:r>
    </w:p>
    <w:p>
      <w:pPr>
        <w:pStyle w:val="Caption"/>
        <w:rPr>
          <w:noProof/>
        </w:rPr>
      </w:pPr>
      <w:bookmarkStart w:id="191" w:name="_Ref63433012"/>
      <w:r>
        <w:rPr>
          <w:noProof/>
        </w:rPr>
        <w:t xml:space="preserve">Figure </w:t>
      </w:r>
      <w:r>
        <w:rPr>
          <w:noProof/>
        </w:rPr>
        <w:fldChar w:fldCharType="begin"/>
      </w:r>
      <w:r>
        <w:rPr>
          <w:noProof/>
        </w:rPr>
        <w:instrText xml:space="preserve"> SEQ Figure \* ARABIC </w:instrText>
      </w:r>
      <w:r>
        <w:rPr>
          <w:noProof/>
        </w:rPr>
        <w:fldChar w:fldCharType="separate"/>
      </w:r>
      <w:r>
        <w:rPr>
          <w:noProof/>
        </w:rPr>
        <w:t>6</w:t>
      </w:r>
      <w:r>
        <w:rPr>
          <w:noProof/>
        </w:rPr>
        <w:fldChar w:fldCharType="end"/>
      </w:r>
      <w:bookmarkEnd w:id="191"/>
      <w:r>
        <w:rPr>
          <w:noProof/>
        </w:rPr>
        <w:t xml:space="preserve"> Correspondence between the specific objectives and the identified areas of policy interventions</w:t>
      </w:r>
    </w:p>
    <w:p>
      <w:pPr>
        <w:rPr>
          <w:noProof/>
        </w:rPr>
      </w:pPr>
      <w:r>
        <w:rPr>
          <w:noProof/>
          <w:lang w:eastAsia="en-GB"/>
        </w:rPr>
        <w:drawing>
          <wp:inline distT="0" distB="0" distL="0" distR="0">
            <wp:extent cx="5480345" cy="19066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62021" cy="1935021"/>
                    </a:xfrm>
                    <a:prstGeom prst="rect">
                      <a:avLst/>
                    </a:prstGeom>
                    <a:noFill/>
                  </pic:spPr>
                </pic:pic>
              </a:graphicData>
            </a:graphic>
          </wp:inline>
        </w:drawing>
      </w:r>
    </w:p>
    <w:p>
      <w:pPr>
        <w:pStyle w:val="Text1"/>
        <w:spacing w:line="276" w:lineRule="auto"/>
        <w:ind w:left="0"/>
        <w:rPr>
          <w:noProof/>
          <w:szCs w:val="24"/>
          <w:lang w:val="en-IE"/>
        </w:rPr>
      </w:pPr>
      <w:r>
        <w:rPr>
          <w:noProof/>
          <w:szCs w:val="24"/>
          <w:lang w:val="en-IE"/>
        </w:rPr>
        <w:t xml:space="preserve">As explained in Section 5.2.1, the full list of identified policy measures is presented in </w:t>
      </w:r>
      <w:r>
        <w:rPr>
          <w:noProof/>
          <w:szCs w:val="24"/>
          <w:lang w:val="en-IE"/>
        </w:rPr>
        <w:fldChar w:fldCharType="begin"/>
      </w:r>
      <w:r>
        <w:rPr>
          <w:noProof/>
          <w:szCs w:val="24"/>
          <w:lang w:val="en-IE"/>
        </w:rPr>
        <w:instrText xml:space="preserve"> REF _Ref63423378 \h  \* MERGEFORMAT </w:instrText>
      </w:r>
      <w:r>
        <w:rPr>
          <w:noProof/>
          <w:szCs w:val="24"/>
          <w:lang w:val="en-IE"/>
        </w:rPr>
      </w:r>
      <w:r>
        <w:rPr>
          <w:noProof/>
          <w:szCs w:val="24"/>
          <w:lang w:val="en-IE"/>
        </w:rPr>
        <w:fldChar w:fldCharType="separate"/>
      </w:r>
      <w:r>
        <w:rPr>
          <w:noProof/>
        </w:rPr>
        <w:t>Table 69</w:t>
      </w:r>
      <w:r>
        <w:rPr>
          <w:noProof/>
          <w:szCs w:val="24"/>
          <w:lang w:val="en-IE"/>
        </w:rPr>
        <w:fldChar w:fldCharType="end"/>
      </w:r>
      <w:r>
        <w:rPr>
          <w:noProof/>
          <w:szCs w:val="24"/>
          <w:lang w:val="en-IE"/>
        </w:rPr>
        <w:t xml:space="preserve"> in Annex 6. It clearly indicates if these measures have been retained or are considered as flanking measures or complementary measures. Only retained measures have been included in policy options and were subject to a thorough analysis. </w:t>
      </w:r>
    </w:p>
    <w:p>
      <w:pPr>
        <w:pStyle w:val="Text1"/>
        <w:spacing w:line="276" w:lineRule="auto"/>
        <w:ind w:left="0"/>
        <w:rPr>
          <w:noProof/>
          <w:szCs w:val="24"/>
          <w:lang w:val="en-IE"/>
        </w:rPr>
      </w:pPr>
      <w:r>
        <w:rPr>
          <w:noProof/>
          <w:szCs w:val="24"/>
          <w:lang w:val="en-IE"/>
        </w:rPr>
        <w:t xml:space="preserve">The correspondence between </w:t>
      </w:r>
      <w:r>
        <w:rPr>
          <w:noProof/>
        </w:rPr>
        <w:t xml:space="preserve">the specific policy objectives, the retained policy measures grouped in accordance with the three areas of policy intervention and links to the different POs is shown in </w:t>
      </w:r>
      <w:r>
        <w:rPr>
          <w:noProof/>
        </w:rPr>
        <w:fldChar w:fldCharType="begin"/>
      </w:r>
      <w:r>
        <w:rPr>
          <w:noProof/>
        </w:rPr>
        <w:instrText xml:space="preserve"> REF _Ref63433751 \h </w:instrText>
      </w:r>
      <w:r>
        <w:rPr>
          <w:noProof/>
        </w:rPr>
      </w:r>
      <w:r>
        <w:rPr>
          <w:noProof/>
        </w:rPr>
        <w:fldChar w:fldCharType="separate"/>
      </w:r>
      <w:r>
        <w:rPr>
          <w:noProof/>
        </w:rPr>
        <w:t>Table 1</w:t>
      </w:r>
      <w:r>
        <w:rPr>
          <w:noProof/>
        </w:rPr>
        <w:fldChar w:fldCharType="end"/>
      </w:r>
      <w:r>
        <w:rPr>
          <w:noProof/>
        </w:rPr>
        <w:t>.</w:t>
      </w:r>
    </w:p>
    <w:p>
      <w:pPr>
        <w:pStyle w:val="Caption"/>
        <w:rPr>
          <w:rStyle w:val="CommentReference"/>
          <w:noProof/>
        </w:rPr>
      </w:pPr>
      <w:bookmarkStart w:id="192" w:name="_Ref63241218"/>
      <w:bookmarkStart w:id="193" w:name="_Ref63433751"/>
      <w:r>
        <w:rPr>
          <w:noProof/>
        </w:rPr>
        <w:t xml:space="preserve">Table </w:t>
      </w:r>
      <w:bookmarkEnd w:id="192"/>
      <w:r>
        <w:rPr>
          <w:noProof/>
        </w:rPr>
        <w:fldChar w:fldCharType="begin"/>
      </w:r>
      <w:r>
        <w:rPr>
          <w:noProof/>
        </w:rPr>
        <w:instrText xml:space="preserve"> SEQ Table \* ARABIC </w:instrText>
      </w:r>
      <w:r>
        <w:rPr>
          <w:noProof/>
        </w:rPr>
        <w:fldChar w:fldCharType="separate"/>
      </w:r>
      <w:r>
        <w:rPr>
          <w:noProof/>
        </w:rPr>
        <w:t>1</w:t>
      </w:r>
      <w:r>
        <w:rPr>
          <w:noProof/>
        </w:rPr>
        <w:fldChar w:fldCharType="end"/>
      </w:r>
      <w:bookmarkEnd w:id="193"/>
      <w:r>
        <w:rPr>
          <w:noProof/>
        </w:rPr>
        <w:t xml:space="preserve"> Overview of specific policy objectives, measures and links to policy options</w:t>
      </w:r>
    </w:p>
    <w:tbl>
      <w:tblPr>
        <w:tblStyle w:val="TableGrid"/>
        <w:tblW w:w="5000" w:type="pct"/>
        <w:tblLayout w:type="fixed"/>
        <w:tblLook w:val="04A0" w:firstRow="1" w:lastRow="0" w:firstColumn="1" w:lastColumn="0" w:noHBand="0" w:noVBand="1"/>
      </w:tblPr>
      <w:tblGrid>
        <w:gridCol w:w="514"/>
        <w:gridCol w:w="5373"/>
        <w:gridCol w:w="1156"/>
        <w:gridCol w:w="654"/>
        <w:gridCol w:w="654"/>
        <w:gridCol w:w="652"/>
      </w:tblGrid>
      <w:tr>
        <w:trPr>
          <w:trHeight w:val="288"/>
        </w:trPr>
        <w:tc>
          <w:tcPr>
            <w:tcW w:w="3270" w:type="pct"/>
            <w:gridSpan w:val="2"/>
            <w:vMerge w:val="restart"/>
            <w:vAlign w:val="center"/>
          </w:tcPr>
          <w:p>
            <w:pPr>
              <w:spacing w:before="60" w:after="60" w:line="276" w:lineRule="auto"/>
              <w:rPr>
                <w:b/>
                <w:bCs/>
                <w:noProof/>
              </w:rPr>
            </w:pPr>
            <w:r>
              <w:rPr>
                <w:b/>
                <w:bCs/>
                <w:noProof/>
              </w:rPr>
              <w:t>Retained policy measure</w:t>
            </w:r>
          </w:p>
        </w:tc>
        <w:tc>
          <w:tcPr>
            <w:tcW w:w="642" w:type="pct"/>
            <w:vMerge w:val="restart"/>
          </w:tcPr>
          <w:p>
            <w:pPr>
              <w:spacing w:before="60" w:after="60" w:line="276" w:lineRule="auto"/>
              <w:jc w:val="center"/>
              <w:rPr>
                <w:b/>
                <w:bCs/>
                <w:noProof/>
              </w:rPr>
            </w:pPr>
            <w:r>
              <w:rPr>
                <w:b/>
                <w:bCs/>
                <w:noProof/>
              </w:rPr>
              <w:t>Driver / Specific objective</w:t>
            </w:r>
          </w:p>
        </w:tc>
        <w:tc>
          <w:tcPr>
            <w:tcW w:w="1088" w:type="pct"/>
            <w:gridSpan w:val="3"/>
          </w:tcPr>
          <w:p>
            <w:pPr>
              <w:spacing w:after="60"/>
              <w:jc w:val="center"/>
              <w:rPr>
                <w:b/>
                <w:bCs/>
                <w:noProof/>
              </w:rPr>
            </w:pPr>
            <w:r>
              <w:rPr>
                <w:b/>
                <w:bCs/>
                <w:noProof/>
              </w:rPr>
              <w:t>Policy options</w:t>
            </w:r>
          </w:p>
        </w:tc>
      </w:tr>
      <w:tr>
        <w:trPr>
          <w:trHeight w:val="288"/>
        </w:trPr>
        <w:tc>
          <w:tcPr>
            <w:tcW w:w="3270" w:type="pct"/>
            <w:gridSpan w:val="2"/>
            <w:vMerge/>
          </w:tcPr>
          <w:p>
            <w:pPr>
              <w:spacing w:after="60"/>
              <w:rPr>
                <w:b/>
                <w:bCs/>
                <w:noProof/>
              </w:rPr>
            </w:pPr>
          </w:p>
        </w:tc>
        <w:tc>
          <w:tcPr>
            <w:tcW w:w="642" w:type="pct"/>
            <w:vMerge/>
          </w:tcPr>
          <w:p>
            <w:pPr>
              <w:spacing w:after="60"/>
              <w:jc w:val="center"/>
              <w:rPr>
                <w:b/>
                <w:bCs/>
                <w:noProof/>
              </w:rPr>
            </w:pPr>
          </w:p>
        </w:tc>
        <w:tc>
          <w:tcPr>
            <w:tcW w:w="363" w:type="pct"/>
            <w:vAlign w:val="center"/>
          </w:tcPr>
          <w:p>
            <w:pPr>
              <w:spacing w:after="60"/>
              <w:jc w:val="center"/>
              <w:rPr>
                <w:b/>
                <w:bCs/>
                <w:noProof/>
              </w:rPr>
            </w:pPr>
            <w:r>
              <w:rPr>
                <w:b/>
                <w:bCs/>
                <w:noProof/>
              </w:rPr>
              <w:t>PO1</w:t>
            </w:r>
          </w:p>
        </w:tc>
        <w:tc>
          <w:tcPr>
            <w:tcW w:w="363" w:type="pct"/>
            <w:vAlign w:val="center"/>
          </w:tcPr>
          <w:p>
            <w:pPr>
              <w:spacing w:after="60"/>
              <w:jc w:val="center"/>
              <w:rPr>
                <w:b/>
                <w:bCs/>
                <w:noProof/>
              </w:rPr>
            </w:pPr>
            <w:r>
              <w:rPr>
                <w:b/>
                <w:bCs/>
                <w:noProof/>
              </w:rPr>
              <w:t>PO2</w:t>
            </w:r>
          </w:p>
        </w:tc>
        <w:tc>
          <w:tcPr>
            <w:tcW w:w="362" w:type="pct"/>
            <w:vAlign w:val="center"/>
          </w:tcPr>
          <w:p>
            <w:pPr>
              <w:spacing w:after="60"/>
              <w:jc w:val="center"/>
              <w:rPr>
                <w:b/>
                <w:bCs/>
                <w:noProof/>
              </w:rPr>
            </w:pPr>
            <w:r>
              <w:rPr>
                <w:b/>
                <w:bCs/>
                <w:noProof/>
              </w:rPr>
              <w:t>PO3</w:t>
            </w:r>
          </w:p>
        </w:tc>
      </w:tr>
      <w:tr>
        <w:trPr>
          <w:trHeight w:val="429"/>
        </w:trPr>
        <w:tc>
          <w:tcPr>
            <w:tcW w:w="5000" w:type="pct"/>
            <w:gridSpan w:val="6"/>
          </w:tcPr>
          <w:p>
            <w:pPr>
              <w:rPr>
                <w:b/>
                <w:bCs/>
                <w:noProof/>
              </w:rPr>
            </w:pPr>
            <w:r>
              <w:rPr>
                <w:b/>
                <w:bCs/>
                <w:noProof/>
              </w:rPr>
              <w:t>Field of policy intervention 1: Improve the penetration rate of RLF</w:t>
            </w:r>
          </w:p>
        </w:tc>
      </w:tr>
      <w:tr>
        <w:trPr>
          <w:trHeight w:val="288"/>
        </w:trPr>
        <w:tc>
          <w:tcPr>
            <w:tcW w:w="286" w:type="pct"/>
          </w:tcPr>
          <w:p>
            <w:pPr>
              <w:spacing w:after="60"/>
              <w:jc w:val="center"/>
              <w:rPr>
                <w:noProof/>
              </w:rPr>
            </w:pPr>
            <w:r>
              <w:rPr>
                <w:noProof/>
              </w:rPr>
              <w:t>1</w:t>
            </w:r>
          </w:p>
        </w:tc>
        <w:tc>
          <w:tcPr>
            <w:tcW w:w="2984" w:type="pct"/>
          </w:tcPr>
          <w:p>
            <w:pPr>
              <w:spacing w:after="60"/>
              <w:rPr>
                <w:noProof/>
              </w:rPr>
            </w:pPr>
            <w:r>
              <w:rPr>
                <w:noProof/>
              </w:rPr>
              <w:t>Establish minimum share (in volume terms) of selected RLF for ships in navigation calling EU ports (blending mandate)</w:t>
            </w:r>
          </w:p>
        </w:tc>
        <w:tc>
          <w:tcPr>
            <w:tcW w:w="642" w:type="pct"/>
          </w:tcPr>
          <w:p>
            <w:pPr>
              <w:jc w:val="center"/>
              <w:rPr>
                <w:bCs/>
                <w:strike/>
                <w:noProof/>
              </w:rPr>
            </w:pPr>
            <w:r>
              <w:rPr>
                <w:bCs/>
                <w:noProof/>
              </w:rPr>
              <w:t>SO1, SO2, SO3, SO4, SO5</w:t>
            </w:r>
          </w:p>
        </w:tc>
        <w:tc>
          <w:tcPr>
            <w:tcW w:w="363" w:type="pct"/>
            <w:vAlign w:val="center"/>
          </w:tcPr>
          <w:p>
            <w:pPr>
              <w:jc w:val="center"/>
              <w:rPr>
                <w:b/>
                <w:noProof/>
              </w:rPr>
            </w:pPr>
            <w:r>
              <w:rPr>
                <w:noProof/>
              </w:rPr>
              <w:sym w:font="Wingdings 2" w:char="F050"/>
            </w:r>
          </w:p>
        </w:tc>
        <w:tc>
          <w:tcPr>
            <w:tcW w:w="363" w:type="pct"/>
            <w:vAlign w:val="center"/>
          </w:tcPr>
          <w:p>
            <w:pPr>
              <w:jc w:val="center"/>
              <w:rPr>
                <w:b/>
                <w:bCs/>
                <w:noProof/>
              </w:rPr>
            </w:pPr>
            <w:r>
              <w:rPr>
                <w:b/>
                <w:bCs/>
                <w:noProof/>
              </w:rPr>
              <w:t>-</w:t>
            </w:r>
          </w:p>
        </w:tc>
        <w:tc>
          <w:tcPr>
            <w:tcW w:w="362" w:type="pct"/>
            <w:vAlign w:val="center"/>
          </w:tcPr>
          <w:p>
            <w:pPr>
              <w:jc w:val="center"/>
              <w:rPr>
                <w:b/>
                <w:bCs/>
                <w:noProof/>
              </w:rPr>
            </w:pPr>
            <w:r>
              <w:rPr>
                <w:b/>
                <w:bCs/>
                <w:noProof/>
              </w:rPr>
              <w:t>-</w:t>
            </w:r>
          </w:p>
        </w:tc>
      </w:tr>
      <w:tr>
        <w:trPr>
          <w:trHeight w:val="693"/>
        </w:trPr>
        <w:tc>
          <w:tcPr>
            <w:tcW w:w="286" w:type="pct"/>
          </w:tcPr>
          <w:p>
            <w:pPr>
              <w:spacing w:after="60"/>
              <w:jc w:val="center"/>
              <w:rPr>
                <w:noProof/>
              </w:rPr>
            </w:pPr>
            <w:r>
              <w:rPr>
                <w:noProof/>
              </w:rPr>
              <w:t>2</w:t>
            </w:r>
          </w:p>
        </w:tc>
        <w:tc>
          <w:tcPr>
            <w:tcW w:w="2984" w:type="pct"/>
          </w:tcPr>
          <w:p>
            <w:pPr>
              <w:keepNext/>
              <w:keepLines/>
              <w:spacing w:after="60"/>
              <w:rPr>
                <w:noProof/>
              </w:rPr>
            </w:pPr>
            <w:r>
              <w:rPr>
                <w:noProof/>
              </w:rPr>
              <w:t>Set maximum targets on the GHG intensity (meaning the GHG emissions per unit of energy) of the energy used by vessels (the fuel / energy emissions per MJ).</w:t>
            </w:r>
          </w:p>
        </w:tc>
        <w:tc>
          <w:tcPr>
            <w:tcW w:w="642" w:type="pct"/>
          </w:tcPr>
          <w:p>
            <w:pPr>
              <w:jc w:val="center"/>
              <w:rPr>
                <w:b/>
                <w:bCs/>
                <w:strike/>
                <w:noProof/>
              </w:rPr>
            </w:pPr>
            <w:r>
              <w:rPr>
                <w:bCs/>
                <w:noProof/>
              </w:rPr>
              <w:t>SO1, SO2, SO3, SO4, SO5</w:t>
            </w:r>
          </w:p>
        </w:tc>
        <w:tc>
          <w:tcPr>
            <w:tcW w:w="363" w:type="pct"/>
            <w:vAlign w:val="center"/>
          </w:tcPr>
          <w:p>
            <w:pPr>
              <w:jc w:val="center"/>
              <w:rPr>
                <w:b/>
                <w:bCs/>
                <w:noProof/>
              </w:rPr>
            </w:pPr>
            <w:r>
              <w:rPr>
                <w:b/>
                <w:bCs/>
                <w:noProof/>
              </w:rPr>
              <w:t>-</w:t>
            </w:r>
          </w:p>
        </w:tc>
        <w:tc>
          <w:tcPr>
            <w:tcW w:w="363" w:type="pct"/>
            <w:vAlign w:val="center"/>
          </w:tcPr>
          <w:p>
            <w:pPr>
              <w:jc w:val="center"/>
              <w:rPr>
                <w:b/>
                <w:bCs/>
                <w:noProof/>
              </w:rPr>
            </w:pPr>
            <w:r>
              <w:rPr>
                <w:noProof/>
              </w:rPr>
              <w:sym w:font="Wingdings 2" w:char="F050"/>
            </w:r>
          </w:p>
        </w:tc>
        <w:tc>
          <w:tcPr>
            <w:tcW w:w="362" w:type="pct"/>
            <w:vAlign w:val="center"/>
          </w:tcPr>
          <w:p>
            <w:pPr>
              <w:jc w:val="center"/>
              <w:rPr>
                <w:b/>
                <w:bCs/>
                <w:noProof/>
              </w:rPr>
            </w:pPr>
            <w:r>
              <w:rPr>
                <w:noProof/>
              </w:rPr>
              <w:sym w:font="Wingdings 2" w:char="F050"/>
            </w:r>
          </w:p>
        </w:tc>
      </w:tr>
      <w:tr>
        <w:trPr>
          <w:trHeight w:val="857"/>
        </w:trPr>
        <w:tc>
          <w:tcPr>
            <w:tcW w:w="286" w:type="pct"/>
          </w:tcPr>
          <w:p>
            <w:pPr>
              <w:spacing w:after="60"/>
              <w:jc w:val="center"/>
              <w:rPr>
                <w:noProof/>
              </w:rPr>
            </w:pPr>
            <w:r>
              <w:rPr>
                <w:noProof/>
              </w:rPr>
              <w:t>3</w:t>
            </w:r>
          </w:p>
        </w:tc>
        <w:tc>
          <w:tcPr>
            <w:tcW w:w="2984" w:type="pct"/>
          </w:tcPr>
          <w:p>
            <w:pPr>
              <w:keepNext/>
              <w:keepLines/>
              <w:spacing w:after="60"/>
              <w:rPr>
                <w:noProof/>
              </w:rPr>
            </w:pPr>
            <w:r>
              <w:rPr>
                <w:noProof/>
              </w:rPr>
              <w:t xml:space="preserve">Mandate the use of OPS (or equally performant alternatives e.g. </w:t>
            </w:r>
            <w:r>
              <w:rPr>
                <w:noProof/>
                <w:lang w:val="en-IE"/>
              </w:rPr>
              <w:t>batteries, zero-pollution energy sources like hydrogen</w:t>
            </w:r>
            <w:r>
              <w:rPr>
                <w:noProof/>
              </w:rPr>
              <w:t>) for the most polluting ships in ports</w:t>
            </w:r>
          </w:p>
        </w:tc>
        <w:tc>
          <w:tcPr>
            <w:tcW w:w="642" w:type="pct"/>
          </w:tcPr>
          <w:p>
            <w:pPr>
              <w:jc w:val="center"/>
              <w:rPr>
                <w:b/>
                <w:bCs/>
                <w:strike/>
                <w:noProof/>
              </w:rPr>
            </w:pPr>
            <w:r>
              <w:rPr>
                <w:bCs/>
                <w:noProof/>
              </w:rPr>
              <w:t xml:space="preserve">SO1, SO2, SO3, SO4 </w:t>
            </w:r>
          </w:p>
        </w:tc>
        <w:tc>
          <w:tcPr>
            <w:tcW w:w="363" w:type="pct"/>
            <w:vAlign w:val="center"/>
          </w:tcPr>
          <w:p>
            <w:pPr>
              <w:jc w:val="center"/>
              <w:rPr>
                <w:b/>
                <w:bCs/>
                <w:noProof/>
              </w:rPr>
            </w:pPr>
            <w:r>
              <w:rPr>
                <w:noProof/>
              </w:rPr>
              <w:sym w:font="Wingdings 2" w:char="F050"/>
            </w:r>
          </w:p>
        </w:tc>
        <w:tc>
          <w:tcPr>
            <w:tcW w:w="363" w:type="pct"/>
            <w:vAlign w:val="center"/>
          </w:tcPr>
          <w:p>
            <w:pPr>
              <w:jc w:val="center"/>
              <w:rPr>
                <w:b/>
                <w:bCs/>
                <w:noProof/>
              </w:rPr>
            </w:pPr>
            <w:r>
              <w:rPr>
                <w:noProof/>
              </w:rPr>
              <w:sym w:font="Wingdings 2" w:char="F050"/>
            </w:r>
          </w:p>
        </w:tc>
        <w:tc>
          <w:tcPr>
            <w:tcW w:w="362" w:type="pct"/>
            <w:vAlign w:val="center"/>
          </w:tcPr>
          <w:p>
            <w:pPr>
              <w:jc w:val="center"/>
              <w:rPr>
                <w:b/>
                <w:bCs/>
                <w:noProof/>
              </w:rPr>
            </w:pPr>
            <w:r>
              <w:rPr>
                <w:noProof/>
              </w:rPr>
              <w:sym w:font="Wingdings 2" w:char="F050"/>
            </w:r>
          </w:p>
        </w:tc>
      </w:tr>
      <w:tr>
        <w:trPr>
          <w:trHeight w:val="536"/>
        </w:trPr>
        <w:tc>
          <w:tcPr>
            <w:tcW w:w="286" w:type="pct"/>
          </w:tcPr>
          <w:p>
            <w:pPr>
              <w:spacing w:after="60"/>
              <w:jc w:val="center"/>
              <w:rPr>
                <w:noProof/>
              </w:rPr>
            </w:pPr>
            <w:r>
              <w:rPr>
                <w:noProof/>
              </w:rPr>
              <w:t>4</w:t>
            </w:r>
          </w:p>
        </w:tc>
        <w:tc>
          <w:tcPr>
            <w:tcW w:w="2984" w:type="pct"/>
          </w:tcPr>
          <w:p>
            <w:pPr>
              <w:spacing w:after="60"/>
              <w:rPr>
                <w:noProof/>
              </w:rPr>
            </w:pPr>
            <w:r>
              <w:rPr>
                <w:noProof/>
              </w:rPr>
              <w:t>Provide guidance to facilitate uptake of technology, including on the deployment of the necessary supply infrastucture</w:t>
            </w:r>
          </w:p>
        </w:tc>
        <w:tc>
          <w:tcPr>
            <w:tcW w:w="642" w:type="pct"/>
          </w:tcPr>
          <w:p>
            <w:pPr>
              <w:jc w:val="center"/>
              <w:rPr>
                <w:strike/>
                <w:noProof/>
              </w:rPr>
            </w:pPr>
            <w:r>
              <w:rPr>
                <w:noProof/>
              </w:rPr>
              <w:t>SO2, SO3, SO4</w:t>
            </w:r>
          </w:p>
        </w:tc>
        <w:tc>
          <w:tcPr>
            <w:tcW w:w="363" w:type="pct"/>
            <w:vAlign w:val="center"/>
          </w:tcPr>
          <w:p>
            <w:pPr>
              <w:jc w:val="center"/>
              <w:rPr>
                <w:b/>
                <w:bCs/>
                <w:noProof/>
              </w:rPr>
            </w:pPr>
            <w:r>
              <w:rPr>
                <w:noProof/>
              </w:rPr>
              <w:sym w:font="Wingdings 2" w:char="F050"/>
            </w:r>
          </w:p>
        </w:tc>
        <w:tc>
          <w:tcPr>
            <w:tcW w:w="363" w:type="pct"/>
            <w:vAlign w:val="center"/>
          </w:tcPr>
          <w:p>
            <w:pPr>
              <w:jc w:val="center"/>
              <w:rPr>
                <w:b/>
                <w:bCs/>
                <w:noProof/>
              </w:rPr>
            </w:pPr>
            <w:r>
              <w:rPr>
                <w:noProof/>
              </w:rPr>
              <w:sym w:font="Wingdings 2" w:char="F050"/>
            </w:r>
          </w:p>
        </w:tc>
        <w:tc>
          <w:tcPr>
            <w:tcW w:w="362" w:type="pct"/>
            <w:vAlign w:val="center"/>
          </w:tcPr>
          <w:p>
            <w:pPr>
              <w:jc w:val="center"/>
              <w:rPr>
                <w:b/>
                <w:bCs/>
                <w:noProof/>
              </w:rPr>
            </w:pPr>
            <w:r>
              <w:rPr>
                <w:noProof/>
              </w:rPr>
              <w:sym w:font="Wingdings 2" w:char="F050"/>
            </w:r>
          </w:p>
        </w:tc>
      </w:tr>
      <w:tr>
        <w:trPr>
          <w:trHeight w:val="429"/>
        </w:trPr>
        <w:tc>
          <w:tcPr>
            <w:tcW w:w="5000" w:type="pct"/>
            <w:gridSpan w:val="6"/>
          </w:tcPr>
          <w:p>
            <w:pPr>
              <w:rPr>
                <w:b/>
                <w:bCs/>
                <w:noProof/>
              </w:rPr>
            </w:pPr>
            <w:r>
              <w:rPr>
                <w:b/>
                <w:bCs/>
                <w:noProof/>
              </w:rPr>
              <w:t>Field of policy intervention 2: Stimulate the introduction of zero-emissions energy solutions</w:t>
            </w:r>
          </w:p>
        </w:tc>
      </w:tr>
      <w:tr>
        <w:trPr>
          <w:trHeight w:val="429"/>
        </w:trPr>
        <w:tc>
          <w:tcPr>
            <w:tcW w:w="286" w:type="pct"/>
          </w:tcPr>
          <w:p>
            <w:pPr>
              <w:spacing w:after="60"/>
              <w:jc w:val="center"/>
              <w:rPr>
                <w:noProof/>
              </w:rPr>
            </w:pPr>
            <w:r>
              <w:rPr>
                <w:noProof/>
              </w:rPr>
              <w:t>5</w:t>
            </w:r>
          </w:p>
        </w:tc>
        <w:tc>
          <w:tcPr>
            <w:tcW w:w="2984" w:type="pct"/>
          </w:tcPr>
          <w:p>
            <w:pPr>
              <w:spacing w:after="60"/>
              <w:rPr>
                <w:noProof/>
              </w:rPr>
            </w:pPr>
            <w:r>
              <w:rPr>
                <w:noProof/>
              </w:rPr>
              <w:t xml:space="preserve">Adopt additional incentives to stimulate the introduction of zero-emission energy solutions, avoid fuel technology lock-in and reward over-achievers </w:t>
            </w:r>
          </w:p>
        </w:tc>
        <w:tc>
          <w:tcPr>
            <w:tcW w:w="642" w:type="pct"/>
          </w:tcPr>
          <w:p>
            <w:pPr>
              <w:jc w:val="center"/>
              <w:rPr>
                <w:strike/>
                <w:noProof/>
              </w:rPr>
            </w:pPr>
            <w:r>
              <w:rPr>
                <w:noProof/>
              </w:rPr>
              <w:t>SO2, SO3, SO4</w:t>
            </w:r>
          </w:p>
        </w:tc>
        <w:tc>
          <w:tcPr>
            <w:tcW w:w="363" w:type="pct"/>
            <w:vAlign w:val="center"/>
          </w:tcPr>
          <w:p>
            <w:pPr>
              <w:jc w:val="center"/>
              <w:rPr>
                <w:b/>
                <w:bCs/>
                <w:noProof/>
              </w:rPr>
            </w:pPr>
            <w:r>
              <w:rPr>
                <w:b/>
                <w:noProof/>
              </w:rPr>
              <w:t>-</w:t>
            </w:r>
          </w:p>
        </w:tc>
        <w:tc>
          <w:tcPr>
            <w:tcW w:w="363" w:type="pct"/>
            <w:vAlign w:val="center"/>
          </w:tcPr>
          <w:p>
            <w:pPr>
              <w:jc w:val="center"/>
              <w:rPr>
                <w:b/>
                <w:bCs/>
                <w:noProof/>
              </w:rPr>
            </w:pPr>
            <w:r>
              <w:rPr>
                <w:b/>
                <w:noProof/>
              </w:rPr>
              <w:t>-</w:t>
            </w:r>
          </w:p>
        </w:tc>
        <w:tc>
          <w:tcPr>
            <w:tcW w:w="362" w:type="pct"/>
            <w:vAlign w:val="center"/>
          </w:tcPr>
          <w:p>
            <w:pPr>
              <w:jc w:val="center"/>
              <w:rPr>
                <w:b/>
                <w:bCs/>
                <w:noProof/>
              </w:rPr>
            </w:pPr>
            <w:r>
              <w:rPr>
                <w:noProof/>
              </w:rPr>
              <w:sym w:font="Wingdings 2" w:char="F050"/>
            </w:r>
          </w:p>
        </w:tc>
      </w:tr>
      <w:tr>
        <w:trPr>
          <w:trHeight w:val="467"/>
        </w:trPr>
        <w:tc>
          <w:tcPr>
            <w:tcW w:w="286" w:type="pct"/>
          </w:tcPr>
          <w:p>
            <w:pPr>
              <w:spacing w:after="60"/>
              <w:jc w:val="center"/>
              <w:rPr>
                <w:b/>
                <w:bCs/>
                <w:noProof/>
              </w:rPr>
            </w:pPr>
            <w:r>
              <w:rPr>
                <w:noProof/>
              </w:rPr>
              <w:t>6</w:t>
            </w:r>
          </w:p>
        </w:tc>
        <w:tc>
          <w:tcPr>
            <w:tcW w:w="2984" w:type="pct"/>
          </w:tcPr>
          <w:p>
            <w:pPr>
              <w:spacing w:after="60"/>
              <w:rPr>
                <w:b/>
                <w:bCs/>
                <w:noProof/>
              </w:rPr>
            </w:pPr>
            <w:r>
              <w:rPr>
                <w:noProof/>
              </w:rPr>
              <w:t>Increase awareness raising, exchange of experience, encouragement and promotion of industry-led programmes in support of the uptake of alternative fuels</w:t>
            </w:r>
          </w:p>
        </w:tc>
        <w:tc>
          <w:tcPr>
            <w:tcW w:w="642" w:type="pct"/>
          </w:tcPr>
          <w:p>
            <w:pPr>
              <w:spacing w:after="60"/>
              <w:jc w:val="center"/>
              <w:rPr>
                <w:bCs/>
                <w:noProof/>
              </w:rPr>
            </w:pPr>
            <w:r>
              <w:rPr>
                <w:noProof/>
              </w:rPr>
              <w:t>SO2, SO3, SO4</w:t>
            </w:r>
          </w:p>
        </w:tc>
        <w:tc>
          <w:tcPr>
            <w:tcW w:w="363" w:type="pct"/>
            <w:vAlign w:val="center"/>
          </w:tcPr>
          <w:p>
            <w:pPr>
              <w:spacing w:after="60"/>
              <w:jc w:val="center"/>
              <w:rPr>
                <w:b/>
                <w:bCs/>
                <w:noProof/>
              </w:rPr>
            </w:pPr>
            <w:r>
              <w:rPr>
                <w:noProof/>
              </w:rPr>
              <w:sym w:font="Wingdings 2" w:char="F050"/>
            </w:r>
          </w:p>
        </w:tc>
        <w:tc>
          <w:tcPr>
            <w:tcW w:w="363" w:type="pct"/>
            <w:vAlign w:val="center"/>
          </w:tcPr>
          <w:p>
            <w:pPr>
              <w:spacing w:after="60"/>
              <w:jc w:val="center"/>
              <w:rPr>
                <w:b/>
                <w:bCs/>
                <w:noProof/>
              </w:rPr>
            </w:pPr>
            <w:r>
              <w:rPr>
                <w:noProof/>
              </w:rPr>
              <w:sym w:font="Wingdings 2" w:char="F050"/>
            </w:r>
          </w:p>
        </w:tc>
        <w:tc>
          <w:tcPr>
            <w:tcW w:w="362" w:type="pct"/>
            <w:vAlign w:val="center"/>
          </w:tcPr>
          <w:p>
            <w:pPr>
              <w:spacing w:after="60"/>
              <w:jc w:val="center"/>
              <w:rPr>
                <w:b/>
                <w:bCs/>
                <w:noProof/>
              </w:rPr>
            </w:pPr>
            <w:r>
              <w:rPr>
                <w:noProof/>
              </w:rPr>
              <w:sym w:font="Wingdings 2" w:char="F050"/>
            </w:r>
          </w:p>
        </w:tc>
      </w:tr>
      <w:tr>
        <w:trPr>
          <w:trHeight w:val="288"/>
        </w:trPr>
        <w:tc>
          <w:tcPr>
            <w:tcW w:w="5000" w:type="pct"/>
            <w:gridSpan w:val="6"/>
          </w:tcPr>
          <w:p>
            <w:pPr>
              <w:spacing w:after="60"/>
              <w:rPr>
                <w:b/>
                <w:bCs/>
                <w:noProof/>
                <w:lang w:val="en-IE"/>
              </w:rPr>
            </w:pPr>
            <w:r>
              <w:rPr>
                <w:b/>
                <w:bCs/>
                <w:noProof/>
              </w:rPr>
              <w:t xml:space="preserve">Field of policy intervention 3: </w:t>
            </w:r>
            <w:r>
              <w:rPr>
                <w:b/>
                <w:bCs/>
                <w:noProof/>
                <w:lang w:val="en-US"/>
              </w:rPr>
              <w:t>Certification, reporting and enforcement</w:t>
            </w:r>
          </w:p>
        </w:tc>
      </w:tr>
      <w:tr>
        <w:trPr>
          <w:trHeight w:val="288"/>
        </w:trPr>
        <w:tc>
          <w:tcPr>
            <w:tcW w:w="286" w:type="pct"/>
          </w:tcPr>
          <w:p>
            <w:pPr>
              <w:spacing w:after="60"/>
              <w:jc w:val="center"/>
              <w:rPr>
                <w:noProof/>
              </w:rPr>
            </w:pPr>
            <w:r>
              <w:rPr>
                <w:noProof/>
              </w:rPr>
              <w:t>7</w:t>
            </w:r>
          </w:p>
        </w:tc>
        <w:tc>
          <w:tcPr>
            <w:tcW w:w="2984" w:type="pct"/>
          </w:tcPr>
          <w:p>
            <w:pPr>
              <w:keepNext/>
              <w:keepLines/>
              <w:spacing w:after="60"/>
              <w:rPr>
                <w:noProof/>
              </w:rPr>
            </w:pPr>
            <w:r>
              <w:rPr>
                <w:noProof/>
              </w:rPr>
              <w:t>Establish an EU-wide methodology to certify the well-to-wake performance of fuels, reflecting all relevant GHG emissions and define the related documents to certify compliance</w:t>
            </w:r>
          </w:p>
        </w:tc>
        <w:tc>
          <w:tcPr>
            <w:tcW w:w="642" w:type="pct"/>
          </w:tcPr>
          <w:p>
            <w:pPr>
              <w:spacing w:after="60"/>
              <w:jc w:val="center"/>
              <w:rPr>
                <w:noProof/>
              </w:rPr>
            </w:pPr>
            <w:r>
              <w:rPr>
                <w:noProof/>
              </w:rPr>
              <w:t>SO1, SO2, SO5</w:t>
            </w:r>
          </w:p>
        </w:tc>
        <w:tc>
          <w:tcPr>
            <w:tcW w:w="363" w:type="pct"/>
            <w:vAlign w:val="center"/>
          </w:tcPr>
          <w:p>
            <w:pPr>
              <w:spacing w:after="60"/>
              <w:jc w:val="center"/>
              <w:rPr>
                <w:b/>
                <w:noProof/>
              </w:rPr>
            </w:pPr>
            <w:r>
              <w:rPr>
                <w:noProof/>
              </w:rPr>
              <w:sym w:font="Wingdings 2" w:char="F050"/>
            </w:r>
          </w:p>
        </w:tc>
        <w:tc>
          <w:tcPr>
            <w:tcW w:w="363" w:type="pct"/>
            <w:vAlign w:val="center"/>
          </w:tcPr>
          <w:p>
            <w:pPr>
              <w:spacing w:after="60"/>
              <w:jc w:val="center"/>
              <w:rPr>
                <w:b/>
                <w:noProof/>
              </w:rPr>
            </w:pPr>
            <w:r>
              <w:rPr>
                <w:noProof/>
              </w:rPr>
              <w:sym w:font="Wingdings 2" w:char="F050"/>
            </w:r>
          </w:p>
        </w:tc>
        <w:tc>
          <w:tcPr>
            <w:tcW w:w="362" w:type="pct"/>
            <w:vAlign w:val="center"/>
          </w:tcPr>
          <w:p>
            <w:pPr>
              <w:spacing w:after="60"/>
              <w:jc w:val="center"/>
              <w:rPr>
                <w:b/>
                <w:noProof/>
              </w:rPr>
            </w:pPr>
            <w:r>
              <w:rPr>
                <w:noProof/>
              </w:rPr>
              <w:sym w:font="Wingdings 2" w:char="F050"/>
            </w:r>
          </w:p>
        </w:tc>
      </w:tr>
      <w:tr>
        <w:trPr>
          <w:trHeight w:val="288"/>
        </w:trPr>
        <w:tc>
          <w:tcPr>
            <w:tcW w:w="286" w:type="pct"/>
          </w:tcPr>
          <w:p>
            <w:pPr>
              <w:spacing w:after="60"/>
              <w:jc w:val="center"/>
              <w:rPr>
                <w:noProof/>
              </w:rPr>
            </w:pPr>
            <w:r>
              <w:rPr>
                <w:noProof/>
              </w:rPr>
              <w:t>8</w:t>
            </w:r>
          </w:p>
        </w:tc>
        <w:tc>
          <w:tcPr>
            <w:tcW w:w="2984" w:type="pct"/>
          </w:tcPr>
          <w:p>
            <w:pPr>
              <w:spacing w:after="60"/>
              <w:rPr>
                <w:noProof/>
              </w:rPr>
            </w:pPr>
            <w:r>
              <w:rPr>
                <w:noProof/>
              </w:rPr>
              <w:t>Establish requirements for certification and acceptance of bunkering supplied in third countries</w:t>
            </w:r>
          </w:p>
        </w:tc>
        <w:tc>
          <w:tcPr>
            <w:tcW w:w="642" w:type="pct"/>
          </w:tcPr>
          <w:p>
            <w:pPr>
              <w:spacing w:after="60"/>
              <w:jc w:val="center"/>
              <w:rPr>
                <w:strike/>
                <w:noProof/>
              </w:rPr>
            </w:pPr>
            <w:r>
              <w:rPr>
                <w:noProof/>
              </w:rPr>
              <w:t>SO5</w:t>
            </w:r>
          </w:p>
        </w:tc>
        <w:tc>
          <w:tcPr>
            <w:tcW w:w="363" w:type="pct"/>
            <w:vAlign w:val="center"/>
          </w:tcPr>
          <w:p>
            <w:pPr>
              <w:spacing w:after="60"/>
              <w:jc w:val="center"/>
              <w:rPr>
                <w:b/>
                <w:noProof/>
              </w:rPr>
            </w:pPr>
            <w:r>
              <w:rPr>
                <w:noProof/>
              </w:rPr>
              <w:sym w:font="Wingdings 2" w:char="F050"/>
            </w:r>
          </w:p>
        </w:tc>
        <w:tc>
          <w:tcPr>
            <w:tcW w:w="363" w:type="pct"/>
            <w:vAlign w:val="center"/>
          </w:tcPr>
          <w:p>
            <w:pPr>
              <w:spacing w:after="60"/>
              <w:jc w:val="center"/>
              <w:rPr>
                <w:b/>
                <w:noProof/>
              </w:rPr>
            </w:pPr>
            <w:r>
              <w:rPr>
                <w:noProof/>
              </w:rPr>
              <w:sym w:font="Wingdings 2" w:char="F050"/>
            </w:r>
          </w:p>
        </w:tc>
        <w:tc>
          <w:tcPr>
            <w:tcW w:w="362" w:type="pct"/>
            <w:vAlign w:val="center"/>
          </w:tcPr>
          <w:p>
            <w:pPr>
              <w:spacing w:after="60"/>
              <w:jc w:val="center"/>
              <w:rPr>
                <w:b/>
                <w:bCs/>
                <w:noProof/>
              </w:rPr>
            </w:pPr>
            <w:r>
              <w:rPr>
                <w:noProof/>
              </w:rPr>
              <w:sym w:font="Wingdings 2" w:char="F050"/>
            </w:r>
          </w:p>
        </w:tc>
      </w:tr>
      <w:tr>
        <w:trPr>
          <w:trHeight w:val="432"/>
        </w:trPr>
        <w:tc>
          <w:tcPr>
            <w:tcW w:w="286" w:type="pct"/>
          </w:tcPr>
          <w:p>
            <w:pPr>
              <w:spacing w:after="60"/>
              <w:jc w:val="center"/>
              <w:rPr>
                <w:b/>
                <w:bCs/>
                <w:noProof/>
              </w:rPr>
            </w:pPr>
            <w:r>
              <w:rPr>
                <w:noProof/>
              </w:rPr>
              <w:t>9</w:t>
            </w:r>
          </w:p>
        </w:tc>
        <w:tc>
          <w:tcPr>
            <w:tcW w:w="2984" w:type="pct"/>
          </w:tcPr>
          <w:p>
            <w:pPr>
              <w:spacing w:after="60"/>
              <w:rPr>
                <w:b/>
                <w:bCs/>
                <w:noProof/>
              </w:rPr>
            </w:pPr>
            <w:r>
              <w:rPr>
                <w:noProof/>
              </w:rPr>
              <w:t>Establish a set of rules to follow for monitoring, reporting and verification of consumption of alternative fuels in the context of the EU MRV</w:t>
            </w:r>
          </w:p>
        </w:tc>
        <w:tc>
          <w:tcPr>
            <w:tcW w:w="642" w:type="pct"/>
          </w:tcPr>
          <w:p>
            <w:pPr>
              <w:jc w:val="center"/>
              <w:rPr>
                <w:bCs/>
                <w:noProof/>
              </w:rPr>
            </w:pPr>
            <w:r>
              <w:rPr>
                <w:bCs/>
                <w:noProof/>
              </w:rPr>
              <w:t>SO1, SO5</w:t>
            </w:r>
          </w:p>
        </w:tc>
        <w:tc>
          <w:tcPr>
            <w:tcW w:w="363" w:type="pct"/>
            <w:vAlign w:val="center"/>
          </w:tcPr>
          <w:p>
            <w:pPr>
              <w:jc w:val="center"/>
              <w:rPr>
                <w:b/>
                <w:bCs/>
                <w:noProof/>
              </w:rPr>
            </w:pPr>
            <w:r>
              <w:rPr>
                <w:noProof/>
              </w:rPr>
              <w:sym w:font="Wingdings 2" w:char="F050"/>
            </w:r>
          </w:p>
        </w:tc>
        <w:tc>
          <w:tcPr>
            <w:tcW w:w="363" w:type="pct"/>
            <w:vAlign w:val="center"/>
          </w:tcPr>
          <w:p>
            <w:pPr>
              <w:jc w:val="center"/>
              <w:rPr>
                <w:b/>
                <w:bCs/>
                <w:noProof/>
              </w:rPr>
            </w:pPr>
            <w:r>
              <w:rPr>
                <w:noProof/>
              </w:rPr>
              <w:sym w:font="Wingdings 2" w:char="F050"/>
            </w:r>
          </w:p>
        </w:tc>
        <w:tc>
          <w:tcPr>
            <w:tcW w:w="362" w:type="pct"/>
            <w:vAlign w:val="center"/>
          </w:tcPr>
          <w:p>
            <w:pPr>
              <w:jc w:val="center"/>
              <w:rPr>
                <w:b/>
                <w:bCs/>
                <w:noProof/>
              </w:rPr>
            </w:pPr>
            <w:r>
              <w:rPr>
                <w:noProof/>
              </w:rPr>
              <w:sym w:font="Wingdings 2" w:char="F050"/>
            </w:r>
          </w:p>
        </w:tc>
      </w:tr>
      <w:tr>
        <w:trPr>
          <w:trHeight w:val="432"/>
        </w:trPr>
        <w:tc>
          <w:tcPr>
            <w:tcW w:w="286" w:type="pct"/>
          </w:tcPr>
          <w:p>
            <w:pPr>
              <w:spacing w:after="60"/>
              <w:jc w:val="center"/>
              <w:rPr>
                <w:noProof/>
              </w:rPr>
            </w:pPr>
            <w:r>
              <w:rPr>
                <w:noProof/>
              </w:rPr>
              <w:t>10</w:t>
            </w:r>
          </w:p>
        </w:tc>
        <w:tc>
          <w:tcPr>
            <w:tcW w:w="2984" w:type="pct"/>
          </w:tcPr>
          <w:p>
            <w:pPr>
              <w:spacing w:after="60"/>
              <w:rPr>
                <w:noProof/>
              </w:rPr>
            </w:pPr>
            <w:r>
              <w:rPr>
                <w:noProof/>
              </w:rPr>
              <w:t>Establish Port State Control procedures for the use of RLF (including upskilling and training of PSC officers)</w:t>
            </w:r>
          </w:p>
        </w:tc>
        <w:tc>
          <w:tcPr>
            <w:tcW w:w="642" w:type="pct"/>
          </w:tcPr>
          <w:p>
            <w:pPr>
              <w:jc w:val="center"/>
              <w:rPr>
                <w:strike/>
                <w:noProof/>
              </w:rPr>
            </w:pPr>
            <w:r>
              <w:rPr>
                <w:bCs/>
                <w:noProof/>
              </w:rPr>
              <w:t>SO1, SO5</w:t>
            </w:r>
          </w:p>
        </w:tc>
        <w:tc>
          <w:tcPr>
            <w:tcW w:w="363" w:type="pct"/>
            <w:vAlign w:val="center"/>
          </w:tcPr>
          <w:p>
            <w:pPr>
              <w:jc w:val="center"/>
              <w:rPr>
                <w:b/>
                <w:bCs/>
                <w:noProof/>
              </w:rPr>
            </w:pPr>
            <w:r>
              <w:rPr>
                <w:noProof/>
              </w:rPr>
              <w:sym w:font="Wingdings 2" w:char="F050"/>
            </w:r>
          </w:p>
        </w:tc>
        <w:tc>
          <w:tcPr>
            <w:tcW w:w="363" w:type="pct"/>
            <w:vAlign w:val="center"/>
          </w:tcPr>
          <w:p>
            <w:pPr>
              <w:jc w:val="center"/>
              <w:rPr>
                <w:b/>
                <w:bCs/>
                <w:noProof/>
              </w:rPr>
            </w:pPr>
            <w:r>
              <w:rPr>
                <w:noProof/>
              </w:rPr>
              <w:sym w:font="Wingdings 2" w:char="F050"/>
            </w:r>
          </w:p>
        </w:tc>
        <w:tc>
          <w:tcPr>
            <w:tcW w:w="362" w:type="pct"/>
            <w:vAlign w:val="center"/>
          </w:tcPr>
          <w:p>
            <w:pPr>
              <w:jc w:val="center"/>
              <w:rPr>
                <w:b/>
                <w:bCs/>
                <w:noProof/>
              </w:rPr>
            </w:pPr>
            <w:r>
              <w:rPr>
                <w:noProof/>
              </w:rPr>
              <w:sym w:font="Wingdings 2" w:char="F050"/>
            </w:r>
          </w:p>
        </w:tc>
      </w:tr>
    </w:tbl>
    <w:p>
      <w:pPr>
        <w:spacing w:after="120"/>
        <w:jc w:val="both"/>
        <w:rPr>
          <w:rFonts w:ascii="Times New Roman" w:hAnsi="Times New Roman" w:cs="Times New Roman"/>
          <w:noProof/>
          <w:sz w:val="24"/>
          <w:szCs w:val="24"/>
          <w:lang w:val="en-IE"/>
        </w:rPr>
      </w:pP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three policy options can be summarised as follows:</w:t>
      </w:r>
    </w:p>
    <w:p>
      <w:pPr>
        <w:pStyle w:val="ListParagraph"/>
        <w:numPr>
          <w:ilvl w:val="0"/>
          <w:numId w:val="57"/>
        </w:num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PO1, demand obligations would be identified by the regulator and defined in terms of share of RLF in the total maritime fuel mix to be used from 2025 onwards;</w:t>
      </w:r>
    </w:p>
    <w:p>
      <w:pPr>
        <w:pStyle w:val="ListParagraph"/>
        <w:numPr>
          <w:ilvl w:val="0"/>
          <w:numId w:val="57"/>
        </w:numPr>
        <w:spacing w:after="120"/>
        <w:jc w:val="both"/>
        <w:rPr>
          <w:rFonts w:ascii="Times New Roman" w:hAnsi="Times New Roman" w:cs="Times New Roman"/>
          <w:noProof/>
          <w:sz w:val="24"/>
          <w:szCs w:val="24"/>
        </w:rPr>
      </w:pPr>
      <w:r>
        <w:rPr>
          <w:rFonts w:ascii="Times New Roman" w:hAnsi="Times New Roman" w:cs="Times New Roman"/>
          <w:noProof/>
          <w:sz w:val="24"/>
          <w:szCs w:val="24"/>
        </w:rPr>
        <w:t>In PO2, maritime operators would be required to achieve a certain goal in terms of carbon intensity of the energy used from 2025 onwards, but would retain freedom on the choice of fuels (and technologies);</w:t>
      </w:r>
    </w:p>
    <w:p>
      <w:pPr>
        <w:pStyle w:val="ListParagraph"/>
        <w:numPr>
          <w:ilvl w:val="0"/>
          <w:numId w:val="57"/>
        </w:numPr>
        <w:spacing w:after="120"/>
        <w:jc w:val="both"/>
        <w:rPr>
          <w:rFonts w:ascii="Times New Roman" w:hAnsi="Times New Roman" w:cs="Times New Roman"/>
          <w:noProof/>
          <w:sz w:val="24"/>
          <w:szCs w:val="24"/>
        </w:rPr>
      </w:pPr>
      <w:r>
        <w:rPr>
          <w:rFonts w:ascii="Times New Roman" w:hAnsi="Times New Roman" w:cs="Times New Roman"/>
          <w:noProof/>
          <w:sz w:val="24"/>
          <w:szCs w:val="24"/>
        </w:rPr>
        <w:t>PO3, represents a mixed approach whereby obligations would remain ‘goal-based’ from 2025 onwards, but a system of incentives would be put in place to favour adoption of certain technologies identified by the regulator.</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These differences would apply only to ships in navigation, while the three options would share the same approach for ships at berth. The reasoning for selecting a single approach for the ships at berth is based on a number of considerations.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First of all, there is a strong case for advocating, in ports, the use of fuels that have minimal emissions of </w:t>
      </w:r>
      <w:r>
        <w:rPr>
          <w:rFonts w:ascii="Times New Roman" w:hAnsi="Times New Roman" w:cs="Times New Roman"/>
          <w:i/>
          <w:noProof/>
          <w:sz w:val="24"/>
          <w:szCs w:val="24"/>
        </w:rPr>
        <w:t>both</w:t>
      </w:r>
      <w:r>
        <w:rPr>
          <w:rFonts w:ascii="Times New Roman" w:hAnsi="Times New Roman" w:cs="Times New Roman"/>
          <w:noProof/>
          <w:sz w:val="24"/>
          <w:szCs w:val="24"/>
        </w:rPr>
        <w:t xml:space="preserve"> GHG and local pollutants (zero emission fuels). Use of zero emission fuels generates considerably higher health benefits for ships at berth than for ships at sea.</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This ‘double dividend’ on climate and health justifies not only a preference for zero emission fuels, but also a higher level of ambition in terms of emission abatement for ships at berth. Indeed, other things equal, the same reduction in the use of fossil fuels will produce greater benefits when occurring in ports than in navigation. For this reason, and considering that the cost of abating emission is not higher in ports, it makes sense to set a target of zero emissions for ships at berth.</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In addition, there is a strong convergence on the promotion and use of OPS for ships at berth. OPS is a technology that allows for zero emissions of both GHG and air pollutants. It is a tried and tested solution, in application for more than two decades, mandated in certain parts of the world (e.g. the state of California) and increasingly deployed in other (e.g. China). In the EU, the Sulphur Directive encourages the use of OPS and the AFID requires deployment of OPS when demand conditions justify it.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In view of these considerations, the proposed intervention at berth focussed primarily on the use of OPS, but it does not exclude other zero GHG and air pollutants technologies, like batteries or hydrogen, which can be available in the medium to long term. As a result, maritime operators keep the possibility to use alternative zero-emission solution and the policy approach remains technology neutral. With regard to possible variations of the option in terms of timing or scope, it should be noted that:</w:t>
      </w:r>
    </w:p>
    <w:p>
      <w:pPr>
        <w:pStyle w:val="ListParagraph"/>
        <w:numPr>
          <w:ilvl w:val="0"/>
          <w:numId w:val="62"/>
        </w:numPr>
        <w:spacing w:after="120"/>
        <w:jc w:val="both"/>
        <w:rPr>
          <w:rFonts w:ascii="Times New Roman" w:hAnsi="Times New Roman" w:cs="Times New Roman"/>
          <w:noProof/>
          <w:sz w:val="24"/>
          <w:szCs w:val="24"/>
        </w:rPr>
      </w:pPr>
      <w:r>
        <w:rPr>
          <w:rFonts w:ascii="Times New Roman" w:hAnsi="Times New Roman" w:cs="Times New Roman"/>
          <w:noProof/>
          <w:sz w:val="24"/>
          <w:szCs w:val="24"/>
        </w:rPr>
        <w:t>Timing: the use of OPS is highly dependent on the deployment of the required infrastructure (currently still immature), the proposed intervention at berth would start</w:t>
      </w:r>
      <w:r>
        <w:rPr>
          <w:rFonts w:ascii="Times New Roman" w:hAnsi="Times New Roman"/>
          <w:noProof/>
          <w:sz w:val="24"/>
          <w:szCs w:val="24"/>
          <w:lang w:val="en-IE"/>
        </w:rPr>
        <w:t xml:space="preserve"> from 2030 onwards and first focus on the most polluting ships in ports. </w:t>
      </w:r>
    </w:p>
    <w:p>
      <w:pPr>
        <w:pStyle w:val="ListParagraph"/>
        <w:numPr>
          <w:ilvl w:val="0"/>
          <w:numId w:val="62"/>
        </w:numPr>
        <w:spacing w:after="120"/>
        <w:jc w:val="both"/>
        <w:rPr>
          <w:rFonts w:ascii="Times New Roman" w:hAnsi="Times New Roman" w:cs="Times New Roman"/>
          <w:noProof/>
          <w:sz w:val="24"/>
          <w:szCs w:val="24"/>
        </w:rPr>
      </w:pPr>
      <w:r>
        <w:rPr>
          <w:rFonts w:ascii="Times New Roman" w:hAnsi="Times New Roman" w:cs="Times New Roman"/>
          <w:noProof/>
          <w:sz w:val="24"/>
          <w:szCs w:val="24"/>
        </w:rPr>
        <w:t>Scope: The most polluting</w:t>
      </w:r>
      <w:r>
        <w:rPr>
          <w:rFonts w:ascii="Times New Roman" w:hAnsi="Times New Roman"/>
          <w:noProof/>
          <w:sz w:val="24"/>
          <w:szCs w:val="24"/>
          <w:lang w:val="en-IE"/>
        </w:rPr>
        <w:t xml:space="preserve"> ship categories have been identified on the basis of MRV data from 2018, and consists of containerships, passenger ships and ro-pax ships. These three ship categories represent roughly 40% of the emissions at berth, have among the highest levels of emissions per ship in port and belong to the first movers in the use of OPS. It also ensures alignment with the decisions regarding vessels in navigation.</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rPr>
        <w:t xml:space="preserve">In conclusion, with respect to use of fuels at berth, the proposed approach of requiring use of OPS, or equivalent solution, by the main emitters, did not apper to have a credible alternative which would retain the same level of ambition while remaining technically possible. </w:t>
      </w:r>
      <w:r>
        <w:rPr>
          <w:rFonts w:ascii="Times New Roman" w:hAnsi="Times New Roman" w:cs="Times New Roman"/>
          <w:noProof/>
          <w:sz w:val="24"/>
          <w:szCs w:val="24"/>
          <w:lang w:val="en-IE"/>
        </w:rPr>
        <w:t xml:space="preserve">Each of the policy options is presented in more details below. </w:t>
      </w:r>
    </w:p>
    <w:tbl>
      <w:tblPr>
        <w:tblStyle w:val="Mainbidtables"/>
        <w:tblW w:w="0" w:type="auto"/>
        <w:tblLook w:val="04A0" w:firstRow="1" w:lastRow="0" w:firstColumn="1" w:lastColumn="0" w:noHBand="0" w:noVBand="1"/>
      </w:tblPr>
      <w:tblGrid>
        <w:gridCol w:w="9003"/>
      </w:tblGrid>
      <w:tr>
        <w:trPr>
          <w:cnfStyle w:val="100000000000" w:firstRow="1" w:lastRow="0" w:firstColumn="0" w:lastColumn="0" w:oddVBand="0" w:evenVBand="0" w:oddHBand="0" w:evenHBand="0" w:firstRowFirstColumn="0" w:firstRowLastColumn="0" w:lastRowFirstColumn="0" w:lastRowLastColumn="0"/>
        </w:trPr>
        <w:tc>
          <w:tcPr>
            <w:tcW w:w="9242" w:type="dxa"/>
          </w:tcPr>
          <w:p>
            <w:pPr>
              <w:spacing w:after="60"/>
              <w:rPr>
                <w:rFonts w:ascii="Times New Roman" w:hAnsi="Times New Roman"/>
                <w:b/>
                <w:noProof/>
              </w:rPr>
            </w:pPr>
            <w:r>
              <w:rPr>
                <w:rFonts w:ascii="Times New Roman" w:hAnsi="Times New Roman"/>
                <w:b/>
                <w:noProof/>
                <w:sz w:val="24"/>
              </w:rPr>
              <w:t>Policy Option 1 : Prescriptive approach on the choice of technologies</w:t>
            </w:r>
          </w:p>
        </w:tc>
      </w:tr>
      <w:tr>
        <w:trPr>
          <w:cnfStyle w:val="000000100000" w:firstRow="0" w:lastRow="0" w:firstColumn="0" w:lastColumn="0" w:oddVBand="0" w:evenVBand="0" w:oddHBand="1" w:evenHBand="0" w:firstRowFirstColumn="0" w:firstRowLastColumn="0" w:lastRowFirstColumn="0" w:lastRowLastColumn="0"/>
        </w:trPr>
        <w:tc>
          <w:tcPr>
            <w:tcW w:w="9242" w:type="dxa"/>
          </w:tcPr>
          <w:p>
            <w:pPr>
              <w:spacing w:after="160" w:line="259" w:lineRule="auto"/>
              <w:rPr>
                <w:rFonts w:ascii="Times New Roman" w:hAnsi="Times New Roman"/>
                <w:b/>
                <w:bCs/>
                <w:noProof/>
                <w:sz w:val="24"/>
                <w:szCs w:val="24"/>
              </w:rPr>
            </w:pPr>
            <w:r>
              <w:rPr>
                <w:rFonts w:ascii="Times New Roman" w:hAnsi="Times New Roman"/>
                <w:b/>
                <w:bCs/>
                <w:noProof/>
                <w:sz w:val="24"/>
                <w:szCs w:val="24"/>
              </w:rPr>
              <w:t>Improve the penetration rate of RLF</w:t>
            </w:r>
          </w:p>
          <w:p>
            <w:pPr>
              <w:spacing w:after="160" w:line="259" w:lineRule="auto"/>
              <w:jc w:val="both"/>
              <w:rPr>
                <w:rFonts w:ascii="Times New Roman" w:hAnsi="Times New Roman"/>
                <w:noProof/>
                <w:sz w:val="24"/>
                <w:szCs w:val="24"/>
              </w:rPr>
            </w:pPr>
            <w:r>
              <w:rPr>
                <w:rFonts w:ascii="Times New Roman" w:hAnsi="Times New Roman"/>
                <w:noProof/>
                <w:sz w:val="24"/>
                <w:szCs w:val="24"/>
              </w:rPr>
              <w:t xml:space="preserve">In PO1, improvement of the penetration rate is expected to be delivered by requiring shares of specific RLF to be used in navigation (x% of the fuel used by ships during the journeys in scope). The type of fuels and the corresponding shares would be established </w:t>
            </w:r>
            <w:r>
              <w:rPr>
                <w:rFonts w:ascii="Times New Roman" w:hAnsi="Times New Roman"/>
                <w:i/>
                <w:noProof/>
                <w:sz w:val="24"/>
                <w:szCs w:val="24"/>
              </w:rPr>
              <w:t xml:space="preserve">ex-ante </w:t>
            </w:r>
            <w:r>
              <w:rPr>
                <w:rFonts w:ascii="Times New Roman" w:hAnsi="Times New Roman"/>
                <w:noProof/>
                <w:sz w:val="24"/>
                <w:szCs w:val="24"/>
              </w:rPr>
              <w:t xml:space="preserve">in line with technology maturity and GHG saving potential. The minimum share would increase over time. The types of fuels included in this option would be regularly extended once more advanced options become mature. </w:t>
            </w:r>
          </w:p>
          <w:p>
            <w:pPr>
              <w:spacing w:after="160" w:line="259" w:lineRule="auto"/>
              <w:jc w:val="both"/>
              <w:rPr>
                <w:rFonts w:ascii="Times New Roman" w:hAnsi="Times New Roman"/>
                <w:noProof/>
                <w:sz w:val="24"/>
                <w:szCs w:val="24"/>
              </w:rPr>
            </w:pPr>
            <w:r>
              <w:rPr>
                <w:rFonts w:ascii="Times New Roman" w:hAnsi="Times New Roman"/>
                <w:noProof/>
                <w:sz w:val="24"/>
                <w:szCs w:val="24"/>
              </w:rPr>
              <w:t>The indicative trajectory is provided in the table below. As explained in Section 1.5, this trajectory has been derived in a way that enables kick starting the scale-up of renewable and low carbon fuels in the maritime sector from 2025 onwards and their large scale deployment by 2050, while ensuring the consistency with the required overall GHG emissions reductions by 2030 and 2050, preserving the competitiveness of the sector, promoting innovation, and ensuring feedstock availability for renewable and low carbon fuels in all energy and transport sectors in the transition towards a climate neutral economy.</w:t>
            </w:r>
          </w:p>
          <w:tbl>
            <w:tblPr>
              <w:tblW w:w="5000" w:type="pct"/>
              <w:tblCellMar>
                <w:left w:w="70" w:type="dxa"/>
                <w:right w:w="70" w:type="dxa"/>
              </w:tblCellMar>
              <w:tblLook w:val="04A0" w:firstRow="1" w:lastRow="0" w:firstColumn="1" w:lastColumn="0" w:noHBand="0" w:noVBand="1"/>
            </w:tblPr>
            <w:tblGrid>
              <w:gridCol w:w="4141"/>
              <w:gridCol w:w="692"/>
              <w:gridCol w:w="692"/>
              <w:gridCol w:w="813"/>
              <w:gridCol w:w="813"/>
              <w:gridCol w:w="813"/>
              <w:gridCol w:w="813"/>
            </w:tblGrid>
            <w:tr>
              <w:trPr>
                <w:trHeight w:val="525"/>
              </w:trPr>
              <w:tc>
                <w:tcPr>
                  <w:tcW w:w="2358" w:type="pct"/>
                  <w:tcBorders>
                    <w:top w:val="single" w:sz="4" w:space="0" w:color="auto"/>
                    <w:left w:val="single" w:sz="4" w:space="0" w:color="auto"/>
                    <w:bottom w:val="single" w:sz="4" w:space="0" w:color="auto"/>
                    <w:right w:val="single" w:sz="4" w:space="0" w:color="auto"/>
                  </w:tcBorders>
                  <w:shd w:val="clear" w:color="000000" w:fill="FFFFFF"/>
                  <w:hideMark/>
                </w:tcPr>
                <w:p>
                  <w:pPr>
                    <w:spacing w:after="0" w:line="240" w:lineRule="auto"/>
                    <w:rPr>
                      <w:rFonts w:ascii="Times New Roman" w:eastAsia="Times New Roman" w:hAnsi="Times New Roman" w:cs="Times New Roman"/>
                      <w:b/>
                      <w:noProof/>
                      <w:sz w:val="20"/>
                      <w:szCs w:val="20"/>
                      <w:lang w:val="en-IE" w:eastAsia="fr-BE"/>
                    </w:rPr>
                  </w:pPr>
                  <w:r>
                    <w:rPr>
                      <w:rFonts w:ascii="Times New Roman" w:eastAsia="Times New Roman" w:hAnsi="Times New Roman" w:cs="Times New Roman"/>
                      <w:b/>
                      <w:noProof/>
                      <w:sz w:val="20"/>
                      <w:szCs w:val="20"/>
                      <w:lang w:val="en-IE" w:eastAsia="fr-BE"/>
                    </w:rPr>
                    <w:t>Shares in the fuel mix (%)</w:t>
                  </w:r>
                </w:p>
              </w:tc>
              <w:tc>
                <w:tcPr>
                  <w:tcW w:w="3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2025</w:t>
                  </w:r>
                </w:p>
              </w:tc>
              <w:tc>
                <w:tcPr>
                  <w:tcW w:w="394"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2030</w:t>
                  </w:r>
                </w:p>
              </w:tc>
              <w:tc>
                <w:tcPr>
                  <w:tcW w:w="463"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2035</w:t>
                  </w:r>
                </w:p>
              </w:tc>
              <w:tc>
                <w:tcPr>
                  <w:tcW w:w="463"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2040</w:t>
                  </w:r>
                </w:p>
              </w:tc>
              <w:tc>
                <w:tcPr>
                  <w:tcW w:w="463"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2045</w:t>
                  </w:r>
                </w:p>
              </w:tc>
              <w:tc>
                <w:tcPr>
                  <w:tcW w:w="463"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2050</w:t>
                  </w:r>
                </w:p>
              </w:tc>
            </w:tr>
            <w:tr>
              <w:trPr>
                <w:trHeight w:val="200"/>
              </w:trPr>
              <w:tc>
                <w:tcPr>
                  <w:tcW w:w="2358"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Total RLF shares</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2.9%</w:t>
                  </w:r>
                </w:p>
              </w:tc>
              <w:tc>
                <w:tcPr>
                  <w:tcW w:w="39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7.4%</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15.6%</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30.0%</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68.8%</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85.9%</w:t>
                  </w:r>
                </w:p>
              </w:tc>
            </w:tr>
            <w:tr>
              <w:trPr>
                <w:trHeight w:val="200"/>
              </w:trPr>
              <w:tc>
                <w:tcPr>
                  <w:tcW w:w="235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Biofuels and bio-LNG</w:t>
                  </w:r>
                </w:p>
              </w:tc>
              <w:tc>
                <w:tcPr>
                  <w:tcW w:w="394"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2.9%</w:t>
                  </w:r>
                </w:p>
              </w:tc>
              <w:tc>
                <w:tcPr>
                  <w:tcW w:w="394"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7.2%</w:t>
                  </w:r>
                </w:p>
              </w:tc>
              <w:tc>
                <w:tcPr>
                  <w:tcW w:w="463"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12.5%</w:t>
                  </w:r>
                </w:p>
              </w:tc>
              <w:tc>
                <w:tcPr>
                  <w:tcW w:w="463"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22.8%</w:t>
                  </w:r>
                </w:p>
              </w:tc>
              <w:tc>
                <w:tcPr>
                  <w:tcW w:w="463"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46.4%</w:t>
                  </w:r>
                </w:p>
              </w:tc>
              <w:tc>
                <w:tcPr>
                  <w:tcW w:w="463"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20"/>
                      <w:szCs w:val="20"/>
                      <w:lang w:val="fr-BE" w:eastAsia="fr-BE"/>
                    </w:rPr>
                  </w:pPr>
                  <w:r>
                    <w:rPr>
                      <w:rFonts w:ascii="Times New Roman" w:eastAsia="Times New Roman" w:hAnsi="Times New Roman" w:cs="Times New Roman"/>
                      <w:noProof/>
                      <w:color w:val="000000"/>
                      <w:sz w:val="20"/>
                      <w:szCs w:val="20"/>
                      <w:lang w:val="fr-BE" w:eastAsia="fr-BE"/>
                    </w:rPr>
                    <w:t>53.3%</w:t>
                  </w:r>
                </w:p>
              </w:tc>
            </w:tr>
            <w:tr>
              <w:trPr>
                <w:trHeight w:val="200"/>
              </w:trPr>
              <w:tc>
                <w:tcPr>
                  <w:tcW w:w="235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Renewable fuels of non-biological origin</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0.0%</w:t>
                  </w:r>
                </w:p>
              </w:tc>
              <w:tc>
                <w:tcPr>
                  <w:tcW w:w="39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0.2%</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2.8%</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6.8%</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21.7%</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31.5%</w:t>
                  </w:r>
                </w:p>
              </w:tc>
            </w:tr>
            <w:tr>
              <w:trPr>
                <w:trHeight w:val="200"/>
              </w:trPr>
              <w:tc>
                <w:tcPr>
                  <w:tcW w:w="235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Electricity</w:t>
                  </w:r>
                </w:p>
              </w:tc>
              <w:tc>
                <w:tcPr>
                  <w:tcW w:w="39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0.0%</w:t>
                  </w:r>
                </w:p>
              </w:tc>
              <w:tc>
                <w:tcPr>
                  <w:tcW w:w="39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0.1%</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0.2%</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0.4%</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0.7%</w:t>
                  </w:r>
                </w:p>
              </w:tc>
              <w:tc>
                <w:tcPr>
                  <w:tcW w:w="46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20"/>
                      <w:szCs w:val="20"/>
                      <w:lang w:val="en-IE" w:eastAsia="fr-BE"/>
                    </w:rPr>
                  </w:pPr>
                  <w:r>
                    <w:rPr>
                      <w:rFonts w:ascii="Times New Roman" w:eastAsia="Times New Roman" w:hAnsi="Times New Roman" w:cs="Times New Roman"/>
                      <w:noProof/>
                      <w:color w:val="000000"/>
                      <w:sz w:val="20"/>
                      <w:szCs w:val="20"/>
                      <w:lang w:val="en-IE" w:eastAsia="fr-BE"/>
                    </w:rPr>
                    <w:t>1.1%</w:t>
                  </w:r>
                </w:p>
              </w:tc>
            </w:tr>
          </w:tbl>
          <w:p>
            <w:pPr>
              <w:spacing w:before="120" w:after="160" w:line="259" w:lineRule="auto"/>
              <w:jc w:val="both"/>
              <w:rPr>
                <w:rFonts w:ascii="Times New Roman" w:hAnsi="Times New Roman"/>
                <w:noProof/>
                <w:sz w:val="24"/>
                <w:szCs w:val="24"/>
                <w:lang w:val="en-IE"/>
              </w:rPr>
            </w:pPr>
            <w:r>
              <w:rPr>
                <w:rFonts w:ascii="Times New Roman" w:hAnsi="Times New Roman"/>
                <w:noProof/>
                <w:sz w:val="24"/>
                <w:szCs w:val="24"/>
                <w:lang w:val="en-IE"/>
              </w:rPr>
              <w:t>The category renewable fuels of non-biological origin, in the meaning of Article 2(63) of the Renewable Energy Directive, covers here e-liquids, e-gas, hydrogen and other hydrogen-derived fuels like ammonia and methanol.</w:t>
            </w:r>
          </w:p>
          <w:p>
            <w:pPr>
              <w:spacing w:before="120" w:after="160" w:line="259" w:lineRule="auto"/>
              <w:jc w:val="both"/>
              <w:rPr>
                <w:rFonts w:ascii="Times New Roman" w:hAnsi="Times New Roman"/>
                <w:noProof/>
                <w:sz w:val="24"/>
                <w:szCs w:val="24"/>
              </w:rPr>
            </w:pPr>
            <w:r>
              <w:rPr>
                <w:rFonts w:ascii="Times New Roman" w:hAnsi="Times New Roman"/>
                <w:noProof/>
                <w:sz w:val="24"/>
                <w:szCs w:val="24"/>
                <w:lang w:val="en-IE"/>
              </w:rPr>
              <w:t>At berth, the use of OPS will be mandated from 2030 onwards for the most polluting ships in ports, which have been identified on the basis of MRV data from 2018, i.e. containerships, passenger ships and ro-pax ships,</w:t>
            </w:r>
            <w:r>
              <w:rPr>
                <w:rStyle w:val="FootnoteReference"/>
                <w:rFonts w:ascii="Times New Roman" w:hAnsi="Times New Roman"/>
                <w:noProof/>
                <w:sz w:val="24"/>
                <w:szCs w:val="24"/>
                <w:lang w:val="en-IE"/>
              </w:rPr>
              <w:footnoteReference w:id="95"/>
            </w:r>
            <w:r>
              <w:rPr>
                <w:rFonts w:ascii="Times New Roman" w:hAnsi="Times New Roman"/>
                <w:noProof/>
                <w:sz w:val="24"/>
                <w:szCs w:val="24"/>
                <w:lang w:val="en-IE"/>
              </w:rPr>
              <w:t xml:space="preserve"> unless they can prove the use of equally performant alternative (e.g. batteries). The shares of electricity use at berth due to the OPS requirements comes in addition to the trajectory illustrated above and is a result of the assessment presented in Section 6.1.1. A phased-in implementation could gradually extend the requirements to the entire fleet (subject to a review clause and an impact assessment in the future). </w:t>
            </w:r>
          </w:p>
          <w:p>
            <w:pPr>
              <w:spacing w:after="160" w:line="259" w:lineRule="auto"/>
              <w:jc w:val="both"/>
              <w:rPr>
                <w:rFonts w:ascii="Times New Roman" w:hAnsi="Times New Roman"/>
                <w:noProof/>
                <w:sz w:val="24"/>
                <w:szCs w:val="24"/>
              </w:rPr>
            </w:pPr>
            <w:r>
              <w:rPr>
                <w:rFonts w:ascii="Times New Roman" w:hAnsi="Times New Roman"/>
                <w:noProof/>
                <w:sz w:val="24"/>
                <w:szCs w:val="24"/>
              </w:rPr>
              <w:t>The Commission, assisted by EMSA, will continue to support Member States in exchanging best practices in line with international developments and the latest technological / scientific knowledge, and to facilitate the uptake of technology, including  the deployment of the necessary supply infrastucture. These could take place in the framework of the expert groups from the Commission such as the European Sustainable Shipping Forum (ESSF) or the European Ports Forum (EPF). In the past, EMSA has already delivered LNG bunkering guidance</w:t>
            </w:r>
            <w:r>
              <w:rPr>
                <w:rStyle w:val="FootnoteReference"/>
                <w:rFonts w:ascii="Times New Roman" w:hAnsi="Times New Roman"/>
                <w:noProof/>
                <w:sz w:val="24"/>
                <w:szCs w:val="24"/>
              </w:rPr>
              <w:footnoteReference w:id="96"/>
            </w:r>
            <w:r>
              <w:rPr>
                <w:rFonts w:ascii="Times New Roman" w:hAnsi="Times New Roman"/>
                <w:noProof/>
                <w:sz w:val="24"/>
                <w:szCs w:val="24"/>
              </w:rPr>
              <w:t xml:space="preserve"> and is currently working on developping OPS guidelines to facilitate the deployment of on-shore power connection in European Ports. The main purpose here is to facilitate planning and / or the development of local rules for the safe use / handling of fuels.</w:t>
            </w:r>
          </w:p>
          <w:p>
            <w:pPr>
              <w:spacing w:after="160" w:line="259" w:lineRule="auto"/>
              <w:rPr>
                <w:rFonts w:ascii="Times New Roman" w:hAnsi="Times New Roman"/>
                <w:b/>
                <w:bCs/>
                <w:noProof/>
                <w:sz w:val="24"/>
                <w:szCs w:val="24"/>
              </w:rPr>
            </w:pPr>
            <w:r>
              <w:rPr>
                <w:rFonts w:ascii="Times New Roman" w:hAnsi="Times New Roman"/>
                <w:b/>
                <w:bCs/>
                <w:noProof/>
                <w:sz w:val="24"/>
                <w:szCs w:val="24"/>
              </w:rPr>
              <w:t>Stimulate the introduction of zero-emissions energy solutions</w:t>
            </w:r>
          </w:p>
          <w:p>
            <w:pPr>
              <w:spacing w:after="160" w:line="259" w:lineRule="auto"/>
              <w:jc w:val="both"/>
              <w:rPr>
                <w:rFonts w:ascii="Times New Roman" w:eastAsiaTheme="minorEastAsia" w:hAnsi="Times New Roman"/>
                <w:noProof/>
                <w:sz w:val="24"/>
                <w:szCs w:val="24"/>
              </w:rPr>
            </w:pPr>
            <w:r>
              <w:rPr>
                <w:rFonts w:ascii="Times New Roman" w:eastAsiaTheme="minorEastAsia" w:hAnsi="Times New Roman"/>
                <w:noProof/>
                <w:sz w:val="24"/>
                <w:szCs w:val="24"/>
              </w:rPr>
              <w:t>As specific technological choices are prescribed under this option and considering technological progress over time, there is a risk that the choice made in year x may not be an optimal solution in year z. For this reason, the list of selected fuels would be updated on a regular basis and reflect the technology developments. The Commission will continue to foster awareness raising, exchange of experience, innovation, encouragement and promotion of industry-led programmes in support of the uptake of RLF.</w:t>
            </w:r>
          </w:p>
          <w:p>
            <w:pPr>
              <w:spacing w:after="160" w:line="259" w:lineRule="auto"/>
              <w:rPr>
                <w:rFonts w:ascii="Times New Roman" w:hAnsi="Times New Roman"/>
                <w:noProof/>
                <w:sz w:val="24"/>
                <w:szCs w:val="24"/>
              </w:rPr>
            </w:pPr>
            <w:r>
              <w:rPr>
                <w:rFonts w:ascii="Times New Roman" w:hAnsi="Times New Roman"/>
                <w:b/>
                <w:bCs/>
                <w:noProof/>
                <w:sz w:val="24"/>
                <w:szCs w:val="24"/>
              </w:rPr>
              <w:t>Certification, reporting and enforcement</w:t>
            </w:r>
          </w:p>
          <w:p>
            <w:pPr>
              <w:spacing w:after="160" w:line="259" w:lineRule="auto"/>
              <w:jc w:val="both"/>
              <w:rPr>
                <w:rFonts w:ascii="Times New Roman" w:hAnsi="Times New Roman"/>
                <w:noProof/>
                <w:sz w:val="24"/>
                <w:szCs w:val="24"/>
              </w:rPr>
            </w:pPr>
            <w:r>
              <w:rPr>
                <w:rFonts w:ascii="Times New Roman" w:hAnsi="Times New Roman"/>
                <w:noProof/>
                <w:sz w:val="24"/>
                <w:szCs w:val="24"/>
              </w:rPr>
              <w:t>In order to document compliance with the regulatory obligations, an EU-wide methodology to establish the GHG emissions performance / sustainability of fuels for maritime transport would be based on the RED II Directive and EU MRV Regulation, both of which would be cross-referenced in this initiative. As regards the latter, it is also proposed to  include the non-CO</w:t>
            </w:r>
            <w:r>
              <w:rPr>
                <w:rFonts w:ascii="Times New Roman" w:hAnsi="Times New Roman"/>
                <w:noProof/>
                <w:sz w:val="24"/>
                <w:szCs w:val="24"/>
                <w:vertAlign w:val="subscript"/>
              </w:rPr>
              <w:t>2</w:t>
            </w:r>
            <w:r>
              <w:rPr>
                <w:rFonts w:ascii="Times New Roman" w:hAnsi="Times New Roman"/>
                <w:noProof/>
                <w:sz w:val="24"/>
                <w:szCs w:val="24"/>
              </w:rPr>
              <w:t xml:space="preserve"> emissions and alternative sources of power</w:t>
            </w:r>
            <w:r>
              <w:rPr>
                <w:rStyle w:val="FootnoteReference"/>
                <w:rFonts w:ascii="Times New Roman" w:hAnsi="Times New Roman"/>
                <w:noProof/>
                <w:sz w:val="24"/>
                <w:szCs w:val="24"/>
              </w:rPr>
              <w:footnoteReference w:id="97"/>
            </w:r>
            <w:r>
              <w:rPr>
                <w:rFonts w:ascii="Times New Roman" w:hAnsi="Times New Roman"/>
                <w:noProof/>
                <w:sz w:val="24"/>
                <w:szCs w:val="24"/>
              </w:rPr>
              <w:t>. Requirements for the certification of fuel suppliers (including in third countries) and documentation to report performance would be necessary and as above it would be also based on RED II requirements</w:t>
            </w:r>
            <w:r>
              <w:rPr>
                <w:rStyle w:val="FootnoteReference"/>
                <w:rFonts w:ascii="Times New Roman" w:hAnsi="Times New Roman"/>
                <w:noProof/>
                <w:sz w:val="24"/>
                <w:szCs w:val="24"/>
              </w:rPr>
              <w:footnoteReference w:id="98"/>
            </w:r>
            <w:r>
              <w:rPr>
                <w:rFonts w:ascii="Times New Roman" w:hAnsi="Times New Roman"/>
                <w:noProof/>
                <w:sz w:val="24"/>
                <w:szCs w:val="24"/>
              </w:rPr>
              <w:t xml:space="preserve">. In this PO, the performance of fuel is established </w:t>
            </w:r>
            <w:r>
              <w:rPr>
                <w:rFonts w:ascii="Times New Roman" w:hAnsi="Times New Roman"/>
                <w:i/>
                <w:noProof/>
                <w:sz w:val="24"/>
                <w:szCs w:val="24"/>
              </w:rPr>
              <w:t>ex-ante</w:t>
            </w:r>
            <w:r>
              <w:rPr>
                <w:rFonts w:ascii="Times New Roman" w:hAnsi="Times New Roman"/>
                <w:noProof/>
                <w:sz w:val="24"/>
                <w:szCs w:val="24"/>
              </w:rPr>
              <w:t xml:space="preserve"> and demonstrating sufficient blending levels would be necessary to prove compliance. Compliance needs to be documented on annual basis for the total energy generated on-board. Additional rules should be established for this purpose, including for monitoring, reporting and verification of consumption of alternative fuels in the context of the EU MRV and to harmonise Port State Control (PSC) procedures. </w:t>
            </w:r>
          </w:p>
        </w:tc>
      </w:tr>
    </w:tbl>
    <w:p>
      <w:pPr>
        <w:spacing w:after="120"/>
        <w:jc w:val="both"/>
        <w:rPr>
          <w:rFonts w:ascii="Times New Roman" w:hAnsi="Times New Roman" w:cs="Times New Roman"/>
          <w:noProof/>
          <w:sz w:val="4"/>
          <w:szCs w:val="24"/>
        </w:rPr>
      </w:pPr>
    </w:p>
    <w:tbl>
      <w:tblPr>
        <w:tblStyle w:val="Mainbidtables"/>
        <w:tblW w:w="0" w:type="auto"/>
        <w:tblLook w:val="04A0" w:firstRow="1" w:lastRow="0" w:firstColumn="1" w:lastColumn="0" w:noHBand="0" w:noVBand="1"/>
      </w:tblPr>
      <w:tblGrid>
        <w:gridCol w:w="9003"/>
      </w:tblGrid>
      <w:tr>
        <w:trPr>
          <w:cnfStyle w:val="100000000000" w:firstRow="1" w:lastRow="0" w:firstColumn="0" w:lastColumn="0" w:oddVBand="0" w:evenVBand="0" w:oddHBand="0" w:evenHBand="0" w:firstRowFirstColumn="0" w:firstRowLastColumn="0" w:lastRowFirstColumn="0" w:lastRowLastColumn="0"/>
        </w:trPr>
        <w:tc>
          <w:tcPr>
            <w:tcW w:w="9242" w:type="dxa"/>
          </w:tcPr>
          <w:p>
            <w:pPr>
              <w:spacing w:after="60"/>
              <w:rPr>
                <w:rFonts w:ascii="Times New Roman" w:hAnsi="Times New Roman"/>
                <w:b/>
                <w:noProof/>
              </w:rPr>
            </w:pPr>
            <w:r>
              <w:rPr>
                <w:rFonts w:ascii="Times New Roman" w:hAnsi="Times New Roman"/>
                <w:b/>
                <w:noProof/>
                <w:sz w:val="24"/>
              </w:rPr>
              <w:t>Policy Option 2 : Goal-based approach on technologies</w:t>
            </w:r>
          </w:p>
        </w:tc>
      </w:tr>
      <w:tr>
        <w:trPr>
          <w:cnfStyle w:val="000000100000" w:firstRow="0" w:lastRow="0" w:firstColumn="0" w:lastColumn="0" w:oddVBand="0" w:evenVBand="0" w:oddHBand="1" w:evenHBand="0" w:firstRowFirstColumn="0" w:firstRowLastColumn="0" w:lastRowFirstColumn="0" w:lastRowLastColumn="0"/>
        </w:trPr>
        <w:tc>
          <w:tcPr>
            <w:tcW w:w="9242" w:type="dxa"/>
          </w:tcPr>
          <w:p>
            <w:pPr>
              <w:spacing w:after="160" w:line="259" w:lineRule="auto"/>
              <w:rPr>
                <w:rFonts w:ascii="Times New Roman" w:hAnsi="Times New Roman"/>
                <w:b/>
                <w:bCs/>
                <w:noProof/>
                <w:sz w:val="24"/>
                <w:szCs w:val="24"/>
              </w:rPr>
            </w:pPr>
            <w:r>
              <w:rPr>
                <w:rFonts w:ascii="Times New Roman" w:hAnsi="Times New Roman"/>
                <w:b/>
                <w:bCs/>
                <w:noProof/>
                <w:sz w:val="24"/>
                <w:szCs w:val="24"/>
              </w:rPr>
              <w:t>Improve the penetration rate of RLF</w:t>
            </w:r>
          </w:p>
          <w:p>
            <w:pPr>
              <w:spacing w:after="160" w:line="259" w:lineRule="auto"/>
              <w:jc w:val="both"/>
              <w:rPr>
                <w:rFonts w:ascii="Times New Roman" w:hAnsi="Times New Roman"/>
                <w:noProof/>
                <w:sz w:val="24"/>
                <w:szCs w:val="24"/>
              </w:rPr>
            </w:pPr>
            <w:r>
              <w:rPr>
                <w:rFonts w:ascii="Times New Roman" w:hAnsi="Times New Roman"/>
                <w:noProof/>
                <w:sz w:val="24"/>
                <w:szCs w:val="24"/>
              </w:rPr>
              <w:t>In PO2, improvement of the penetration rate of RLF is expected to be delivered by a goal-based approach requiring fuels used in navigation and at berth to meet maximum GHG intensity targets. A maximum limit on the GHG content of energy used by ships in navigation (e.g. CO</w:t>
            </w:r>
            <w:r>
              <w:rPr>
                <w:rFonts w:ascii="Times New Roman" w:hAnsi="Times New Roman"/>
                <w:noProof/>
                <w:sz w:val="24"/>
                <w:szCs w:val="24"/>
                <w:vertAlign w:val="subscript"/>
              </w:rPr>
              <w:t>2</w:t>
            </w:r>
            <w:r>
              <w:rPr>
                <w:rFonts w:ascii="Times New Roman" w:hAnsi="Times New Roman"/>
                <w:noProof/>
                <w:sz w:val="24"/>
                <w:szCs w:val="24"/>
              </w:rPr>
              <w:t>eq/MJ) is identified to deliver comparable GHG emissions reductions on the well to wake basis as in PO1. This target will be made more stringent over time, which would require operators to shift to increase the overall share of RLF in their fuel mix (including thorugh the inclusion of more innovative solutions such as hydroen-based fuels of electricity). The reduction in the well to wake GHG intensity relative to the base period (2015)</w:t>
            </w:r>
            <w:r>
              <w:rPr>
                <w:rStyle w:val="FootnoteReference"/>
                <w:rFonts w:ascii="Times New Roman" w:hAnsi="Times New Roman"/>
                <w:noProof/>
                <w:sz w:val="24"/>
                <w:szCs w:val="24"/>
              </w:rPr>
              <w:footnoteReference w:id="99"/>
            </w:r>
            <w:r>
              <w:rPr>
                <w:rFonts w:ascii="Times New Roman" w:hAnsi="Times New Roman"/>
                <w:noProof/>
                <w:sz w:val="24"/>
                <w:szCs w:val="24"/>
              </w:rPr>
              <w:t xml:space="preserve"> is provided in the table below.</w:t>
            </w:r>
          </w:p>
          <w:tbl>
            <w:tblPr>
              <w:tblW w:w="5000" w:type="pct"/>
              <w:tblCellMar>
                <w:left w:w="70" w:type="dxa"/>
                <w:right w:w="70" w:type="dxa"/>
              </w:tblCellMar>
              <w:tblLook w:val="04A0" w:firstRow="1" w:lastRow="0" w:firstColumn="1" w:lastColumn="0" w:noHBand="0" w:noVBand="1"/>
            </w:tblPr>
            <w:tblGrid>
              <w:gridCol w:w="2909"/>
              <w:gridCol w:w="978"/>
              <w:gridCol w:w="978"/>
              <w:gridCol w:w="978"/>
              <w:gridCol w:w="978"/>
              <w:gridCol w:w="978"/>
              <w:gridCol w:w="978"/>
            </w:tblGrid>
            <w:tr>
              <w:trPr>
                <w:trHeight w:val="210"/>
              </w:trPr>
              <w:tc>
                <w:tcPr>
                  <w:tcW w:w="1657" w:type="pct"/>
                  <w:tcBorders>
                    <w:top w:val="single" w:sz="4" w:space="0" w:color="auto"/>
                    <w:left w:val="single" w:sz="4" w:space="0" w:color="auto"/>
                    <w:bottom w:val="single" w:sz="4" w:space="0" w:color="auto"/>
                    <w:right w:val="single" w:sz="4" w:space="0" w:color="auto"/>
                  </w:tcBorders>
                  <w:shd w:val="clear" w:color="000000" w:fill="FFFFFF"/>
                  <w:hideMark/>
                </w:tcPr>
                <w:p>
                  <w:pPr>
                    <w:rPr>
                      <w:rFonts w:ascii="Times New Roman" w:eastAsia="Times New Roman" w:hAnsi="Times New Roman" w:cs="Times New Roman"/>
                      <w:b/>
                      <w:bCs/>
                      <w:noProof/>
                      <w:sz w:val="20"/>
                      <w:szCs w:val="20"/>
                      <w:lang w:val="en-IE" w:eastAsia="fr-BE"/>
                    </w:rPr>
                  </w:pPr>
                  <w:r>
                    <w:rPr>
                      <w:rFonts w:ascii="Times New Roman" w:eastAsia="Times New Roman" w:hAnsi="Times New Roman" w:cs="Times New Roman"/>
                      <w:b/>
                      <w:bCs/>
                      <w:noProof/>
                      <w:sz w:val="20"/>
                      <w:szCs w:val="20"/>
                      <w:lang w:val="en-IE" w:eastAsia="fr-BE"/>
                    </w:rPr>
                    <w:t> </w:t>
                  </w:r>
                  <w:r>
                    <w:rPr>
                      <w:rFonts w:ascii="Times New Roman" w:eastAsia="Times New Roman" w:hAnsi="Times New Roman" w:cs="Times New Roman"/>
                      <w:noProof/>
                      <w:sz w:val="20"/>
                      <w:szCs w:val="20"/>
                      <w:lang w:val="en-IE" w:eastAsia="fr-BE"/>
                    </w:rPr>
                    <w:t>Well to wake GHG intensity reduction (in %)</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2025</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2030</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2035</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2040</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2045</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fr-BE" w:eastAsia="fr-BE"/>
                    </w:rPr>
                  </w:pPr>
                  <w:r>
                    <w:rPr>
                      <w:rFonts w:ascii="Times New Roman" w:eastAsia="Times New Roman" w:hAnsi="Times New Roman" w:cs="Times New Roman"/>
                      <w:b/>
                      <w:bCs/>
                      <w:noProof/>
                      <w:sz w:val="20"/>
                      <w:szCs w:val="20"/>
                      <w:lang w:val="fr-BE" w:eastAsia="fr-BE"/>
                    </w:rPr>
                    <w:t>2050</w:t>
                  </w:r>
                </w:p>
              </w:tc>
            </w:tr>
            <w:tr>
              <w:trPr>
                <w:trHeight w:val="200"/>
              </w:trPr>
              <w:tc>
                <w:tcPr>
                  <w:tcW w:w="1657"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Resulting from the use of RLF</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-2%</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-7%</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-14%</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-26%</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-59%</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-74%</w:t>
                  </w:r>
                </w:p>
              </w:tc>
            </w:tr>
          </w:tbl>
          <w:p>
            <w:pPr>
              <w:spacing w:after="160" w:line="259" w:lineRule="auto"/>
              <w:jc w:val="both"/>
              <w:rPr>
                <w:rFonts w:ascii="Times New Roman" w:hAnsi="Times New Roman"/>
                <w:noProof/>
                <w:sz w:val="24"/>
                <w:szCs w:val="24"/>
              </w:rPr>
            </w:pPr>
            <w:r>
              <w:rPr>
                <w:rFonts w:ascii="Times New Roman" w:hAnsi="Times New Roman"/>
                <w:noProof/>
                <w:sz w:val="24"/>
                <w:szCs w:val="24"/>
                <w:lang w:val="en-IE"/>
              </w:rPr>
              <w:t xml:space="preserve">Concerning emissions at berth, the approach is the same as for PO1. </w:t>
            </w:r>
          </w:p>
          <w:p>
            <w:pPr>
              <w:spacing w:after="160" w:line="259" w:lineRule="auto"/>
              <w:rPr>
                <w:rFonts w:ascii="Times New Roman" w:hAnsi="Times New Roman"/>
                <w:b/>
                <w:bCs/>
                <w:noProof/>
                <w:sz w:val="24"/>
                <w:szCs w:val="24"/>
              </w:rPr>
            </w:pPr>
            <w:r>
              <w:rPr>
                <w:rFonts w:ascii="Times New Roman" w:hAnsi="Times New Roman"/>
                <w:b/>
                <w:bCs/>
                <w:noProof/>
                <w:sz w:val="24"/>
                <w:szCs w:val="24"/>
              </w:rPr>
              <w:t>Stimulate the introduction of zero-emissions energy solutions</w:t>
            </w:r>
          </w:p>
          <w:p>
            <w:pPr>
              <w:spacing w:after="160" w:line="259" w:lineRule="auto"/>
              <w:jc w:val="both"/>
              <w:rPr>
                <w:rFonts w:ascii="Times New Roman" w:eastAsiaTheme="minorEastAsia" w:hAnsi="Times New Roman"/>
                <w:noProof/>
                <w:sz w:val="24"/>
                <w:szCs w:val="24"/>
              </w:rPr>
            </w:pPr>
            <w:r>
              <w:rPr>
                <w:rFonts w:ascii="Times New Roman" w:eastAsiaTheme="minorEastAsia" w:hAnsi="Times New Roman"/>
                <w:noProof/>
                <w:sz w:val="24"/>
                <w:szCs w:val="24"/>
              </w:rPr>
              <w:t>As no technology choice is made in this PO, the risk of technology lock-in is reduced as the market operators are likely to maximise the use of existing and developing infrastructure and on-board equipment to meet the targets. They also may decide to comply with more performant and advanced technology (i.e. battery, fuel cell), in terms of GHG reductions, than fuel blends. The target could also be set in a way that reflects the uptake of energy sources such as wind propulsion. Also, since all fuels consumed onboard are accounted to meet the same target, ship operators may decide to comply by averaging very performant technology for ancillary power (e.g. renewable hydrogen) with more conventional fuels used for propulsion. The Commission will continue to foster awareness raising, exchange of experience, innovation, encouragement and promotion of industry-led programmes in support of the uptake of alternative fuel, similarly to what is described for PO1.</w:t>
            </w:r>
          </w:p>
          <w:p>
            <w:pPr>
              <w:spacing w:after="160" w:line="259" w:lineRule="auto"/>
              <w:rPr>
                <w:rFonts w:ascii="Times New Roman" w:hAnsi="Times New Roman"/>
                <w:noProof/>
                <w:sz w:val="24"/>
                <w:szCs w:val="24"/>
              </w:rPr>
            </w:pPr>
            <w:r>
              <w:rPr>
                <w:rFonts w:ascii="Times New Roman" w:hAnsi="Times New Roman"/>
                <w:b/>
                <w:bCs/>
                <w:noProof/>
                <w:sz w:val="24"/>
                <w:szCs w:val="24"/>
              </w:rPr>
              <w:t>Certification, reporting and enforcement</w:t>
            </w:r>
          </w:p>
          <w:p>
            <w:pPr>
              <w:spacing w:after="160" w:line="259" w:lineRule="auto"/>
              <w:jc w:val="both"/>
              <w:rPr>
                <w:rFonts w:ascii="Times New Roman" w:hAnsi="Times New Roman"/>
                <w:noProof/>
                <w:sz w:val="24"/>
                <w:szCs w:val="24"/>
              </w:rPr>
            </w:pPr>
            <w:r>
              <w:rPr>
                <w:rFonts w:ascii="Times New Roman" w:hAnsi="Times New Roman"/>
                <w:noProof/>
                <w:sz w:val="24"/>
                <w:szCs w:val="24"/>
              </w:rPr>
              <w:t>In order to document compliance with the regulatory obligations, an EU-wide methodology to establish the performance / sustainability of fuels for maritime transport be based on the RED II Directive and EU MRV Regulation, both of which would be cross-referenced in this initiative. As regards the latter, it is also proposed to  include the non-CO</w:t>
            </w:r>
            <w:r>
              <w:rPr>
                <w:rFonts w:ascii="Times New Roman" w:hAnsi="Times New Roman"/>
                <w:noProof/>
                <w:sz w:val="24"/>
                <w:szCs w:val="24"/>
                <w:vertAlign w:val="subscript"/>
              </w:rPr>
              <w:t>2</w:t>
            </w:r>
            <w:r>
              <w:rPr>
                <w:rFonts w:ascii="Times New Roman" w:hAnsi="Times New Roman"/>
                <w:noProof/>
                <w:sz w:val="24"/>
                <w:szCs w:val="24"/>
              </w:rPr>
              <w:t xml:space="preserve"> emissions and alternative sources of power. Requirements for the certification of fuel suppliers (incl. in third countries) and documentation to report performance would be necessary and as above it would be also based on RED II requirements. In PO2, the performance of the fuel is not established on-board but needs to be document on annual basis for the total energy generated on-board. Similarly to PO1, additional rules should be established for this purpose, including for monitoring, reporting and verification of consumption of alternative fuels in the context of the EU MRV and to harmonise PSC procedures. </w:t>
            </w:r>
          </w:p>
        </w:tc>
      </w:tr>
    </w:tbl>
    <w:p>
      <w:pPr>
        <w:spacing w:after="120"/>
        <w:jc w:val="both"/>
        <w:rPr>
          <w:rFonts w:ascii="Times New Roman" w:hAnsi="Times New Roman" w:cs="Times New Roman"/>
          <w:noProof/>
          <w:sz w:val="4"/>
          <w:szCs w:val="24"/>
        </w:rPr>
      </w:pPr>
    </w:p>
    <w:tbl>
      <w:tblPr>
        <w:tblStyle w:val="Mainbidtables"/>
        <w:tblW w:w="0" w:type="auto"/>
        <w:tblLook w:val="04A0" w:firstRow="1" w:lastRow="0" w:firstColumn="1" w:lastColumn="0" w:noHBand="0" w:noVBand="1"/>
      </w:tblPr>
      <w:tblGrid>
        <w:gridCol w:w="9003"/>
      </w:tblGrid>
      <w:tr>
        <w:trPr>
          <w:cnfStyle w:val="100000000000" w:firstRow="1" w:lastRow="0" w:firstColumn="0" w:lastColumn="0" w:oddVBand="0" w:evenVBand="0" w:oddHBand="0" w:evenHBand="0" w:firstRowFirstColumn="0" w:firstRowLastColumn="0" w:lastRowFirstColumn="0" w:lastRowLastColumn="0"/>
        </w:trPr>
        <w:tc>
          <w:tcPr>
            <w:tcW w:w="9242" w:type="dxa"/>
          </w:tcPr>
          <w:p>
            <w:pPr>
              <w:spacing w:after="60"/>
              <w:rPr>
                <w:rFonts w:ascii="Times New Roman" w:hAnsi="Times New Roman"/>
                <w:b/>
                <w:noProof/>
              </w:rPr>
            </w:pPr>
            <w:r>
              <w:rPr>
                <w:rFonts w:ascii="Times New Roman" w:hAnsi="Times New Roman"/>
                <w:b/>
                <w:noProof/>
                <w:sz w:val="24"/>
              </w:rPr>
              <w:t>Policy Option 3 : Goal-based approach on technology and reward mechanisms for overachievers</w:t>
            </w:r>
          </w:p>
        </w:tc>
      </w:tr>
      <w:tr>
        <w:trPr>
          <w:cnfStyle w:val="000000100000" w:firstRow="0" w:lastRow="0" w:firstColumn="0" w:lastColumn="0" w:oddVBand="0" w:evenVBand="0" w:oddHBand="1" w:evenHBand="0" w:firstRowFirstColumn="0" w:firstRowLastColumn="0" w:lastRowFirstColumn="0" w:lastRowLastColumn="0"/>
        </w:trPr>
        <w:tc>
          <w:tcPr>
            <w:tcW w:w="9242" w:type="dxa"/>
          </w:tcPr>
          <w:p>
            <w:pPr>
              <w:spacing w:after="160" w:line="259" w:lineRule="auto"/>
              <w:rPr>
                <w:rFonts w:ascii="Times New Roman" w:hAnsi="Times New Roman"/>
                <w:b/>
                <w:bCs/>
                <w:noProof/>
                <w:sz w:val="24"/>
                <w:szCs w:val="24"/>
              </w:rPr>
            </w:pPr>
            <w:r>
              <w:rPr>
                <w:rFonts w:ascii="Times New Roman" w:hAnsi="Times New Roman"/>
                <w:b/>
                <w:bCs/>
                <w:noProof/>
                <w:sz w:val="24"/>
                <w:szCs w:val="24"/>
              </w:rPr>
              <w:t>Improve the penetration rate of RLF</w:t>
            </w:r>
          </w:p>
          <w:p>
            <w:pPr>
              <w:spacing w:after="160" w:line="259" w:lineRule="auto"/>
              <w:jc w:val="both"/>
              <w:rPr>
                <w:rFonts w:ascii="Times New Roman" w:hAnsi="Times New Roman"/>
                <w:noProof/>
                <w:sz w:val="24"/>
                <w:szCs w:val="24"/>
              </w:rPr>
            </w:pPr>
            <w:r>
              <w:rPr>
                <w:rFonts w:ascii="Times New Roman" w:hAnsi="Times New Roman"/>
                <w:noProof/>
                <w:sz w:val="24"/>
                <w:szCs w:val="24"/>
              </w:rPr>
              <w:t xml:space="preserve">In PO3, improvement of the penetration rate of RLF is expected to be delivered by a goal-based approach requiring fuels used in navigation and at berth to meet maximum GHG intensity targets. A maximum limit on the GHG content of energy used by ships (e.g. CO2eq/MJ) is identified in the same manner as for PO2 to deliver GHG emissions reductions that are comparable on a well-to-wake basis across all three policy options. </w:t>
            </w:r>
          </w:p>
          <w:p>
            <w:pPr>
              <w:spacing w:after="160" w:line="259" w:lineRule="auto"/>
              <w:jc w:val="both"/>
              <w:rPr>
                <w:rFonts w:ascii="Times New Roman" w:hAnsi="Times New Roman"/>
                <w:noProof/>
                <w:sz w:val="24"/>
                <w:szCs w:val="24"/>
              </w:rPr>
            </w:pPr>
            <w:r>
              <w:rPr>
                <w:rFonts w:ascii="Times New Roman" w:hAnsi="Times New Roman"/>
                <w:noProof/>
                <w:sz w:val="24"/>
                <w:szCs w:val="24"/>
              </w:rPr>
              <w:t>The reduction in the well to wake GHG intensity relative to the base period (2015)</w:t>
            </w:r>
            <w:r>
              <w:rPr>
                <w:rStyle w:val="FootnoteReference"/>
                <w:rFonts w:ascii="Times New Roman" w:hAnsi="Times New Roman"/>
                <w:noProof/>
                <w:sz w:val="24"/>
                <w:szCs w:val="24"/>
              </w:rPr>
              <w:footnoteReference w:id="100"/>
            </w:r>
            <w:r>
              <w:rPr>
                <w:rFonts w:ascii="Times New Roman" w:hAnsi="Times New Roman"/>
                <w:noProof/>
                <w:sz w:val="24"/>
                <w:szCs w:val="24"/>
              </w:rPr>
              <w:t xml:space="preserve"> is provided in the table below. This table does not account for the </w:t>
            </w:r>
            <w:r>
              <w:rPr>
                <w:rFonts w:ascii="Times New Roman" w:eastAsiaTheme="minorEastAsia" w:hAnsi="Times New Roman"/>
                <w:noProof/>
                <w:sz w:val="24"/>
                <w:szCs w:val="24"/>
              </w:rPr>
              <w:t xml:space="preserve">“multipliers for zero-emission options”, explained below, in order to show the true reduction in the well to wake GHG intensity of fuels. </w:t>
            </w:r>
          </w:p>
          <w:tbl>
            <w:tblPr>
              <w:tblW w:w="5000" w:type="pct"/>
              <w:tblCellMar>
                <w:left w:w="70" w:type="dxa"/>
                <w:right w:w="70" w:type="dxa"/>
              </w:tblCellMar>
              <w:tblLook w:val="04A0" w:firstRow="1" w:lastRow="0" w:firstColumn="1" w:lastColumn="0" w:noHBand="0" w:noVBand="1"/>
            </w:tblPr>
            <w:tblGrid>
              <w:gridCol w:w="2909"/>
              <w:gridCol w:w="978"/>
              <w:gridCol w:w="978"/>
              <w:gridCol w:w="978"/>
              <w:gridCol w:w="978"/>
              <w:gridCol w:w="978"/>
              <w:gridCol w:w="978"/>
            </w:tblGrid>
            <w:tr>
              <w:trPr>
                <w:trHeight w:val="210"/>
              </w:trPr>
              <w:tc>
                <w:tcPr>
                  <w:tcW w:w="1657" w:type="pct"/>
                  <w:tcBorders>
                    <w:top w:val="single" w:sz="4" w:space="0" w:color="auto"/>
                    <w:left w:val="single" w:sz="4" w:space="0" w:color="auto"/>
                    <w:bottom w:val="single" w:sz="4" w:space="0" w:color="auto"/>
                    <w:right w:val="single" w:sz="4" w:space="0" w:color="auto"/>
                  </w:tcBorders>
                  <w:shd w:val="clear" w:color="000000" w:fill="FFFFFF"/>
                  <w:hideMark/>
                </w:tcPr>
                <w:p>
                  <w:pPr>
                    <w:spacing w:after="0" w:line="240" w:lineRule="auto"/>
                    <w:rPr>
                      <w:rFonts w:ascii="Times New Roman" w:eastAsia="Times New Roman" w:hAnsi="Times New Roman" w:cs="Times New Roman"/>
                      <w:b/>
                      <w:noProof/>
                      <w:sz w:val="20"/>
                      <w:szCs w:val="20"/>
                      <w:lang w:val="en-IE" w:eastAsia="fr-BE"/>
                    </w:rPr>
                  </w:pPr>
                  <w:r>
                    <w:rPr>
                      <w:rFonts w:ascii="Times New Roman" w:eastAsia="Times New Roman" w:hAnsi="Times New Roman" w:cs="Times New Roman"/>
                      <w:b/>
                      <w:noProof/>
                      <w:sz w:val="20"/>
                      <w:szCs w:val="20"/>
                      <w:lang w:val="en-IE" w:eastAsia="fr-BE"/>
                    </w:rPr>
                    <w:t> Well to wake GHG intensity reduction (in %)</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20"/>
                      <w:szCs w:val="20"/>
                      <w:lang w:val="fr-BE" w:eastAsia="fr-BE"/>
                    </w:rPr>
                  </w:pPr>
                  <w:r>
                    <w:rPr>
                      <w:rFonts w:ascii="Times New Roman" w:eastAsia="Times New Roman" w:hAnsi="Times New Roman" w:cs="Times New Roman"/>
                      <w:b/>
                      <w:noProof/>
                      <w:sz w:val="20"/>
                      <w:szCs w:val="20"/>
                      <w:lang w:val="fr-BE" w:eastAsia="fr-BE"/>
                    </w:rPr>
                    <w:t>2025</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20"/>
                      <w:szCs w:val="20"/>
                      <w:lang w:val="fr-BE" w:eastAsia="fr-BE"/>
                    </w:rPr>
                  </w:pPr>
                  <w:r>
                    <w:rPr>
                      <w:rFonts w:ascii="Times New Roman" w:eastAsia="Times New Roman" w:hAnsi="Times New Roman" w:cs="Times New Roman"/>
                      <w:b/>
                      <w:noProof/>
                      <w:sz w:val="20"/>
                      <w:szCs w:val="20"/>
                      <w:lang w:val="fr-BE" w:eastAsia="fr-BE"/>
                    </w:rPr>
                    <w:t>2030</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20"/>
                      <w:szCs w:val="20"/>
                      <w:lang w:val="fr-BE" w:eastAsia="fr-BE"/>
                    </w:rPr>
                  </w:pPr>
                  <w:r>
                    <w:rPr>
                      <w:rFonts w:ascii="Times New Roman" w:eastAsia="Times New Roman" w:hAnsi="Times New Roman" w:cs="Times New Roman"/>
                      <w:b/>
                      <w:noProof/>
                      <w:sz w:val="20"/>
                      <w:szCs w:val="20"/>
                      <w:lang w:val="fr-BE" w:eastAsia="fr-BE"/>
                    </w:rPr>
                    <w:t>2035</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20"/>
                      <w:szCs w:val="20"/>
                      <w:lang w:val="fr-BE" w:eastAsia="fr-BE"/>
                    </w:rPr>
                  </w:pPr>
                  <w:r>
                    <w:rPr>
                      <w:rFonts w:ascii="Times New Roman" w:eastAsia="Times New Roman" w:hAnsi="Times New Roman" w:cs="Times New Roman"/>
                      <w:b/>
                      <w:noProof/>
                      <w:sz w:val="20"/>
                      <w:szCs w:val="20"/>
                      <w:lang w:val="fr-BE" w:eastAsia="fr-BE"/>
                    </w:rPr>
                    <w:t>2040</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20"/>
                      <w:szCs w:val="20"/>
                      <w:lang w:val="fr-BE" w:eastAsia="fr-BE"/>
                    </w:rPr>
                  </w:pPr>
                  <w:r>
                    <w:rPr>
                      <w:rFonts w:ascii="Times New Roman" w:eastAsia="Times New Roman" w:hAnsi="Times New Roman" w:cs="Times New Roman"/>
                      <w:b/>
                      <w:noProof/>
                      <w:sz w:val="20"/>
                      <w:szCs w:val="20"/>
                      <w:lang w:val="fr-BE" w:eastAsia="fr-BE"/>
                    </w:rPr>
                    <w:t>2045</w:t>
                  </w:r>
                </w:p>
              </w:tc>
              <w:tc>
                <w:tcPr>
                  <w:tcW w:w="5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20"/>
                      <w:szCs w:val="20"/>
                      <w:lang w:val="fr-BE" w:eastAsia="fr-BE"/>
                    </w:rPr>
                  </w:pPr>
                  <w:r>
                    <w:rPr>
                      <w:rFonts w:ascii="Times New Roman" w:eastAsia="Times New Roman" w:hAnsi="Times New Roman" w:cs="Times New Roman"/>
                      <w:b/>
                      <w:noProof/>
                      <w:sz w:val="20"/>
                      <w:szCs w:val="20"/>
                      <w:lang w:val="fr-BE" w:eastAsia="fr-BE"/>
                    </w:rPr>
                    <w:t>2050</w:t>
                  </w:r>
                </w:p>
              </w:tc>
            </w:tr>
            <w:tr>
              <w:trPr>
                <w:trHeight w:val="200"/>
              </w:trPr>
              <w:tc>
                <w:tcPr>
                  <w:tcW w:w="1657"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Resulting from the use of RLF</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-2%</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-7%</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-14%</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-26%</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-60%</w:t>
                  </w:r>
                </w:p>
              </w:tc>
              <w:tc>
                <w:tcPr>
                  <w:tcW w:w="55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fr-BE"/>
                    </w:rPr>
                  </w:pPr>
                  <w:r>
                    <w:rPr>
                      <w:rFonts w:ascii="Times New Roman" w:eastAsia="Times New Roman" w:hAnsi="Times New Roman" w:cs="Times New Roman"/>
                      <w:noProof/>
                      <w:sz w:val="20"/>
                      <w:szCs w:val="20"/>
                      <w:lang w:val="en-IE" w:eastAsia="fr-BE"/>
                    </w:rPr>
                    <w:t>-75%</w:t>
                  </w:r>
                </w:p>
              </w:tc>
            </w:tr>
          </w:tbl>
          <w:p>
            <w:pPr>
              <w:spacing w:after="160" w:line="259" w:lineRule="auto"/>
              <w:jc w:val="both"/>
              <w:rPr>
                <w:rFonts w:ascii="Times New Roman" w:hAnsi="Times New Roman"/>
                <w:noProof/>
                <w:sz w:val="24"/>
                <w:szCs w:val="24"/>
              </w:rPr>
            </w:pPr>
            <w:r>
              <w:rPr>
                <w:rFonts w:ascii="Times New Roman" w:hAnsi="Times New Roman"/>
                <w:noProof/>
                <w:sz w:val="24"/>
                <w:szCs w:val="24"/>
                <w:lang w:val="en-IE"/>
              </w:rPr>
              <w:t xml:space="preserve">Concerning emissions at berth, the approach is the same as for PO1 and PO2. </w:t>
            </w:r>
          </w:p>
          <w:p>
            <w:pPr>
              <w:spacing w:after="160" w:line="259" w:lineRule="auto"/>
              <w:rPr>
                <w:rFonts w:ascii="Times New Roman" w:hAnsi="Times New Roman"/>
                <w:b/>
                <w:bCs/>
                <w:noProof/>
                <w:sz w:val="24"/>
                <w:szCs w:val="24"/>
              </w:rPr>
            </w:pPr>
            <w:r>
              <w:rPr>
                <w:rFonts w:ascii="Times New Roman" w:hAnsi="Times New Roman"/>
                <w:b/>
                <w:bCs/>
                <w:noProof/>
                <w:sz w:val="24"/>
                <w:szCs w:val="24"/>
              </w:rPr>
              <w:t>Stimulate the introduction of zero-emissions energy solutions</w:t>
            </w:r>
          </w:p>
          <w:p>
            <w:pPr>
              <w:spacing w:after="160" w:line="259" w:lineRule="auto"/>
              <w:jc w:val="both"/>
              <w:rPr>
                <w:rFonts w:ascii="Times New Roman" w:eastAsiaTheme="minorEastAsia" w:hAnsi="Times New Roman"/>
                <w:noProof/>
                <w:sz w:val="24"/>
                <w:szCs w:val="24"/>
              </w:rPr>
            </w:pPr>
            <w:r>
              <w:rPr>
                <w:rFonts w:ascii="Times New Roman" w:eastAsiaTheme="minorEastAsia" w:hAnsi="Times New Roman"/>
                <w:noProof/>
                <w:sz w:val="24"/>
                <w:szCs w:val="24"/>
              </w:rPr>
              <w:t xml:space="preserve">The requirements in this option are similar to PO2 as they are based on a goal-based approach. However, this PO also integrates specific additional measures to foster over-achievement and encourage the development of more advanced, zero-emissions technologies. Two aspects will be assessed as part of the mechanism to foster over-achivements. These concern specifically higher weight attributed to zero-emission solutions when establishing the ship’s performance in achieving the yearly target (“multipliers for zero-emission options”) as well as the possibility to not only average compliance on a yearly basis (as in PO2) but also pool compliance with other ships / operators via a mechanism for </w:t>
            </w:r>
            <w:r>
              <w:rPr>
                <w:rFonts w:ascii="Times New Roman" w:eastAsiaTheme="minorEastAsia" w:hAnsi="Times New Roman"/>
                <w:i/>
                <w:noProof/>
                <w:sz w:val="24"/>
                <w:szCs w:val="24"/>
              </w:rPr>
              <w:t>voluntary</w:t>
            </w:r>
            <w:r>
              <w:rPr>
                <w:rFonts w:ascii="Times New Roman" w:eastAsiaTheme="minorEastAsia" w:hAnsi="Times New Roman"/>
                <w:noProof/>
                <w:sz w:val="24"/>
                <w:szCs w:val="24"/>
              </w:rPr>
              <w:t xml:space="preserve"> transfer and compensation of balances. This mechanism does not represent an additional regulatory obligation, but it offers operators more flexibility and an additional means of compliance with the requirements, allowing them to optimise the investments at the ship level. In practice, it will allow operators using more performant technologies to exchange “excess compliance points” with less perfomant ships / operators, provided that the minimum targets are met on average. A specific module will be added to the existing MRV system to track compliance and, where necessary trace the transfer of balance. Balances would be generated automatically and there would be no need for a system of auctioning or attribution. Also, as the mechanism remains voluntary, the transfer of balance will not be subject to specific conditions but be governed by private-law agreements between the concerned operators. In practice, most of the transfers are likely to take place within the same firm or group (representing de facto a solution to pool compliance at company level), but will not be limited to it and would offert the possibiltiy to also provide transfers between different companies. Alternatively, a possible link with upcoming revision of the ETS to reward overachievers could be also envisaged (e.g. through the provision of additional free allowances) but it is not expected to signifcantly affect the likely impacts of the instrument. The Commission will continue to foster awareness raising, exchange of experience, innovation, encouragement and promotion of industry-led programmes in support of the uptake of alternative fuels, similarly to what is described for PO1 and PO2.</w:t>
            </w:r>
          </w:p>
          <w:p>
            <w:pPr>
              <w:spacing w:after="160" w:line="259" w:lineRule="auto"/>
              <w:rPr>
                <w:rFonts w:ascii="Times New Roman" w:hAnsi="Times New Roman"/>
                <w:noProof/>
                <w:sz w:val="24"/>
                <w:szCs w:val="24"/>
              </w:rPr>
            </w:pPr>
            <w:r>
              <w:rPr>
                <w:rFonts w:ascii="Times New Roman" w:hAnsi="Times New Roman"/>
                <w:b/>
                <w:bCs/>
                <w:noProof/>
                <w:sz w:val="24"/>
                <w:szCs w:val="24"/>
              </w:rPr>
              <w:t>Certification, reporting and enforcement</w:t>
            </w:r>
          </w:p>
          <w:p>
            <w:pPr>
              <w:spacing w:after="160" w:line="259" w:lineRule="auto"/>
              <w:jc w:val="both"/>
              <w:rPr>
                <w:rFonts w:ascii="Times New Roman" w:hAnsi="Times New Roman"/>
                <w:noProof/>
                <w:sz w:val="24"/>
                <w:szCs w:val="24"/>
              </w:rPr>
            </w:pPr>
            <w:r>
              <w:rPr>
                <w:rFonts w:ascii="Times New Roman" w:hAnsi="Times New Roman"/>
                <w:noProof/>
                <w:sz w:val="24"/>
                <w:szCs w:val="24"/>
              </w:rPr>
              <w:t>In order to document compliance with the regulatory obligations, an EU-wide methodology to establish the performance / sustainability of fuels for maritime transport be based on the RED II Directive and EU MRV Regulation, both of which would be cross-referenced in this initiative. As regards the latter, it is also proposed to  include the non-CO</w:t>
            </w:r>
            <w:r>
              <w:rPr>
                <w:rFonts w:ascii="Times New Roman" w:hAnsi="Times New Roman"/>
                <w:noProof/>
                <w:sz w:val="24"/>
                <w:szCs w:val="24"/>
                <w:vertAlign w:val="subscript"/>
              </w:rPr>
              <w:t>2</w:t>
            </w:r>
            <w:r>
              <w:rPr>
                <w:rFonts w:ascii="Times New Roman" w:hAnsi="Times New Roman"/>
                <w:noProof/>
                <w:sz w:val="24"/>
                <w:szCs w:val="24"/>
              </w:rPr>
              <w:t xml:space="preserve"> emissions and alternative sources of power. Requirements for the certification of fuel suppliers (incl. in third countries) and documentation to report performance would be necessary and as above it would be also based on RED II requirements. In PO3, the performance of the fuel is not established on-board but needs to be documented on annual basis for the total energy generated on-board. A specific mechanism to account for possible pooled compliance and transfer of balances needs to be established. Additional rules should be established for this purpose, including for monitoring, reporting and verification of consumption of alternative fuels in the context of the EU MRV and to harmonise PSC procedures. </w:t>
            </w:r>
          </w:p>
        </w:tc>
      </w:tr>
    </w:tbl>
    <w:p>
      <w:pPr>
        <w:pStyle w:val="Text2"/>
        <w:ind w:left="0"/>
        <w:rPr>
          <w:noProof/>
          <w:sz w:val="2"/>
          <w:szCs w:val="24"/>
          <w:lang w:val="en-IE"/>
        </w:rPr>
      </w:pPr>
    </w:p>
    <w:p>
      <w:pPr>
        <w:pStyle w:val="Heading3"/>
        <w:rPr>
          <w:noProof/>
          <w:lang w:val="en-IE"/>
        </w:rPr>
      </w:pPr>
      <w:bookmarkStart w:id="194" w:name="_Toc57907287"/>
      <w:bookmarkStart w:id="195" w:name="_Toc59152623"/>
      <w:bookmarkStart w:id="196" w:name="_Toc63426132"/>
      <w:bookmarkStart w:id="197" w:name="_Ref63437300"/>
      <w:bookmarkStart w:id="198" w:name="_Ref63437751"/>
      <w:bookmarkStart w:id="199" w:name="_Ref63437835"/>
      <w:bookmarkStart w:id="200" w:name="_Toc63438478"/>
      <w:r>
        <w:rPr>
          <w:noProof/>
          <w:lang w:val="en-IE"/>
        </w:rPr>
        <w:t>Specific aspects of policy design</w:t>
      </w:r>
      <w:bookmarkEnd w:id="194"/>
      <w:bookmarkEnd w:id="195"/>
      <w:bookmarkEnd w:id="196"/>
      <w:bookmarkEnd w:id="197"/>
      <w:bookmarkEnd w:id="198"/>
      <w:bookmarkEnd w:id="199"/>
      <w:bookmarkEnd w:id="200"/>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Concerning the more specific characteristics of the proposed policy intervention, the following aspects have also been considered and assessed in the same way for all POs.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Targets (volumes or GHG intensity) are set and gradually increase over time to deliver higher RLF penetration rates (and the related emissions reductions until 2050). All POs are designed to deliver similar GHG emission reductions pathways. Targets are specified up to 2050 to provide operators and investors with sufficient clarity and predictability. The analysis made in support of this impact assessment also include increased shares of electricity covering the growing uptake of OPS by ships at berth; this was not available at the time of the work on the common economic assessment underpinning the 2030 Climate Target Plan and the Sustainable and Smart Mobility Strategy.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GHG performance of fuels is assessed on a well-to-wake basis, taking into account the impacts of production, transport, distribution and use on board. This is to incentivise technologies and production pathways that provide real benefits compared to the existing conventional fuels. This approach is also supported by the open public consultation (OPC) results.</w:t>
      </w:r>
      <w:r>
        <w:rPr>
          <w:rStyle w:val="FootnoteReference"/>
          <w:rFonts w:ascii="Times New Roman" w:hAnsi="Times New Roman" w:cs="Times New Roman"/>
          <w:noProof/>
          <w:lang w:val="en-IE"/>
        </w:rPr>
        <w:footnoteReference w:id="101"/>
      </w:r>
      <w:r>
        <w:rPr>
          <w:rFonts w:ascii="Times New Roman" w:hAnsi="Times New Roman" w:cs="Times New Roman"/>
          <w:noProof/>
          <w:sz w:val="24"/>
          <w:szCs w:val="24"/>
          <w:lang w:val="en-IE"/>
        </w:rPr>
        <w:t xml:space="preserve"> The emission factors reflect the characteristics of the different fuels and are provided in Annex 4.</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With regards to the type of emissions, the proposed intervention is not limited to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but also include other GHG emissions such as CH</w:t>
      </w:r>
      <w:r>
        <w:rPr>
          <w:rFonts w:ascii="Times New Roman" w:hAnsi="Times New Roman" w:cs="Times New Roman"/>
          <w:noProof/>
          <w:sz w:val="24"/>
          <w:szCs w:val="24"/>
          <w:vertAlign w:val="subscript"/>
          <w:lang w:val="en-IE"/>
        </w:rPr>
        <w:t>4</w:t>
      </w:r>
      <w:r>
        <w:rPr>
          <w:rFonts w:ascii="Times New Roman" w:hAnsi="Times New Roman" w:cs="Times New Roman"/>
          <w:noProof/>
          <w:sz w:val="24"/>
          <w:szCs w:val="24"/>
          <w:lang w:val="en-IE"/>
        </w:rPr>
        <w:t xml:space="preserve"> and N</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O emissions. Even though the volume of these emissions is lower than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only, their global warming potential is stronger, in particular in the short term. Including these emissions is particularly relevant as they may be fuel-dependent, which is for instance the case of CH</w:t>
      </w:r>
      <w:r>
        <w:rPr>
          <w:rFonts w:ascii="Times New Roman" w:hAnsi="Times New Roman" w:cs="Times New Roman"/>
          <w:noProof/>
          <w:sz w:val="24"/>
          <w:szCs w:val="24"/>
          <w:vertAlign w:val="subscript"/>
          <w:lang w:val="en-IE"/>
        </w:rPr>
        <w:t>4</w:t>
      </w:r>
      <w:r>
        <w:rPr>
          <w:rFonts w:ascii="Times New Roman" w:hAnsi="Times New Roman" w:cs="Times New Roman"/>
          <w:noProof/>
          <w:sz w:val="24"/>
          <w:szCs w:val="24"/>
          <w:lang w:val="en-IE"/>
        </w:rPr>
        <w:t xml:space="preserve"> which can be released as a slippage when using gaseous fuel. This option provides hence a more comprehensive approach to GHG emissions. 81% of the OPC respondents were in favour of at least this scope</w:t>
      </w:r>
      <w:r>
        <w:rPr>
          <w:rStyle w:val="FootnoteReference"/>
          <w:rFonts w:ascii="Times New Roman" w:hAnsi="Times New Roman" w:cs="Times New Roman"/>
          <w:noProof/>
        </w:rPr>
        <w:footnoteReference w:id="102"/>
      </w:r>
      <w:r>
        <w:rPr>
          <w:rFonts w:ascii="Times New Roman" w:hAnsi="Times New Roman" w:cs="Times New Roman"/>
          <w:noProof/>
          <w:sz w:val="24"/>
          <w:szCs w:val="24"/>
        </w:rPr>
        <w:t>. Limiting the approach t</w:t>
      </w:r>
      <w:r>
        <w:rPr>
          <w:rFonts w:ascii="Times New Roman" w:hAnsi="Times New Roman" w:cs="Times New Roman"/>
          <w:noProof/>
          <w:sz w:val="24"/>
          <w:szCs w:val="24"/>
          <w:lang w:val="en-IE"/>
        </w:rPr>
        <w:t>o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would overlook significant GHG emissions that can be generated by fuels with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savings potential, thereby creating a distortion between different technologies and potentially reducing overall GHG savings.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lang w:val="en-IE"/>
        </w:rPr>
        <w:t>In terms of addressees, the regulated entity should be a company with obligations put on each ship arriving and departing from EU ports. As for the MRV Regulation, the scope is limited to vessels beyond 5,000 gross tonnes. Even though these ships represents only ca 55% of all ships calling EEA ports, in accordance with MRV data, they are responsible for 90% of the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emissions from the maritime sector. As it is also the case for the MRV Regulation, small emitters (ships below 5,000 gross tonnes) have been excluded for proportionality reasons, because although they represent about 45 % of the fleet, they only account for 10% of the total emissions. According to estimates provided by EMSA, this picture is very similar when considering air pollution. Vessels above 5,000 gross tonnes account for 94.5% of the maritime SOx emissions produced by ships calling EEA ports, 89.5% of the NO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emissions and 57.9% of the PM</w:t>
      </w:r>
      <w:r>
        <w:rPr>
          <w:rFonts w:ascii="Times New Roman" w:hAnsi="Times New Roman" w:cs="Times New Roman"/>
          <w:noProof/>
          <w:sz w:val="24"/>
          <w:szCs w:val="24"/>
          <w:vertAlign w:val="subscript"/>
          <w:lang w:val="en-IE"/>
        </w:rPr>
        <w:t xml:space="preserve">2.5 </w:t>
      </w:r>
      <w:r>
        <w:rPr>
          <w:rFonts w:ascii="Times New Roman" w:hAnsi="Times New Roman" w:cs="Times New Roman"/>
          <w:noProof/>
          <w:sz w:val="24"/>
          <w:szCs w:val="24"/>
          <w:lang w:val="en-IE"/>
        </w:rPr>
        <w:t>emissions. The approach followed by this initiative focusses therefore on the highest emitters in order to strike the best balance between the environmental objectives while limiting the potential regulatory and administrative burden to the smallest operators. As in the scope of EU MRV, warships, fishing vessels, ships not propelled by mechanical means, and inland vessels are not covered by the proposed intervention. The scope of MRV was decided on the basis of a proportionality analysis, which concluded that the measures would be disproportionate for these ship types</w:t>
      </w:r>
      <w:r>
        <w:rPr>
          <w:rStyle w:val="FootnoteReference"/>
          <w:rFonts w:ascii="Times New Roman" w:hAnsi="Times New Roman" w:cs="Times New Roman"/>
          <w:noProof/>
          <w:sz w:val="24"/>
          <w:szCs w:val="24"/>
          <w:lang w:val="en-IE"/>
        </w:rPr>
        <w:footnoteReference w:id="103"/>
      </w:r>
      <w:r>
        <w:rPr>
          <w:rFonts w:ascii="Times New Roman" w:hAnsi="Times New Roman" w:cs="Times New Roman"/>
          <w:noProof/>
          <w:sz w:val="24"/>
          <w:szCs w:val="24"/>
          <w:lang w:val="en-IE"/>
        </w:rPr>
        <w:t>. Regarding warships, there is no legal basis for the Union to regulate them under the TFEU. Indeed, this initiative concerns sea transport as explained in the legal basis in Section 3.1, which leaves out fishing vessels and inland vessels.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ships that have been excluded from the scope of this initiative may still benefit from supply-side intervention through the RED as revised and from a higher availability of renewable and low-carbon fuels in ports following the revision of AFID. Small ships such as tug boats and dredger vessels might not engage in extra-EU voyages and thus be less prone to carbon leakage.</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Some possible variants allowing pooled compliance, through </w:t>
      </w:r>
      <w:r>
        <w:rPr>
          <w:rFonts w:ascii="Times New Roman" w:eastAsiaTheme="minorEastAsia" w:hAnsi="Times New Roman"/>
          <w:noProof/>
          <w:sz w:val="24"/>
          <w:szCs w:val="24"/>
        </w:rPr>
        <w:t>voluntary transfer and compensation of balances,</w:t>
      </w:r>
      <w:r>
        <w:rPr>
          <w:rFonts w:ascii="Times New Roman" w:hAnsi="Times New Roman" w:cs="Times New Roman"/>
          <w:noProof/>
          <w:sz w:val="24"/>
          <w:szCs w:val="24"/>
          <w:lang w:val="en-IE"/>
        </w:rPr>
        <w:t xml:space="preserve"> have been tested as part of the assessment of PO3 as they could offer additional flexibility to the industry. For the retained design of PO3, the pooled compliance is organised among different ships rather than companies, which proved to be the only solution that does not penalise small and medium size companies with a limited number of ships. The respondents to the targeted consultation did not express a clear preference for an entity that should be regulated by the policy measure</w:t>
      </w:r>
      <w:r>
        <w:rPr>
          <w:rStyle w:val="FootnoteReference"/>
          <w:rFonts w:ascii="Times New Roman" w:hAnsi="Times New Roman" w:cs="Times New Roman"/>
          <w:noProof/>
          <w:lang w:val="en-IE"/>
        </w:rPr>
        <w:footnoteReference w:id="104"/>
      </w:r>
      <w:r>
        <w:rPr>
          <w:rFonts w:ascii="Times New Roman" w:hAnsi="Times New Roman" w:cs="Times New Roman"/>
          <w:noProof/>
          <w:sz w:val="24"/>
          <w:szCs w:val="24"/>
          <w:lang w:val="en-IE"/>
        </w:rPr>
        <w:t xml:space="preserv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Concerning the geographical scope, the options have been assessed on a similar scope to MRV, which covers voyages from the last port of call to an EU port of call and from an EU port to their next port of call</w:t>
      </w:r>
      <w:r>
        <w:rPr>
          <w:rStyle w:val="FootnoteReference"/>
          <w:rFonts w:ascii="Times New Roman" w:hAnsi="Times New Roman" w:cs="Times New Roman"/>
          <w:noProof/>
          <w:sz w:val="24"/>
          <w:szCs w:val="24"/>
          <w:lang w:val="en-IE"/>
        </w:rPr>
        <w:footnoteReference w:id="105"/>
      </w:r>
      <w:r>
        <w:rPr>
          <w:rFonts w:ascii="Times New Roman" w:hAnsi="Times New Roman" w:cs="Times New Roman"/>
          <w:noProof/>
          <w:sz w:val="24"/>
          <w:szCs w:val="24"/>
          <w:lang w:val="en-IE"/>
        </w:rPr>
        <w:t>. This approach is expected to avoid distortion of competition among market actors, maximise the impacts and reap the full potential of the reporting requirements put in place by the EU MRV Regulation. A similar geographical scope has been used for this measure in the common economic assessment underpinning the 2030 Climate Target Plan and the Sustainable and Smart Mobility Strategy. On the other hand, a more limited geographical scope could be easier to accept by third-country operators, but would have considerably lower impact. The OPC respondents did not clearly express a preference with regard to a particular geographical scope</w:t>
      </w:r>
      <w:r>
        <w:rPr>
          <w:rStyle w:val="FootnoteReference"/>
          <w:rFonts w:ascii="Times New Roman" w:hAnsi="Times New Roman" w:cs="Times New Roman"/>
          <w:noProof/>
          <w:sz w:val="24"/>
          <w:szCs w:val="24"/>
        </w:rPr>
        <w:footnoteReference w:id="106"/>
      </w:r>
      <w:r>
        <w:rPr>
          <w:rFonts w:ascii="Times New Roman" w:hAnsi="Times New Roman" w:cs="Times New Roman"/>
          <w:noProof/>
          <w:sz w:val="24"/>
          <w:szCs w:val="24"/>
        </w:rPr>
        <w:t xml:space="preserve">. </w:t>
      </w:r>
      <w:r>
        <w:rPr>
          <w:rFonts w:ascii="Times New Roman" w:hAnsi="Times New Roman" w:cs="Times New Roman"/>
          <w:noProof/>
          <w:sz w:val="24"/>
          <w:szCs w:val="24"/>
          <w:lang w:val="en-IE"/>
        </w:rPr>
        <w:t xml:space="preserv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monitoring, reporting and verification requirements of this initiative are based on the EU MRV Regulation, under which all ships calling at EEA ports, irrespective of their flag (i.e. all flags), are obliged to report their fuel consumption to the Commission (via THETIS-MRV database) and to the EU flag States. It applies in a non-discriminatory way to all ships and requires third party verification in order to ensure the accuracy of the data submitted. It uses a specific verification system similar (though simplified) to the one applied in the EU Emissions Trading System (ETS), based on internationally agreed ISO standards and EU specific verification rules. As </w:t>
      </w:r>
      <w:r>
        <w:rPr>
          <w:rFonts w:ascii="Times New Roman" w:hAnsi="Times New Roman" w:cs="Times New Roman"/>
          <w:noProof/>
          <w:sz w:val="24"/>
          <w:szCs w:val="24"/>
        </w:rPr>
        <w:t>Commission Communication of 2013 on integrating maritime transport emissions in EU’s GHG reduction policies</w:t>
      </w:r>
      <w:r>
        <w:rPr>
          <w:rStyle w:val="FootnoteReference"/>
          <w:rFonts w:ascii="Times New Roman" w:hAnsi="Times New Roman" w:cs="Times New Roman"/>
          <w:noProof/>
          <w:sz w:val="24"/>
          <w:szCs w:val="24"/>
        </w:rPr>
        <w:footnoteReference w:id="107"/>
      </w:r>
      <w:r>
        <w:rPr>
          <w:rFonts w:ascii="Times New Roman" w:hAnsi="Times New Roman" w:cs="Times New Roman"/>
          <w:noProof/>
          <w:sz w:val="24"/>
          <w:szCs w:val="24"/>
        </w:rPr>
        <w:t xml:space="preserve">, the </w:t>
      </w:r>
      <w:r>
        <w:rPr>
          <w:rFonts w:ascii="Times New Roman" w:hAnsi="Times New Roman" w:cs="Times New Roman"/>
          <w:noProof/>
          <w:sz w:val="24"/>
          <w:szCs w:val="24"/>
          <w:lang w:val="en-IE"/>
        </w:rPr>
        <w:t>EU MRV Regulation was put in place to provide (among others) for robust and reliable data on GHG emissions from shipping activities as a prerequisite for any further policy action and the development and implementation of effective EU measures. Additional elements that would need to be included in the EU MRV system are assessed in this impact assessment.</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addition to EU MRV monitoring, reporting and verification obligations, this initiative will include more rigorous compliance and enforcement provisions. Recognizing that compliance will impose additional fuel costs on ship operators, effective enforcement is important to avoid distortion of competition and regulatory loopholes. It is therefore necessary to add specific provisions for demonstrating compliance with this initiative, while building on existing processes to minimize administrative burden. Shipping companies will need to document to their third party verifier that they have been compliant with the RLF requirements coming from this initiative. Upon fulfilment of the reporting obligations, the third party verifier will then issue a Document of Compliance to the ship that can be checked in subsequent PSC inspections. Appropriate and proportional sanctions that reflect fuel cost-savings of non-compliance are important for maintaining the level playing field in the sector. </w:t>
      </w:r>
    </w:p>
    <w:p>
      <w:pPr>
        <w:pStyle w:val="Heading3"/>
        <w:rPr>
          <w:noProof/>
          <w:lang w:val="en-IE"/>
        </w:rPr>
      </w:pPr>
      <w:bookmarkStart w:id="201" w:name="_Toc57907288"/>
      <w:bookmarkStart w:id="202" w:name="_Toc59152624"/>
      <w:bookmarkStart w:id="203" w:name="_Toc63426133"/>
      <w:bookmarkStart w:id="204" w:name="_Toc63438479"/>
      <w:r>
        <w:rPr>
          <w:noProof/>
          <w:lang w:val="en-IE"/>
        </w:rPr>
        <w:t>Additional elements of policy intervention</w:t>
      </w:r>
      <w:bookmarkEnd w:id="201"/>
      <w:bookmarkEnd w:id="202"/>
      <w:bookmarkEnd w:id="203"/>
      <w:bookmarkEnd w:id="204"/>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addition to the measures resulting directly from the proposed policy intervention and those included in the ‘basket of measures’ to address ship emissions, a number of ‘flanking measures’ would also help addressing the problems identified. The intensification of the work at international level (IMO) on the development of </w:t>
      </w:r>
      <w:r>
        <w:rPr>
          <w:rFonts w:ascii="Times New Roman" w:hAnsi="Times New Roman" w:cs="Times New Roman"/>
          <w:noProof/>
          <w:sz w:val="24"/>
          <w:szCs w:val="24"/>
        </w:rPr>
        <w:t xml:space="preserve">lifecycle GHG/carbon intensity guidelines for all types of fuels paves the way for future measures. </w:t>
      </w:r>
      <w:r>
        <w:rPr>
          <w:rFonts w:ascii="Times New Roman" w:hAnsi="Times New Roman" w:cs="Times New Roman"/>
          <w:noProof/>
          <w:sz w:val="24"/>
          <w:szCs w:val="24"/>
          <w:lang w:val="en-IE"/>
        </w:rPr>
        <w:t>Steering financial support towards the development and deployment of RLF is also relevant. This applies in particular to R&amp;I, where the preparation of the co-programmed ‘Zero Emissions Waterborne Transport’ partnership under Horizon</w:t>
      </w:r>
      <w:r>
        <w:rPr>
          <w:rFonts w:ascii="Times New Roman" w:hAnsi="Times New Roman" w:cs="Times New Roman"/>
          <w:noProof/>
          <w:sz w:val="24"/>
          <w:szCs w:val="24"/>
        </w:rPr>
        <w:t xml:space="preserve"> </w:t>
      </w:r>
      <w:r>
        <w:rPr>
          <w:rFonts w:ascii="Times New Roman" w:hAnsi="Times New Roman" w:cs="Times New Roman"/>
          <w:noProof/>
          <w:sz w:val="24"/>
          <w:szCs w:val="24"/>
          <w:lang w:val="en-IE"/>
        </w:rPr>
        <w:t xml:space="preserve">Europe is expected to play an important role of support. Public funding from Member States and the EU budget could also support the uptake of RLF through deployment of the necessary infrastructure, support to investments, etc. </w:t>
      </w:r>
    </w:p>
    <w:p>
      <w:pPr>
        <w:pStyle w:val="Heading2"/>
        <w:rPr>
          <w:noProof/>
        </w:rPr>
      </w:pPr>
      <w:bookmarkStart w:id="205" w:name="_Toc49520299"/>
      <w:bookmarkStart w:id="206" w:name="_Toc57907289"/>
      <w:bookmarkStart w:id="207" w:name="_Toc59152625"/>
      <w:bookmarkStart w:id="208" w:name="_Toc63426134"/>
      <w:bookmarkStart w:id="209" w:name="_Ref63435856"/>
      <w:bookmarkStart w:id="210" w:name="_Ref63437215"/>
      <w:bookmarkStart w:id="211" w:name="_Ref63437235"/>
      <w:bookmarkStart w:id="212" w:name="_Ref63437579"/>
      <w:bookmarkStart w:id="213" w:name="_Ref63437625"/>
      <w:bookmarkStart w:id="214" w:name="_Ref63437718"/>
      <w:bookmarkStart w:id="215" w:name="_Toc63438480"/>
      <w:r>
        <w:rPr>
          <w:noProof/>
        </w:rPr>
        <w:t>Options discarded at an early stage</w:t>
      </w:r>
      <w:bookmarkEnd w:id="205"/>
      <w:bookmarkEnd w:id="206"/>
      <w:r>
        <w:rPr>
          <w:noProof/>
        </w:rPr>
        <w:t xml:space="preserve"> or identified as complementary measures</w:t>
      </w:r>
      <w:bookmarkEnd w:id="207"/>
      <w:bookmarkEnd w:id="208"/>
      <w:bookmarkEnd w:id="209"/>
      <w:bookmarkEnd w:id="210"/>
      <w:bookmarkEnd w:id="211"/>
      <w:bookmarkEnd w:id="212"/>
      <w:bookmarkEnd w:id="213"/>
      <w:bookmarkEnd w:id="214"/>
      <w:bookmarkEnd w:id="215"/>
      <w:r>
        <w:rPr>
          <w:noProof/>
        </w:rPr>
        <w:t xml:space="preserv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As already mentioned, the process of selection of policy options started with the analysis of the wider set of possible policy measures that is listed in Annex 6.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the following sections, further details are provided on those, non-retained, measures that deserve more attention, either because they are part of the ‘basket of measures’ for GHG emissions reduction and are subject of another impact assessment (ETS, ETD, RED II and AFID) or because they have been specifically proposed by stakeholders in the context of the consultations activities (energy efficiency standards). In the former case, the analysis also explores interaction and complementarities between different instruments.  </w:t>
      </w:r>
    </w:p>
    <w:p>
      <w:pPr>
        <w:pStyle w:val="Heading3"/>
        <w:rPr>
          <w:noProof/>
          <w:lang w:val="en-IE"/>
        </w:rPr>
      </w:pPr>
      <w:bookmarkStart w:id="216" w:name="_Toc63426135"/>
      <w:bookmarkStart w:id="217" w:name="_Ref63435405"/>
      <w:bookmarkStart w:id="218" w:name="_Ref63435714"/>
      <w:bookmarkStart w:id="219" w:name="_Toc63438481"/>
      <w:r>
        <w:rPr>
          <w:noProof/>
          <w:lang w:val="en-IE"/>
        </w:rPr>
        <w:t>Carbon pricing measures (ETS and ETD) and impact on the penetration rate for RLF</w:t>
      </w:r>
      <w:bookmarkEnd w:id="216"/>
      <w:bookmarkEnd w:id="217"/>
      <w:bookmarkEnd w:id="218"/>
      <w:bookmarkEnd w:id="219"/>
    </w:p>
    <w:p>
      <w:pPr>
        <w:spacing w:after="120"/>
        <w:jc w:val="both"/>
        <w:rPr>
          <w:rFonts w:ascii="Times New Roman" w:hAnsi="Times New Roman" w:cs="Times New Roman"/>
          <w:noProof/>
          <w:sz w:val="24"/>
          <w:szCs w:val="24"/>
        </w:rPr>
      </w:pPr>
      <w:r>
        <w:rPr>
          <w:rFonts w:ascii="Times New Roman" w:hAnsi="Times New Roman" w:cs="Times New Roman"/>
          <w:noProof/>
          <w:sz w:val="24"/>
          <w:szCs w:val="24"/>
          <w:lang w:val="en-IE"/>
        </w:rPr>
        <w:t>As part of the ‘Fit for 55’ package, the Commission proposes the extension of the ETS to the maritime sector</w:t>
      </w:r>
      <w:r>
        <w:rPr>
          <w:rStyle w:val="FootnoteReference"/>
          <w:rFonts w:ascii="Times New Roman" w:hAnsi="Times New Roman" w:cs="Times New Roman"/>
          <w:noProof/>
          <w:sz w:val="24"/>
          <w:szCs w:val="24"/>
        </w:rPr>
        <w:footnoteReference w:id="108"/>
      </w:r>
      <w:r>
        <w:rPr>
          <w:rFonts w:ascii="Times New Roman" w:hAnsi="Times New Roman" w:cs="Times New Roman"/>
          <w:noProof/>
          <w:sz w:val="24"/>
          <w:szCs w:val="24"/>
          <w:lang w:val="en-IE"/>
        </w:rPr>
        <w:t>, therefore introducing carbon pricing also for maritime operators. While ETS can also be described as a demand side measure, its scope is wider than the proposed intervention under this initiative, as it addresses overall emissions and is not targeted specifically at fuels.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rPr>
        <w:t xml:space="preserve">For </w:t>
      </w:r>
      <w:r>
        <w:rPr>
          <w:rFonts w:ascii="Times New Roman" w:hAnsi="Times New Roman" w:cs="Times New Roman"/>
          <w:noProof/>
          <w:sz w:val="24"/>
          <w:szCs w:val="24"/>
          <w:lang w:val="en-IE"/>
        </w:rPr>
        <w:t>any given level of activity, there are two categories of possible intervention to reduce ship emissions: either measures that increase energy efficiency (resulting from either design / technical options or operational choices) or greater uptake of cleaner fuels and alternative sources of energy</w:t>
      </w:r>
      <w:r>
        <w:rPr>
          <w:rFonts w:ascii="Times New Roman" w:hAnsi="Times New Roman" w:cs="Times New Roman"/>
          <w:noProof/>
          <w:sz w:val="24"/>
          <w:vertAlign w:val="superscript"/>
          <w:lang w:val="en-IE"/>
        </w:rPr>
        <w:footnoteReference w:id="109"/>
      </w:r>
      <w:r>
        <w:rPr>
          <w:rFonts w:ascii="Times New Roman" w:hAnsi="Times New Roman" w:cs="Times New Roman"/>
          <w:noProof/>
          <w:sz w:val="24"/>
          <w:szCs w:val="24"/>
          <w:lang w:val="en-IE"/>
        </w:rPr>
        <w:t xml:space="preserve">. The ETS is designed to </w:t>
      </w:r>
      <w:r>
        <w:rPr>
          <w:rFonts w:ascii="Times New Roman" w:hAnsi="Times New Roman" w:cs="Times New Roman"/>
          <w:noProof/>
          <w:sz w:val="24"/>
          <w:szCs w:val="24"/>
        </w:rPr>
        <w:t xml:space="preserve">reduce emissions in the most cost-effective way, triggering first the cheapest abatement measures and only later the more expensive options. </w:t>
      </w:r>
      <w:r>
        <w:rPr>
          <w:rFonts w:ascii="Times New Roman" w:hAnsi="Times New Roman" w:cs="Times New Roman"/>
          <w:noProof/>
          <w:sz w:val="24"/>
          <w:szCs w:val="24"/>
          <w:lang w:val="en-IE"/>
        </w:rPr>
        <w:t>There is ample scientific literature</w:t>
      </w:r>
      <w:r>
        <w:rPr>
          <w:rFonts w:ascii="Times New Roman" w:hAnsi="Times New Roman" w:cs="Times New Roman"/>
          <w:noProof/>
          <w:sz w:val="24"/>
          <w:szCs w:val="24"/>
          <w:vertAlign w:val="superscript"/>
          <w:lang w:val="en-IE"/>
        </w:rPr>
        <w:footnoteReference w:id="110"/>
      </w:r>
      <w:r>
        <w:rPr>
          <w:rFonts w:ascii="Times New Roman" w:hAnsi="Times New Roman" w:cs="Times New Roman"/>
          <w:noProof/>
          <w:sz w:val="24"/>
          <w:szCs w:val="24"/>
          <w:lang w:val="en-IE"/>
        </w:rPr>
        <w:t xml:space="preserve"> demonstrating that in most cases, options like voyage execution, routing, speed reduction, reduction in auxiliary power, optimised propellers have all lower marginal abatement costs than the switch to alternative fuels or the use of on-shore power supply while at berth. The ETS is therefore expected to affect initially energy demand, without </w:t>
      </w:r>
      <w:r>
        <w:rPr>
          <w:rFonts w:ascii="Times New Roman" w:hAnsi="Times New Roman" w:cs="Times New Roman"/>
          <w:i/>
          <w:noProof/>
          <w:sz w:val="24"/>
          <w:szCs w:val="24"/>
          <w:lang w:val="en-IE"/>
        </w:rPr>
        <w:t>necessarily</w:t>
      </w:r>
      <w:r>
        <w:rPr>
          <w:rFonts w:ascii="Times New Roman" w:hAnsi="Times New Roman" w:cs="Times New Roman"/>
          <w:noProof/>
          <w:sz w:val="24"/>
          <w:szCs w:val="24"/>
          <w:lang w:val="en-IE"/>
        </w:rPr>
        <w:t xml:space="preserve"> influencing also the type of energy used.</w:t>
      </w:r>
    </w:p>
    <w:p>
      <w:pPr>
        <w:jc w:val="both"/>
        <w:rPr>
          <w:rFonts w:ascii="Times New Roman" w:hAnsi="Times New Roman" w:cs="Times New Roman"/>
          <w:noProof/>
          <w:sz w:val="24"/>
          <w:szCs w:val="24"/>
        </w:rPr>
      </w:pPr>
      <w:r>
        <w:rPr>
          <w:rFonts w:ascii="Times New Roman" w:hAnsi="Times New Roman" w:cs="Times New Roman"/>
          <w:noProof/>
          <w:sz w:val="24"/>
          <w:szCs w:val="24"/>
          <w:lang w:val="en-IE"/>
        </w:rPr>
        <w:t>The analysis carried out in the fourth IMO Greenhouse Gas Study confirms that the use of alternatives fuels in maritime have a comparatively higher abatement costs than other options</w:t>
      </w:r>
      <w:r>
        <w:rPr>
          <w:rFonts w:ascii="Times New Roman" w:hAnsi="Times New Roman" w:cs="Times New Roman"/>
          <w:noProof/>
          <w:sz w:val="24"/>
          <w:szCs w:val="24"/>
          <w:vertAlign w:val="superscript"/>
          <w:lang w:val="en-IE"/>
        </w:rPr>
        <w:footnoteReference w:id="111"/>
      </w:r>
      <w:r>
        <w:rPr>
          <w:rFonts w:ascii="Times New Roman" w:hAnsi="Times New Roman" w:cs="Times New Roman"/>
          <w:noProof/>
          <w:sz w:val="24"/>
          <w:szCs w:val="24"/>
          <w:lang w:val="en-IE"/>
        </w:rPr>
        <w:t>. Out of the 16 technology groups identified by the study, the use of alternative fuels ranks as the second or third most expensive technology depending on whether the focus is on the alternative fuels containing carbon (above 250 USD/t-CO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or zero-carbon fuels (above 410 USD/t-CO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The difference is explained in this case by the expected higher fuel price resulting from synthesis process. </w:t>
      </w:r>
      <w:r>
        <w:rPr>
          <w:rFonts w:ascii="Times New Roman" w:hAnsi="Times New Roman" w:cs="Times New Roman"/>
          <w:noProof/>
          <w:sz w:val="24"/>
          <w:szCs w:val="24"/>
        </w:rPr>
        <w:t>Based on the fuel price projections used in the context of this impact assessment</w:t>
      </w:r>
      <w:r>
        <w:rPr>
          <w:rFonts w:ascii="Times New Roman" w:eastAsia="Times New Roman" w:hAnsi="Times New Roman" w:cs="Times New Roman"/>
          <w:noProof/>
          <w:sz w:val="24"/>
          <w:szCs w:val="24"/>
        </w:rPr>
        <w:t xml:space="preserve">, consistent with those used in the </w:t>
      </w:r>
      <w:r>
        <w:rPr>
          <w:rFonts w:ascii="Times New Roman" w:hAnsi="Times New Roman" w:cs="Times New Roman"/>
          <w:noProof/>
          <w:sz w:val="24"/>
          <w:szCs w:val="24"/>
          <w:lang w:val="en-IE"/>
        </w:rPr>
        <w:t xml:space="preserve">common economic assessment underpinning the 2030 Climate Target Plan and the Sustainable and Smart Mobility Strategy, </w:t>
      </w:r>
      <w:r>
        <w:rPr>
          <w:rFonts w:ascii="Times New Roman" w:eastAsia="Times New Roman" w:hAnsi="Times New Roman" w:cs="Times New Roman"/>
          <w:noProof/>
          <w:sz w:val="24"/>
          <w:szCs w:val="24"/>
        </w:rPr>
        <w:t>for the EU ETS to make RLF economically interesting for the maritime sector, a price of CO</w:t>
      </w:r>
      <w:r>
        <w:rPr>
          <w:rFonts w:ascii="Times New Roman" w:eastAsia="Times New Roman" w:hAnsi="Times New Roman" w:cs="Times New Roman"/>
          <w:noProof/>
          <w:sz w:val="24"/>
          <w:szCs w:val="24"/>
          <w:vertAlign w:val="subscript"/>
        </w:rPr>
        <w:t>2</w:t>
      </w:r>
      <w:r>
        <w:rPr>
          <w:rFonts w:ascii="Times New Roman" w:eastAsia="Times New Roman" w:hAnsi="Times New Roman" w:cs="Times New Roman"/>
          <w:noProof/>
          <w:sz w:val="24"/>
          <w:szCs w:val="24"/>
        </w:rPr>
        <w:t xml:space="preserve"> emission allowances of at least €200 would be necessary. By comparison, the impact assessment</w:t>
      </w:r>
      <w:r>
        <w:rPr>
          <w:rStyle w:val="FootnoteReference"/>
          <w:rFonts w:ascii="Times New Roman" w:eastAsia="Times New Roman" w:hAnsi="Times New Roman" w:cs="Times New Roman"/>
          <w:noProof/>
          <w:sz w:val="24"/>
          <w:szCs w:val="24"/>
        </w:rPr>
        <w:footnoteReference w:id="112"/>
      </w:r>
      <w:r>
        <w:rPr>
          <w:rFonts w:ascii="Times New Roman" w:eastAsia="Times New Roman" w:hAnsi="Times New Roman" w:cs="Times New Roman"/>
          <w:noProof/>
          <w:sz w:val="24"/>
          <w:szCs w:val="24"/>
        </w:rPr>
        <w:t xml:space="preserve"> accompanying the 2030 Climate Target Plan projects carbon prices for the ETS sector (including the maritime sector) in the range of 32 to 65 €/tCO2, to cut the economy-wide GHG emissions by at least 55% by 2030. The EU ETS is therefore unlikely, by itself, to drive RLF uptake in the medium-term.</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As a result, while carbon pricing would promote a reduction of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emissions in all sectors where it applies, it is likely that interventions in the maritime sector would concentrate initially only on energy efficiency improvements, without determining any significant modification of the fuel mix. This is a problem because, in addition to the cost elements, the introduction of the new fuels is also hampered by the complexities and the long lead times required by the extra coordination of fuel supply and distribution (including the deployment of the specific infrastructure when necessary). Whereas most energy efficiency measures can be implemented by individual operators – via operational measures, retrofitting or technical specifications of new vessels – the uptake of alternative fuels is more complex and typically outside the control of the single operator.</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simplest case is the use of drop-in low and zero-carbon sustainable fuels, as these can virtually be used in current machinery on-board and taking advantage of the existing infrastructure. However, this requires sufficient levels of production and availability in ports that would have to be triggered by predictable demand. Other technologies like hydrogen or ammonia are even more complex, as they would in principle require dedicated infrastructure for distribution, safety certification, and new bunkering protocols, in addition to technical adaptation of vessels and sufficient production from renewable sources.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Accordingly, the marginal abatement cost curve in the maritime sector is not likely to be smooth and allow a gradual uptake of abatement options in line with the evolution of the carbon price. On the contrary, the risk is that once the energy efficiency options have been exploited, the uptake of fuel technologies would require considerable time, before reaching sufficient levels, had it not been prepared in advance. For this reason, while ETS has other advantages such as facilitating emission reductions in a cost-effective manner across sectors, it has been identified as a desirable complementary measure, but not one sufficient to address all the problems identified in this impact assessment, focused on the insufficient penetration of RLF in the maritime fuel mix. A dedicated policy intervention, such as the one proposed under FuelEU Maritime is expected to establish the necessary conditions for lead markets to start emerging as rapidly as possible and to support the deployment of  new fuel technologies to deliver on the post-2030 climate objectives.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On the other hand, the present initiative does not weaken the case for the inclusion of maritime transport in the ETS. Carbon pricing will render profitable certain measures and investments in energy efficiency which are not targeted by fuel mandates and will also contribute to reducing the price gap between fossil fuels and RLF. More importantly, the ETS ensures that all the sectors comprised in the system respect, as a whole, the total cap on emissions. This means that any departure of individual sectors from the intended sectoral emission abatement target – which could result from a variety of factors, including unrealised expectations on the level of economic activity or the effectiveness of policy measures – will find automatic compensation via adjustments of the carbon price. In other words, independently on the level of emission reductions that can be attributed to the ETS or to other interventions, ETS has an important role in ensuring overall consistency and climate integrity of the policy framework. Last but not least, ETS revenues could also be used in support of a higher penetration of RLF by using available budget from the Innovation Fund to bring to the market innovative industrial solutions to decarbonise the EU and support its transition to climate neutrality.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Besides ETS, energy taxation can also have an impact on the relative price of RLF and influence the demand for fuels. The review of the ETD will result in an increased cost of conventional fuels, but as in the case of ETS, the price increase would have to be substantial in order to render profitable the use of RLF. To give an example, a tax rate of at least 550 EUR/1000 litres for diesel, coupled with a tax exemption for RLF, would be needed to make the latter fuels competitive. The ETD has also the additional problem that ships can easily circumvent its provisions by bunkering outside the EU, especially if high tax rates are put in place to bridge the price gap. In any event, the ETD remains a taxation instrument whose primary goal is revenue collection; while it can have incentive effects for RLF, it cannot be fine-tuned to the exclusive needs of RLF promotion in the maritime sector.</w:t>
      </w:r>
    </w:p>
    <w:p>
      <w:pPr>
        <w:pStyle w:val="Heading3"/>
        <w:rPr>
          <w:noProof/>
          <w:lang w:val="en-IE"/>
        </w:rPr>
      </w:pPr>
      <w:bookmarkStart w:id="220" w:name="_Toc63426136"/>
      <w:bookmarkStart w:id="221" w:name="_Toc63438482"/>
      <w:r>
        <w:rPr>
          <w:noProof/>
          <w:lang w:val="en-IE"/>
        </w:rPr>
        <w:t>A standard for carbon intensity of maritime operations (limit for CO2 emissions per tonne-nautical mile)</w:t>
      </w:r>
      <w:bookmarkEnd w:id="220"/>
      <w:bookmarkEnd w:id="221"/>
      <w:r>
        <w:rPr>
          <w:noProof/>
          <w:lang w:val="en-IE"/>
        </w:rPr>
        <w:t xml:space="preserv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response to the public consultation, some stakeholders have argued in favour of setting a standard for the carbon intensity of maritime operations.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line with the MRV Regulation, the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emissions of the ships (and hence the carbon intensity of operations if this figure is made relative to distance / tonnes of cargo carried) is the product of the amount of fuel consumed multiplied by the emission factor of the given fuel. The first term of this equation relates to the amount of energy used while the second focuses on the carbon intensity of the energy.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other words, maritime operators would have to reduce their emissions per unit of ‘transport work’ (e.g. expressed in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per tonne-nautical-mile) and could do so by improving their energy efficiency (first term), by using energy with lower carbon content (second term), or via a combination of the two (both terms).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Similarly to the case of carbon pricing, this approach is expected to have only a very limited impact on the uptake of RLF in the short term as the market actors would first favour solutions with lower marginal abatement costs and less complexities in terms of introduction (no coordination of actors, etc.). As in the case of carbon pricing (e.g. ETS), this instrument could be considered as a solution to other market failures, but not to the problems highlighted in this impact assessment, in terms of the insufficient penetration of RLF in the maritime fuel mix and the need to prepare their uptake in advance.</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Building on this policy option, a possible alternative would be to establish sub-targets for each term of the equation. In this case, establishing a carbon intensity limit for the energy used is actually comparable to the PO2 and PO3 described in Section 5.2.1. While improving energy efficiency of maritime transport will be an essential instrument to decarbonise the sector, their impact on RLF uptake is expected to be more modest. For this reason, the introduction of additional targets on energy efficiency have not been assessed in greater details in the context of this initiative.</w:t>
      </w:r>
    </w:p>
    <w:p>
      <w:pPr>
        <w:pStyle w:val="Heading3"/>
        <w:rPr>
          <w:noProof/>
          <w:lang w:val="en-IE"/>
        </w:rPr>
      </w:pPr>
      <w:bookmarkStart w:id="222" w:name="_Toc63426137"/>
      <w:bookmarkStart w:id="223" w:name="_Ref63435391"/>
      <w:bookmarkStart w:id="224" w:name="_Ref63435726"/>
      <w:bookmarkStart w:id="225" w:name="_Toc63438483"/>
      <w:r>
        <w:rPr>
          <w:noProof/>
          <w:lang w:val="en-IE"/>
        </w:rPr>
        <w:t>Revision of other relevant legal instruments (AFID and RED II)</w:t>
      </w:r>
      <w:bookmarkEnd w:id="222"/>
      <w:bookmarkEnd w:id="223"/>
      <w:bookmarkEnd w:id="224"/>
      <w:bookmarkEnd w:id="225"/>
      <w:r>
        <w:rPr>
          <w:noProof/>
          <w:lang w:val="en-IE"/>
        </w:rPr>
        <w:t xml:space="preserv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One aspect that has been also considered is whether the problem drivers identified in this report could be addressed via the revision of AFID and the RED II (cf. Section 1.2).</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Both are directives addressed at Members States, to promote, in the case of AFID, the provision of infrastructure for use of alternative fuels, and, in the case of RED II (for the part related to the transport sector), to set obligations on fuel suppliers to ensure a certain share of renewable energy in final consumption. By not addressing demand, these tools would not solve the carbon leakage issue. For example, even if obligations on suppliers resulted in RLF (or otherwise-defined complaint fuels) being the only fuels available in EU ports, vessels would retain the possibility to bunker conventional fuels outside the EU. In addition, RED II and AFID do not guarantee a level of demand that would justify investments in supply and distribution. This is also the reason why they did not succeed so far in promoting RLF in maritime.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One possibility would have been to modify the current approach in RED II and AFID and include an aspect of ‘maritime demand’ into those instruments. However, addressing vessels operators in RED II and AFID would have been quite complex from a legal drafting perspective because of the different addressees and the need to include a lot of specific provisions for maritime transport in horizontal instruments that cover the entire transport sector (and beyond for RED II). In both cases, the inclusion of provisions addressed to maritime operators would not have been in line with the general approach of these instruments, would have create unnecessary complexity, and would have run against the Commission’s better regulation principles. Moreover, the two directives could be implemented differently by the various Member States, which could be problematic for a sector with a strong international connotation as maritime.</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conclusion that the revision of RED II and AFID is capable, on its own, to address all the problems identified in this report should not overshadow the important role of these instruments in ensuring the overall goal of promoting use of RLF, also in the maritime sector. Very important complementarities exist between demand, supply and distribution of RLF, and if one of these three components is not adequately developed, the overall goal of promoting use of RLF would be compromised. Indeed, the lack of sufficient demand can be held responsible for the extremely limited impact that RED II and AFID have had in the maritime sector until now. A proposal that targets demand can make the difference, since it is more likely that market players on the supply-side accommodate developments in demand, rather than demand be created by the supply of (more expensive) RLF. Nevertheless, the revised RED II and AFID is necessary to correct any market failures that exist on the side of RLF supply and distribution.</w:t>
      </w:r>
    </w:p>
    <w:p>
      <w:pPr>
        <w:pStyle w:val="Heading2"/>
        <w:rPr>
          <w:noProof/>
        </w:rPr>
      </w:pPr>
      <w:bookmarkStart w:id="226" w:name="_Ref63415580"/>
      <w:bookmarkStart w:id="227" w:name="_Toc63426138"/>
      <w:bookmarkStart w:id="228" w:name="_Toc63438484"/>
      <w:r>
        <w:rPr>
          <w:noProof/>
          <w:szCs w:val="24"/>
          <w:lang w:val="en-IE"/>
        </w:rPr>
        <w:t>Feasibility of alternative pathways for the uptake of RLF</w:t>
      </w:r>
      <w:bookmarkEnd w:id="226"/>
      <w:bookmarkEnd w:id="227"/>
      <w:bookmarkEnd w:id="228"/>
    </w:p>
    <w:p>
      <w:pPr>
        <w:spacing w:after="120"/>
        <w:jc w:val="both"/>
        <w:rPr>
          <w:rFonts w:ascii="Times New Roman" w:hAnsi="Times New Roman" w:cs="Times New Roman"/>
          <w:noProof/>
          <w:sz w:val="24"/>
          <w:szCs w:val="24"/>
        </w:rPr>
      </w:pPr>
      <w:r>
        <w:rPr>
          <w:rFonts w:ascii="Times New Roman" w:eastAsia="Times New Roman" w:hAnsi="Times New Roman" w:cs="Times New Roman"/>
          <w:noProof/>
          <w:sz w:val="24"/>
          <w:szCs w:val="24"/>
        </w:rPr>
        <w:t xml:space="preserve">As explained in Section 1.5, the trajectory for the uptake of RLF in PO1 has been based on the </w:t>
      </w:r>
      <w:r>
        <w:rPr>
          <w:rFonts w:ascii="Times New Roman" w:hAnsi="Times New Roman" w:cs="Times New Roman"/>
          <w:noProof/>
          <w:sz w:val="24"/>
          <w:szCs w:val="24"/>
        </w:rPr>
        <w:t xml:space="preserve">common economic assessment underpinning the 2030 Climate Target Plan and the Sustainable and Smart Mobility Strategy while considering a combination of carbon pricing and medium intensification of regulatory measures in all sectors of the economy. It has been derived in a way that enables kick starting the scale-up of RLF in the international maritime sector from 2025 onwards and their large scale deployment by 2050, while ensuring the consistency with the required overall GHG emissions reductions by 2030 and 2050, preserving the competitiveness of the sector, promoting innovation, and ensuring feedstock availability for renewable and low carbon fuels in all energy and transport sectors in the transition towards a climate neutral economy. An update of the pathway/scenario focusing on a combination of carbon pricing and medium intensification of regulatory measures in all sectors of the economy for the purpose of the ‘Fit for 55’ package, while also reflecting the COVID-19 pandemics, the National Energy and Climate Plans and refining the policy design of the initiatives, confirms that international maritime sector effectively contributes to the EU climate goals while considering the RLF trajectory in PO1. As further explained in Section 5.2.1, PO2 and PO3 have defined in such way to ensure comparable well to wake GHG emissions reductions as PO1. This approach preserves the consistency with the EU climate objectives for 2030 and 2050 in all policy options.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As regards the possible impact of fuel mandates on the ETS system, the analysis above suggests that abating emissions via use of clean energy comes at a higher cost than the ETS carbon price. The implication is that in the presence of fuel mandates the maritime sector would reduce its emissions – and thus its demand for ETS allowances – to a greater extent than otherwise. As explained in Section 1.5, the economic assessment taken as reference for the definition of the policy options in this report simulates the joint operation of a fuel mandate and ETS. If the fuel mandate is removed (or set at a lower level of ambition), the result in the short and medium term would be an upward shift in the overall demand for allowances, a correspondingly higher carbon price, and a shift in emission cuts from the maritime sector to other ETS sectors. In the longer term, the postponement in the deployment and adoption of RLF technologies would lead to higher abatement costs and a higher carbon price imposed on the economy. This is explained in more detail below. </w:t>
      </w:r>
    </w:p>
    <w:p>
      <w:pPr>
        <w:spacing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A somewhat lower RLF uptake by 2030 would be possible, but the lower RLF uptake is expected to push the price of the EU ETS allowances upwards. In this case, the impacts on emissions reductions in the maritime sector by 2030 would be more limited, while somewhat higher emissions reductions would take place in other sectors. At the same time, with a lower RLF uptake by 2030, the build-up of RLF capacities could be delayed, due to path dependency effects, diverting them (i.e. advanced biofuels, e-fuels) towards the road transport sector, where more promising options (like for example large scale electrification) are available. </w:t>
      </w:r>
      <w:r>
        <w:rPr>
          <w:rFonts w:ascii="Times New Roman" w:hAnsi="Times New Roman" w:cs="Times New Roman"/>
          <w:noProof/>
          <w:sz w:val="24"/>
          <w:szCs w:val="24"/>
        </w:rPr>
        <w:t xml:space="preserve">Post-2030, a steeper trajectory for the reduction in the maritime transport emissions would be needed to contribute towards EU climate neutral economy by 2050. This would require a steep build-up of RLF production capacities, starting from a low base and under a limited time horizon, which may not be feasible. It may  require substantially higher effort when approaching 2050. The latter could result in steep reductions in maritime transport activity, with negative consequences on </w:t>
      </w:r>
      <w:r>
        <w:rPr>
          <w:rFonts w:ascii="Times New Roman" w:eastAsia="Times New Roman" w:hAnsi="Times New Roman" w:cs="Times New Roman"/>
          <w:noProof/>
          <w:sz w:val="24"/>
          <w:szCs w:val="24"/>
          <w:lang w:eastAsia="en-GB"/>
        </w:rPr>
        <w:t>jobs in the sector, connectivity, as well as growth of businesses and regions.</w:t>
      </w:r>
    </w:p>
    <w:p>
      <w:pPr>
        <w:spacing w:after="1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A somewhat higher RLF uptake by 2030 would also be possible. The higher RLF uptake is expected to push to some extent the price of the EU ETS allowances downwards and to require less emissions reduction efforts in other sectors. Yet, a higher RLF by 2030 would lead to a higher increase in the freight rates than in the central trajectory, with impacts on </w:t>
      </w:r>
      <w:r>
        <w:rPr>
          <w:rFonts w:ascii="Times New Roman" w:eastAsia="Times New Roman" w:hAnsi="Times New Roman" w:cs="Times New Roman"/>
          <w:noProof/>
          <w:sz w:val="24"/>
          <w:szCs w:val="24"/>
          <w:lang w:eastAsia="en-GB"/>
        </w:rPr>
        <w:t>growth of businesses and regions</w:t>
      </w:r>
      <w:r>
        <w:rPr>
          <w:rFonts w:ascii="Times New Roman" w:eastAsia="Times New Roman" w:hAnsi="Times New Roman" w:cs="Times New Roman"/>
          <w:noProof/>
          <w:sz w:val="24"/>
          <w:szCs w:val="24"/>
        </w:rPr>
        <w:t xml:space="preserve">, while more options for emissions reduction would be available in other sectors at lower costs. At the same time, some advanced biofuels would still be required in the road transport sector by 2030 considering that the electrification of the sector takes time due to the gradual replacement of the vehicle fleet. The higher RLF uptake may intensify the competition for biomass feedstock with other transport and energy sectors, pushing the feedstock prices further up. Post-2030, continuing the central RLF uptake trajectory would ensure the required contribution towards the climate neutrality by 2050. </w:t>
      </w:r>
    </w:p>
    <w:p>
      <w:pPr>
        <w:jc w:val="both"/>
        <w:rPr>
          <w:rFonts w:ascii="Times New Roman" w:hAnsi="Times New Roman" w:cs="Times New Roman"/>
          <w:noProof/>
          <w:sz w:val="24"/>
          <w:szCs w:val="24"/>
        </w:rPr>
      </w:pPr>
      <w:r>
        <w:rPr>
          <w:rFonts w:ascii="Times New Roman" w:eastAsia="Times New Roman" w:hAnsi="Times New Roman" w:cs="Times New Roman"/>
          <w:noProof/>
          <w:sz w:val="24"/>
          <w:szCs w:val="24"/>
        </w:rPr>
        <w:t xml:space="preserve">Overall, as explained in Section 1.5, a range of 6 to 9% for the share of RLF in the international maritime fuel mix is feasible by 2030, while keeping in mind the considerations above. The possibilities of lower or higher RLF uptake post-2030 are more limited </w:t>
      </w:r>
      <w:r>
        <w:rPr>
          <w:rFonts w:ascii="Times New Roman" w:hAnsi="Times New Roman" w:cs="Times New Roman"/>
          <w:noProof/>
          <w:sz w:val="24"/>
          <w:szCs w:val="24"/>
        </w:rPr>
        <w:t xml:space="preserve">while ensuring the consistency with the required overall GHG emissions reductions by 2050, preserving the competitiveness of the sector, promoting innovation, and ensuring feedstock availability for renewable and low carbon fuels in all energy and transport sectors in the transition towards a climate neutral economy. This assessment takes into account the current knowledge related to the possible evolution of technology costs and feedstock costs. If higher decrease in these costs would materialise in the future, higher RLF could be possible post-2030. On the other hand, lower uptake post-2030 may require substantially higher effort when approaching 2050, with the associated risks explained above.  </w:t>
      </w:r>
    </w:p>
    <w:p>
      <w:pPr>
        <w:pStyle w:val="Heading1"/>
        <w:rPr>
          <w:noProof/>
        </w:rPr>
      </w:pPr>
      <w:bookmarkStart w:id="229" w:name="_Toc49520300"/>
      <w:bookmarkStart w:id="230" w:name="_Toc57907292"/>
      <w:bookmarkStart w:id="231" w:name="_Toc59152626"/>
      <w:bookmarkStart w:id="232" w:name="_Toc63426139"/>
      <w:bookmarkStart w:id="233" w:name="_Ref63437904"/>
      <w:bookmarkStart w:id="234" w:name="_Toc63438485"/>
      <w:r>
        <w:rPr>
          <w:noProof/>
        </w:rPr>
        <w:t>What are the impacts of the policy options?</w:t>
      </w:r>
      <w:bookmarkEnd w:id="229"/>
      <w:bookmarkEnd w:id="230"/>
      <w:bookmarkEnd w:id="231"/>
      <w:bookmarkEnd w:id="232"/>
      <w:bookmarkEnd w:id="233"/>
      <w:bookmarkEnd w:id="234"/>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This section summarizes the main expected economic, social and environmental impacts of each PO.</w:t>
      </w:r>
      <w:r>
        <w:rPr>
          <w:rFonts w:ascii="Times New Roman" w:hAnsi="Times New Roman" w:cs="Times New Roman"/>
          <w:noProof/>
          <w:sz w:val="24"/>
          <w:szCs w:val="24"/>
          <w:vertAlign w:val="superscript"/>
          <w:lang w:val="en-IE"/>
        </w:rPr>
        <w:footnoteReference w:id="113"/>
      </w:r>
      <w:r>
        <w:rPr>
          <w:rFonts w:ascii="Times New Roman" w:hAnsi="Times New Roman" w:cs="Times New Roman"/>
          <w:noProof/>
          <w:sz w:val="24"/>
          <w:szCs w:val="24"/>
          <w:lang w:val="en-IE"/>
        </w:rPr>
        <w:t xml:space="preserve"> This analysis does not only focus on the impacts expected for the ship operators but also consider them for the maritime cluster at large, including ports (particularly given the need for potential specific infrastructure deployment), technology providers and shipbuilders as well as fuel suppliers.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terms of time horizon, the assessment has been undertaken for the 2025-2050 period (in five-year steps). The measures that are part of the POs are assumed to be implemented from 2025 onwards. This long term perspective is particularly important as the penetration of RLF requires a long period for building RLF production and distribution capacity.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analysis presented in this section covers the EU27 scope. Costs and benefits are expressed as present value using a 4% discount rate. While the results presented in this section concern the impacts of the POs over the 2025-2050 period, it is important to remind that the costs and benefits will be spread out over time due to the </w:t>
      </w:r>
      <w:r>
        <w:rPr>
          <w:rFonts w:ascii="Times New Roman" w:hAnsi="Times New Roman" w:cs="Times New Roman"/>
          <w:i/>
          <w:noProof/>
          <w:sz w:val="24"/>
          <w:szCs w:val="24"/>
          <w:lang w:val="en-IE"/>
        </w:rPr>
        <w:t>gradual</w:t>
      </w:r>
      <w:r>
        <w:rPr>
          <w:rFonts w:ascii="Times New Roman" w:hAnsi="Times New Roman" w:cs="Times New Roman"/>
          <w:noProof/>
          <w:sz w:val="24"/>
          <w:szCs w:val="24"/>
          <w:lang w:val="en-IE"/>
        </w:rPr>
        <w:t xml:space="preserve"> strengthening of the regulatory targets. More details on the modelling exercise, including the possible limitations and uncertainties, are provided in Annex 4. </w:t>
      </w:r>
    </w:p>
    <w:p>
      <w:pPr>
        <w:pStyle w:val="Heading2"/>
        <w:rPr>
          <w:noProof/>
        </w:rPr>
      </w:pPr>
      <w:bookmarkStart w:id="235" w:name="_Toc57907293"/>
      <w:bookmarkStart w:id="236" w:name="_Toc59152627"/>
      <w:bookmarkStart w:id="237" w:name="_Toc63426140"/>
      <w:bookmarkStart w:id="238" w:name="_Toc63438486"/>
      <w:r>
        <w:rPr>
          <w:noProof/>
        </w:rPr>
        <w:t>Economic impacts</w:t>
      </w:r>
      <w:bookmarkEnd w:id="235"/>
      <w:bookmarkEnd w:id="236"/>
      <w:bookmarkEnd w:id="237"/>
      <w:bookmarkEnd w:id="238"/>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Different aspects have been analysed to determine the economic impacts of each of the POs. These concern: the impacts on ship operators, the impacts on RLF prices, feedstocks and renewable electricity needs, the regulatory costs for economic actors, the costs related to enforcement, the impacts on ports to provide the necessary infrastructure, the impact on the EU maritime cluster and the impact on third countries. </w:t>
      </w:r>
    </w:p>
    <w:p>
      <w:pPr>
        <w:pStyle w:val="Heading3"/>
        <w:rPr>
          <w:noProof/>
        </w:rPr>
      </w:pPr>
      <w:bookmarkStart w:id="239" w:name="_Toc57907294"/>
      <w:bookmarkStart w:id="240" w:name="_Toc59152628"/>
      <w:bookmarkStart w:id="241" w:name="_Toc63426141"/>
      <w:bookmarkStart w:id="242" w:name="_Ref63435984"/>
      <w:bookmarkStart w:id="243" w:name="_Ref63436229"/>
      <w:bookmarkStart w:id="244" w:name="_Ref63436769"/>
      <w:bookmarkStart w:id="245" w:name="_Ref63436901"/>
      <w:bookmarkStart w:id="246" w:name="_Ref63437051"/>
      <w:bookmarkStart w:id="247" w:name="_Toc63438487"/>
      <w:r>
        <w:rPr>
          <w:noProof/>
        </w:rPr>
        <w:t xml:space="preserve">Impacts on </w:t>
      </w:r>
      <w:bookmarkEnd w:id="239"/>
      <w:r>
        <w:rPr>
          <w:noProof/>
        </w:rPr>
        <w:t>ship operators</w:t>
      </w:r>
      <w:bookmarkEnd w:id="240"/>
      <w:bookmarkEnd w:id="241"/>
      <w:bookmarkEnd w:id="242"/>
      <w:bookmarkEnd w:id="243"/>
      <w:bookmarkEnd w:id="244"/>
      <w:bookmarkEnd w:id="245"/>
      <w:bookmarkEnd w:id="246"/>
      <w:bookmarkEnd w:id="247"/>
    </w:p>
    <w:p>
      <w:pPr>
        <w:spacing w:after="120"/>
        <w:jc w:val="both"/>
        <w:rPr>
          <w:rFonts w:ascii="Times New Roman" w:hAnsi="Times New Roman" w:cs="Times New Roman"/>
          <w:noProof/>
          <w:sz w:val="24"/>
          <w:szCs w:val="24"/>
          <w:lang w:val="en-IE"/>
        </w:rPr>
      </w:pPr>
      <w:r>
        <w:rPr>
          <w:rFonts w:ascii="Times New Roman" w:hAnsi="Times New Roman" w:cs="Times New Roman"/>
          <w:b/>
          <w:noProof/>
          <w:sz w:val="24"/>
          <w:szCs w:val="24"/>
          <w:lang w:val="en-IE"/>
        </w:rPr>
        <w:t xml:space="preserve">Impacts on the fuel mix used by ship operators: </w:t>
      </w:r>
      <w:r>
        <w:rPr>
          <w:rFonts w:ascii="Times New Roman" w:hAnsi="Times New Roman" w:cs="Times New Roman"/>
          <w:noProof/>
          <w:sz w:val="24"/>
          <w:szCs w:val="24"/>
          <w:lang w:val="en-IE"/>
        </w:rPr>
        <w:t xml:space="preserve">The direct impact of the assessed POs will be the increased share of RLF in the overall maritime energy mix.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_Ref63433859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2</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presents the evolution of this share for each of the PO and the baseline for two specific target years: 2030 and 2050. It also presents a breakdown by type of RLF uptake corresponding to each PO. </w:t>
      </w:r>
    </w:p>
    <w:p>
      <w:pPr>
        <w:pStyle w:val="Caption"/>
        <w:spacing w:after="120"/>
        <w:rPr>
          <w:noProof/>
        </w:rPr>
      </w:pPr>
      <w:bookmarkStart w:id="248" w:name="_Ref63294007"/>
      <w:bookmarkStart w:id="249" w:name="_Ref63433859"/>
      <w:r>
        <w:rPr>
          <w:noProof/>
        </w:rPr>
        <w:t xml:space="preserve">Table </w:t>
      </w:r>
      <w:bookmarkEnd w:id="248"/>
      <w:r>
        <w:rPr>
          <w:noProof/>
        </w:rPr>
        <w:fldChar w:fldCharType="begin"/>
      </w:r>
      <w:r>
        <w:rPr>
          <w:noProof/>
        </w:rPr>
        <w:instrText xml:space="preserve"> SEQ Table \* ARABIC </w:instrText>
      </w:r>
      <w:r>
        <w:rPr>
          <w:noProof/>
        </w:rPr>
        <w:fldChar w:fldCharType="separate"/>
      </w:r>
      <w:r>
        <w:rPr>
          <w:noProof/>
        </w:rPr>
        <w:t>2</w:t>
      </w:r>
      <w:r>
        <w:rPr>
          <w:noProof/>
        </w:rPr>
        <w:fldChar w:fldCharType="end"/>
      </w:r>
      <w:bookmarkEnd w:id="249"/>
      <w:r>
        <w:rPr>
          <w:noProof/>
        </w:rPr>
        <w:t xml:space="preserve"> Share of renewable and low carbon fuels in maritime energy use in navigation and at berth </w:t>
      </w:r>
    </w:p>
    <w:tbl>
      <w:tblPr>
        <w:tblW w:w="5000" w:type="pct"/>
        <w:tblCellMar>
          <w:left w:w="70" w:type="dxa"/>
          <w:right w:w="70" w:type="dxa"/>
        </w:tblCellMar>
        <w:tblLook w:val="04A0" w:firstRow="1" w:lastRow="0" w:firstColumn="1" w:lastColumn="0" w:noHBand="0" w:noVBand="1"/>
      </w:tblPr>
      <w:tblGrid>
        <w:gridCol w:w="2704"/>
        <w:gridCol w:w="717"/>
        <w:gridCol w:w="718"/>
        <w:gridCol w:w="718"/>
        <w:gridCol w:w="878"/>
        <w:gridCol w:w="718"/>
        <w:gridCol w:w="878"/>
        <w:gridCol w:w="718"/>
        <w:gridCol w:w="878"/>
      </w:tblGrid>
      <w:tr>
        <w:trPr>
          <w:trHeight w:val="225"/>
          <w:tblHeader/>
        </w:trPr>
        <w:tc>
          <w:tcPr>
            <w:tcW w:w="1514" w:type="pct"/>
            <w:vMerge w:val="restart"/>
            <w:tcBorders>
              <w:top w:val="single" w:sz="4" w:space="0" w:color="auto"/>
              <w:left w:val="single" w:sz="4" w:space="0" w:color="auto"/>
              <w:bottom w:val="single" w:sz="4" w:space="0" w:color="auto"/>
              <w:right w:val="single" w:sz="4" w:space="0" w:color="auto"/>
            </w:tcBorders>
            <w:shd w:val="clear" w:color="000000" w:fill="FFFFFF"/>
            <w:hideMark/>
          </w:tcPr>
          <w:p>
            <w:pPr>
              <w:rPr>
                <w:rFonts w:ascii="Times New Roman" w:eastAsia="Times New Roman" w:hAnsi="Times New Roman" w:cs="Times New Roman"/>
                <w:b/>
                <w:bCs/>
                <w:noProof/>
                <w:sz w:val="18"/>
                <w:szCs w:val="16"/>
                <w:lang w:val="en-IE" w:eastAsia="fr-BE"/>
              </w:rPr>
            </w:pPr>
            <w:r>
              <w:rPr>
                <w:rFonts w:ascii="Times New Roman" w:eastAsia="Times New Roman" w:hAnsi="Times New Roman" w:cs="Times New Roman"/>
                <w:b/>
                <w:bCs/>
                <w:noProof/>
                <w:sz w:val="18"/>
                <w:szCs w:val="16"/>
                <w:lang w:val="en-IE" w:eastAsia="fr-BE"/>
              </w:rPr>
              <w:t>Share of renewable and low carbon fuels in maritime energy use (in %)</w:t>
            </w:r>
          </w:p>
        </w:tc>
        <w:tc>
          <w:tcPr>
            <w:tcW w:w="803" w:type="pct"/>
            <w:gridSpan w:val="2"/>
            <w:tcBorders>
              <w:top w:val="single" w:sz="4" w:space="0" w:color="auto"/>
              <w:left w:val="nil"/>
              <w:bottom w:val="single" w:sz="4" w:space="0" w:color="auto"/>
              <w:right w:val="single" w:sz="4" w:space="0" w:color="auto"/>
            </w:tcBorders>
            <w:shd w:val="clear" w:color="000000" w:fill="FFFFFF"/>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Baseline</w:t>
            </w:r>
          </w:p>
        </w:tc>
        <w:tc>
          <w:tcPr>
            <w:tcW w:w="894" w:type="pct"/>
            <w:gridSpan w:val="2"/>
            <w:tcBorders>
              <w:top w:val="single" w:sz="4" w:space="0" w:color="auto"/>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PO1</w:t>
            </w:r>
          </w:p>
        </w:tc>
        <w:tc>
          <w:tcPr>
            <w:tcW w:w="894" w:type="pct"/>
            <w:gridSpan w:val="2"/>
            <w:tcBorders>
              <w:top w:val="single" w:sz="4" w:space="0" w:color="auto"/>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PO2</w:t>
            </w:r>
          </w:p>
        </w:tc>
        <w:tc>
          <w:tcPr>
            <w:tcW w:w="894" w:type="pct"/>
            <w:gridSpan w:val="2"/>
            <w:tcBorders>
              <w:top w:val="single" w:sz="4" w:space="0" w:color="auto"/>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PO3</w:t>
            </w:r>
          </w:p>
        </w:tc>
      </w:tr>
      <w:tr>
        <w:trPr>
          <w:trHeight w:val="525"/>
          <w:tblHeader/>
        </w:trPr>
        <w:tc>
          <w:tcPr>
            <w:tcW w:w="1514" w:type="pct"/>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b/>
                <w:bCs/>
                <w:noProof/>
                <w:sz w:val="18"/>
                <w:szCs w:val="16"/>
                <w:lang w:val="fr-BE" w:eastAsia="fr-BE"/>
              </w:rPr>
            </w:pPr>
          </w:p>
        </w:tc>
        <w:tc>
          <w:tcPr>
            <w:tcW w:w="401"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2030</w:t>
            </w:r>
          </w:p>
        </w:tc>
        <w:tc>
          <w:tcPr>
            <w:tcW w:w="402" w:type="pct"/>
            <w:tcBorders>
              <w:top w:val="nil"/>
              <w:left w:val="single" w:sz="4" w:space="0" w:color="auto"/>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2050</w:t>
            </w:r>
          </w:p>
        </w:tc>
        <w:tc>
          <w:tcPr>
            <w:tcW w:w="40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2030</w:t>
            </w:r>
          </w:p>
        </w:tc>
        <w:tc>
          <w:tcPr>
            <w:tcW w:w="49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2050</w:t>
            </w:r>
          </w:p>
        </w:tc>
        <w:tc>
          <w:tcPr>
            <w:tcW w:w="40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2030</w:t>
            </w:r>
          </w:p>
        </w:tc>
        <w:tc>
          <w:tcPr>
            <w:tcW w:w="49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2050</w:t>
            </w:r>
          </w:p>
        </w:tc>
        <w:tc>
          <w:tcPr>
            <w:tcW w:w="40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2030</w:t>
            </w:r>
          </w:p>
        </w:tc>
        <w:tc>
          <w:tcPr>
            <w:tcW w:w="49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2050</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Total</w:t>
            </w:r>
          </w:p>
        </w:tc>
        <w:tc>
          <w:tcPr>
            <w:tcW w:w="401"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0.3%</w:t>
            </w:r>
          </w:p>
        </w:tc>
        <w:tc>
          <w:tcPr>
            <w:tcW w:w="402"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1.4%</w:t>
            </w:r>
          </w:p>
        </w:tc>
        <w:tc>
          <w:tcPr>
            <w:tcW w:w="402"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8.6%</w:t>
            </w:r>
          </w:p>
        </w:tc>
        <w:tc>
          <w:tcPr>
            <w:tcW w:w="492"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86.9%</w:t>
            </w:r>
          </w:p>
        </w:tc>
        <w:tc>
          <w:tcPr>
            <w:tcW w:w="402"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8.6%</w:t>
            </w:r>
          </w:p>
        </w:tc>
        <w:tc>
          <w:tcPr>
            <w:tcW w:w="492"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89.5%</w:t>
            </w:r>
          </w:p>
        </w:tc>
        <w:tc>
          <w:tcPr>
            <w:tcW w:w="402"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8.6%</w:t>
            </w:r>
          </w:p>
        </w:tc>
        <w:tc>
          <w:tcPr>
            <w:tcW w:w="492" w:type="pct"/>
            <w:tcBorders>
              <w:top w:val="nil"/>
              <w:left w:val="nil"/>
              <w:bottom w:val="single" w:sz="4" w:space="0" w:color="auto"/>
              <w:right w:val="single" w:sz="4" w:space="0" w:color="auto"/>
            </w:tcBorders>
            <w:shd w:val="clear" w:color="000000" w:fill="FFFFFF"/>
            <w:noWrap/>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88.8%</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biofuels</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0.1%</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1.3%</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6.0%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39.0%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6.2%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47.8%</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6.1%</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42.4%</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bio-LNG</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14.2%</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16.8%</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15.4%</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e-liquids</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16.3%</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13.4%</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0.1%</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15.8%</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e-gas</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6.5%</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4.9%</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5.6%</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hydrogen</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7.9%</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4.8%</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7.2%</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ammonia</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0.5%</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0.2%</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0.4%</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methanol</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0.3%</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0.1%</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0.0%</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0.2%</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electricity</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0.1%</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0.1%</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1.3%</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2.1%</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1.4%</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1.9%</w:t>
            </w:r>
          </w:p>
        </w:tc>
      </w:tr>
      <w:tr>
        <w:trPr>
          <w:trHeight w:val="225"/>
        </w:trPr>
        <w:tc>
          <w:tcPr>
            <w:tcW w:w="1514"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200" w:firstLine="360"/>
              <w:rPr>
                <w:rFonts w:ascii="Times New Roman" w:eastAsia="Times New Roman" w:hAnsi="Times New Roman" w:cs="Times New Roman"/>
                <w:i/>
                <w:iCs/>
                <w:noProof/>
                <w:color w:val="000000"/>
                <w:sz w:val="18"/>
                <w:szCs w:val="16"/>
                <w:lang w:val="fr-BE" w:eastAsia="fr-BE"/>
              </w:rPr>
            </w:pPr>
            <w:r>
              <w:rPr>
                <w:rFonts w:ascii="Times New Roman" w:eastAsia="Times New Roman" w:hAnsi="Times New Roman" w:cs="Times New Roman"/>
                <w:i/>
                <w:iCs/>
                <w:noProof/>
                <w:color w:val="000000"/>
                <w:sz w:val="18"/>
                <w:szCs w:val="16"/>
                <w:lang w:val="fr-BE" w:eastAsia="fr-BE"/>
              </w:rPr>
              <w:t>of which at berth</w:t>
            </w:r>
          </w:p>
        </w:tc>
        <w:tc>
          <w:tcPr>
            <w:tcW w:w="40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0.1%</w:t>
            </w:r>
          </w:p>
        </w:tc>
        <w:tc>
          <w:tcPr>
            <w:tcW w:w="40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0.1%</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1.0%</w:t>
            </w:r>
          </w:p>
        </w:tc>
        <w:tc>
          <w:tcPr>
            <w:tcW w:w="40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1.2%</w:t>
            </w:r>
          </w:p>
        </w:tc>
        <w:tc>
          <w:tcPr>
            <w:tcW w:w="49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6"/>
                <w:lang w:val="fr-BE" w:eastAsia="fr-BE"/>
              </w:rPr>
            </w:pPr>
            <w:r>
              <w:rPr>
                <w:rFonts w:ascii="Times New Roman" w:eastAsia="Times New Roman" w:hAnsi="Times New Roman" w:cs="Times New Roman"/>
                <w:noProof/>
                <w:color w:val="000000"/>
                <w:sz w:val="18"/>
                <w:szCs w:val="16"/>
                <w:lang w:val="fr-BE" w:eastAsia="fr-BE"/>
              </w:rPr>
              <w:t>1.0%</w:t>
            </w:r>
          </w:p>
        </w:tc>
      </w:tr>
    </w:tbl>
    <w:p>
      <w:pPr>
        <w:pStyle w:val="bronvermelding"/>
        <w:rPr>
          <w:rFonts w:eastAsia="Arial" w:cs="Arial"/>
          <w:noProof/>
        </w:rPr>
      </w:pPr>
      <w:r>
        <w:rPr>
          <w:rFonts w:eastAsia="Arial" w:cs="Arial"/>
          <w:noProof/>
        </w:rPr>
        <w:t>Source: PRIMES-Maritime, E3Modelling; Note: hydrogen in this table covers both hydrogen used in fuel cell vessels and direct use of hydrogen.</w:t>
      </w:r>
    </w:p>
    <w:p>
      <w:pPr>
        <w:spacing w:before="24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These results indicate a number of important elements to take into account. The increased penetration of RLF in the maritime fuel mix will be gradual, with relatively modest shares by 2030 (i.e. around 3% of the fuel mix in 2025 and 8.6% in 2030 in all POs) and then an acceleration of the uptake by 2040 to reach around 87-89% of the total fuel mix by 2050. The overall shares of RLF in the fuel mix in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_Ref63433859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rPr>
        <w:t>Table 2</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also take into account the analysis of the OPS requirements at berth, which was not available at the time of the </w:t>
      </w:r>
      <w:r>
        <w:rPr>
          <w:rFonts w:ascii="Times New Roman" w:hAnsi="Times New Roman" w:cs="Times New Roman"/>
          <w:noProof/>
          <w:sz w:val="24"/>
          <w:szCs w:val="24"/>
        </w:rPr>
        <w:t>common economic assessment underpinning the 2030 Climate Target Plan and the Sustainable and Smart Mobility Strategy</w:t>
      </w:r>
      <w:r>
        <w:rPr>
          <w:rFonts w:ascii="Times New Roman" w:hAnsi="Times New Roman" w:cs="Times New Roman"/>
          <w:noProof/>
          <w:sz w:val="24"/>
          <w:szCs w:val="24"/>
          <w:lang w:val="en-IE"/>
        </w:rPr>
        <w:t xml:space="preserve">. Electricity used at berth is projected to represent 94-99% of the overall electricity used in the maritime sector in 2030 (94% in PO1, 99% in PO2 and 96% in PO3) and 46-75% in 2050 (46% in PO1, 75% in PO2 and 53% in PO3). </w:t>
      </w:r>
    </w:p>
    <w:p>
      <w:pPr>
        <w:spacing w:before="24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While the overall penetration rate is comparable in all three POs, due to the fact that by design they achieve similar reductions in the GHG emissions on well to wake basis, the type of RLF deployed diverge between them, in particular as time progresses and more technologies mature. </w:t>
      </w:r>
    </w:p>
    <w:p>
      <w:pPr>
        <w:spacing w:before="24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share of biofuels, which represent today the most cost-effective way to reduce the GHG intensity of the fuels, is the highest in PO2 (48% of the fuel mix by 2050), which remains fully goal-based with no incentive for overachievers. Bio-LNG uptake in the fuel mix also shows the largest share in PO2. In lack of any specific mandate (like in PO1) or a mechanism to reward the use of the most advanced technologies (like in PO3), PO2 therefore focusses mainly on the currently cheapest and most readily available technical solution. </w:t>
      </w:r>
    </w:p>
    <w:p>
      <w:pPr>
        <w:spacing w:before="24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PO1 results in higher shares of hydrogen-based fuels (e-fuels, hydrogen, ammonia and methanol) as well as electricity, due to constraints on the use of biofuels by design of the policy option and incentives for renewable fuels of non-biological origin (RFNBOs)</w:t>
      </w:r>
      <w:r>
        <w:rPr>
          <w:rStyle w:val="FootnoteReference"/>
          <w:rFonts w:ascii="Times New Roman" w:hAnsi="Times New Roman" w:cs="Times New Roman"/>
          <w:noProof/>
          <w:sz w:val="24"/>
          <w:szCs w:val="24"/>
          <w:lang w:val="en-IE"/>
        </w:rPr>
        <w:footnoteReference w:id="114"/>
      </w:r>
      <w:r>
        <w:rPr>
          <w:rFonts w:ascii="Times New Roman" w:hAnsi="Times New Roman" w:cs="Times New Roman"/>
          <w:noProof/>
          <w:sz w:val="24"/>
          <w:szCs w:val="24"/>
          <w:lang w:val="en-IE"/>
        </w:rPr>
        <w:t>. This reflects the regulator’s preference for hydrogen based fuels and for a wider availability of technological solutions and pathways to decarbonisation, which would alleviate pressure on feedstocks for advanced biofuels.</w:t>
      </w:r>
    </w:p>
    <w:p>
      <w:pPr>
        <w:spacing w:before="240"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PO3 is also based on a goal-based approach like PO2, but the share of hydrogen-based fuels and electricity is projected to be closer to that in PO1 as a result of the incentives given to over-achievers. Hydrogen-based fuels and electricity are projected to deliver 31% and 34% of the fuel mix in PO3 and PO1, respectively.</w:t>
      </w:r>
      <w:r>
        <w:rPr>
          <w:rStyle w:val="FootnoteReference"/>
          <w:rFonts w:ascii="Times New Roman" w:hAnsi="Times New Roman" w:cs="Times New Roman"/>
          <w:noProof/>
          <w:sz w:val="24"/>
          <w:szCs w:val="24"/>
          <w:lang w:val="en-IE"/>
        </w:rPr>
        <w:footnoteReference w:id="115"/>
      </w:r>
      <w:r>
        <w:rPr>
          <w:rFonts w:ascii="Times New Roman" w:hAnsi="Times New Roman" w:cs="Times New Roman"/>
          <w:noProof/>
          <w:sz w:val="24"/>
          <w:szCs w:val="24"/>
          <w:lang w:val="en-IE"/>
        </w:rPr>
        <w:t xml:space="preserve">  </w:t>
      </w:r>
    </w:p>
    <w:p>
      <w:pPr>
        <w:spacing w:after="120"/>
        <w:jc w:val="both"/>
        <w:rPr>
          <w:rFonts w:ascii="Times New Roman" w:hAnsi="Times New Roman" w:cs="Times New Roman"/>
          <w:noProof/>
          <w:sz w:val="24"/>
          <w:szCs w:val="24"/>
        </w:rPr>
      </w:pPr>
      <w:r>
        <w:rPr>
          <w:rFonts w:ascii="Times New Roman" w:hAnsi="Times New Roman" w:cs="Times New Roman"/>
          <w:b/>
          <w:noProof/>
          <w:sz w:val="24"/>
          <w:szCs w:val="24"/>
          <w:lang w:val="en-IE"/>
        </w:rPr>
        <w:t>Costs for ship operators:</w:t>
      </w:r>
      <w:r>
        <w:rPr>
          <w:rFonts w:ascii="Times New Roman" w:hAnsi="Times New Roman" w:cs="Times New Roman"/>
          <w:noProof/>
          <w:sz w:val="24"/>
          <w:szCs w:val="24"/>
          <w:lang w:val="en-IE"/>
        </w:rPr>
        <w:t xml:space="preserve"> </w:t>
      </w:r>
      <w:r>
        <w:rPr>
          <w:rFonts w:ascii="Times New Roman" w:hAnsi="Times New Roman" w:cs="Times New Roman"/>
          <w:noProof/>
          <w:sz w:val="24"/>
          <w:szCs w:val="24"/>
        </w:rPr>
        <w:t xml:space="preserve">The additional fuel costs relative to the baseline are the largest cost item resulting from the proposed intervention. The fuel choice resulting from each of the POs is also an important driver of the overall costs of the measure. PO2 shows the lowest additional capital and fuel costs relative to the baseline. This results directly from the highest share of drop-in fuels in the overall energy mix, and in particular biofuels. The use of these fuels does not require significant capital investment on the ships and is currently the cheapest available fuel alternative.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rPr>
        <w:t xml:space="preserve">PO3 and PO1 have higher additional costs relative to the baseline than PO2 as the share of </w:t>
      </w:r>
      <w:r>
        <w:rPr>
          <w:rFonts w:ascii="Times New Roman" w:hAnsi="Times New Roman" w:cs="Times New Roman"/>
          <w:noProof/>
          <w:sz w:val="24"/>
          <w:szCs w:val="24"/>
          <w:lang w:val="en-IE"/>
        </w:rPr>
        <w:t xml:space="preserve">hydrogen-based fuels (e-fuels, hydrogen and ammonia) and electricity increases. This concerns also the capital costs as specific propulsion systems (fuel cells and electric vessels), which are not compatible with current engines, are expected to be used in greater proportion.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Bearing in mind that the RLF penetration takes place gradually over time, fuel costs are projected to increase by 2.9-3.2% in 2030 relative to the baseline and total costs by 2.6-2.8%. The highest increase in the fuel and total costs would take place in PO1 and the lowest in PO2, with PO3 falling between the two.</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PO2 has also slightly higher additional capital costs for equipping vessels with OPS (€2.6bn expressed as present value over 2021-2050, relative to the baseline) than PO1 and PO3 (€2.5bn). That is due to the larger share of conventional engine ships in PO2</w:t>
      </w:r>
      <w:r>
        <w:rPr>
          <w:rStyle w:val="FootnoteReference"/>
          <w:rFonts w:ascii="Times New Roman" w:hAnsi="Times New Roman" w:cs="Times New Roman"/>
          <w:noProof/>
          <w:sz w:val="24"/>
          <w:szCs w:val="24"/>
          <w:lang w:val="en-IE"/>
        </w:rPr>
        <w:footnoteReference w:id="116"/>
      </w:r>
      <w:r>
        <w:rPr>
          <w:rFonts w:ascii="Times New Roman" w:hAnsi="Times New Roman" w:cs="Times New Roman"/>
          <w:noProof/>
          <w:sz w:val="24"/>
          <w:szCs w:val="24"/>
          <w:lang w:val="en-IE"/>
        </w:rPr>
        <w:t xml:space="preserve">, which provides fewer alternatives to the use of OPS in ports.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Finally, all POs also show a slight decline in operation costs (around 1% compared to the baseline), resulting from lower maintenance and crew costs driven by lower transport activity relative to the baseline. The costs in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_Ref63295752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rPr>
        <w:t>Table 3</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are presented as present value over the 2021-2050 time horizon.   </w:t>
      </w:r>
    </w:p>
    <w:p>
      <w:pPr>
        <w:pStyle w:val="Caption"/>
        <w:spacing w:after="120"/>
        <w:rPr>
          <w:rFonts w:ascii="Times New Roman" w:hAnsi="Times New Roman" w:cs="Times New Roman"/>
          <w:noProof/>
          <w:sz w:val="24"/>
          <w:szCs w:val="24"/>
          <w:lang w:val="en-IE"/>
        </w:rPr>
      </w:pPr>
      <w:bookmarkStart w:id="250" w:name="_Ref63295752"/>
      <w:r>
        <w:rPr>
          <w:noProof/>
        </w:rPr>
        <w:t xml:space="preserve">Table </w:t>
      </w:r>
      <w:r>
        <w:rPr>
          <w:noProof/>
        </w:rPr>
        <w:fldChar w:fldCharType="begin"/>
      </w:r>
      <w:r>
        <w:rPr>
          <w:noProof/>
        </w:rPr>
        <w:instrText xml:space="preserve"> SEQ Table \* ARABIC </w:instrText>
      </w:r>
      <w:r>
        <w:rPr>
          <w:noProof/>
        </w:rPr>
        <w:fldChar w:fldCharType="separate"/>
      </w:r>
      <w:r>
        <w:rPr>
          <w:noProof/>
        </w:rPr>
        <w:t>3</w:t>
      </w:r>
      <w:r>
        <w:rPr>
          <w:noProof/>
        </w:rPr>
        <w:fldChar w:fldCharType="end"/>
      </w:r>
      <w:bookmarkEnd w:id="250"/>
      <w:r>
        <w:rPr>
          <w:noProof/>
        </w:rPr>
        <w:t xml:space="preserve"> Total costs for ship operators compared to the baseline (present value over 2021-2050 horizon)</w:t>
      </w:r>
    </w:p>
    <w:tbl>
      <w:tblPr>
        <w:tblW w:w="5000" w:type="pct"/>
        <w:tblCellMar>
          <w:left w:w="70" w:type="dxa"/>
          <w:right w:w="70" w:type="dxa"/>
        </w:tblCellMar>
        <w:tblLook w:val="04A0" w:firstRow="1" w:lastRow="0" w:firstColumn="1" w:lastColumn="0" w:noHBand="0" w:noVBand="1"/>
      </w:tblPr>
      <w:tblGrid>
        <w:gridCol w:w="3834"/>
        <w:gridCol w:w="1460"/>
        <w:gridCol w:w="1211"/>
        <w:gridCol w:w="1211"/>
        <w:gridCol w:w="1211"/>
      </w:tblGrid>
      <w:tr>
        <w:trPr>
          <w:trHeight w:val="630"/>
        </w:trPr>
        <w:tc>
          <w:tcPr>
            <w:tcW w:w="2148" w:type="pct"/>
            <w:tcBorders>
              <w:top w:val="single" w:sz="4" w:space="0" w:color="auto"/>
              <w:left w:val="single" w:sz="4" w:space="0" w:color="auto"/>
              <w:bottom w:val="single" w:sz="4" w:space="0" w:color="auto"/>
              <w:right w:val="single" w:sz="4" w:space="0" w:color="auto"/>
            </w:tcBorders>
            <w:shd w:val="clear" w:color="000000" w:fill="FFFFFF"/>
            <w:vAlign w:val="center"/>
            <w:hideMark/>
          </w:tcPr>
          <w:p>
            <w:pPr>
              <w:spacing w:after="0" w:line="240" w:lineRule="auto"/>
              <w:rPr>
                <w:rFonts w:ascii="Times New Roman" w:eastAsia="Times New Roman" w:hAnsi="Times New Roman" w:cs="Times New Roman"/>
                <w:b/>
                <w:noProof/>
                <w:sz w:val="18"/>
                <w:szCs w:val="18"/>
                <w:lang w:val="en-IE" w:eastAsia="fr-BE"/>
              </w:rPr>
            </w:pPr>
            <w:r>
              <w:rPr>
                <w:rFonts w:ascii="Times New Roman" w:eastAsia="Times New Roman" w:hAnsi="Times New Roman" w:cs="Times New Roman"/>
                <w:b/>
                <w:noProof/>
                <w:sz w:val="18"/>
                <w:szCs w:val="18"/>
                <w:lang w:val="en-IE" w:eastAsia="fr-BE"/>
              </w:rPr>
              <w:t>Costs for ship operators - present value for 2021-2050  compared to Baseline (bil. €'2015)</w:t>
            </w:r>
          </w:p>
        </w:tc>
        <w:tc>
          <w:tcPr>
            <w:tcW w:w="818" w:type="pct"/>
            <w:tcBorders>
              <w:top w:val="single" w:sz="4" w:space="0" w:color="auto"/>
              <w:left w:val="nil"/>
              <w:bottom w:val="single" w:sz="4" w:space="0" w:color="auto"/>
              <w:right w:val="single" w:sz="4" w:space="0" w:color="auto"/>
            </w:tcBorders>
            <w:shd w:val="clear" w:color="000000" w:fill="FFFFFF"/>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Baseline (bil. €'2015)</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PO1</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PO2</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PO3</w:t>
            </w:r>
          </w:p>
        </w:tc>
      </w:tr>
      <w:tr>
        <w:trPr>
          <w:trHeight w:val="200"/>
        </w:trPr>
        <w:tc>
          <w:tcPr>
            <w:tcW w:w="214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Capital costs</w:t>
            </w:r>
          </w:p>
        </w:tc>
        <w:tc>
          <w:tcPr>
            <w:tcW w:w="81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428</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26.9</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22.9</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25.8</w:t>
            </w:r>
          </w:p>
        </w:tc>
      </w:tr>
      <w:tr>
        <w:trPr>
          <w:trHeight w:val="200"/>
        </w:trPr>
        <w:tc>
          <w:tcPr>
            <w:tcW w:w="2148" w:type="pct"/>
            <w:tcBorders>
              <w:top w:val="nil"/>
              <w:left w:val="single" w:sz="8" w:space="0" w:color="auto"/>
              <w:bottom w:val="nil"/>
              <w:right w:val="nil"/>
            </w:tcBorders>
            <w:shd w:val="clear" w:color="000000" w:fill="FFFFFF"/>
            <w:noWrap/>
            <w:hideMark/>
          </w:tcPr>
          <w:p>
            <w:pPr>
              <w:spacing w:after="0" w:line="240" w:lineRule="auto"/>
              <w:ind w:firstLineChars="200" w:firstLine="360"/>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of which for OPS on vessels</w:t>
            </w:r>
          </w:p>
        </w:tc>
        <w:tc>
          <w:tcPr>
            <w:tcW w:w="81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0.8</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2.5</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2.6</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2.5</w:t>
            </w:r>
          </w:p>
        </w:tc>
      </w:tr>
      <w:tr>
        <w:trPr>
          <w:trHeight w:val="200"/>
        </w:trPr>
        <w:tc>
          <w:tcPr>
            <w:tcW w:w="214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 xml:space="preserve">Fuel costs </w:t>
            </w:r>
          </w:p>
        </w:tc>
        <w:tc>
          <w:tcPr>
            <w:tcW w:w="81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561</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69.1</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59.1</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63.9</w:t>
            </w:r>
          </w:p>
        </w:tc>
      </w:tr>
      <w:tr>
        <w:trPr>
          <w:trHeight w:val="200"/>
        </w:trPr>
        <w:tc>
          <w:tcPr>
            <w:tcW w:w="214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Operation costs</w:t>
            </w:r>
          </w:p>
        </w:tc>
        <w:tc>
          <w:tcPr>
            <w:tcW w:w="81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232</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-2.4</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-2.2</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-2.3</w:t>
            </w:r>
          </w:p>
        </w:tc>
      </w:tr>
      <w:tr>
        <w:trPr>
          <w:trHeight w:val="200"/>
        </w:trPr>
        <w:tc>
          <w:tcPr>
            <w:tcW w:w="214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b/>
                <w:noProof/>
                <w:sz w:val="18"/>
                <w:szCs w:val="18"/>
                <w:lang w:val="en-IE" w:eastAsia="fr-BE"/>
              </w:rPr>
            </w:pPr>
            <w:r>
              <w:rPr>
                <w:rFonts w:ascii="Times New Roman" w:eastAsia="Times New Roman" w:hAnsi="Times New Roman" w:cs="Times New Roman"/>
                <w:b/>
                <w:noProof/>
                <w:sz w:val="18"/>
                <w:szCs w:val="18"/>
                <w:lang w:val="en-IE" w:eastAsia="fr-BE"/>
              </w:rPr>
              <w:t>Total costs</w:t>
            </w:r>
          </w:p>
        </w:tc>
        <w:tc>
          <w:tcPr>
            <w:tcW w:w="81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1,221.1</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93.6</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79.8</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87.3</w:t>
            </w:r>
          </w:p>
        </w:tc>
      </w:tr>
    </w:tbl>
    <w:p>
      <w:pPr>
        <w:pStyle w:val="bronvermelding"/>
        <w:rPr>
          <w:rFonts w:eastAsia="Arial"/>
          <w:noProof/>
        </w:rPr>
      </w:pPr>
      <w:r>
        <w:rPr>
          <w:rFonts w:eastAsia="Arial"/>
          <w:noProof/>
        </w:rPr>
        <w:t>Source: PRIMES-Maritime, E3Modelling</w:t>
      </w:r>
    </w:p>
    <w:p>
      <w:pPr>
        <w:pStyle w:val="DefaultText"/>
        <w:rPr>
          <w:rFonts w:eastAsia="Arial"/>
          <w:noProof/>
        </w:rPr>
      </w:pPr>
    </w:p>
    <w:p>
      <w:pPr>
        <w:spacing w:after="120"/>
        <w:jc w:val="both"/>
        <w:rPr>
          <w:rFonts w:ascii="Times New Roman" w:hAnsi="Times New Roman" w:cs="Times New Roman"/>
          <w:noProof/>
          <w:sz w:val="24"/>
          <w:szCs w:val="24"/>
          <w:lang w:val="en-IE"/>
        </w:rPr>
      </w:pPr>
      <w:r>
        <w:rPr>
          <w:rFonts w:ascii="Times New Roman" w:hAnsi="Times New Roman" w:cs="Times New Roman"/>
          <w:b/>
          <w:noProof/>
          <w:sz w:val="24"/>
          <w:szCs w:val="24"/>
        </w:rPr>
        <w:t>Impacts on transport activity:</w:t>
      </w:r>
      <w:r>
        <w:rPr>
          <w:rFonts w:ascii="Times New Roman" w:hAnsi="Times New Roman" w:cs="Times New Roman"/>
          <w:noProof/>
          <w:sz w:val="24"/>
          <w:szCs w:val="24"/>
        </w:rPr>
        <w:t xml:space="preserve"> </w:t>
      </w:r>
      <w:r>
        <w:rPr>
          <w:rFonts w:ascii="Times New Roman" w:hAnsi="Times New Roman" w:cs="Times New Roman"/>
          <w:noProof/>
          <w:sz w:val="24"/>
          <w:szCs w:val="24"/>
          <w:lang w:val="en-IE"/>
        </w:rPr>
        <w:t xml:space="preserve">While maritime transport activity would continue growing over the period until 2050 in all POs, a slight decrease of 2.7% for freight and 4% for passenger traffic compared to the baseline is projected as a result of the policy intervention. In freight transport, the highest impact is projected on short-sea shipping, as this segment is expected to operate mostly in voyages covered by the proposed intervention. The situation is similar and reinforced for passenger transport, where higher uptake of electric and fuel ships is projected to result in somewhat higher costs. </w:t>
      </w:r>
    </w:p>
    <w:p>
      <w:pPr>
        <w:pStyle w:val="Caption"/>
        <w:spacing w:after="120"/>
        <w:rPr>
          <w:rFonts w:ascii="Times New Roman" w:hAnsi="Times New Roman" w:cs="Times New Roman"/>
          <w:noProof/>
          <w:sz w:val="24"/>
          <w:szCs w:val="24"/>
          <w:lang w:val="en-IE"/>
        </w:rPr>
      </w:pPr>
      <w:r>
        <w:rPr>
          <w:noProof/>
        </w:rPr>
        <w:t xml:space="preserve">Table </w:t>
      </w:r>
      <w:r>
        <w:rPr>
          <w:noProof/>
        </w:rPr>
        <w:fldChar w:fldCharType="begin"/>
      </w:r>
      <w:r>
        <w:rPr>
          <w:noProof/>
        </w:rPr>
        <w:instrText xml:space="preserve"> SEQ Table \* ARABIC </w:instrText>
      </w:r>
      <w:r>
        <w:rPr>
          <w:noProof/>
        </w:rPr>
        <w:fldChar w:fldCharType="separate"/>
      </w:r>
      <w:r>
        <w:rPr>
          <w:noProof/>
        </w:rPr>
        <w:t>4</w:t>
      </w:r>
      <w:r>
        <w:rPr>
          <w:noProof/>
        </w:rPr>
        <w:fldChar w:fldCharType="end"/>
      </w:r>
      <w:r>
        <w:rPr>
          <w:noProof/>
        </w:rPr>
        <w:t xml:space="preserve"> Changes in the maritime transport activity</w:t>
      </w:r>
    </w:p>
    <w:tbl>
      <w:tblPr>
        <w:tblW w:w="5000" w:type="pct"/>
        <w:tblCellMar>
          <w:left w:w="70" w:type="dxa"/>
          <w:right w:w="70" w:type="dxa"/>
        </w:tblCellMar>
        <w:tblLook w:val="04A0" w:firstRow="1" w:lastRow="0" w:firstColumn="1" w:lastColumn="0" w:noHBand="0" w:noVBand="1"/>
      </w:tblPr>
      <w:tblGrid>
        <w:gridCol w:w="2858"/>
        <w:gridCol w:w="850"/>
        <w:gridCol w:w="850"/>
        <w:gridCol w:w="732"/>
        <w:gridCol w:w="732"/>
        <w:gridCol w:w="732"/>
        <w:gridCol w:w="732"/>
        <w:gridCol w:w="732"/>
        <w:gridCol w:w="709"/>
      </w:tblGrid>
      <w:tr>
        <w:trPr>
          <w:trHeight w:val="540"/>
        </w:trPr>
        <w:tc>
          <w:tcPr>
            <w:tcW w:w="1590" w:type="pct"/>
            <w:vMerge w:val="restart"/>
            <w:tcBorders>
              <w:top w:val="single" w:sz="4" w:space="0" w:color="auto"/>
              <w:left w:val="single" w:sz="4" w:space="0" w:color="auto"/>
              <w:bottom w:val="single" w:sz="4" w:space="0" w:color="auto"/>
              <w:right w:val="single" w:sz="4" w:space="0" w:color="auto"/>
            </w:tcBorders>
            <w:shd w:val="clear" w:color="000000" w:fill="FFFFFF"/>
            <w:hideMark/>
          </w:tcPr>
          <w:p>
            <w:pPr>
              <w:rPr>
                <w:rFonts w:ascii="Times New Roman" w:eastAsia="Times New Roman" w:hAnsi="Times New Roman" w:cs="Times New Roman"/>
                <w:b/>
                <w:noProof/>
                <w:sz w:val="18"/>
                <w:szCs w:val="18"/>
                <w:lang w:val="en-IE" w:eastAsia="fr-BE"/>
              </w:rPr>
            </w:pPr>
            <w:r>
              <w:rPr>
                <w:rFonts w:ascii="Times New Roman" w:eastAsia="Times New Roman" w:hAnsi="Times New Roman" w:cs="Times New Roman"/>
                <w:b/>
                <w:noProof/>
                <w:sz w:val="18"/>
                <w:szCs w:val="18"/>
                <w:lang w:val="en-IE" w:eastAsia="fr-BE"/>
              </w:rPr>
              <w:t>Transport activity (% change to Baseline)</w:t>
            </w:r>
          </w:p>
        </w:tc>
        <w:tc>
          <w:tcPr>
            <w:tcW w:w="952" w:type="pct"/>
            <w:gridSpan w:val="2"/>
            <w:tcBorders>
              <w:top w:val="single" w:sz="4" w:space="0" w:color="auto"/>
              <w:left w:val="nil"/>
              <w:bottom w:val="single" w:sz="4" w:space="0" w:color="auto"/>
              <w:right w:val="single" w:sz="4" w:space="0" w:color="auto"/>
            </w:tcBorders>
            <w:shd w:val="clear" w:color="000000" w:fill="FFFFFF"/>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Baseline (levels)</w:t>
            </w:r>
          </w:p>
        </w:tc>
        <w:tc>
          <w:tcPr>
            <w:tcW w:w="819"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PO1</w:t>
            </w:r>
          </w:p>
        </w:tc>
        <w:tc>
          <w:tcPr>
            <w:tcW w:w="819"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PO2</w:t>
            </w:r>
          </w:p>
        </w:tc>
        <w:tc>
          <w:tcPr>
            <w:tcW w:w="819"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PO3</w:t>
            </w:r>
          </w:p>
        </w:tc>
      </w:tr>
      <w:tr>
        <w:trPr>
          <w:trHeight w:val="210"/>
        </w:trPr>
        <w:tc>
          <w:tcPr>
            <w:tcW w:w="1590" w:type="pct"/>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b/>
                <w:noProof/>
                <w:sz w:val="18"/>
                <w:szCs w:val="18"/>
                <w:lang w:val="fr-BE" w:eastAsia="fr-BE"/>
              </w:rPr>
            </w:pPr>
          </w:p>
        </w:tc>
        <w:tc>
          <w:tcPr>
            <w:tcW w:w="47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2030</w:t>
            </w:r>
          </w:p>
        </w:tc>
        <w:tc>
          <w:tcPr>
            <w:tcW w:w="47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2050</w:t>
            </w:r>
          </w:p>
        </w:tc>
        <w:tc>
          <w:tcPr>
            <w:tcW w:w="410"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2030</w:t>
            </w:r>
          </w:p>
        </w:tc>
        <w:tc>
          <w:tcPr>
            <w:tcW w:w="410"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2050</w:t>
            </w:r>
          </w:p>
        </w:tc>
        <w:tc>
          <w:tcPr>
            <w:tcW w:w="410"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2030</w:t>
            </w:r>
          </w:p>
        </w:tc>
        <w:tc>
          <w:tcPr>
            <w:tcW w:w="410"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2050</w:t>
            </w:r>
          </w:p>
        </w:tc>
        <w:tc>
          <w:tcPr>
            <w:tcW w:w="410"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2030</w:t>
            </w:r>
          </w:p>
        </w:tc>
        <w:tc>
          <w:tcPr>
            <w:tcW w:w="410"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2050</w:t>
            </w:r>
          </w:p>
        </w:tc>
      </w:tr>
      <w:tr>
        <w:trPr>
          <w:trHeight w:val="200"/>
        </w:trPr>
        <w:tc>
          <w:tcPr>
            <w:tcW w:w="1601"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rPr>
                <w:rFonts w:ascii="Times New Roman" w:eastAsia="Times New Roman" w:hAnsi="Times New Roman" w:cs="Times New Roman"/>
                <w:noProof/>
                <w:sz w:val="18"/>
                <w:szCs w:val="18"/>
                <w:lang w:val="en-IE" w:eastAsia="fr-BE"/>
              </w:rPr>
            </w:pPr>
            <w:r>
              <w:rPr>
                <w:rFonts w:ascii="Times New Roman" w:eastAsia="Times New Roman" w:hAnsi="Times New Roman" w:cs="Times New Roman"/>
                <w:noProof/>
                <w:sz w:val="18"/>
                <w:szCs w:val="18"/>
                <w:lang w:val="en-IE" w:eastAsia="fr-BE"/>
              </w:rPr>
              <w:t>Total freight sea shipping (Gtkm)</w:t>
            </w:r>
          </w:p>
        </w:tc>
        <w:tc>
          <w:tcPr>
            <w:tcW w:w="47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17,075</w:t>
            </w:r>
          </w:p>
        </w:tc>
        <w:tc>
          <w:tcPr>
            <w:tcW w:w="47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21,354</w:t>
            </w:r>
          </w:p>
        </w:tc>
        <w:tc>
          <w:tcPr>
            <w:tcW w:w="40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w:t>
            </w:r>
          </w:p>
        </w:tc>
        <w:tc>
          <w:tcPr>
            <w:tcW w:w="40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-2.7%</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-2.7%</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w:t>
            </w:r>
          </w:p>
        </w:tc>
        <w:tc>
          <w:tcPr>
            <w:tcW w:w="40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-2.7%</w:t>
            </w:r>
          </w:p>
        </w:tc>
      </w:tr>
      <w:tr>
        <w:trPr>
          <w:trHeight w:val="200"/>
        </w:trPr>
        <w:tc>
          <w:tcPr>
            <w:tcW w:w="1601"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Short sea shipping</w:t>
            </w:r>
          </w:p>
        </w:tc>
        <w:tc>
          <w:tcPr>
            <w:tcW w:w="47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3,080</w:t>
            </w:r>
          </w:p>
        </w:tc>
        <w:tc>
          <w:tcPr>
            <w:tcW w:w="47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3,817</w:t>
            </w:r>
          </w:p>
        </w:tc>
        <w:tc>
          <w:tcPr>
            <w:tcW w:w="40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-1.1%</w:t>
            </w:r>
          </w:p>
        </w:tc>
        <w:tc>
          <w:tcPr>
            <w:tcW w:w="40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-3.2%</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-1.1%</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-3.2%</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-1.1%</w:t>
            </w:r>
          </w:p>
        </w:tc>
        <w:tc>
          <w:tcPr>
            <w:tcW w:w="40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-3.2%</w:t>
            </w:r>
          </w:p>
        </w:tc>
      </w:tr>
      <w:tr>
        <w:trPr>
          <w:trHeight w:val="200"/>
        </w:trPr>
        <w:tc>
          <w:tcPr>
            <w:tcW w:w="1601"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Deep sea shipping</w:t>
            </w:r>
          </w:p>
        </w:tc>
        <w:tc>
          <w:tcPr>
            <w:tcW w:w="47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13,995</w:t>
            </w:r>
          </w:p>
        </w:tc>
        <w:tc>
          <w:tcPr>
            <w:tcW w:w="47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17,537</w:t>
            </w:r>
          </w:p>
        </w:tc>
        <w:tc>
          <w:tcPr>
            <w:tcW w:w="40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-0.9%</w:t>
            </w:r>
          </w:p>
        </w:tc>
        <w:tc>
          <w:tcPr>
            <w:tcW w:w="40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-2.7%</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-0.9%</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-2.7%</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-0.9%</w:t>
            </w:r>
          </w:p>
        </w:tc>
        <w:tc>
          <w:tcPr>
            <w:tcW w:w="40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-2.7%</w:t>
            </w:r>
          </w:p>
        </w:tc>
      </w:tr>
      <w:tr>
        <w:trPr>
          <w:trHeight w:val="200"/>
        </w:trPr>
        <w:tc>
          <w:tcPr>
            <w:tcW w:w="1601"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Passenger Shipping Activity (Gpkm)</w:t>
            </w:r>
          </w:p>
        </w:tc>
        <w:tc>
          <w:tcPr>
            <w:tcW w:w="47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2,426</w:t>
            </w:r>
          </w:p>
        </w:tc>
        <w:tc>
          <w:tcPr>
            <w:tcW w:w="474"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3,016</w:t>
            </w:r>
          </w:p>
        </w:tc>
        <w:tc>
          <w:tcPr>
            <w:tcW w:w="40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-1.1%</w:t>
            </w:r>
          </w:p>
        </w:tc>
        <w:tc>
          <w:tcPr>
            <w:tcW w:w="40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-4.0%</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-1.1%</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-4.0%</w:t>
            </w:r>
          </w:p>
        </w:tc>
        <w:tc>
          <w:tcPr>
            <w:tcW w:w="40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-1.1%</w:t>
            </w:r>
          </w:p>
        </w:tc>
        <w:tc>
          <w:tcPr>
            <w:tcW w:w="40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-4.0%</w:t>
            </w:r>
          </w:p>
        </w:tc>
      </w:tr>
    </w:tbl>
    <w:p>
      <w:pPr>
        <w:pStyle w:val="bronvermelding"/>
        <w:rPr>
          <w:rFonts w:eastAsia="Arial"/>
          <w:noProof/>
        </w:rPr>
      </w:pPr>
      <w:r>
        <w:rPr>
          <w:rFonts w:eastAsia="Arial"/>
          <w:noProof/>
        </w:rPr>
        <w:t>Source: PRIMES-Maritime, E3Modelling</w:t>
      </w:r>
    </w:p>
    <w:p>
      <w:pPr>
        <w:spacing w:before="240"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baseline scenario and the policy options take into account the reduction in the long-distance shipping of fossil fuel volumes driven by the carbon policies and National Energy and Climate Plans. On the other hand, some increase in the transport of renewable and low carbon fuels from EU producing countries to the other EU countries is projected to moderate this decrease to some extent in the policy options. </w:t>
      </w:r>
    </w:p>
    <w:p>
      <w:pPr>
        <w:pStyle w:val="Heading3"/>
        <w:rPr>
          <w:noProof/>
        </w:rPr>
      </w:pPr>
      <w:bookmarkStart w:id="251" w:name="_Ref63418221"/>
      <w:bookmarkStart w:id="252" w:name="_Toc63426142"/>
      <w:bookmarkStart w:id="253" w:name="_Toc63438488"/>
      <w:r>
        <w:rPr>
          <w:noProof/>
        </w:rPr>
        <w:t>Impacts on RLF prices, feedstock and renewable electricity needs for e-fuels</w:t>
      </w:r>
      <w:bookmarkEnd w:id="251"/>
      <w:bookmarkEnd w:id="252"/>
      <w:bookmarkEnd w:id="253"/>
    </w:p>
    <w:p>
      <w:pPr>
        <w:spacing w:before="120" w:after="120"/>
        <w:jc w:val="both"/>
        <w:rPr>
          <w:rFonts w:ascii="Times New Roman" w:hAnsi="Times New Roman" w:cs="Times New Roman"/>
          <w:noProof/>
          <w:sz w:val="24"/>
          <w:szCs w:val="24"/>
        </w:rPr>
      </w:pPr>
      <w:r>
        <w:rPr>
          <w:rFonts w:ascii="Times New Roman" w:hAnsi="Times New Roman" w:cs="Times New Roman"/>
          <w:b/>
          <w:noProof/>
          <w:sz w:val="24"/>
          <w:szCs w:val="24"/>
        </w:rPr>
        <w:t>Impacts on RLF prices:</w:t>
      </w:r>
      <w:r>
        <w:rPr>
          <w:rFonts w:ascii="Times New Roman" w:hAnsi="Times New Roman" w:cs="Times New Roman"/>
          <w:noProof/>
          <w:sz w:val="24"/>
          <w:szCs w:val="24"/>
        </w:rPr>
        <w:t xml:space="preserve"> The assessment assumes the implementation of measures by various actors that enables the uptake of advanced technologies at scale, not only for the maritime sector. This is particularly relevant for advanced biofuel production routes that are not yet commercially available. Novel routes relate mainly to advanced biodiesel produced from Gasification and Fischer-Tropsch synthesis, biofuel oil produced from Hydrothermal Upgrading, and biomethane from Catalytic Gasification of biomass. These biomass conversion technologies are capital intensive, yet empirical observations suggest that learning effects due to scaling of production are possible. The demand for advanced biofuels and bio-LNG (Annex IX Part A of REDII)</w:t>
      </w:r>
      <w:r>
        <w:rPr>
          <w:rStyle w:val="FootnoteReference"/>
          <w:rFonts w:ascii="Times New Roman" w:hAnsi="Times New Roman" w:cs="Times New Roman"/>
          <w:noProof/>
          <w:sz w:val="24"/>
          <w:szCs w:val="24"/>
          <w:lang w:val="en-IE"/>
        </w:rPr>
        <w:footnoteReference w:id="117"/>
      </w:r>
      <w:r>
        <w:rPr>
          <w:rFonts w:ascii="Times New Roman" w:hAnsi="Times New Roman" w:cs="Times New Roman"/>
          <w:noProof/>
          <w:sz w:val="24"/>
          <w:szCs w:val="24"/>
        </w:rPr>
        <w:t xml:space="preserve"> leads to additional production capacity in the EU. In the context of the transition towards a climate neutral economy by 2050, the demand for advanced biofuels comes from all transport sectors (and other sectors of the energy system) reducing production costs through economies of scale and learning-by-doing. </w:t>
      </w:r>
    </w:p>
    <w:p>
      <w:pPr>
        <w:spacing w:before="120" w:after="120"/>
        <w:jc w:val="both"/>
        <w:rPr>
          <w:rFonts w:ascii="Times New Roman" w:hAnsi="Times New Roman" w:cs="Times New Roman"/>
          <w:noProof/>
          <w:sz w:val="24"/>
          <w:szCs w:val="24"/>
        </w:rPr>
      </w:pPr>
      <w:r>
        <w:rPr>
          <w:rFonts w:ascii="Times New Roman" w:hAnsi="Times New Roman" w:cs="Times New Roman"/>
          <w:noProof/>
          <w:sz w:val="24"/>
          <w:szCs w:val="24"/>
        </w:rPr>
        <w:t xml:space="preserve">In the short-term, the demand for advanced biodiesel comes primarily from road transport and that of bio-LNG from other sectors of the energy system. The demand of bio heavy fuel oil comes mainly from maritime. As such, in the short-term, the demand for RLF in the maritime sector contributes primarily to the cost reduction of bio heavy fuel oil. Beyond 2030, due to the significant increase in the uptake of electric vehicles in road transport, maritime becomes a key sector that drives the production of advanced biodiesel and bio-LNG and further reduces the costs of scalable components of these technologies through an increase in cumulative production capacity and technological learning. A counterbalancing effect would however come into play from the increase in feedstock costs driven by the demand for biomass feedstock from other sectors. These insights are based on the modelling of bioenergy demand in the context of the EU climate ambition for 2030 and 2050, which means that significant quantities of bioenergy are needed by other transport modes (including aviation) and energy sectors. Hence, the biomass system is pushed towards more expensive feedstocks, outweighing to some extent the benefits from scaling the production that may be brought from the increase in the advanced biofuels demand in the maritime sector. In the PRIMES biomass model, which is used for the purpose of this assessment, the reduction in the costs of scalable components of these technologies and the impacts due to higher feedstock demand are both taken into account.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Annex IX Part B biofuels are mainly represented by the FAME and the HVO production route that use used cooking oil as feedstock. These are mature technologies/pathways commercially available today that have benefited from cost reductions due to the increase in the demand for biodiesel used in road transport. On the other hand, the production technologies for advanced biofuels are not yet available at scale, and require investments in first-of-a-kind plants. Their scale-up would benefit from learning effects and result in lower costs. Another reason that leads to cost differences between Annex IX Part B and advanced biofuels (Annex IX Part A) is that the latter require substantially more quantities of biomass feedstock input compared to Part B biofuels produced from used cooking oil. This leads to overall higher feedstock costs of advanced biofuels compared to Part B. </w:t>
      </w:r>
      <w:r>
        <w:rPr>
          <w:rFonts w:ascii="Times New Roman" w:hAnsi="Times New Roman" w:cs="Times New Roman"/>
          <w:iCs/>
          <w:noProof/>
          <w:sz w:val="24"/>
          <w:szCs w:val="24"/>
        </w:rPr>
        <w:t>Food and feed crop-based biofuels are out of scope of the policy options.</w:t>
      </w:r>
    </w:p>
    <w:p>
      <w:pPr>
        <w:spacing w:before="120" w:after="120"/>
        <w:jc w:val="both"/>
        <w:rPr>
          <w:rFonts w:ascii="Times New Roman" w:hAnsi="Times New Roman" w:cs="Times New Roman"/>
          <w:noProof/>
          <w:sz w:val="24"/>
          <w:szCs w:val="24"/>
        </w:rPr>
      </w:pPr>
      <w:r>
        <w:rPr>
          <w:rFonts w:ascii="Times New Roman" w:hAnsi="Times New Roman" w:cs="Times New Roman"/>
          <w:noProof/>
          <w:sz w:val="24"/>
          <w:szCs w:val="24"/>
        </w:rPr>
        <w:t xml:space="preserve">Similarly to advanced biofuel routes, the demand for hydrogen and </w:t>
      </w:r>
      <w:r>
        <w:rPr>
          <w:rFonts w:ascii="Times New Roman" w:hAnsi="Times New Roman" w:cs="Times New Roman"/>
          <w:noProof/>
          <w:sz w:val="24"/>
          <w:szCs w:val="24"/>
          <w:lang w:val="en-IE"/>
        </w:rPr>
        <w:t xml:space="preserve">hydrogen-based fuels (e-fuels, ammonia and methanol) </w:t>
      </w:r>
      <w:r>
        <w:rPr>
          <w:rFonts w:ascii="Times New Roman" w:hAnsi="Times New Roman" w:cs="Times New Roman"/>
          <w:noProof/>
          <w:sz w:val="24"/>
          <w:szCs w:val="24"/>
        </w:rPr>
        <w:t>from maritime but also from other transport sectors drives an increase in hydrogen demand and eventually leads to large-scale deployment of hydrogen generation technologies. The modelling considers learning-by-doing effects, reducing the costs of electrolysers, which is a critical cost component.</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evolution of the RLF prices used in the modelling supporting the assessment of the policy options is consistent with those used for the common economic assessment underpinning the 2030 Climate Target Plan and the Sustainable and Smart Mobility Strategy and is provided in Annex 4. The price of biofuels (weighted average price of bio heavy oil and biodiesel) used in international maritime remains relatively stable between 2030 and 2050, due to the </w:t>
      </w:r>
      <w:r>
        <w:rPr>
          <w:rFonts w:ascii="Times New Roman" w:eastAsiaTheme="minorEastAsia" w:hAnsi="Times New Roman" w:cs="Times New Roman"/>
          <w:noProof/>
          <w:sz w:val="24"/>
          <w:szCs w:val="24"/>
          <w:lang w:eastAsia="en-GB"/>
        </w:rPr>
        <w:t>competition for biomass feedstock with other energy and transport sectors and despite t</w:t>
      </w:r>
      <w:r>
        <w:rPr>
          <w:rFonts w:ascii="Times New Roman" w:hAnsi="Times New Roman" w:cs="Times New Roman"/>
          <w:noProof/>
          <w:sz w:val="24"/>
          <w:szCs w:val="24"/>
        </w:rPr>
        <w:t xml:space="preserve">he reduction in the costs of scalable components as explained above. However, the ratio between the biofuels price and the price of liquid fossil fuel used in maritime products goes down over time, to 2.1 in 2030 and 1.5 by 2050. Similarly, the ratio between the e-liquids prices and liquid fossil fuel prices goes down from 3.6 in 2030 to 1.9 by 2050.  </w:t>
      </w:r>
    </w:p>
    <w:p>
      <w:pPr>
        <w:spacing w:before="120" w:after="120"/>
        <w:jc w:val="both"/>
        <w:rPr>
          <w:rFonts w:ascii="Times New Roman" w:hAnsi="Times New Roman" w:cs="Times New Roman"/>
          <w:noProof/>
          <w:sz w:val="24"/>
          <w:szCs w:val="24"/>
        </w:rPr>
      </w:pPr>
      <w:r>
        <w:rPr>
          <w:rFonts w:ascii="Times New Roman" w:hAnsi="Times New Roman" w:cs="Times New Roman"/>
          <w:b/>
          <w:noProof/>
          <w:sz w:val="24"/>
          <w:szCs w:val="24"/>
        </w:rPr>
        <w:t>Types of biofuels and feedstock:</w:t>
      </w:r>
      <w:r>
        <w:rPr>
          <w:rFonts w:ascii="Times New Roman" w:hAnsi="Times New Roman" w:cs="Times New Roman"/>
          <w:noProof/>
          <w:sz w:val="24"/>
          <w:szCs w:val="24"/>
        </w:rPr>
        <w:t xml:space="preserve"> Biofuels and bio-LNG consumption, together, is projected to increase almost by a factor of 10 between 2030 and 2050, from around 3 Mtoe in 2030 up to 32 Mtoe in 2050. The highest supply is projected in PO2 (close to 32 Mtoe) and the lowest in PO1 (around 26 Mtoe) with PO3 falling in between (28 Mtoe). In their vast majority, Annex IX Part A (advanced biofuels and bio-LNG)</w:t>
      </w:r>
      <w:r>
        <w:rPr>
          <w:rStyle w:val="FootnoteReference"/>
          <w:rFonts w:ascii="Times New Roman" w:hAnsi="Times New Roman" w:cs="Times New Roman"/>
          <w:noProof/>
          <w:sz w:val="24"/>
          <w:szCs w:val="24"/>
          <w:lang w:val="en-IE"/>
        </w:rPr>
        <w:footnoteReference w:id="118"/>
      </w:r>
      <w:r>
        <w:rPr>
          <w:rFonts w:ascii="Times New Roman" w:hAnsi="Times New Roman" w:cs="Times New Roman"/>
          <w:noProof/>
          <w:sz w:val="24"/>
          <w:szCs w:val="24"/>
        </w:rPr>
        <w:t xml:space="preserve"> would be supplied to the maritime sector (more than three-quarters of supply to the maritime sector in 2030 and 90% in 2050, similarly across policy options). Annex IX Part B biofuels would cover the remainder of the biofuel demand. Biofuels imports for the maritime sector are projected to account for around 1.5% in 2030 to 4% in 2050 of the total biofuel demand in the sector. These would be biodiesel imports that are assumed to be exclusively Part B biofuels. More details are provided in Annex 4. </w:t>
      </w:r>
    </w:p>
    <w:p>
      <w:pPr>
        <w:jc w:val="both"/>
        <w:rPr>
          <w:rFonts w:ascii="Times New Roman" w:hAnsi="Times New Roman" w:cs="Times New Roman"/>
          <w:noProof/>
          <w:sz w:val="24"/>
          <w:szCs w:val="24"/>
        </w:rPr>
      </w:pPr>
      <w:r>
        <w:rPr>
          <w:rFonts w:ascii="Times New Roman" w:hAnsi="Times New Roman" w:cs="Times New Roman"/>
          <w:noProof/>
          <w:sz w:val="24"/>
          <w:szCs w:val="24"/>
        </w:rPr>
        <w:t>By 2030, the vast majority of the feedstock used is projected to originate from forestry and from biomass waste flows, whether agricultural residues, wood waste or manure. By 2050, energy crops and notably dedicated energy crops (annual lignocellulosic crops) provide more than one-third of the feedstock required to produce Part A biofuels. Substantial growth is also projected in agricultural residues used for biofuels production in international maritime that increase by more than a factor of 10 between 2030 and 2050.</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5</w:t>
      </w:r>
      <w:r>
        <w:rPr>
          <w:noProof/>
        </w:rPr>
        <w:fldChar w:fldCharType="end"/>
      </w:r>
      <w:r>
        <w:rPr>
          <w:noProof/>
        </w:rPr>
        <w:t xml:space="preserve"> Biomass feedstock consumption by type (in Mtonnes)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847"/>
        <w:gridCol w:w="1116"/>
        <w:gridCol w:w="1116"/>
        <w:gridCol w:w="891"/>
        <w:gridCol w:w="1071"/>
        <w:gridCol w:w="891"/>
        <w:gridCol w:w="1071"/>
      </w:tblGrid>
      <w:tr>
        <w:trPr>
          <w:trHeight w:val="260"/>
          <w:tblHeader/>
        </w:trPr>
        <w:tc>
          <w:tcPr>
            <w:tcW w:w="1581"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Feedstock consumption</w:t>
            </w:r>
          </w:p>
        </w:tc>
        <w:tc>
          <w:tcPr>
            <w:tcW w:w="1240"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PO1</w:t>
            </w:r>
          </w:p>
        </w:tc>
        <w:tc>
          <w:tcPr>
            <w:tcW w:w="1090"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PO2</w:t>
            </w:r>
          </w:p>
        </w:tc>
        <w:tc>
          <w:tcPr>
            <w:tcW w:w="1090"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PO3</w:t>
            </w:r>
          </w:p>
        </w:tc>
      </w:tr>
      <w:tr>
        <w:trPr>
          <w:trHeight w:val="270"/>
          <w:tblHeader/>
        </w:trPr>
        <w:tc>
          <w:tcPr>
            <w:tcW w:w="1581"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Mtonnes</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trPr>
        <w:tc>
          <w:tcPr>
            <w:tcW w:w="1581"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Part A</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Perennial crops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0.0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6.3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0.0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7.7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0.0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6.9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Annual crops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0.3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33.6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0.3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40.8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0.3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36.4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Forestry products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3.1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14.4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3.2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18.4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3.1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15.9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Forestry residues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1.4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11.7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14.7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12.8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Wood waste</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6.7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8.0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7.2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Agricultural residues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15.4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18.6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16.8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Manure</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1.2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2.8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1.2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3.3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1.2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3.0 </w:t>
            </w:r>
          </w:p>
        </w:tc>
      </w:tr>
      <w:tr>
        <w:trPr>
          <w:trHeight w:val="260"/>
        </w:trPr>
        <w:tc>
          <w:tcPr>
            <w:tcW w:w="1581"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Part B</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Non-agricultural oils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0.80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1.4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0.83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0.82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1.6 </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PRIMES Biomass model, E3Modelling</w:t>
      </w:r>
    </w:p>
    <w:p>
      <w:pPr>
        <w:jc w:val="both"/>
        <w:rPr>
          <w:rFonts w:ascii="Times New Roman" w:hAnsi="Times New Roman" w:cs="Times New Roman"/>
          <w:noProof/>
          <w:sz w:val="24"/>
          <w:szCs w:val="24"/>
        </w:rPr>
      </w:pPr>
      <w:r>
        <w:rPr>
          <w:rFonts w:ascii="Times New Roman" w:hAnsi="Times New Roman" w:cs="Times New Roman"/>
          <w:noProof/>
          <w:sz w:val="24"/>
          <w:szCs w:val="24"/>
        </w:rPr>
        <w:t>Model projections show that EU has sufficient biomass available domestically to produce biofuels and bio-LNG for EU international maritime sector. By 2030, there is sufficient supply of waste lipids (non-agricultural oils, such as used cooking oil), as the demand from international maritime requires about 20% of the feedstock available in the EU. The remaining feedstock is consumed in other transport sectors such as road transport and aviation. By 2050, the need for waste lipids to produce Part B biofuels for international maritime increases, and as a result the sector requires higher shares of the available feedstock. Part A biofuels from lignocellulosic feedstock consume 6 to 20% of the available feedstock potential in the EU by 2050, depending on the type of feedstock and policy option. Manure used for bio-LNG for international maritime increases from around 2% in 2030 to 5-6% in 2050.</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6</w:t>
      </w:r>
      <w:r>
        <w:rPr>
          <w:noProof/>
        </w:rPr>
        <w:fldChar w:fldCharType="end"/>
      </w:r>
      <w:r>
        <w:rPr>
          <w:noProof/>
        </w:rPr>
        <w:t xml:space="preserve"> Used potential for the EU maritime sector as % of domestic potential in EU27</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3446"/>
        <w:gridCol w:w="1019"/>
        <w:gridCol w:w="1021"/>
        <w:gridCol w:w="879"/>
        <w:gridCol w:w="880"/>
        <w:gridCol w:w="879"/>
        <w:gridCol w:w="879"/>
      </w:tblGrid>
      <w:tr>
        <w:trPr>
          <w:trHeight w:val="260"/>
          <w:tblHeader/>
        </w:trPr>
        <w:tc>
          <w:tcPr>
            <w:tcW w:w="1914" w:type="pct"/>
            <w:tcBorders>
              <w:bottom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Used potential</w:t>
            </w:r>
          </w:p>
        </w:tc>
        <w:tc>
          <w:tcPr>
            <w:tcW w:w="1133"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POA</w:t>
            </w:r>
          </w:p>
        </w:tc>
        <w:tc>
          <w:tcPr>
            <w:tcW w:w="977"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POB</w:t>
            </w:r>
          </w:p>
        </w:tc>
        <w:tc>
          <w:tcPr>
            <w:tcW w:w="976"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POC</w:t>
            </w:r>
          </w:p>
        </w:tc>
      </w:tr>
      <w:tr>
        <w:trPr>
          <w:trHeight w:val="270"/>
          <w:tblHeader/>
        </w:trPr>
        <w:tc>
          <w:tcPr>
            <w:tcW w:w="1914" w:type="pct"/>
            <w:tcBorders>
              <w:top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 xml:space="preserve">(% of domestic potential in the EU27) </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trPr>
        <w:tc>
          <w:tcPr>
            <w:tcW w:w="1914"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Part A</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Perennial crops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10.9%</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13.3%</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11.8%</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Annual crops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10.6%</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12.8%</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11.4%</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Forestry products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2.8%</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2.9%</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19.7%</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2.9%</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16.9%</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Forestry residues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2.3%</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15.9%</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20.0%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2.3%</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17.4%</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Wood waste</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1.7%</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6.4%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1.8%</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7.7%</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1.8%</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6.9%</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Agricultural residues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1.4%</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16.1%</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19.4%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17.5%</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Manure</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5.3%</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6.4%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5.8%</w:t>
            </w:r>
          </w:p>
        </w:tc>
      </w:tr>
      <w:tr>
        <w:trPr>
          <w:trHeight w:val="260"/>
        </w:trPr>
        <w:tc>
          <w:tcPr>
            <w:tcW w:w="1914"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Part B</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Non-agricultural oils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20.6%</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27.4%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21.3%</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34.4%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21.1%</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29.9%</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PRIMES Biomass model, E3Modelling</w:t>
      </w:r>
    </w:p>
    <w:p>
      <w:pPr>
        <w:spacing w:before="120" w:after="120"/>
        <w:jc w:val="both"/>
        <w:rPr>
          <w:rFonts w:ascii="Times New Roman" w:hAnsi="Times New Roman" w:cs="Times New Roman"/>
          <w:noProof/>
          <w:sz w:val="24"/>
          <w:szCs w:val="24"/>
        </w:rPr>
      </w:pPr>
      <w:r>
        <w:rPr>
          <w:rFonts w:ascii="Times New Roman" w:hAnsi="Times New Roman" w:cs="Times New Roman"/>
          <w:noProof/>
          <w:sz w:val="24"/>
          <w:szCs w:val="24"/>
        </w:rPr>
        <w:t>In the production of biofuels, biomass feedstock comprises most of the energy demand to produce bioenergy commodities. In addition, bioenergy production requires energy inputs in several steps in the production process, from biomass cultivation or collection, to transport, and conversion of biomass to bioenergy. Based on insights from PRIMES Biomass, the production of all bioenergy commodities projected in the context of the transition towards a climate neutral economy, requires about 36 Mtoe of electricity, liquid fuels and gas in 2050. This corresponds to less than 3% of the overall energy supply (of electricity, liquid fuel and gas) for the same year. The contribution of international maritime fuels, is significantly lower than that, with estimates ranging between 0.3% and 0.35% of the overall energy supply for the POs. The energy use in the production of biofuels is also reflected in the well to tank emissions in all POs.</w:t>
      </w:r>
    </w:p>
    <w:p>
      <w:pPr>
        <w:jc w:val="both"/>
        <w:rPr>
          <w:rFonts w:ascii="Times New Roman" w:hAnsi="Times New Roman" w:cs="Times New Roman"/>
          <w:noProof/>
          <w:sz w:val="24"/>
          <w:szCs w:val="24"/>
        </w:rPr>
      </w:pPr>
      <w:r>
        <w:rPr>
          <w:rFonts w:ascii="Times New Roman" w:hAnsi="Times New Roman" w:cs="Times New Roman"/>
          <w:b/>
          <w:noProof/>
          <w:sz w:val="24"/>
          <w:szCs w:val="24"/>
        </w:rPr>
        <w:t xml:space="preserve">Renewable electricity needs for e-fuels: </w:t>
      </w:r>
      <w:r>
        <w:rPr>
          <w:rFonts w:ascii="Times New Roman" w:hAnsi="Times New Roman" w:cs="Times New Roman"/>
          <w:noProof/>
          <w:sz w:val="24"/>
          <w:szCs w:val="24"/>
        </w:rPr>
        <w:t xml:space="preserve">The electricity to produce e-fuels is projected to be the highest in PO1 (almost 2 TWh in 2030 and 246 TWh in 2050). This would represent around 0.1% of renewable electricity generation in 2030 and 4.7% by 2050. In PO3 the electricity to produce e-fuels is projected at around 0.6 TWh in 2030 and 230 by 2050 (i.e. less than 0.1% of renewable electricity generation in 2030 and 4.4% in 2050). PO2 shows the lowest share of e-fuels in the energy mix and thus the lowest electricity needs to produce them (0.1 TWh in 2030 and 198 TWh in 2050). The electricity is primarily used to produce synthetic diesel blends and e-gas. </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7</w:t>
      </w:r>
      <w:r>
        <w:rPr>
          <w:noProof/>
        </w:rPr>
        <w:fldChar w:fldCharType="end"/>
      </w:r>
      <w:r>
        <w:rPr>
          <w:noProof/>
        </w:rPr>
        <w:t xml:space="preserve"> Electricity consumption for producing e-fuels for the maritime sector (in TWh and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4484"/>
        <w:gridCol w:w="753"/>
        <w:gridCol w:w="754"/>
        <w:gridCol w:w="753"/>
        <w:gridCol w:w="754"/>
        <w:gridCol w:w="711"/>
        <w:gridCol w:w="794"/>
      </w:tblGrid>
      <w:tr>
        <w:trPr>
          <w:trHeight w:val="260"/>
        </w:trPr>
        <w:tc>
          <w:tcPr>
            <w:tcW w:w="2490" w:type="pct"/>
            <w:tcBorders>
              <w:bottom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Electricity consumption for synthetic fuels</w:t>
            </w:r>
          </w:p>
        </w:tc>
        <w:tc>
          <w:tcPr>
            <w:tcW w:w="837"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PO1</w:t>
            </w:r>
          </w:p>
        </w:tc>
        <w:tc>
          <w:tcPr>
            <w:tcW w:w="837"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PO2</w:t>
            </w:r>
          </w:p>
        </w:tc>
        <w:tc>
          <w:tcPr>
            <w:tcW w:w="836"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PO3</w:t>
            </w:r>
          </w:p>
        </w:tc>
      </w:tr>
      <w:tr>
        <w:trPr>
          <w:trHeight w:val="270"/>
        </w:trPr>
        <w:tc>
          <w:tcPr>
            <w:tcW w:w="2490" w:type="pct"/>
            <w:tcBorders>
              <w:top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(TWh and %)</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3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41"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trPr>
        <w:tc>
          <w:tcPr>
            <w:tcW w:w="2490"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Electricity consumption, TWh</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1.8</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246</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0.1</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198</w:t>
            </w:r>
          </w:p>
        </w:tc>
        <w:tc>
          <w:tcPr>
            <w:tcW w:w="3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0.6</w:t>
            </w:r>
          </w:p>
        </w:tc>
        <w:tc>
          <w:tcPr>
            <w:tcW w:w="441"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230</w:t>
            </w:r>
          </w:p>
        </w:tc>
      </w:tr>
      <w:tr>
        <w:trPr>
          <w:trHeight w:val="260"/>
        </w:trPr>
        <w:tc>
          <w:tcPr>
            <w:tcW w:w="2490"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Share of gross electricity generation, %</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2.0%</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1.6%</w:t>
            </w:r>
          </w:p>
        </w:tc>
        <w:tc>
          <w:tcPr>
            <w:tcW w:w="3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41"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1.9%</w:t>
            </w:r>
          </w:p>
        </w:tc>
      </w:tr>
      <w:tr>
        <w:trPr>
          <w:trHeight w:val="270"/>
        </w:trPr>
        <w:tc>
          <w:tcPr>
            <w:tcW w:w="2490"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Share of renewable electricity generation, %</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0.1%</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4.7%</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3.8%</w:t>
            </w:r>
          </w:p>
        </w:tc>
        <w:tc>
          <w:tcPr>
            <w:tcW w:w="3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41"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4.4%</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PRIMES model, E3Modelling</w:t>
      </w:r>
    </w:p>
    <w:p>
      <w:pPr>
        <w:spacing w:after="120"/>
        <w:jc w:val="both"/>
        <w:rPr>
          <w:rFonts w:ascii="Times New Roman" w:hAnsi="Times New Roman" w:cs="Times New Roman"/>
          <w:noProof/>
          <w:sz w:val="4"/>
          <w:szCs w:val="24"/>
          <w:lang w:val="en-IE"/>
        </w:rPr>
      </w:pPr>
      <w:r>
        <w:rPr>
          <w:rFonts w:ascii="Times New Roman" w:hAnsi="Times New Roman" w:cs="Times New Roman"/>
          <w:b/>
          <w:noProof/>
          <w:sz w:val="24"/>
          <w:szCs w:val="24"/>
        </w:rPr>
        <w:t xml:space="preserve">Uncertainties </w:t>
      </w:r>
      <w:r>
        <w:rPr>
          <w:rFonts w:ascii="Times New Roman" w:hAnsi="Times New Roman" w:cs="Times New Roman"/>
          <w:b/>
          <w:noProof/>
          <w:sz w:val="24"/>
          <w:szCs w:val="24"/>
          <w:lang w:val="en-IE"/>
        </w:rPr>
        <w:t>underlying the analysis:</w:t>
      </w:r>
      <w:r>
        <w:rPr>
          <w:rFonts w:ascii="Times New Roman" w:hAnsi="Times New Roman" w:cs="Times New Roman"/>
          <w:noProof/>
          <w:sz w:val="24"/>
          <w:szCs w:val="24"/>
          <w:lang w:val="en-IE"/>
        </w:rPr>
        <w:t xml:space="preserve"> This assessment takes into account the current knowledge related to the possible evolution of technology costs and feedstock costs. If higher decrease in the costs of e-fuels would take place than assumed in this assessment, their uptake could be higher especially in PO2 and PO3 due to their increased competitiveness relative to biofuels and bio-LNG. This consideration also applies to alternative propulsion systems like fuel cells and electric vessels). This is because PO2 and PO3 provides flexibility in terms of choice of the fuel mix. On the other hand, if the availability of biofuels and bio-LNG for the maritime sector would be lower, due to higher demand by other sectors, a higher share of e-fuels would be needed to compensate for achieving the mandates in PO2 and PO3. In case the technology costs and feedstock costs would be higher than assumed in this assessment, this may results in higher fuel costs and subsequently freight rates.</w:t>
      </w:r>
    </w:p>
    <w:p>
      <w:pPr>
        <w:spacing w:after="120"/>
        <w:jc w:val="both"/>
        <w:rPr>
          <w:rFonts w:ascii="Times New Roman" w:hAnsi="Times New Roman" w:cs="Times New Roman"/>
          <w:noProof/>
          <w:sz w:val="4"/>
          <w:szCs w:val="24"/>
          <w:lang w:val="en-IE"/>
        </w:rPr>
      </w:pPr>
    </w:p>
    <w:p>
      <w:pPr>
        <w:pStyle w:val="Heading3"/>
        <w:rPr>
          <w:noProof/>
        </w:rPr>
      </w:pPr>
      <w:bookmarkStart w:id="254" w:name="_Toc57907295"/>
      <w:bookmarkStart w:id="255" w:name="_Toc59152629"/>
      <w:bookmarkStart w:id="256" w:name="_Toc63426143"/>
      <w:bookmarkStart w:id="257" w:name="_Ref63436669"/>
      <w:bookmarkStart w:id="258" w:name="_Toc63438489"/>
      <w:r>
        <w:rPr>
          <w:noProof/>
        </w:rPr>
        <w:t>Regulatory and administrative costs related to businesses</w:t>
      </w:r>
      <w:bookmarkEnd w:id="254"/>
      <w:bookmarkEnd w:id="255"/>
      <w:bookmarkEnd w:id="256"/>
      <w:bookmarkEnd w:id="257"/>
      <w:bookmarkEnd w:id="258"/>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Regulatory and administrative costs have been looked at for three main stakeholder categories that are mostly affected by the regulatory obligations resulting from the POs: ship owners and operators, bunker suppliers and ports. </w:t>
      </w:r>
    </w:p>
    <w:p>
      <w:pPr>
        <w:jc w:val="both"/>
        <w:rPr>
          <w:rFonts w:ascii="Times New Roman" w:hAnsi="Times New Roman" w:cs="Times New Roman"/>
          <w:noProof/>
          <w:sz w:val="24"/>
          <w:szCs w:val="24"/>
        </w:rPr>
      </w:pPr>
      <w:r>
        <w:rPr>
          <w:rFonts w:ascii="Times New Roman" w:hAnsi="Times New Roman" w:cs="Times New Roman"/>
          <w:noProof/>
          <w:sz w:val="24"/>
          <w:szCs w:val="24"/>
        </w:rPr>
        <w:t>The administrative costs for ship owners and operators will primarily consist of monitoring, verification and reporting, determined by additional requirements compared to the existing EU MRV Regulation. In essence, the EU MRV Regulation already provides for an extensive monitoring of individual ships’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(fuel consumption and other parameters, such as distance travelled, time at sea and cargo carried on a per voyage basis), which are gathered annually into an emissions report submitted to an accredited MRV shipping verifier and reported, through THETIS-MRV, to the Commission and to the States in which those ships are registered (the so-called ‘flag States’).</w:t>
      </w:r>
    </w:p>
    <w:p>
      <w:pPr>
        <w:jc w:val="both"/>
        <w:rPr>
          <w:rFonts w:ascii="Times New Roman" w:hAnsi="Times New Roman" w:cs="Times New Roman"/>
          <w:noProof/>
          <w:sz w:val="24"/>
          <w:szCs w:val="24"/>
        </w:rPr>
      </w:pPr>
      <w:r>
        <w:rPr>
          <w:rFonts w:ascii="Times New Roman" w:hAnsi="Times New Roman" w:cs="Times New Roman"/>
          <w:noProof/>
          <w:sz w:val="24"/>
          <w:szCs w:val="24"/>
        </w:rPr>
        <w:t>This initiative can therefore rely to a large extent on the already existing reporting requirements in the EU MRV Regulation. However, given that more emissions and energy sources will be included, additional information will need to be monitored, reported and verified. The following assessment is based on conservative assumptions.</w:t>
      </w:r>
    </w:p>
    <w:p>
      <w:pPr>
        <w:jc w:val="both"/>
        <w:rPr>
          <w:rFonts w:ascii="Times New Roman" w:hAnsi="Times New Roman" w:cs="Times New Roman"/>
          <w:noProof/>
          <w:sz w:val="24"/>
          <w:szCs w:val="24"/>
        </w:rPr>
      </w:pPr>
      <w:r>
        <w:rPr>
          <w:rFonts w:ascii="Times New Roman" w:hAnsi="Times New Roman" w:cs="Times New Roman"/>
          <w:b/>
          <w:noProof/>
          <w:sz w:val="24"/>
          <w:szCs w:val="24"/>
        </w:rPr>
        <w:t>Administrative costs for ship owners</w:t>
      </w:r>
      <w:r>
        <w:rPr>
          <w:rFonts w:ascii="Times New Roman" w:hAnsi="Times New Roman" w:cs="Times New Roman"/>
          <w:noProof/>
          <w:sz w:val="24"/>
          <w:szCs w:val="24"/>
        </w:rPr>
        <w:t xml:space="preserve"> are estimated on the fact that each vessels will have to comply with the following information obligations: </w:t>
      </w:r>
    </w:p>
    <w:p>
      <w:pPr>
        <w:pStyle w:val="ListParagraph"/>
        <w:numPr>
          <w:ilvl w:val="0"/>
          <w:numId w:val="13"/>
        </w:numPr>
        <w:jc w:val="both"/>
        <w:rPr>
          <w:rFonts w:ascii="Times New Roman" w:hAnsi="Times New Roman" w:cs="Times New Roman"/>
          <w:noProof/>
          <w:sz w:val="24"/>
          <w:szCs w:val="24"/>
        </w:rPr>
      </w:pPr>
      <w:r>
        <w:rPr>
          <w:rFonts w:ascii="Times New Roman" w:hAnsi="Times New Roman" w:cs="Times New Roman"/>
          <w:i/>
          <w:noProof/>
          <w:sz w:val="24"/>
          <w:szCs w:val="24"/>
        </w:rPr>
        <w:t>Annual energy compliance plan</w:t>
      </w:r>
      <w:r>
        <w:rPr>
          <w:rFonts w:ascii="Times New Roman" w:hAnsi="Times New Roman" w:cs="Times New Roman"/>
          <w:b/>
          <w:noProof/>
          <w:sz w:val="24"/>
          <w:szCs w:val="24"/>
        </w:rPr>
        <w:t>:</w:t>
      </w:r>
      <w:r>
        <w:rPr>
          <w:rFonts w:ascii="Times New Roman" w:hAnsi="Times New Roman" w:cs="Times New Roman"/>
          <w:noProof/>
          <w:sz w:val="24"/>
          <w:szCs w:val="24"/>
        </w:rPr>
        <w:t xml:space="preserve"> Each vessel has to prepare an annual compliance plan, which describes which fuels and technologies the ship is planning to use. This plan builds on the EU MRV Monitoring plan and includes additional emissions as well as energy sources. The same conservative assumptions have been used as in the EU MRV Impact Assessment</w:t>
      </w:r>
      <w:r>
        <w:rPr>
          <w:rStyle w:val="FootnoteReference"/>
          <w:noProof/>
          <w:sz w:val="20"/>
        </w:rPr>
        <w:footnoteReference w:id="119"/>
      </w:r>
      <w:r>
        <w:rPr>
          <w:rFonts w:ascii="Times New Roman" w:hAnsi="Times New Roman" w:cs="Times New Roman"/>
          <w:noProof/>
          <w:sz w:val="24"/>
          <w:szCs w:val="24"/>
        </w:rPr>
        <w:t xml:space="preserve"> for the preparation of the entire Monitoring plan (i.e. 40 hours per ship over the period of 10 years). </w:t>
      </w:r>
    </w:p>
    <w:p>
      <w:pPr>
        <w:pStyle w:val="ListParagraph"/>
        <w:numPr>
          <w:ilvl w:val="0"/>
          <w:numId w:val="13"/>
        </w:numPr>
        <w:jc w:val="both"/>
        <w:rPr>
          <w:rFonts w:ascii="Times New Roman" w:hAnsi="Times New Roman" w:cs="Times New Roman"/>
          <w:noProof/>
          <w:sz w:val="24"/>
          <w:szCs w:val="24"/>
        </w:rPr>
      </w:pPr>
      <w:r>
        <w:rPr>
          <w:rFonts w:ascii="Times New Roman" w:hAnsi="Times New Roman" w:cs="Times New Roman"/>
          <w:i/>
          <w:noProof/>
          <w:sz w:val="24"/>
          <w:szCs w:val="24"/>
        </w:rPr>
        <w:t>Annual energy report:</w:t>
      </w:r>
      <w:r>
        <w:rPr>
          <w:rFonts w:ascii="Times New Roman" w:hAnsi="Times New Roman" w:cs="Times New Roman"/>
          <w:noProof/>
          <w:sz w:val="24"/>
          <w:szCs w:val="24"/>
        </w:rPr>
        <w:t xml:space="preserve"> The annual energy report is the calculation of the annual energy consumption of the vessel, broken down to different energy sources/types of fuel and to navigation and berth. This report builds on the EU MRV Emission report, but is more extensive as well-to-tank, non-CO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and OPS/electricity consumption are included as well. The targeted survey asked about the corresponding administrative cost. 8 out of 9 respondents indicated that for ship owners, the reporting time would increase by two hours at most, per voyage. However, it could not be verified to what extent the reply already included the existing requirements of EU MRV Regulation (i.e. part of the baseline) or whether only additional elements were included. It can be assumed that specific information on the use of OPS is already included in such reporting (as they would, at least partly, replace the fuel use currently reported at berth), based on information supplied by the electricity supplier (i.e. electricity bills). Similarly for the use of THETIS-MRV system: ship owners and operators are already using it and thus, it will only incur incremental familiarisation cost.</w:t>
      </w:r>
    </w:p>
    <w:p>
      <w:pPr>
        <w:pStyle w:val="ListParagraph"/>
        <w:numPr>
          <w:ilvl w:val="0"/>
          <w:numId w:val="13"/>
        </w:numPr>
        <w:jc w:val="both"/>
        <w:rPr>
          <w:rFonts w:ascii="Times New Roman" w:hAnsi="Times New Roman" w:cs="Times New Roman"/>
          <w:noProof/>
          <w:sz w:val="24"/>
          <w:szCs w:val="24"/>
        </w:rPr>
      </w:pPr>
      <w:r>
        <w:rPr>
          <w:rFonts w:ascii="Times New Roman" w:hAnsi="Times New Roman" w:cs="Times New Roman"/>
          <w:i/>
          <w:noProof/>
          <w:sz w:val="24"/>
          <w:szCs w:val="24"/>
        </w:rPr>
        <w:t>Proof of compliance:</w:t>
      </w:r>
      <w:r>
        <w:rPr>
          <w:rFonts w:ascii="Times New Roman" w:hAnsi="Times New Roman" w:cs="Times New Roman"/>
          <w:noProof/>
          <w:sz w:val="24"/>
          <w:szCs w:val="24"/>
        </w:rPr>
        <w:t xml:space="preserve"> Each ship has to carry a document of compliance and cooperate during PSC inspections. The first requirement will not impose any additional administrative costs, as the document is supplied by the verifier, and thus only has to be carried on board. The only action during PSC is to retrieve the document of compliance and show it to the inspector. The additional administrative costs of this will be a maximum of 15 minutes per inspected ship. </w:t>
      </w:r>
    </w:p>
    <w:p>
      <w:pPr>
        <w:pStyle w:val="ListParagraph"/>
        <w:numPr>
          <w:ilvl w:val="0"/>
          <w:numId w:val="13"/>
        </w:numPr>
        <w:jc w:val="both"/>
        <w:rPr>
          <w:rFonts w:ascii="Times New Roman" w:hAnsi="Times New Roman" w:cs="Times New Roman"/>
          <w:noProof/>
          <w:sz w:val="24"/>
          <w:szCs w:val="24"/>
        </w:rPr>
      </w:pPr>
      <w:r>
        <w:rPr>
          <w:rFonts w:ascii="Times New Roman" w:hAnsi="Times New Roman" w:cs="Times New Roman"/>
          <w:noProof/>
          <w:sz w:val="24"/>
          <w:szCs w:val="24"/>
        </w:rPr>
        <w:t>The administrative costs incurred by operators will also cover the training needs to ensure the safe switch to RLF on-board ships. Furthermore it is assumed that training for alternative fuels will become standard in training programs for new seafarers in 2035. This means that only the ships which switch to RLF before 2035 would need to invest in additional training.</w:t>
      </w:r>
    </w:p>
    <w:p>
      <w:pPr>
        <w:jc w:val="both"/>
        <w:rPr>
          <w:rFonts w:ascii="Times New Roman" w:hAnsi="Times New Roman" w:cs="Times New Roman"/>
          <w:noProof/>
          <w:sz w:val="24"/>
          <w:szCs w:val="24"/>
        </w:rPr>
      </w:pPr>
      <w:r>
        <w:rPr>
          <w:rFonts w:ascii="Times New Roman" w:hAnsi="Times New Roman" w:cs="Times New Roman"/>
          <w:b/>
          <w:noProof/>
          <w:sz w:val="24"/>
          <w:szCs w:val="24"/>
        </w:rPr>
        <w:t>Administrative cost for bunker suppliers</w:t>
      </w:r>
      <w:r>
        <w:rPr>
          <w:rFonts w:ascii="Times New Roman" w:hAnsi="Times New Roman" w:cs="Times New Roman"/>
          <w:noProof/>
          <w:sz w:val="24"/>
          <w:szCs w:val="24"/>
        </w:rPr>
        <w:t xml:space="preserve"> will primarily consist of certification of fuel and upstream emissions/sustainability criteria. The certification requirements will build on existing provisions and sustainability criteria in the RED II. Fuel producers already have experience with certification of biofuels under RED. When a new (bio)fuel needs to be certified, for instance under the International Sustainability &amp; Carbon Certification Scheme (ISCC), the entire supply chain has to be certified</w:t>
      </w:r>
      <w:r>
        <w:rPr>
          <w:rStyle w:val="FootnoteReference"/>
          <w:rFonts w:ascii="Times New Roman" w:hAnsi="Times New Roman" w:cs="Times New Roman"/>
          <w:noProof/>
          <w:sz w:val="24"/>
          <w:szCs w:val="24"/>
        </w:rPr>
        <w:footnoteReference w:id="120"/>
      </w:r>
      <w:r>
        <w:rPr>
          <w:rFonts w:ascii="Times New Roman" w:hAnsi="Times New Roman" w:cs="Times New Roman"/>
          <w:noProof/>
          <w:sz w:val="24"/>
          <w:szCs w:val="24"/>
        </w:rPr>
        <w:t xml:space="preserve">. Certification schemes mostly have one-time registration fees that vary between €50 and €500, so these are one-off costs. Annual fees per certificate vary from €50 to €500 as well. Finally, fees have to be paid per quantity of material declared as sustainable. These fees range between €0.03 and €0.10 per metric ton. The costs of an external audit can range from €800 to €2,000 per day. It has not been possible to estimate how many certification schemes would be established or what the exact impact of certifying upstream emissions would be (several fuel producers have been interviewed, but none were able to make an estimate of the effort needed for certification). However, based on the illustrative costs listed above, it can be assumed that the overall certification costs will not have significant impact on the price of alternative fuels. </w:t>
      </w:r>
    </w:p>
    <w:p>
      <w:pPr>
        <w:jc w:val="both"/>
        <w:rPr>
          <w:rFonts w:ascii="Times New Roman" w:hAnsi="Times New Roman" w:cs="Times New Roman"/>
          <w:noProof/>
          <w:sz w:val="24"/>
          <w:szCs w:val="24"/>
          <w:lang w:val="en-IE"/>
        </w:rPr>
      </w:pPr>
      <w:r>
        <w:rPr>
          <w:rFonts w:ascii="Times New Roman" w:hAnsi="Times New Roman" w:cs="Times New Roman"/>
          <w:b/>
          <w:noProof/>
          <w:sz w:val="24"/>
          <w:szCs w:val="24"/>
          <w:lang w:val="en-IE"/>
        </w:rPr>
        <w:t xml:space="preserve">Administrative costs for ports </w:t>
      </w:r>
      <w:r>
        <w:rPr>
          <w:rFonts w:ascii="Times New Roman" w:hAnsi="Times New Roman" w:cs="Times New Roman"/>
          <w:noProof/>
          <w:sz w:val="24"/>
          <w:szCs w:val="24"/>
          <w:lang w:val="en-IE"/>
        </w:rPr>
        <w:t xml:space="preserve">are more modest and relate to the publication of guidelines and the revision of ports regulations to cover the safe handling, bunkering and use of RLF. It is expected that around one third of EU ports will be affected by a significant increase in new safety guidelines.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_Ref63434020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8</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presents an overview of these costs for the entire period 2021-2050, expressed as present value. </w:t>
      </w:r>
      <w:r>
        <w:rPr>
          <w:rFonts w:ascii="Times New Roman" w:hAnsi="Times New Roman" w:cs="Times New Roman"/>
          <w:noProof/>
          <w:sz w:val="24"/>
          <w:szCs w:val="24"/>
        </w:rPr>
        <w:t>More details on the assumptions used for calculating the costs are provided in Annex 4.</w:t>
      </w:r>
    </w:p>
    <w:p>
      <w:pPr>
        <w:pStyle w:val="Caption"/>
        <w:spacing w:after="120"/>
        <w:rPr>
          <w:noProof/>
        </w:rPr>
      </w:pPr>
      <w:bookmarkStart w:id="259" w:name="_Ref63434020"/>
      <w:r>
        <w:rPr>
          <w:noProof/>
        </w:rPr>
        <w:t xml:space="preserve">Table </w:t>
      </w:r>
      <w:r>
        <w:rPr>
          <w:noProof/>
        </w:rPr>
        <w:fldChar w:fldCharType="begin"/>
      </w:r>
      <w:r>
        <w:rPr>
          <w:noProof/>
        </w:rPr>
        <w:instrText xml:space="preserve"> SEQ Table \* ARABIC </w:instrText>
      </w:r>
      <w:r>
        <w:rPr>
          <w:noProof/>
        </w:rPr>
        <w:fldChar w:fldCharType="separate"/>
      </w:r>
      <w:r>
        <w:rPr>
          <w:noProof/>
        </w:rPr>
        <w:t>8</w:t>
      </w:r>
      <w:r>
        <w:rPr>
          <w:noProof/>
        </w:rPr>
        <w:fldChar w:fldCharType="end"/>
      </w:r>
      <w:bookmarkEnd w:id="259"/>
      <w:r>
        <w:rPr>
          <w:noProof/>
        </w:rPr>
        <w:t xml:space="preserve"> Total costs relative to the baseline, expressed as present value for the period 2021-2050</w:t>
      </w:r>
    </w:p>
    <w:tbl>
      <w:tblPr>
        <w:tblW w:w="5000" w:type="pct"/>
        <w:tblCellMar>
          <w:left w:w="70" w:type="dxa"/>
          <w:right w:w="70" w:type="dxa"/>
        </w:tblCellMar>
        <w:tblLook w:val="04A0" w:firstRow="1" w:lastRow="0" w:firstColumn="1" w:lastColumn="0" w:noHBand="0" w:noVBand="1"/>
      </w:tblPr>
      <w:tblGrid>
        <w:gridCol w:w="5198"/>
        <w:gridCol w:w="1243"/>
        <w:gridCol w:w="1243"/>
        <w:gridCol w:w="1243"/>
      </w:tblGrid>
      <w:tr>
        <w:trPr>
          <w:trHeight w:val="460"/>
        </w:trPr>
        <w:tc>
          <w:tcPr>
            <w:tcW w:w="2912" w:type="pct"/>
            <w:tcBorders>
              <w:top w:val="single" w:sz="4" w:space="0" w:color="auto"/>
              <w:left w:val="single" w:sz="4" w:space="0" w:color="auto"/>
              <w:bottom w:val="single" w:sz="4" w:space="0" w:color="auto"/>
              <w:right w:val="single" w:sz="4" w:space="0" w:color="auto"/>
            </w:tcBorders>
            <w:shd w:val="clear" w:color="000000" w:fill="FFFFFF"/>
            <w:vAlign w:val="center"/>
            <w:hideMark/>
          </w:tcPr>
          <w:p>
            <w:pPr>
              <w:rPr>
                <w:rFonts w:ascii="Times New Roman" w:eastAsia="Times New Roman" w:hAnsi="Times New Roman" w:cs="Times New Roman"/>
                <w:b/>
                <w:bCs/>
                <w:noProof/>
                <w:sz w:val="18"/>
                <w:szCs w:val="18"/>
                <w:lang w:val="en-IE" w:eastAsia="fr-BE"/>
              </w:rPr>
            </w:pPr>
            <w:r>
              <w:rPr>
                <w:rFonts w:ascii="Times New Roman" w:eastAsia="Times New Roman" w:hAnsi="Times New Roman" w:cs="Times New Roman"/>
                <w:b/>
                <w:bCs/>
                <w:noProof/>
                <w:sz w:val="18"/>
                <w:szCs w:val="18"/>
                <w:lang w:val="en-IE" w:eastAsia="fr-BE"/>
              </w:rPr>
              <w:t>Administrative costs - present value for 2021-2050 compared to Baseline (million €'2015)</w:t>
            </w:r>
          </w:p>
        </w:tc>
        <w:tc>
          <w:tcPr>
            <w:tcW w:w="696"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PO1</w:t>
            </w:r>
          </w:p>
        </w:tc>
        <w:tc>
          <w:tcPr>
            <w:tcW w:w="696"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PO2</w:t>
            </w:r>
          </w:p>
        </w:tc>
        <w:tc>
          <w:tcPr>
            <w:tcW w:w="696"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PO3</w:t>
            </w:r>
          </w:p>
        </w:tc>
      </w:tr>
      <w:tr>
        <w:trPr>
          <w:trHeight w:val="230"/>
        </w:trPr>
        <w:tc>
          <w:tcPr>
            <w:tcW w:w="2912" w:type="pct"/>
            <w:tcBorders>
              <w:top w:val="nil"/>
              <w:left w:val="single" w:sz="4" w:space="0" w:color="auto"/>
              <w:bottom w:val="single" w:sz="4" w:space="0" w:color="auto"/>
              <w:right w:val="single" w:sz="4" w:space="0" w:color="auto"/>
            </w:tcBorders>
            <w:shd w:val="clear" w:color="000000" w:fill="FFFFFF"/>
            <w:vAlign w:val="center"/>
            <w:hideMark/>
          </w:tcPr>
          <w:p>
            <w:pPr>
              <w:spacing w:after="0" w:line="240" w:lineRule="auto"/>
              <w:rPr>
                <w:rFonts w:ascii="Times New Roman" w:eastAsia="Times New Roman" w:hAnsi="Times New Roman" w:cs="Times New Roman"/>
                <w:b/>
                <w:bCs/>
                <w:noProof/>
                <w:sz w:val="18"/>
                <w:szCs w:val="18"/>
                <w:lang w:val="en-IE" w:eastAsia="fr-BE"/>
              </w:rPr>
            </w:pPr>
            <w:r>
              <w:rPr>
                <w:rFonts w:ascii="Times New Roman" w:eastAsia="Times New Roman" w:hAnsi="Times New Roman" w:cs="Times New Roman"/>
                <w:b/>
                <w:bCs/>
                <w:noProof/>
                <w:sz w:val="18"/>
                <w:szCs w:val="18"/>
                <w:lang w:val="en-IE" w:eastAsia="fr-BE"/>
              </w:rPr>
              <w:t xml:space="preserve">Administrative costs of ship owners </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439.0</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439.4</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439.7</w:t>
            </w:r>
          </w:p>
        </w:tc>
      </w:tr>
      <w:tr>
        <w:trPr>
          <w:trHeight w:val="230"/>
        </w:trPr>
        <w:tc>
          <w:tcPr>
            <w:tcW w:w="291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en-IE" w:eastAsia="fr-BE"/>
              </w:rPr>
            </w:pPr>
            <w:r>
              <w:rPr>
                <w:rFonts w:ascii="Times New Roman" w:eastAsia="Times New Roman" w:hAnsi="Times New Roman" w:cs="Times New Roman"/>
                <w:noProof/>
                <w:sz w:val="18"/>
                <w:szCs w:val="18"/>
                <w:lang w:val="en-IE" w:eastAsia="fr-BE"/>
              </w:rPr>
              <w:t>Prepare and submit annual energy compliance plan</w:t>
            </w:r>
            <w:r>
              <w:rPr>
                <w:rFonts w:ascii="Times New Roman" w:eastAsia="Times New Roman" w:hAnsi="Times New Roman" w:cs="Times New Roman"/>
                <w:noProof/>
                <w:color w:val="000000"/>
                <w:sz w:val="18"/>
                <w:szCs w:val="18"/>
                <w:lang w:val="en-IE" w:eastAsia="fr-BE"/>
              </w:rPr>
              <w:t xml:space="preserve"> </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32.8</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32.8</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32.8</w:t>
            </w:r>
          </w:p>
        </w:tc>
      </w:tr>
      <w:tr>
        <w:trPr>
          <w:trHeight w:val="230"/>
        </w:trPr>
        <w:tc>
          <w:tcPr>
            <w:tcW w:w="291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en-IE" w:eastAsia="fr-BE"/>
              </w:rPr>
            </w:pPr>
            <w:r>
              <w:rPr>
                <w:rFonts w:ascii="Times New Roman" w:eastAsia="Times New Roman" w:hAnsi="Times New Roman" w:cs="Times New Roman"/>
                <w:noProof/>
                <w:sz w:val="18"/>
                <w:szCs w:val="18"/>
                <w:lang w:val="en-IE" w:eastAsia="fr-BE"/>
              </w:rPr>
              <w:t>Collecting additional information (per voyage)</w:t>
            </w:r>
            <w:r>
              <w:rPr>
                <w:rFonts w:ascii="Times New Roman" w:eastAsia="Times New Roman" w:hAnsi="Times New Roman" w:cs="Times New Roman"/>
                <w:noProof/>
                <w:color w:val="000000"/>
                <w:sz w:val="18"/>
                <w:szCs w:val="18"/>
                <w:lang w:val="en-IE" w:eastAsia="fr-BE"/>
              </w:rPr>
              <w:t xml:space="preserve"> </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335.3</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335.3</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335.3</w:t>
            </w:r>
          </w:p>
        </w:tc>
      </w:tr>
      <w:tr>
        <w:trPr>
          <w:trHeight w:val="230"/>
        </w:trPr>
        <w:tc>
          <w:tcPr>
            <w:tcW w:w="291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Cooperate during PSC inspection</w:t>
            </w:r>
            <w:r>
              <w:rPr>
                <w:rFonts w:ascii="Times New Roman" w:eastAsia="Times New Roman" w:hAnsi="Times New Roman" w:cs="Times New Roman"/>
                <w:noProof/>
                <w:color w:val="000000"/>
                <w:sz w:val="18"/>
                <w:szCs w:val="18"/>
                <w:lang w:val="fr-BE" w:eastAsia="fr-BE"/>
              </w:rPr>
              <w:t xml:space="preserve"> </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w:t>
            </w:r>
          </w:p>
        </w:tc>
      </w:tr>
      <w:tr>
        <w:trPr>
          <w:trHeight w:val="230"/>
        </w:trPr>
        <w:tc>
          <w:tcPr>
            <w:tcW w:w="291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 xml:space="preserve">Crew training </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69.8</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70.2</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70.5</w:t>
            </w:r>
          </w:p>
        </w:tc>
      </w:tr>
      <w:tr>
        <w:trPr>
          <w:trHeight w:val="230"/>
        </w:trPr>
        <w:tc>
          <w:tcPr>
            <w:tcW w:w="291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b/>
                <w:bCs/>
                <w:noProof/>
                <w:color w:val="000000"/>
                <w:sz w:val="18"/>
                <w:szCs w:val="18"/>
                <w:lang w:val="en-IE" w:eastAsia="fr-BE"/>
              </w:rPr>
            </w:pPr>
            <w:r>
              <w:rPr>
                <w:rFonts w:ascii="Times New Roman" w:eastAsia="Times New Roman" w:hAnsi="Times New Roman" w:cs="Times New Roman"/>
                <w:b/>
                <w:bCs/>
                <w:noProof/>
                <w:color w:val="000000"/>
                <w:sz w:val="18"/>
                <w:szCs w:val="18"/>
                <w:lang w:val="en-IE" w:eastAsia="fr-BE"/>
              </w:rPr>
              <w:t xml:space="preserve">Administrative costs for port authorities </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1.8</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1.8</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1.8</w:t>
            </w:r>
          </w:p>
        </w:tc>
      </w:tr>
      <w:tr>
        <w:trPr>
          <w:trHeight w:val="230"/>
        </w:trPr>
        <w:tc>
          <w:tcPr>
            <w:tcW w:w="2912"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en-IE" w:eastAsia="fr-BE"/>
              </w:rPr>
            </w:pPr>
            <w:r>
              <w:rPr>
                <w:rFonts w:ascii="Times New Roman" w:eastAsia="Times New Roman" w:hAnsi="Times New Roman" w:cs="Times New Roman"/>
                <w:noProof/>
                <w:sz w:val="18"/>
                <w:szCs w:val="18"/>
                <w:lang w:val="en-IE" w:eastAsia="fr-BE"/>
              </w:rPr>
              <w:t>Set up guidelines in ports</w:t>
            </w:r>
            <w:r>
              <w:rPr>
                <w:rFonts w:ascii="Times New Roman" w:eastAsia="Times New Roman" w:hAnsi="Times New Roman" w:cs="Times New Roman"/>
                <w:noProof/>
                <w:color w:val="000000"/>
                <w:sz w:val="18"/>
                <w:szCs w:val="18"/>
                <w:lang w:val="en-IE" w:eastAsia="fr-BE"/>
              </w:rPr>
              <w:t xml:space="preserve"> </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1.8</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1.8</w:t>
            </w:r>
          </w:p>
        </w:tc>
        <w:tc>
          <w:tcPr>
            <w:tcW w:w="69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1.8</w:t>
            </w:r>
          </w:p>
        </w:tc>
      </w:tr>
    </w:tbl>
    <w:p>
      <w:pPr>
        <w:pStyle w:val="bronvermelding"/>
        <w:rPr>
          <w:rFonts w:eastAsia="Arial"/>
          <w:noProof/>
        </w:rPr>
      </w:pPr>
      <w:r>
        <w:rPr>
          <w:rFonts w:eastAsia="Arial"/>
          <w:noProof/>
        </w:rPr>
        <w:t>Source: Ecorys / CE Delft forthcoming, and own calculations</w:t>
      </w:r>
    </w:p>
    <w:p>
      <w:pPr>
        <w:pStyle w:val="DefaultText"/>
        <w:rPr>
          <w:noProof/>
          <w:sz w:val="6"/>
        </w:rPr>
      </w:pPr>
    </w:p>
    <w:p>
      <w:pPr>
        <w:pStyle w:val="Heading3"/>
        <w:rPr>
          <w:noProof/>
        </w:rPr>
      </w:pPr>
      <w:bookmarkStart w:id="260" w:name="_Toc57907296"/>
      <w:bookmarkStart w:id="261" w:name="_Toc59152630"/>
      <w:bookmarkStart w:id="262" w:name="_Toc63426144"/>
      <w:bookmarkStart w:id="263" w:name="_Ref63436241"/>
      <w:bookmarkStart w:id="264" w:name="_Toc63438490"/>
      <w:r>
        <w:rPr>
          <w:noProof/>
        </w:rPr>
        <w:t>Enforcement costs</w:t>
      </w:r>
      <w:bookmarkEnd w:id="260"/>
      <w:bookmarkEnd w:id="261"/>
      <w:bookmarkEnd w:id="262"/>
      <w:bookmarkEnd w:id="263"/>
      <w:bookmarkEnd w:id="264"/>
      <w:r>
        <w:rPr>
          <w:noProof/>
        </w:rPr>
        <w:t xml:space="preserve">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Similarly to the EU MRV, third-party verifiers will verify the documents supplied by operators to check compliance. As the information requirements are based on the ones used for the EU MRV Regulation (including in terms of timing and expected IT system), it is reasonable to expect that the same entity will be tasked by the ship owners to verify compliance with both regulations. The new tasks for the verifiers will be to verify the additional elements contained in the annual energy compliance plan and the annual energy report, to establish compliance with the required RLF use.</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During the targeted consultation, the verifiers assumed that several hours are needed for the necessary verification per single ship on an annual basis and indicated in an interview that if the EU has a regulatory requirement that needs to be verified, the verifiers will step up to meet the challenge.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As the reporting and verification system is similar in all options, the additional costs relative to the baseline are the same in all options. They are based on the conservative assumption that 5 hours would be need to verify the additional elements in both the annual energy report as well as the energy compliance plan.</w:t>
      </w:r>
      <w:r>
        <w:rPr>
          <w:rStyle w:val="FootnoteReference"/>
          <w:rFonts w:ascii="Times New Roman" w:hAnsi="Times New Roman" w:cs="Times New Roman"/>
          <w:noProof/>
          <w:sz w:val="24"/>
          <w:szCs w:val="24"/>
          <w:lang w:val="en-IE"/>
        </w:rPr>
        <w:footnoteReference w:id="121"/>
      </w:r>
      <w:r>
        <w:rPr>
          <w:rFonts w:ascii="Times New Roman" w:hAnsi="Times New Roman" w:cs="Times New Roman"/>
          <w:noProof/>
          <w:sz w:val="24"/>
          <w:szCs w:val="24"/>
          <w:lang w:val="en-IE"/>
        </w:rPr>
        <w:t xml:space="preserve"> Ensuring that a ship has met its obligations before issuing a Document of Compliance is an important element of the intervention to ensure that non-compliance do not get a competitive advantage from fuel costs savings.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On the side of the public administrations, a PSC officer will have to determine whether the Document of Compliance is on board (similar assumption as above is made of 15 minutes per inspection, which is the upper bound based on a conservative assumption that each vessel under EU MRV Regulation is inspected every year). At the same time, it is proposed to allow for the use of electronic certificates, which can remove the need for a physical check in its entirety.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Furthermore, additional one-off cost for adapting the EU MRV IT system (THETIS-MRV) should be foreseen for the EU budget to accommodate the additional information as well as additional functionalities related to the RLF obligations. In addition, a new module in THETIS-EU should support PSC officers as well as EU flag state inspectors in their work. Based on the cost of THETIS-MRV</w:t>
      </w:r>
      <w:r>
        <w:rPr>
          <w:rStyle w:val="FootnoteReference"/>
          <w:rFonts w:ascii="Times New Roman" w:hAnsi="Times New Roman" w:cs="Times New Roman"/>
          <w:noProof/>
          <w:sz w:val="24"/>
          <w:szCs w:val="24"/>
          <w:lang w:val="en-IE"/>
        </w:rPr>
        <w:footnoteReference w:id="122"/>
      </w:r>
      <w:r>
        <w:rPr>
          <w:rFonts w:ascii="Times New Roman" w:hAnsi="Times New Roman" w:cs="Times New Roman"/>
          <w:noProof/>
          <w:sz w:val="24"/>
          <w:szCs w:val="24"/>
          <w:lang w:val="en-IE"/>
        </w:rPr>
        <w:t xml:space="preserve"> and experience with existing THETIS-EU modules supporting various pieces of EU legislation, such IT-developments costs are estimated at €300,000. PO3 would need an additional tool to support the tool to trace and, whenever necessary, balance over- or under-compliance. This tool is estimated to cost €200,000.</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_Ref63434040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9</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summarises all enforcement costs relative to the baseline for the period 2021-2050, expressed as present value. </w:t>
      </w:r>
      <w:r>
        <w:rPr>
          <w:rFonts w:ascii="Times New Roman" w:hAnsi="Times New Roman" w:cs="Times New Roman"/>
          <w:noProof/>
          <w:sz w:val="24"/>
          <w:szCs w:val="24"/>
        </w:rPr>
        <w:t>More details on the assumptions used for calculating the costs are provided in Annex 4.</w:t>
      </w:r>
    </w:p>
    <w:p>
      <w:pPr>
        <w:pStyle w:val="Caption"/>
        <w:spacing w:after="120"/>
        <w:rPr>
          <w:rFonts w:ascii="Times New Roman" w:hAnsi="Times New Roman" w:cs="Times New Roman"/>
          <w:noProof/>
          <w:sz w:val="24"/>
          <w:szCs w:val="24"/>
          <w:lang w:val="en-IE"/>
        </w:rPr>
      </w:pPr>
      <w:bookmarkStart w:id="265" w:name="_Ref63434040"/>
      <w:r>
        <w:rPr>
          <w:noProof/>
        </w:rPr>
        <w:t xml:space="preserve">Table </w:t>
      </w:r>
      <w:r>
        <w:rPr>
          <w:noProof/>
        </w:rPr>
        <w:fldChar w:fldCharType="begin"/>
      </w:r>
      <w:r>
        <w:rPr>
          <w:noProof/>
        </w:rPr>
        <w:instrText xml:space="preserve"> SEQ Table \* ARABIC </w:instrText>
      </w:r>
      <w:r>
        <w:rPr>
          <w:noProof/>
        </w:rPr>
        <w:fldChar w:fldCharType="separate"/>
      </w:r>
      <w:r>
        <w:rPr>
          <w:noProof/>
        </w:rPr>
        <w:t>9</w:t>
      </w:r>
      <w:r>
        <w:rPr>
          <w:noProof/>
        </w:rPr>
        <w:fldChar w:fldCharType="end"/>
      </w:r>
      <w:bookmarkEnd w:id="265"/>
      <w:r>
        <w:rPr>
          <w:noProof/>
        </w:rPr>
        <w:t xml:space="preserve"> Summary of the enforcement costs for the period 2021-2050</w:t>
      </w:r>
    </w:p>
    <w:tbl>
      <w:tblPr>
        <w:tblW w:w="5000" w:type="pct"/>
        <w:tblLook w:val="04A0" w:firstRow="1" w:lastRow="0" w:firstColumn="1" w:lastColumn="0" w:noHBand="0" w:noVBand="1"/>
      </w:tblPr>
      <w:tblGrid>
        <w:gridCol w:w="4932"/>
        <w:gridCol w:w="1354"/>
        <w:gridCol w:w="1354"/>
        <w:gridCol w:w="1363"/>
      </w:tblGrid>
      <w:tr>
        <w:trPr>
          <w:trHeight w:val="412"/>
        </w:trPr>
        <w:tc>
          <w:tcPr>
            <w:tcW w:w="2739" w:type="pct"/>
            <w:tcBorders>
              <w:top w:val="single" w:sz="4" w:space="0" w:color="auto"/>
              <w:left w:val="single" w:sz="4" w:space="0" w:color="auto"/>
              <w:bottom w:val="single" w:sz="4" w:space="0" w:color="auto"/>
              <w:right w:val="single" w:sz="4" w:space="0" w:color="auto"/>
            </w:tcBorders>
            <w:shd w:val="clear" w:color="000000" w:fill="FFFFFF"/>
            <w:vAlign w:val="center"/>
            <w:hideMark/>
          </w:tcPr>
          <w:p>
            <w:pPr>
              <w:spacing w:after="0" w:line="240" w:lineRule="auto"/>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Administrative costs - present value for 2021-2050 compared to Baseline (million €'2015)</w:t>
            </w:r>
          </w:p>
        </w:tc>
        <w:tc>
          <w:tcPr>
            <w:tcW w:w="752"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PO1</w:t>
            </w:r>
          </w:p>
        </w:tc>
        <w:tc>
          <w:tcPr>
            <w:tcW w:w="752"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PO2</w:t>
            </w:r>
          </w:p>
        </w:tc>
        <w:tc>
          <w:tcPr>
            <w:tcW w:w="757"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PO3</w:t>
            </w:r>
          </w:p>
        </w:tc>
      </w:tr>
      <w:tr>
        <w:trPr>
          <w:trHeight w:val="206"/>
        </w:trPr>
        <w:tc>
          <w:tcPr>
            <w:tcW w:w="2739"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b/>
                <w:bCs/>
                <w:noProof/>
                <w:color w:val="000000"/>
                <w:sz w:val="18"/>
                <w:szCs w:val="16"/>
                <w:lang w:val="en-IE" w:eastAsia="en-IE"/>
              </w:rPr>
            </w:pPr>
            <w:r>
              <w:rPr>
                <w:rFonts w:ascii="Times New Roman" w:eastAsia="Times New Roman" w:hAnsi="Times New Roman" w:cs="Times New Roman"/>
                <w:b/>
                <w:bCs/>
                <w:noProof/>
                <w:color w:val="000000"/>
                <w:sz w:val="18"/>
                <w:szCs w:val="16"/>
                <w:lang w:val="en-IE" w:eastAsia="en-IE"/>
              </w:rPr>
              <w:t xml:space="preserve">Total enforcement costs  </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83.3</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83.3</w:t>
            </w:r>
          </w:p>
        </w:tc>
        <w:tc>
          <w:tcPr>
            <w:tcW w:w="757"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83.5</w:t>
            </w:r>
          </w:p>
        </w:tc>
      </w:tr>
      <w:tr>
        <w:trPr>
          <w:trHeight w:val="206"/>
        </w:trPr>
        <w:tc>
          <w:tcPr>
            <w:tcW w:w="2739"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Verify annual emissions report</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41.0</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41.0</w:t>
            </w:r>
          </w:p>
        </w:tc>
        <w:tc>
          <w:tcPr>
            <w:tcW w:w="757"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41.0</w:t>
            </w:r>
          </w:p>
        </w:tc>
      </w:tr>
      <w:tr>
        <w:trPr>
          <w:trHeight w:val="206"/>
        </w:trPr>
        <w:tc>
          <w:tcPr>
            <w:tcW w:w="2739"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Approve annual compliance plan</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41.0</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41.0</w:t>
            </w:r>
          </w:p>
        </w:tc>
        <w:tc>
          <w:tcPr>
            <w:tcW w:w="757"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41.0</w:t>
            </w:r>
          </w:p>
        </w:tc>
      </w:tr>
      <w:tr>
        <w:trPr>
          <w:trHeight w:val="206"/>
        </w:trPr>
        <w:tc>
          <w:tcPr>
            <w:tcW w:w="2739"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Additional time during audits/inspections</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1.0</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1.0</w:t>
            </w:r>
          </w:p>
        </w:tc>
        <w:tc>
          <w:tcPr>
            <w:tcW w:w="757"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1.0</w:t>
            </w:r>
          </w:p>
        </w:tc>
      </w:tr>
      <w:tr>
        <w:trPr>
          <w:trHeight w:val="206"/>
        </w:trPr>
        <w:tc>
          <w:tcPr>
            <w:tcW w:w="2739"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Adaptation to the IT system</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0.3</w:t>
            </w:r>
          </w:p>
        </w:tc>
        <w:tc>
          <w:tcPr>
            <w:tcW w:w="75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0.3</w:t>
            </w:r>
          </w:p>
        </w:tc>
        <w:tc>
          <w:tcPr>
            <w:tcW w:w="757"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0.5</w:t>
            </w:r>
          </w:p>
        </w:tc>
      </w:tr>
    </w:tbl>
    <w:p>
      <w:pPr>
        <w:pStyle w:val="bronvermelding"/>
        <w:rPr>
          <w:rFonts w:eastAsia="Arial"/>
          <w:noProof/>
          <w:lang w:val="en-IE"/>
        </w:rPr>
      </w:pPr>
      <w:r>
        <w:rPr>
          <w:rFonts w:eastAsia="Arial"/>
          <w:noProof/>
          <w:lang w:val="en-IE"/>
        </w:rPr>
        <w:t>Source: Ecorys / CE Delft forthcoming, EMSA 2020, and own calculations</w:t>
      </w:r>
    </w:p>
    <w:p>
      <w:pPr>
        <w:jc w:val="both"/>
        <w:rPr>
          <w:rFonts w:ascii="Times New Roman" w:hAnsi="Times New Roman" w:cs="Times New Roman"/>
          <w:noProof/>
          <w:sz w:val="4"/>
          <w:szCs w:val="24"/>
          <w:lang w:val="en-IE"/>
        </w:rPr>
      </w:pPr>
    </w:p>
    <w:p>
      <w:pPr>
        <w:pStyle w:val="Heading3"/>
        <w:rPr>
          <w:noProof/>
        </w:rPr>
      </w:pPr>
      <w:bookmarkStart w:id="266" w:name="_Toc57907297"/>
      <w:bookmarkStart w:id="267" w:name="_Toc59152631"/>
      <w:bookmarkStart w:id="268" w:name="_Toc63426145"/>
      <w:bookmarkStart w:id="269" w:name="_Ref63436268"/>
      <w:bookmarkStart w:id="270" w:name="_Toc63438491"/>
      <w:r>
        <w:rPr>
          <w:noProof/>
        </w:rPr>
        <w:t>Impact on ports to provide the necessary infrastructure</w:t>
      </w:r>
      <w:bookmarkEnd w:id="266"/>
      <w:bookmarkEnd w:id="267"/>
      <w:bookmarkEnd w:id="268"/>
      <w:bookmarkEnd w:id="269"/>
      <w:bookmarkEnd w:id="270"/>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uptake of alternative maritime fuels in maritime transport will require several actions from ports. The impact of the proposed intervention will depend on the type of technical solutions adopted. Indeed, drop-in fuels can, to a very large extent, rely on existing fuel oil infrastructure (for liquid drop-in fuels) or LNG bunkering (for the gaseous fuels). Fuels like methanol, hydrogen and ammonia would require various degrees of adaptation / modification of the bunkering facilities or even new infrastructure. The provision of OPS also requires the installation of appropriate connection points at berth, port level substation(s) and high-voltage electricity supply infrastructure.</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investments required by ports are likely to be distributed over time in all POs in such a way that they would first target the installation of OPS infrastructure (required as of 2030 in all POs for certain ship types) and then gradually accompany the deployment of hydrogen, ammonia and methanol. While the provision of OPS is covered by AFID, the current uptake of this solution remains very limited in European ports. However, on this particular point the three POs will not differentiate as the requirements at berth are defined in the same manner for all options. Overall, it can be expected that PO1 will lead to the highest levels of ports investments given the higher penetration of non-drop-in RLF in the overall energy mix. It will be followed respectively by PO3 and PO2.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level of ports investments are likely not to be uniform across all ports but to depend largely on the size of the port, the type of traffic that it usually accommodates and to a lesser extent the port layout and the need for connection to the grid</w:t>
      </w:r>
      <w:r>
        <w:rPr>
          <w:rStyle w:val="FootnoteReference"/>
          <w:rFonts w:ascii="Times New Roman" w:hAnsi="Times New Roman" w:cs="Times New Roman"/>
          <w:noProof/>
          <w:sz w:val="24"/>
          <w:szCs w:val="24"/>
          <w:lang w:val="en-IE"/>
        </w:rPr>
        <w:footnoteReference w:id="123"/>
      </w:r>
      <w:r>
        <w:rPr>
          <w:rFonts w:ascii="Times New Roman" w:hAnsi="Times New Roman" w:cs="Times New Roman"/>
          <w:noProof/>
          <w:sz w:val="24"/>
          <w:szCs w:val="24"/>
          <w:lang w:val="en-IE"/>
        </w:rPr>
        <w:t xml:space="preserve">. In other words, the infrastructure needs of a large transhipment port are likely to be different from those of a port of a smaller size mostly used for passengers or those of a cruise ship terminal. It is also worth noting that the bunkering offer can be an element of competition among ports. As for the likelihood to invest in RLF bunkering infrastructure, it can be assumed that the largest 25 freight ports will invest in multiple types of alternative fuels due to willingness and financial possibilities to invest. It is also expected that the largest passenger ports will invest to facilitate cruise and ferry traffic.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Another aspect adding to complexity concerns the fact that the costs of infrastructure investment are highly port specific and depend on a series of local conditions (e.g. the port layout mentioned above). Identifying an average or typical investment cost for a given infrastructure is therefore not possible. Instead, an indicative range of the required investments has been identified based on a review of past investments projects and case studies of RLF investment by ports. However, the size of the identified range is significant. Investments in a hydrogen infrastructure are valued between €35 million to more than €100 million</w:t>
      </w:r>
      <w:r>
        <w:rPr>
          <w:rStyle w:val="FootnoteReference"/>
          <w:rFonts w:ascii="Times New Roman" w:hAnsi="Times New Roman" w:cs="Times New Roman"/>
          <w:noProof/>
          <w:sz w:val="24"/>
          <w:szCs w:val="24"/>
          <w:lang w:val="en-IE"/>
        </w:rPr>
        <w:footnoteReference w:id="124"/>
      </w:r>
      <w:r>
        <w:rPr>
          <w:rFonts w:ascii="Times New Roman" w:hAnsi="Times New Roman" w:cs="Times New Roman"/>
          <w:noProof/>
          <w:sz w:val="24"/>
          <w:szCs w:val="24"/>
          <w:lang w:val="en-IE"/>
        </w:rPr>
        <w:t>. The cost of onshore power supply installation varies between €1 and €25 million (dependent on the size and complexity)</w:t>
      </w:r>
      <w:r>
        <w:rPr>
          <w:rStyle w:val="FootnoteReference"/>
          <w:rFonts w:ascii="Times New Roman" w:hAnsi="Times New Roman" w:cs="Times New Roman"/>
          <w:noProof/>
          <w:sz w:val="24"/>
          <w:szCs w:val="24"/>
          <w:lang w:val="en-IE"/>
        </w:rPr>
        <w:footnoteReference w:id="125"/>
      </w:r>
      <w:r>
        <w:rPr>
          <w:rFonts w:ascii="Times New Roman" w:hAnsi="Times New Roman" w:cs="Times New Roman"/>
          <w:noProof/>
          <w:sz w:val="24"/>
          <w:szCs w:val="24"/>
          <w:lang w:val="en-IE"/>
        </w:rPr>
        <w:t xml:space="preserve">.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Based on the above, and considering the high range of installation costs for hydrogen and power demand estimations by EMSA for the OPS, the total investments in alternative fuels infrastructure over the period 2025-2050 would be €9.9bn (€2.5bn for hydrogen infrastructure and €7.4bn for OPS). This is equivalent to additional capital costs relative to the baseline estimated at €5.7bn, expressed as present value over 2021-2050 horizon. This figure is based on the assumption that the installation of the infrastructure in the EU will focus on the 25 large ports for hydrogen and the TEN-T core and comprehensive ports for OPS. This estimate is considered to be indicative of the scale of investments that will be needed, considering the challenges linked to the number and complexity of the factors impacting these types of investments. This cost is the same for all POs.</w:t>
      </w:r>
    </w:p>
    <w:p>
      <w:pPr>
        <w:pStyle w:val="Heading3"/>
        <w:rPr>
          <w:noProof/>
        </w:rPr>
      </w:pPr>
      <w:bookmarkStart w:id="271" w:name="_Toc59152632"/>
      <w:bookmarkStart w:id="272" w:name="_Toc63426146"/>
      <w:bookmarkStart w:id="273" w:name="_Toc63438492"/>
      <w:bookmarkStart w:id="274" w:name="_Ref72512820"/>
      <w:bookmarkStart w:id="275" w:name="_Toc57907298"/>
      <w:r>
        <w:rPr>
          <w:noProof/>
        </w:rPr>
        <w:t>Impact on innovation</w:t>
      </w:r>
      <w:bookmarkEnd w:id="271"/>
      <w:bookmarkEnd w:id="272"/>
      <w:bookmarkEnd w:id="273"/>
      <w:bookmarkEnd w:id="274"/>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All POs are expected to have a positive impact on innovation as they will foster the deployment of more advanced technologies (including to improve energy efficiency) and fuel solutions. Compared to the use of drop-in fuels in conventional internal combustion engines, the deployment of fuel cells and electric propulsion represent arguably the solutions requiring the highest innovation efforts, in particular with a view to scale them for use in longer distances and, potentially, deep-sea shipping.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_Ref63434106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10</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presents, as a proxy, an indication of the penetration of fuel cell-powered ships and electric ships in the overall vessel stock for all POs by 2030 and 2050 (compared to the baseline). </w:t>
      </w:r>
    </w:p>
    <w:p>
      <w:pPr>
        <w:pStyle w:val="Caption"/>
        <w:keepNext/>
        <w:spacing w:after="120"/>
        <w:rPr>
          <w:noProof/>
        </w:rPr>
      </w:pPr>
      <w:bookmarkStart w:id="276" w:name="_Ref63434106"/>
      <w:r>
        <w:rPr>
          <w:noProof/>
        </w:rPr>
        <w:t xml:space="preserve">Table </w:t>
      </w:r>
      <w:r>
        <w:rPr>
          <w:noProof/>
        </w:rPr>
        <w:fldChar w:fldCharType="begin"/>
      </w:r>
      <w:r>
        <w:rPr>
          <w:noProof/>
        </w:rPr>
        <w:instrText xml:space="preserve"> SEQ Table \* ARABIC </w:instrText>
      </w:r>
      <w:r>
        <w:rPr>
          <w:noProof/>
        </w:rPr>
        <w:fldChar w:fldCharType="separate"/>
      </w:r>
      <w:r>
        <w:rPr>
          <w:noProof/>
        </w:rPr>
        <w:t>10</w:t>
      </w:r>
      <w:r>
        <w:rPr>
          <w:noProof/>
        </w:rPr>
        <w:fldChar w:fldCharType="end"/>
      </w:r>
      <w:bookmarkEnd w:id="276"/>
      <w:r>
        <w:rPr>
          <w:noProof/>
        </w:rPr>
        <w:t xml:space="preserve"> Stock of fuel cell and electric ships (difference to the baseline and share of the stock)</w:t>
      </w:r>
    </w:p>
    <w:tbl>
      <w:tblPr>
        <w:tblW w:w="5000" w:type="pct"/>
        <w:tblCellMar>
          <w:left w:w="70" w:type="dxa"/>
          <w:right w:w="70" w:type="dxa"/>
        </w:tblCellMar>
        <w:tblLook w:val="04A0" w:firstRow="1" w:lastRow="0" w:firstColumn="1" w:lastColumn="0" w:noHBand="0" w:noVBand="1"/>
      </w:tblPr>
      <w:tblGrid>
        <w:gridCol w:w="3331"/>
        <w:gridCol w:w="839"/>
        <w:gridCol w:w="1028"/>
        <w:gridCol w:w="839"/>
        <w:gridCol w:w="1028"/>
        <w:gridCol w:w="839"/>
        <w:gridCol w:w="1023"/>
      </w:tblGrid>
      <w:tr>
        <w:trPr>
          <w:trHeight w:val="210"/>
        </w:trPr>
        <w:tc>
          <w:tcPr>
            <w:tcW w:w="1865" w:type="pct"/>
            <w:vMerge w:val="restart"/>
            <w:tcBorders>
              <w:top w:val="single" w:sz="4" w:space="0" w:color="auto"/>
              <w:left w:val="single" w:sz="4" w:space="0" w:color="auto"/>
              <w:bottom w:val="single" w:sz="4" w:space="0" w:color="auto"/>
              <w:right w:val="single" w:sz="4" w:space="0" w:color="auto"/>
            </w:tcBorders>
            <w:shd w:val="clear" w:color="000000" w:fill="FFFFFF"/>
            <w:hideMark/>
          </w:tcPr>
          <w:p>
            <w:pPr>
              <w:keepNext/>
              <w:spacing w:after="0" w:line="240" w:lineRule="auto"/>
              <w:rPr>
                <w:rFonts w:ascii="Times New Roman" w:eastAsia="Times New Roman" w:hAnsi="Times New Roman" w:cs="Times New Roman"/>
                <w:b/>
                <w:noProof/>
                <w:sz w:val="18"/>
                <w:szCs w:val="18"/>
                <w:lang w:val="en-IE" w:eastAsia="fr-BE"/>
              </w:rPr>
            </w:pPr>
            <w:r>
              <w:rPr>
                <w:rFonts w:ascii="Times New Roman" w:eastAsia="Times New Roman" w:hAnsi="Times New Roman" w:cs="Times New Roman"/>
                <w:b/>
                <w:noProof/>
                <w:sz w:val="18"/>
                <w:szCs w:val="18"/>
                <w:lang w:val="en-IE" w:eastAsia="fr-BE"/>
              </w:rPr>
              <w:t xml:space="preserve">Fuel cell and electric ship vessels </w:t>
            </w:r>
          </w:p>
        </w:tc>
        <w:tc>
          <w:tcPr>
            <w:tcW w:w="1046" w:type="pct"/>
            <w:gridSpan w:val="2"/>
            <w:tcBorders>
              <w:top w:val="single" w:sz="4" w:space="0" w:color="auto"/>
              <w:left w:val="nil"/>
              <w:bottom w:val="single" w:sz="4" w:space="0" w:color="auto"/>
              <w:right w:val="single" w:sz="4" w:space="0" w:color="auto"/>
            </w:tcBorders>
            <w:shd w:val="clear" w:color="000000" w:fill="FFFFFF"/>
            <w:noWrap/>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PO1</w:t>
            </w:r>
          </w:p>
        </w:tc>
        <w:tc>
          <w:tcPr>
            <w:tcW w:w="1046" w:type="pct"/>
            <w:gridSpan w:val="2"/>
            <w:tcBorders>
              <w:top w:val="single" w:sz="4" w:space="0" w:color="auto"/>
              <w:left w:val="nil"/>
              <w:bottom w:val="single" w:sz="4" w:space="0" w:color="auto"/>
              <w:right w:val="single" w:sz="4" w:space="0" w:color="auto"/>
            </w:tcBorders>
            <w:shd w:val="clear" w:color="000000" w:fill="FFFFFF"/>
            <w:noWrap/>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PO2</w:t>
            </w:r>
          </w:p>
        </w:tc>
        <w:tc>
          <w:tcPr>
            <w:tcW w:w="1043" w:type="pct"/>
            <w:gridSpan w:val="2"/>
            <w:tcBorders>
              <w:top w:val="single" w:sz="4" w:space="0" w:color="auto"/>
              <w:left w:val="nil"/>
              <w:bottom w:val="single" w:sz="4" w:space="0" w:color="auto"/>
              <w:right w:val="single" w:sz="4" w:space="0" w:color="auto"/>
            </w:tcBorders>
            <w:shd w:val="clear" w:color="000000" w:fill="FFFFFF"/>
            <w:noWrap/>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PO3</w:t>
            </w:r>
          </w:p>
        </w:tc>
      </w:tr>
      <w:tr>
        <w:trPr>
          <w:trHeight w:val="210"/>
        </w:trPr>
        <w:tc>
          <w:tcPr>
            <w:tcW w:w="1865" w:type="pct"/>
            <w:vMerge/>
            <w:tcBorders>
              <w:top w:val="single" w:sz="4" w:space="0" w:color="auto"/>
              <w:left w:val="single" w:sz="4" w:space="0" w:color="auto"/>
              <w:bottom w:val="single" w:sz="4" w:space="0" w:color="auto"/>
              <w:right w:val="single" w:sz="4" w:space="0" w:color="auto"/>
            </w:tcBorders>
            <w:vAlign w:val="center"/>
            <w:hideMark/>
          </w:tcPr>
          <w:p>
            <w:pPr>
              <w:keepNext/>
              <w:spacing w:after="0" w:line="240" w:lineRule="auto"/>
              <w:rPr>
                <w:rFonts w:ascii="Times New Roman" w:eastAsia="Times New Roman" w:hAnsi="Times New Roman" w:cs="Times New Roman"/>
                <w:b/>
                <w:noProof/>
                <w:sz w:val="18"/>
                <w:szCs w:val="18"/>
                <w:lang w:val="fr-BE" w:eastAsia="fr-BE"/>
              </w:rPr>
            </w:pPr>
          </w:p>
        </w:tc>
        <w:tc>
          <w:tcPr>
            <w:tcW w:w="470" w:type="pct"/>
            <w:tcBorders>
              <w:top w:val="nil"/>
              <w:left w:val="nil"/>
              <w:bottom w:val="single" w:sz="4" w:space="0" w:color="auto"/>
              <w:right w:val="single" w:sz="4" w:space="0" w:color="auto"/>
            </w:tcBorders>
            <w:shd w:val="clear" w:color="000000" w:fill="FFFFFF"/>
            <w:noWrap/>
            <w:vAlign w:val="center"/>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2030</w:t>
            </w:r>
          </w:p>
        </w:tc>
        <w:tc>
          <w:tcPr>
            <w:tcW w:w="576" w:type="pct"/>
            <w:tcBorders>
              <w:top w:val="nil"/>
              <w:left w:val="nil"/>
              <w:bottom w:val="single" w:sz="4" w:space="0" w:color="auto"/>
              <w:right w:val="single" w:sz="4" w:space="0" w:color="auto"/>
            </w:tcBorders>
            <w:shd w:val="clear" w:color="000000" w:fill="FFFFFF"/>
            <w:noWrap/>
            <w:vAlign w:val="center"/>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2050</w:t>
            </w:r>
          </w:p>
        </w:tc>
        <w:tc>
          <w:tcPr>
            <w:tcW w:w="470" w:type="pct"/>
            <w:tcBorders>
              <w:top w:val="nil"/>
              <w:left w:val="nil"/>
              <w:bottom w:val="single" w:sz="4" w:space="0" w:color="auto"/>
              <w:right w:val="single" w:sz="4" w:space="0" w:color="auto"/>
            </w:tcBorders>
            <w:shd w:val="clear" w:color="000000" w:fill="FFFFFF"/>
            <w:noWrap/>
            <w:vAlign w:val="center"/>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2030</w:t>
            </w:r>
          </w:p>
        </w:tc>
        <w:tc>
          <w:tcPr>
            <w:tcW w:w="576" w:type="pct"/>
            <w:tcBorders>
              <w:top w:val="nil"/>
              <w:left w:val="nil"/>
              <w:bottom w:val="single" w:sz="4" w:space="0" w:color="auto"/>
              <w:right w:val="single" w:sz="4" w:space="0" w:color="auto"/>
            </w:tcBorders>
            <w:shd w:val="clear" w:color="000000" w:fill="FFFFFF"/>
            <w:noWrap/>
            <w:vAlign w:val="center"/>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2050</w:t>
            </w:r>
          </w:p>
        </w:tc>
        <w:tc>
          <w:tcPr>
            <w:tcW w:w="470" w:type="pct"/>
            <w:tcBorders>
              <w:top w:val="nil"/>
              <w:left w:val="nil"/>
              <w:bottom w:val="single" w:sz="4" w:space="0" w:color="auto"/>
              <w:right w:val="single" w:sz="4" w:space="0" w:color="auto"/>
            </w:tcBorders>
            <w:shd w:val="clear" w:color="000000" w:fill="FFFFFF"/>
            <w:noWrap/>
            <w:vAlign w:val="center"/>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2030</w:t>
            </w:r>
          </w:p>
        </w:tc>
        <w:tc>
          <w:tcPr>
            <w:tcW w:w="573" w:type="pct"/>
            <w:tcBorders>
              <w:top w:val="nil"/>
              <w:left w:val="nil"/>
              <w:bottom w:val="single" w:sz="4" w:space="0" w:color="auto"/>
              <w:right w:val="single" w:sz="4" w:space="0" w:color="auto"/>
            </w:tcBorders>
            <w:shd w:val="clear" w:color="000000" w:fill="FFFFFF"/>
            <w:noWrap/>
            <w:vAlign w:val="center"/>
            <w:hideMark/>
          </w:tcPr>
          <w:p>
            <w:pPr>
              <w:keepNext/>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2050</w:t>
            </w:r>
          </w:p>
        </w:tc>
      </w:tr>
      <w:tr>
        <w:trPr>
          <w:trHeight w:val="210"/>
        </w:trPr>
        <w:tc>
          <w:tcPr>
            <w:tcW w:w="1865" w:type="pct"/>
            <w:tcBorders>
              <w:top w:val="nil"/>
              <w:left w:val="single" w:sz="4" w:space="0" w:color="auto"/>
              <w:bottom w:val="single" w:sz="4" w:space="0" w:color="auto"/>
              <w:right w:val="single" w:sz="4" w:space="0" w:color="auto"/>
            </w:tcBorders>
            <w:shd w:val="clear" w:color="000000" w:fill="FFFFFF"/>
            <w:noWrap/>
            <w:vAlign w:val="bottom"/>
            <w:hideMark/>
          </w:tcPr>
          <w:p>
            <w:pPr>
              <w:keepNext/>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Stock - difference to the Baseline</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576"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576"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573"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r>
      <w:tr>
        <w:trPr>
          <w:trHeight w:val="200"/>
        </w:trPr>
        <w:tc>
          <w:tcPr>
            <w:tcW w:w="1865" w:type="pct"/>
            <w:tcBorders>
              <w:top w:val="nil"/>
              <w:left w:val="single" w:sz="4" w:space="0" w:color="auto"/>
              <w:bottom w:val="single" w:sz="4" w:space="0" w:color="auto"/>
              <w:right w:val="single" w:sz="4" w:space="0" w:color="auto"/>
            </w:tcBorders>
            <w:shd w:val="clear" w:color="000000" w:fill="FFFFFF"/>
            <w:noWrap/>
            <w:vAlign w:val="bottom"/>
            <w:hideMark/>
          </w:tcPr>
          <w:p>
            <w:pPr>
              <w:keepNext/>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fuel cell ships</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0</w:t>
            </w:r>
          </w:p>
        </w:tc>
        <w:tc>
          <w:tcPr>
            <w:tcW w:w="576"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3,523</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0</w:t>
            </w:r>
          </w:p>
        </w:tc>
        <w:tc>
          <w:tcPr>
            <w:tcW w:w="576"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2,446</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0</w:t>
            </w:r>
          </w:p>
        </w:tc>
        <w:tc>
          <w:tcPr>
            <w:tcW w:w="573"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3,372</w:t>
            </w:r>
          </w:p>
        </w:tc>
      </w:tr>
      <w:tr>
        <w:trPr>
          <w:trHeight w:val="200"/>
        </w:trPr>
        <w:tc>
          <w:tcPr>
            <w:tcW w:w="1865" w:type="pct"/>
            <w:tcBorders>
              <w:top w:val="nil"/>
              <w:left w:val="single" w:sz="4" w:space="0" w:color="auto"/>
              <w:bottom w:val="single" w:sz="4" w:space="0" w:color="auto"/>
              <w:right w:val="single" w:sz="4" w:space="0" w:color="auto"/>
            </w:tcBorders>
            <w:shd w:val="clear" w:color="000000" w:fill="FFFFFF"/>
            <w:noWrap/>
            <w:hideMark/>
          </w:tcPr>
          <w:p>
            <w:pPr>
              <w:keepNext/>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electric ships</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46</w:t>
            </w:r>
          </w:p>
        </w:tc>
        <w:tc>
          <w:tcPr>
            <w:tcW w:w="576"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1,251</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7</w:t>
            </w:r>
          </w:p>
        </w:tc>
        <w:tc>
          <w:tcPr>
            <w:tcW w:w="576"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380</w:t>
            </w:r>
          </w:p>
        </w:tc>
        <w:tc>
          <w:tcPr>
            <w:tcW w:w="470"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26</w:t>
            </w:r>
          </w:p>
        </w:tc>
        <w:tc>
          <w:tcPr>
            <w:tcW w:w="573" w:type="pct"/>
            <w:tcBorders>
              <w:top w:val="nil"/>
              <w:left w:val="nil"/>
              <w:bottom w:val="single" w:sz="4" w:space="0" w:color="auto"/>
              <w:right w:val="single" w:sz="4" w:space="0" w:color="auto"/>
            </w:tcBorders>
            <w:shd w:val="clear" w:color="000000" w:fill="FFFFFF"/>
            <w:noWrap/>
            <w:vAlign w:val="bottom"/>
            <w:hideMark/>
          </w:tcPr>
          <w:p>
            <w:pPr>
              <w:keepNext/>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969</w:t>
            </w:r>
          </w:p>
        </w:tc>
      </w:tr>
      <w:tr>
        <w:trPr>
          <w:trHeight w:val="210"/>
        </w:trPr>
        <w:tc>
          <w:tcPr>
            <w:tcW w:w="186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Share of the total stock (in %)</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576" w:type="pct"/>
            <w:tcBorders>
              <w:top w:val="nil"/>
              <w:left w:val="nil"/>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576" w:type="pct"/>
            <w:tcBorders>
              <w:top w:val="nil"/>
              <w:left w:val="nil"/>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c>
          <w:tcPr>
            <w:tcW w:w="573" w:type="pct"/>
            <w:tcBorders>
              <w:top w:val="nil"/>
              <w:left w:val="nil"/>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color w:val="000000"/>
                <w:sz w:val="18"/>
                <w:szCs w:val="18"/>
                <w:lang w:val="en-IE" w:eastAsia="fr-BE"/>
              </w:rPr>
            </w:pPr>
            <w:r>
              <w:rPr>
                <w:rFonts w:ascii="Times New Roman" w:eastAsia="Times New Roman" w:hAnsi="Times New Roman" w:cs="Times New Roman"/>
                <w:noProof/>
                <w:color w:val="000000"/>
                <w:sz w:val="18"/>
                <w:szCs w:val="18"/>
                <w:lang w:val="en-IE" w:eastAsia="fr-BE"/>
              </w:rPr>
              <w:t> </w:t>
            </w:r>
          </w:p>
        </w:tc>
      </w:tr>
      <w:tr>
        <w:trPr>
          <w:trHeight w:val="200"/>
        </w:trPr>
        <w:tc>
          <w:tcPr>
            <w:tcW w:w="186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fuel cell ships</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0.0%</w:t>
            </w:r>
          </w:p>
        </w:tc>
        <w:tc>
          <w:tcPr>
            <w:tcW w:w="57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19.7%</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0.0%</w:t>
            </w:r>
          </w:p>
        </w:tc>
        <w:tc>
          <w:tcPr>
            <w:tcW w:w="57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13.7%</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0.0%</w:t>
            </w:r>
          </w:p>
        </w:tc>
        <w:tc>
          <w:tcPr>
            <w:tcW w:w="57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18.9%</w:t>
            </w:r>
          </w:p>
        </w:tc>
      </w:tr>
      <w:tr>
        <w:trPr>
          <w:trHeight w:val="200"/>
        </w:trPr>
        <w:tc>
          <w:tcPr>
            <w:tcW w:w="1865"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ind w:firstLineChars="100" w:firstLine="180"/>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electric ships</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0.3%</w:t>
            </w:r>
          </w:p>
        </w:tc>
        <w:tc>
          <w:tcPr>
            <w:tcW w:w="57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7.0%</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0.1%</w:t>
            </w:r>
          </w:p>
        </w:tc>
        <w:tc>
          <w:tcPr>
            <w:tcW w:w="57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2.1%</w:t>
            </w:r>
          </w:p>
        </w:tc>
        <w:tc>
          <w:tcPr>
            <w:tcW w:w="470"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0.2%</w:t>
            </w:r>
          </w:p>
        </w:tc>
        <w:tc>
          <w:tcPr>
            <w:tcW w:w="57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color w:val="000000"/>
                <w:sz w:val="18"/>
                <w:szCs w:val="18"/>
                <w:lang w:val="fr-BE" w:eastAsia="fr-BE"/>
              </w:rPr>
            </w:pPr>
            <w:r>
              <w:rPr>
                <w:rFonts w:ascii="Times New Roman" w:eastAsia="Times New Roman" w:hAnsi="Times New Roman" w:cs="Times New Roman"/>
                <w:noProof/>
                <w:color w:val="000000"/>
                <w:sz w:val="18"/>
                <w:szCs w:val="18"/>
                <w:lang w:val="fr-BE" w:eastAsia="fr-BE"/>
              </w:rPr>
              <w:t>5.4%</w:t>
            </w:r>
          </w:p>
        </w:tc>
      </w:tr>
    </w:tbl>
    <w:p>
      <w:pPr>
        <w:pStyle w:val="bronvermelding"/>
        <w:rPr>
          <w:rFonts w:eastAsia="Arial"/>
          <w:noProof/>
        </w:rPr>
      </w:pPr>
      <w:r>
        <w:rPr>
          <w:rFonts w:eastAsia="Arial"/>
          <w:noProof/>
        </w:rPr>
        <w:t>Source: PRIMES-Maritime, E3Modelling</w:t>
      </w:r>
    </w:p>
    <w:p>
      <w:pPr>
        <w:rPr>
          <w:noProof/>
          <w:sz w:val="4"/>
        </w:rPr>
      </w:pP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While all options have a noticeable positive impact on the deployment of these technologies (and hence on the effective innovation potential to support their deployment), PO1 results in the highest share of fuel cell-powered ships (19.7%) and electric ships (7.0%) by 2050, followed by PO3 (18.9% and 5.4% respectively) and PO2 (13.7% and 2.1% respectively). It is interesting to notice that the gap between PO1 and PO3 is much lower than with PO2. This is expected to be the result of the application of the mechanism for overachievers within the PO3. We can also observe that the innovation push is mainly unlocked after 2030. This is likely to result from the combined effect of tightening the GHG limits and the achievement of a sufficient TRL.</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Other aspects that have not been quantified by the modelling activities concern the further development of internal combustion engines, to be able to operate more frequently as “dual-fuel” engines or to use emerging fuels (such as ammonia) as well as the necessary air pollution abatement-measures to further reduce ship emissions. In addition, the development and deployment of energy efficiency measures, including the use of wind assistance, is expected to increase as a means to mitigate the fuel costs increase induced by the proposed intervention.</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As also highlighted in Section 6.2.1, all POs under consideration are also expected to have a positive impact on employment levels in R&amp;I related to the provision of marine RLF. This is also explained by the increased share of hydrogen, hydrogen-based fuels and e-fuels. </w:t>
      </w:r>
    </w:p>
    <w:p>
      <w:pPr>
        <w:pStyle w:val="Heading3"/>
        <w:rPr>
          <w:noProof/>
        </w:rPr>
      </w:pPr>
      <w:bookmarkStart w:id="277" w:name="_Toc59152633"/>
      <w:bookmarkStart w:id="278" w:name="_Toc63426147"/>
      <w:bookmarkStart w:id="279" w:name="_Ref63436616"/>
      <w:bookmarkStart w:id="280" w:name="_Toc63438493"/>
      <w:r>
        <w:rPr>
          <w:noProof/>
        </w:rPr>
        <w:t>Impact on the competitiveness of other parts of the EU maritime cluster</w:t>
      </w:r>
      <w:bookmarkEnd w:id="275"/>
      <w:bookmarkEnd w:id="277"/>
      <w:bookmarkEnd w:id="278"/>
      <w:bookmarkEnd w:id="279"/>
      <w:bookmarkEnd w:id="280"/>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expected impact on ship operators has already been presented in Section 6.1.1 and on ports in Section 6.1.5. This section focuses on the possible changes to the competitiveness of a wider set of actors composing the EU maritime cluster, namely the international competitiveness of the shipping industry, shipbuilding industry, the marine equipment industry, the fuel suppliers and bunkering facilities. The impact on competitiveness is based a qualitative assessment following consultations and stakeholders interviews.</w:t>
      </w:r>
    </w:p>
    <w:p>
      <w:pPr>
        <w:pStyle w:val="Caption"/>
        <w:rPr>
          <w:rFonts w:ascii="Times New Roman" w:hAnsi="Times New Roman" w:cs="Times New Roman"/>
          <w:noProof/>
          <w:sz w:val="24"/>
          <w:szCs w:val="24"/>
          <w:lang w:val="en-IE"/>
        </w:rPr>
      </w:pPr>
      <w:r>
        <w:rPr>
          <w:noProof/>
        </w:rPr>
        <w:t xml:space="preserve">Table </w:t>
      </w:r>
      <w:r>
        <w:rPr>
          <w:noProof/>
        </w:rPr>
        <w:fldChar w:fldCharType="begin"/>
      </w:r>
      <w:r>
        <w:rPr>
          <w:noProof/>
        </w:rPr>
        <w:instrText xml:space="preserve"> SEQ Table \* ARABIC </w:instrText>
      </w:r>
      <w:r>
        <w:rPr>
          <w:noProof/>
        </w:rPr>
        <w:fldChar w:fldCharType="separate"/>
      </w:r>
      <w:r>
        <w:rPr>
          <w:noProof/>
        </w:rPr>
        <w:t>11</w:t>
      </w:r>
      <w:r>
        <w:rPr>
          <w:noProof/>
        </w:rPr>
        <w:fldChar w:fldCharType="end"/>
      </w:r>
      <w:r>
        <w:rPr>
          <w:noProof/>
        </w:rPr>
        <w:t xml:space="preserve"> Expected impacts on competitiveness of the EU maritime cluster</w:t>
      </w:r>
    </w:p>
    <w:tbl>
      <w:tblPr>
        <w:tblStyle w:val="CV11"/>
        <w:tblW w:w="5000" w:type="pct"/>
        <w:tblLook w:val="04A0" w:firstRow="1" w:lastRow="0" w:firstColumn="1" w:lastColumn="0" w:noHBand="0" w:noVBand="1"/>
      </w:tblPr>
      <w:tblGrid>
        <w:gridCol w:w="2296"/>
        <w:gridCol w:w="2235"/>
        <w:gridCol w:w="2236"/>
        <w:gridCol w:w="2236"/>
      </w:tblGrid>
      <w:tr>
        <w:trPr>
          <w:tblHeader/>
        </w:trPr>
        <w:tc>
          <w:tcPr>
            <w:tcW w:w="1275" w:type="pct"/>
          </w:tcPr>
          <w:p>
            <w:pPr>
              <w:rPr>
                <w:b/>
                <w:noProof/>
                <w:sz w:val="18"/>
                <w:szCs w:val="18"/>
              </w:rPr>
            </w:pPr>
            <w:r>
              <w:rPr>
                <w:b/>
                <w:noProof/>
                <w:sz w:val="18"/>
                <w:szCs w:val="18"/>
              </w:rPr>
              <w:t>Stakeholder category</w:t>
            </w:r>
          </w:p>
        </w:tc>
        <w:tc>
          <w:tcPr>
            <w:tcW w:w="1241" w:type="pct"/>
            <w:vAlign w:val="center"/>
          </w:tcPr>
          <w:p>
            <w:pPr>
              <w:jc w:val="center"/>
              <w:rPr>
                <w:b/>
                <w:noProof/>
                <w:sz w:val="18"/>
                <w:szCs w:val="18"/>
              </w:rPr>
            </w:pPr>
            <w:r>
              <w:rPr>
                <w:b/>
                <w:noProof/>
                <w:sz w:val="18"/>
                <w:szCs w:val="18"/>
              </w:rPr>
              <w:t>PO1</w:t>
            </w:r>
          </w:p>
        </w:tc>
        <w:tc>
          <w:tcPr>
            <w:tcW w:w="1242" w:type="pct"/>
            <w:vAlign w:val="center"/>
          </w:tcPr>
          <w:p>
            <w:pPr>
              <w:jc w:val="center"/>
              <w:rPr>
                <w:b/>
                <w:noProof/>
                <w:sz w:val="18"/>
                <w:szCs w:val="18"/>
              </w:rPr>
            </w:pPr>
            <w:r>
              <w:rPr>
                <w:b/>
                <w:noProof/>
                <w:sz w:val="18"/>
                <w:szCs w:val="18"/>
              </w:rPr>
              <w:t>PO2</w:t>
            </w:r>
          </w:p>
        </w:tc>
        <w:tc>
          <w:tcPr>
            <w:tcW w:w="1243" w:type="pct"/>
            <w:vAlign w:val="center"/>
          </w:tcPr>
          <w:p>
            <w:pPr>
              <w:jc w:val="center"/>
              <w:rPr>
                <w:b/>
                <w:noProof/>
                <w:sz w:val="18"/>
                <w:szCs w:val="18"/>
              </w:rPr>
            </w:pPr>
            <w:r>
              <w:rPr>
                <w:b/>
                <w:noProof/>
                <w:sz w:val="18"/>
                <w:szCs w:val="18"/>
              </w:rPr>
              <w:t>PO3</w:t>
            </w:r>
          </w:p>
        </w:tc>
      </w:tr>
      <w:tr>
        <w:tc>
          <w:tcPr>
            <w:tcW w:w="1275" w:type="pct"/>
          </w:tcPr>
          <w:p>
            <w:pPr>
              <w:rPr>
                <w:noProof/>
                <w:sz w:val="18"/>
                <w:szCs w:val="18"/>
              </w:rPr>
            </w:pPr>
            <w:r>
              <w:rPr>
                <w:noProof/>
                <w:sz w:val="18"/>
                <w:szCs w:val="18"/>
              </w:rPr>
              <w:t>Shipping industry</w:t>
            </w:r>
          </w:p>
        </w:tc>
        <w:tc>
          <w:tcPr>
            <w:tcW w:w="1241" w:type="pct"/>
          </w:tcPr>
          <w:p>
            <w:pPr>
              <w:jc w:val="center"/>
              <w:rPr>
                <w:noProof/>
                <w:sz w:val="18"/>
                <w:szCs w:val="18"/>
              </w:rPr>
            </w:pPr>
            <w:r>
              <w:rPr>
                <w:noProof/>
                <w:sz w:val="18"/>
                <w:szCs w:val="18"/>
              </w:rPr>
              <w:t>Small positive</w:t>
            </w:r>
          </w:p>
        </w:tc>
        <w:tc>
          <w:tcPr>
            <w:tcW w:w="1242" w:type="pct"/>
          </w:tcPr>
          <w:p>
            <w:pPr>
              <w:jc w:val="center"/>
              <w:rPr>
                <w:noProof/>
                <w:sz w:val="18"/>
                <w:szCs w:val="18"/>
              </w:rPr>
            </w:pPr>
            <w:r>
              <w:rPr>
                <w:noProof/>
                <w:sz w:val="18"/>
                <w:szCs w:val="18"/>
              </w:rPr>
              <w:t>No change</w:t>
            </w:r>
          </w:p>
        </w:tc>
        <w:tc>
          <w:tcPr>
            <w:tcW w:w="1243" w:type="pct"/>
          </w:tcPr>
          <w:p>
            <w:pPr>
              <w:jc w:val="center"/>
              <w:rPr>
                <w:noProof/>
                <w:sz w:val="18"/>
                <w:szCs w:val="18"/>
              </w:rPr>
            </w:pPr>
            <w:r>
              <w:rPr>
                <w:noProof/>
                <w:sz w:val="18"/>
                <w:szCs w:val="18"/>
              </w:rPr>
              <w:t>Small positive</w:t>
            </w:r>
          </w:p>
        </w:tc>
      </w:tr>
      <w:tr>
        <w:tc>
          <w:tcPr>
            <w:tcW w:w="1275" w:type="pct"/>
          </w:tcPr>
          <w:p>
            <w:pPr>
              <w:rPr>
                <w:noProof/>
                <w:sz w:val="18"/>
                <w:szCs w:val="18"/>
              </w:rPr>
            </w:pPr>
            <w:r>
              <w:rPr>
                <w:noProof/>
                <w:sz w:val="18"/>
                <w:szCs w:val="18"/>
              </w:rPr>
              <w:t>Shipbuilding industry</w:t>
            </w:r>
          </w:p>
        </w:tc>
        <w:tc>
          <w:tcPr>
            <w:tcW w:w="1241" w:type="pct"/>
          </w:tcPr>
          <w:p>
            <w:pPr>
              <w:jc w:val="center"/>
              <w:rPr>
                <w:noProof/>
                <w:sz w:val="18"/>
                <w:szCs w:val="18"/>
              </w:rPr>
            </w:pPr>
            <w:r>
              <w:rPr>
                <w:noProof/>
                <w:sz w:val="18"/>
                <w:szCs w:val="18"/>
              </w:rPr>
              <w:t>Small positive</w:t>
            </w:r>
          </w:p>
        </w:tc>
        <w:tc>
          <w:tcPr>
            <w:tcW w:w="1242" w:type="pct"/>
          </w:tcPr>
          <w:p>
            <w:pPr>
              <w:jc w:val="center"/>
              <w:rPr>
                <w:noProof/>
                <w:sz w:val="18"/>
                <w:szCs w:val="18"/>
              </w:rPr>
            </w:pPr>
            <w:r>
              <w:rPr>
                <w:noProof/>
                <w:sz w:val="18"/>
                <w:szCs w:val="18"/>
              </w:rPr>
              <w:t>No change</w:t>
            </w:r>
          </w:p>
        </w:tc>
        <w:tc>
          <w:tcPr>
            <w:tcW w:w="1243" w:type="pct"/>
          </w:tcPr>
          <w:p>
            <w:pPr>
              <w:jc w:val="center"/>
              <w:rPr>
                <w:noProof/>
                <w:sz w:val="18"/>
                <w:szCs w:val="18"/>
              </w:rPr>
            </w:pPr>
            <w:r>
              <w:rPr>
                <w:noProof/>
                <w:sz w:val="18"/>
                <w:szCs w:val="18"/>
              </w:rPr>
              <w:t>Small positive</w:t>
            </w:r>
          </w:p>
        </w:tc>
      </w:tr>
      <w:tr>
        <w:tc>
          <w:tcPr>
            <w:tcW w:w="1275" w:type="pct"/>
          </w:tcPr>
          <w:p>
            <w:pPr>
              <w:rPr>
                <w:noProof/>
                <w:sz w:val="18"/>
                <w:szCs w:val="18"/>
              </w:rPr>
            </w:pPr>
            <w:r>
              <w:rPr>
                <w:noProof/>
                <w:sz w:val="18"/>
                <w:szCs w:val="18"/>
              </w:rPr>
              <w:t>Marine equipment industry</w:t>
            </w:r>
          </w:p>
        </w:tc>
        <w:tc>
          <w:tcPr>
            <w:tcW w:w="1241" w:type="pct"/>
          </w:tcPr>
          <w:p>
            <w:pPr>
              <w:jc w:val="center"/>
              <w:rPr>
                <w:noProof/>
                <w:sz w:val="18"/>
                <w:szCs w:val="18"/>
              </w:rPr>
            </w:pPr>
            <w:r>
              <w:rPr>
                <w:noProof/>
                <w:sz w:val="18"/>
                <w:szCs w:val="18"/>
              </w:rPr>
              <w:t>Small positive</w:t>
            </w:r>
          </w:p>
        </w:tc>
        <w:tc>
          <w:tcPr>
            <w:tcW w:w="1242" w:type="pct"/>
          </w:tcPr>
          <w:p>
            <w:pPr>
              <w:jc w:val="center"/>
              <w:rPr>
                <w:noProof/>
                <w:sz w:val="18"/>
                <w:szCs w:val="18"/>
              </w:rPr>
            </w:pPr>
            <w:r>
              <w:rPr>
                <w:noProof/>
                <w:sz w:val="18"/>
                <w:szCs w:val="18"/>
              </w:rPr>
              <w:t>No change</w:t>
            </w:r>
          </w:p>
        </w:tc>
        <w:tc>
          <w:tcPr>
            <w:tcW w:w="1243" w:type="pct"/>
          </w:tcPr>
          <w:p>
            <w:pPr>
              <w:jc w:val="center"/>
              <w:rPr>
                <w:noProof/>
                <w:sz w:val="18"/>
                <w:szCs w:val="18"/>
              </w:rPr>
            </w:pPr>
            <w:r>
              <w:rPr>
                <w:noProof/>
                <w:sz w:val="18"/>
                <w:szCs w:val="18"/>
              </w:rPr>
              <w:t>Small positive</w:t>
            </w:r>
          </w:p>
        </w:tc>
      </w:tr>
      <w:tr>
        <w:tc>
          <w:tcPr>
            <w:tcW w:w="1275" w:type="pct"/>
          </w:tcPr>
          <w:p>
            <w:pPr>
              <w:rPr>
                <w:noProof/>
                <w:sz w:val="18"/>
                <w:szCs w:val="18"/>
              </w:rPr>
            </w:pPr>
            <w:r>
              <w:rPr>
                <w:noProof/>
                <w:sz w:val="18"/>
                <w:szCs w:val="18"/>
              </w:rPr>
              <w:t xml:space="preserve">Fuel suppliers </w:t>
            </w:r>
          </w:p>
        </w:tc>
        <w:tc>
          <w:tcPr>
            <w:tcW w:w="1241" w:type="pct"/>
          </w:tcPr>
          <w:p>
            <w:pPr>
              <w:jc w:val="center"/>
              <w:rPr>
                <w:noProof/>
                <w:sz w:val="18"/>
                <w:szCs w:val="18"/>
              </w:rPr>
            </w:pPr>
            <w:r>
              <w:rPr>
                <w:noProof/>
                <w:sz w:val="18"/>
                <w:szCs w:val="18"/>
              </w:rPr>
              <w:t>Small positive</w:t>
            </w:r>
          </w:p>
        </w:tc>
        <w:tc>
          <w:tcPr>
            <w:tcW w:w="1242" w:type="pct"/>
          </w:tcPr>
          <w:p>
            <w:pPr>
              <w:jc w:val="center"/>
              <w:rPr>
                <w:noProof/>
                <w:sz w:val="18"/>
                <w:szCs w:val="18"/>
              </w:rPr>
            </w:pPr>
            <w:r>
              <w:rPr>
                <w:noProof/>
                <w:sz w:val="18"/>
                <w:szCs w:val="18"/>
              </w:rPr>
              <w:t>No change</w:t>
            </w:r>
          </w:p>
        </w:tc>
        <w:tc>
          <w:tcPr>
            <w:tcW w:w="1243" w:type="pct"/>
          </w:tcPr>
          <w:p>
            <w:pPr>
              <w:jc w:val="center"/>
              <w:rPr>
                <w:noProof/>
                <w:sz w:val="18"/>
                <w:szCs w:val="18"/>
              </w:rPr>
            </w:pPr>
            <w:r>
              <w:rPr>
                <w:noProof/>
                <w:sz w:val="18"/>
                <w:szCs w:val="18"/>
              </w:rPr>
              <w:t>Small positive</w:t>
            </w:r>
          </w:p>
        </w:tc>
      </w:tr>
      <w:tr>
        <w:tc>
          <w:tcPr>
            <w:tcW w:w="1275" w:type="pct"/>
          </w:tcPr>
          <w:p>
            <w:pPr>
              <w:rPr>
                <w:noProof/>
                <w:sz w:val="18"/>
                <w:szCs w:val="18"/>
              </w:rPr>
            </w:pPr>
            <w:r>
              <w:rPr>
                <w:noProof/>
                <w:sz w:val="18"/>
                <w:szCs w:val="18"/>
              </w:rPr>
              <w:t>Bunker facilities</w:t>
            </w:r>
          </w:p>
        </w:tc>
        <w:tc>
          <w:tcPr>
            <w:tcW w:w="1241" w:type="pct"/>
          </w:tcPr>
          <w:p>
            <w:pPr>
              <w:jc w:val="center"/>
              <w:rPr>
                <w:noProof/>
                <w:sz w:val="18"/>
                <w:szCs w:val="18"/>
              </w:rPr>
            </w:pPr>
            <w:r>
              <w:rPr>
                <w:noProof/>
                <w:sz w:val="18"/>
                <w:szCs w:val="18"/>
              </w:rPr>
              <w:t>No change</w:t>
            </w:r>
          </w:p>
        </w:tc>
        <w:tc>
          <w:tcPr>
            <w:tcW w:w="1242" w:type="pct"/>
          </w:tcPr>
          <w:p>
            <w:pPr>
              <w:jc w:val="center"/>
              <w:rPr>
                <w:noProof/>
                <w:sz w:val="18"/>
                <w:szCs w:val="18"/>
              </w:rPr>
            </w:pPr>
            <w:r>
              <w:rPr>
                <w:noProof/>
                <w:sz w:val="18"/>
                <w:szCs w:val="18"/>
              </w:rPr>
              <w:t>Negative</w:t>
            </w:r>
          </w:p>
        </w:tc>
        <w:tc>
          <w:tcPr>
            <w:tcW w:w="1243" w:type="pct"/>
          </w:tcPr>
          <w:p>
            <w:pPr>
              <w:jc w:val="center"/>
              <w:rPr>
                <w:noProof/>
                <w:sz w:val="18"/>
                <w:szCs w:val="18"/>
              </w:rPr>
            </w:pPr>
            <w:r>
              <w:rPr>
                <w:noProof/>
                <w:sz w:val="18"/>
                <w:szCs w:val="18"/>
              </w:rPr>
              <w:t>Negative</w:t>
            </w:r>
          </w:p>
        </w:tc>
      </w:tr>
    </w:tbl>
    <w:p>
      <w:pPr>
        <w:spacing w:after="120"/>
        <w:jc w:val="both"/>
        <w:rPr>
          <w:rFonts w:ascii="Times New Roman" w:hAnsi="Times New Roman" w:cs="Times New Roman"/>
          <w:noProof/>
          <w:sz w:val="6"/>
          <w:szCs w:val="24"/>
          <w:lang w:val="en-IE"/>
        </w:rPr>
      </w:pP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practice, a small positive improvement of the competitive position of the shipping industry, the shipbuilding industry, the marine equipment industry and the fuel suppliers is expected to be seen in line with the acceleration of the RLF uptake and in particular a higher demand for the most advanced solutions (zero or near-zero propulsion). This is mainly resulting from the already strong competitive position of the EU industry in the delivery of specialised vessels / solutions. For the bunker facilities the accelerated uptake of RLF has negative consequences in particular with higher shares of non-drop-in fuels which will require dedicated infrastructure.</w:t>
      </w:r>
    </w:p>
    <w:p>
      <w:pPr>
        <w:pStyle w:val="Heading3"/>
        <w:rPr>
          <w:noProof/>
        </w:rPr>
      </w:pPr>
      <w:bookmarkStart w:id="281" w:name="_Toc57907299"/>
      <w:bookmarkStart w:id="282" w:name="_Toc59152634"/>
      <w:bookmarkStart w:id="283" w:name="_Toc63426148"/>
      <w:bookmarkStart w:id="284" w:name="_Toc63438494"/>
      <w:r>
        <w:rPr>
          <w:noProof/>
        </w:rPr>
        <w:t>Impact on third countries</w:t>
      </w:r>
      <w:bookmarkEnd w:id="281"/>
      <w:bookmarkEnd w:id="282"/>
      <w:bookmarkEnd w:id="283"/>
      <w:bookmarkEnd w:id="284"/>
    </w:p>
    <w:p>
      <w:pPr>
        <w:spacing w:after="120"/>
        <w:jc w:val="both"/>
        <w:rPr>
          <w:noProof/>
          <w:szCs w:val="24"/>
          <w:lang w:val="en-IE"/>
        </w:rPr>
      </w:pPr>
      <w:r>
        <w:rPr>
          <w:rFonts w:ascii="Times New Roman" w:hAnsi="Times New Roman" w:cs="Times New Roman"/>
          <w:noProof/>
          <w:sz w:val="24"/>
          <w:szCs w:val="24"/>
          <w:lang w:val="en-IE"/>
        </w:rPr>
        <w:t xml:space="preserve">Three main aspects can be relevant when considering the impact that a measure incentivising the uptake of RLF can have on third countries. These concern: impact on fuel production and distribution, impact on shipbuilding, and impact of trades with third countries. However, these impacts are not easily quantifiable. As a result, this section will focus on identifying the most relevant aspects and trends.  </w:t>
      </w:r>
    </w:p>
    <w:p>
      <w:pPr>
        <w:spacing w:after="120"/>
        <w:jc w:val="both"/>
        <w:rPr>
          <w:noProof/>
          <w:szCs w:val="24"/>
          <w:lang w:val="en-IE"/>
        </w:rPr>
      </w:pPr>
      <w:r>
        <w:rPr>
          <w:rFonts w:ascii="Times New Roman" w:hAnsi="Times New Roman" w:cs="Times New Roman"/>
          <w:noProof/>
          <w:sz w:val="24"/>
          <w:szCs w:val="24"/>
          <w:lang w:val="en-IE"/>
        </w:rPr>
        <w:t xml:space="preserve">Concerning </w:t>
      </w:r>
      <w:r>
        <w:rPr>
          <w:rFonts w:ascii="Times New Roman" w:hAnsi="Times New Roman" w:cs="Times New Roman"/>
          <w:b/>
          <w:noProof/>
          <w:sz w:val="24"/>
          <w:szCs w:val="24"/>
          <w:lang w:val="en-IE"/>
        </w:rPr>
        <w:t>fuel production and distribution</w:t>
      </w:r>
      <w:r>
        <w:rPr>
          <w:rFonts w:ascii="Times New Roman" w:hAnsi="Times New Roman" w:cs="Times New Roman"/>
          <w:noProof/>
          <w:sz w:val="24"/>
          <w:szCs w:val="24"/>
          <w:lang w:val="en-IE"/>
        </w:rPr>
        <w:t>, all policy measures will incentivize the production of RLF, which will have to be made available to the sector. Given the global nature of maritime transport, there is an interest in the widest possible distribution and availability of RLF. In order to prevent fuel shortage, all POs have been modelled so that they could be sustained by production in EU countries. However, bunkering of RLF is also allowed in third countries that comply with the certification requirements. While the production of conventional bunker fuels was mainly focussed in Asia, followed by Europe and the Middle-East</w:t>
      </w:r>
      <w:r>
        <w:rPr>
          <w:rStyle w:val="FootnoteReference"/>
          <w:rFonts w:ascii="Times New Roman" w:hAnsi="Times New Roman" w:cs="Times New Roman"/>
          <w:noProof/>
          <w:sz w:val="24"/>
          <w:szCs w:val="24"/>
          <w:lang w:val="en-IE"/>
        </w:rPr>
        <w:footnoteReference w:id="126"/>
      </w:r>
      <w:r>
        <w:rPr>
          <w:rFonts w:ascii="Times New Roman" w:hAnsi="Times New Roman" w:cs="Times New Roman"/>
          <w:noProof/>
          <w:sz w:val="24"/>
          <w:szCs w:val="24"/>
          <w:lang w:val="en-IE"/>
        </w:rPr>
        <w:t>, the production of RLF does not necessarily have to emerge in countries that currently produce conventional fossil bunker fuels. Since different feedstock and input factors are required, this could open possibilities for new market actors to emerge. Countries with favourable conditions for the production of renewable electricity could be attractive production locations for e-fuels</w:t>
      </w:r>
      <w:r>
        <w:rPr>
          <w:rStyle w:val="FootnoteReference"/>
          <w:rFonts w:ascii="Times New Roman" w:hAnsi="Times New Roman" w:cs="Times New Roman"/>
          <w:noProof/>
          <w:sz w:val="24"/>
          <w:szCs w:val="24"/>
          <w:lang w:val="en-IE"/>
        </w:rPr>
        <w:footnoteReference w:id="127"/>
      </w:r>
      <w:r>
        <w:rPr>
          <w:rFonts w:ascii="Times New Roman" w:hAnsi="Times New Roman" w:cs="Times New Roman"/>
          <w:noProof/>
          <w:sz w:val="24"/>
          <w:szCs w:val="24"/>
          <w:lang w:val="en-IE"/>
        </w:rPr>
        <w:t xml:space="preserve">. In addition, the largest bunkering hubs outside Europe such as Singapore, Fujairah, Hong Kong, Busan, and Panama could also be impacted and may start offering higher quantities of RLF to their customers. </w:t>
      </w:r>
    </w:p>
    <w:p>
      <w:pPr>
        <w:spacing w:after="120"/>
        <w:jc w:val="both"/>
        <w:rPr>
          <w:noProof/>
          <w:szCs w:val="24"/>
          <w:lang w:val="en-IE"/>
        </w:rPr>
      </w:pPr>
      <w:r>
        <w:rPr>
          <w:rFonts w:ascii="Times New Roman" w:hAnsi="Times New Roman" w:cs="Times New Roman"/>
          <w:noProof/>
          <w:sz w:val="24"/>
          <w:szCs w:val="24"/>
          <w:lang w:val="en-IE"/>
        </w:rPr>
        <w:t xml:space="preserve">As mentioned in Section 6.1.7, the </w:t>
      </w:r>
      <w:r>
        <w:rPr>
          <w:rFonts w:ascii="Times New Roman" w:hAnsi="Times New Roman" w:cs="Times New Roman"/>
          <w:b/>
          <w:noProof/>
          <w:sz w:val="24"/>
          <w:szCs w:val="24"/>
          <w:lang w:val="en-IE"/>
        </w:rPr>
        <w:t>impact on shipbuilding</w:t>
      </w:r>
      <w:r>
        <w:rPr>
          <w:rFonts w:ascii="Times New Roman" w:hAnsi="Times New Roman" w:cs="Times New Roman"/>
          <w:noProof/>
          <w:sz w:val="24"/>
          <w:szCs w:val="24"/>
          <w:lang w:val="en-IE"/>
        </w:rPr>
        <w:t xml:space="preserve"> will vary among the POs in line with the increased uptake of more advanced and innovative solutions. However, even in the case of drop-in fuels the proposed intervention could have an effect on increasing the demand for energy-efficient new-built vessels (as a way to mitigate the expect fuel cost increase) and boost the deployment of advanced energy efficiency solutions for the existing fleet. The most important shipbuilding nations outside Europe are China, Japan and the Republic of Korea.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increase in fuel cost induced by the three POs may also have an impact on </w:t>
      </w:r>
      <w:r>
        <w:rPr>
          <w:rFonts w:ascii="Times New Roman" w:hAnsi="Times New Roman" w:cs="Times New Roman"/>
          <w:b/>
          <w:noProof/>
          <w:sz w:val="24"/>
          <w:szCs w:val="24"/>
          <w:lang w:val="en-IE"/>
        </w:rPr>
        <w:t>trade with third countries</w:t>
      </w:r>
      <w:r>
        <w:rPr>
          <w:rFonts w:ascii="Times New Roman" w:hAnsi="Times New Roman" w:cs="Times New Roman"/>
          <w:noProof/>
          <w:sz w:val="24"/>
          <w:szCs w:val="24"/>
          <w:lang w:val="en-IE"/>
        </w:rPr>
        <w:t xml:space="preserve">. This would depend on the type of cost increases for ship operators.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_Ref63434124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12</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provides an indication for each PO compared to the baseline. </w:t>
      </w:r>
    </w:p>
    <w:p>
      <w:pPr>
        <w:pStyle w:val="Caption"/>
        <w:spacing w:after="120"/>
        <w:rPr>
          <w:rFonts w:ascii="Times New Roman" w:hAnsi="Times New Roman" w:cs="Times New Roman"/>
          <w:noProof/>
          <w:sz w:val="24"/>
          <w:szCs w:val="24"/>
          <w:lang w:val="en-IE"/>
        </w:rPr>
      </w:pPr>
      <w:bookmarkStart w:id="287" w:name="_Ref63434124"/>
      <w:r>
        <w:rPr>
          <w:noProof/>
        </w:rPr>
        <w:t xml:space="preserve">Table </w:t>
      </w:r>
      <w:r>
        <w:rPr>
          <w:noProof/>
        </w:rPr>
        <w:fldChar w:fldCharType="begin"/>
      </w:r>
      <w:r>
        <w:rPr>
          <w:noProof/>
        </w:rPr>
        <w:instrText xml:space="preserve"> SEQ Table \* ARABIC </w:instrText>
      </w:r>
      <w:r>
        <w:rPr>
          <w:noProof/>
        </w:rPr>
        <w:fldChar w:fldCharType="separate"/>
      </w:r>
      <w:r>
        <w:rPr>
          <w:noProof/>
        </w:rPr>
        <w:t>12</w:t>
      </w:r>
      <w:r>
        <w:rPr>
          <w:noProof/>
        </w:rPr>
        <w:fldChar w:fldCharType="end"/>
      </w:r>
      <w:bookmarkEnd w:id="287"/>
      <w:r>
        <w:rPr>
          <w:noProof/>
        </w:rPr>
        <w:t xml:space="preserve"> Percentage of costs increase for ship operators compared to the baseline in 2030 and 2050</w:t>
      </w:r>
    </w:p>
    <w:tbl>
      <w:tblPr>
        <w:tblW w:w="5000" w:type="pct"/>
        <w:tblLook w:val="04A0" w:firstRow="1" w:lastRow="0" w:firstColumn="1" w:lastColumn="0" w:noHBand="0" w:noVBand="1"/>
      </w:tblPr>
      <w:tblGrid>
        <w:gridCol w:w="3115"/>
        <w:gridCol w:w="668"/>
        <w:gridCol w:w="747"/>
        <w:gridCol w:w="699"/>
        <w:gridCol w:w="754"/>
        <w:gridCol w:w="726"/>
        <w:gridCol w:w="785"/>
        <w:gridCol w:w="726"/>
        <w:gridCol w:w="783"/>
      </w:tblGrid>
      <w:tr>
        <w:trPr>
          <w:trHeight w:val="341"/>
        </w:trPr>
        <w:tc>
          <w:tcPr>
            <w:tcW w:w="173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pPr>
              <w:spacing w:after="0" w:line="240" w:lineRule="auto"/>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Costs for ship operators (% change compared to Baseline)</w:t>
            </w:r>
          </w:p>
        </w:tc>
        <w:tc>
          <w:tcPr>
            <w:tcW w:w="786" w:type="pct"/>
            <w:gridSpan w:val="2"/>
            <w:tcBorders>
              <w:top w:val="single" w:sz="4" w:space="0" w:color="auto"/>
              <w:left w:val="nil"/>
              <w:bottom w:val="single" w:sz="4" w:space="0" w:color="auto"/>
              <w:right w:val="single" w:sz="4" w:space="0" w:color="auto"/>
            </w:tcBorders>
            <w:shd w:val="clear" w:color="000000" w:fill="FFFFFF"/>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Baseline (bil. €'2015)</w:t>
            </w:r>
          </w:p>
        </w:tc>
        <w:tc>
          <w:tcPr>
            <w:tcW w:w="807"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PO1</w:t>
            </w:r>
          </w:p>
        </w:tc>
        <w:tc>
          <w:tcPr>
            <w:tcW w:w="839"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PO2</w:t>
            </w:r>
          </w:p>
        </w:tc>
        <w:tc>
          <w:tcPr>
            <w:tcW w:w="839"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PO3</w:t>
            </w:r>
          </w:p>
        </w:tc>
      </w:tr>
      <w:tr>
        <w:trPr>
          <w:trHeight w:val="341"/>
        </w:trPr>
        <w:tc>
          <w:tcPr>
            <w:tcW w:w="1730" w:type="pct"/>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b/>
                <w:bCs/>
                <w:noProof/>
                <w:sz w:val="18"/>
                <w:szCs w:val="16"/>
                <w:lang w:val="en-IE" w:eastAsia="en-IE"/>
              </w:rPr>
            </w:pPr>
          </w:p>
        </w:tc>
        <w:tc>
          <w:tcPr>
            <w:tcW w:w="371"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2030</w:t>
            </w:r>
          </w:p>
        </w:tc>
        <w:tc>
          <w:tcPr>
            <w:tcW w:w="415"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2050</w:t>
            </w:r>
          </w:p>
        </w:tc>
        <w:tc>
          <w:tcPr>
            <w:tcW w:w="388"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2030</w:t>
            </w:r>
          </w:p>
        </w:tc>
        <w:tc>
          <w:tcPr>
            <w:tcW w:w="419"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2050</w:t>
            </w:r>
          </w:p>
        </w:tc>
        <w:tc>
          <w:tcPr>
            <w:tcW w:w="403"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2030</w:t>
            </w:r>
          </w:p>
        </w:tc>
        <w:tc>
          <w:tcPr>
            <w:tcW w:w="43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2050</w:t>
            </w:r>
          </w:p>
        </w:tc>
        <w:tc>
          <w:tcPr>
            <w:tcW w:w="403"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2030</w:t>
            </w:r>
          </w:p>
        </w:tc>
        <w:tc>
          <w:tcPr>
            <w:tcW w:w="43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en-IE" w:eastAsia="en-IE"/>
              </w:rPr>
            </w:pPr>
            <w:r>
              <w:rPr>
                <w:rFonts w:ascii="Times New Roman" w:eastAsia="Times New Roman" w:hAnsi="Times New Roman" w:cs="Times New Roman"/>
                <w:b/>
                <w:bCs/>
                <w:noProof/>
                <w:sz w:val="18"/>
                <w:szCs w:val="16"/>
                <w:lang w:val="en-IE" w:eastAsia="en-IE"/>
              </w:rPr>
              <w:t>2050</w:t>
            </w:r>
          </w:p>
        </w:tc>
      </w:tr>
      <w:tr>
        <w:trPr>
          <w:trHeight w:val="206"/>
        </w:trPr>
        <w:tc>
          <w:tcPr>
            <w:tcW w:w="1730"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ind w:firstLineChars="100" w:firstLine="180"/>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Capital costs</w:t>
            </w:r>
          </w:p>
        </w:tc>
        <w:tc>
          <w:tcPr>
            <w:tcW w:w="37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22.6</w:t>
            </w:r>
          </w:p>
        </w:tc>
        <w:tc>
          <w:tcPr>
            <w:tcW w:w="415"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36.0</w:t>
            </w:r>
          </w:p>
        </w:tc>
        <w:tc>
          <w:tcPr>
            <w:tcW w:w="38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4.1%</w:t>
            </w:r>
          </w:p>
        </w:tc>
        <w:tc>
          <w:tcPr>
            <w:tcW w:w="41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13.3%</w:t>
            </w:r>
          </w:p>
        </w:tc>
        <w:tc>
          <w:tcPr>
            <w:tcW w:w="40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3.8%</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11.3%</w:t>
            </w:r>
          </w:p>
        </w:tc>
        <w:tc>
          <w:tcPr>
            <w:tcW w:w="40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3.9%</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13.0%</w:t>
            </w:r>
          </w:p>
        </w:tc>
      </w:tr>
      <w:tr>
        <w:trPr>
          <w:trHeight w:val="206"/>
        </w:trPr>
        <w:tc>
          <w:tcPr>
            <w:tcW w:w="17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 xml:space="preserve">Fuel costs </w:t>
            </w:r>
          </w:p>
        </w:tc>
        <w:tc>
          <w:tcPr>
            <w:tcW w:w="37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32.0</w:t>
            </w:r>
          </w:p>
        </w:tc>
        <w:tc>
          <w:tcPr>
            <w:tcW w:w="415"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50.6</w:t>
            </w:r>
          </w:p>
        </w:tc>
        <w:tc>
          <w:tcPr>
            <w:tcW w:w="38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3.2%</w:t>
            </w:r>
          </w:p>
        </w:tc>
        <w:tc>
          <w:tcPr>
            <w:tcW w:w="41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26.7%</w:t>
            </w:r>
          </w:p>
        </w:tc>
        <w:tc>
          <w:tcPr>
            <w:tcW w:w="40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2.9%</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28.1%</w:t>
            </w:r>
          </w:p>
        </w:tc>
        <w:tc>
          <w:tcPr>
            <w:tcW w:w="40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3.0%</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27.2%</w:t>
            </w:r>
          </w:p>
        </w:tc>
      </w:tr>
      <w:tr>
        <w:trPr>
          <w:trHeight w:val="206"/>
        </w:trPr>
        <w:tc>
          <w:tcPr>
            <w:tcW w:w="1730"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Operation costs</w:t>
            </w:r>
          </w:p>
        </w:tc>
        <w:tc>
          <w:tcPr>
            <w:tcW w:w="37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13.3</w:t>
            </w:r>
          </w:p>
        </w:tc>
        <w:tc>
          <w:tcPr>
            <w:tcW w:w="415"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16.8</w:t>
            </w:r>
          </w:p>
        </w:tc>
        <w:tc>
          <w:tcPr>
            <w:tcW w:w="38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-0.3%</w:t>
            </w:r>
          </w:p>
        </w:tc>
        <w:tc>
          <w:tcPr>
            <w:tcW w:w="41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-2.6%</w:t>
            </w:r>
          </w:p>
        </w:tc>
        <w:tc>
          <w:tcPr>
            <w:tcW w:w="40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-0.3%</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-2.4%</w:t>
            </w:r>
          </w:p>
        </w:tc>
        <w:tc>
          <w:tcPr>
            <w:tcW w:w="40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-0.3%</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-2.5%</w:t>
            </w:r>
          </w:p>
        </w:tc>
      </w:tr>
      <w:tr>
        <w:trPr>
          <w:trHeight w:val="206"/>
        </w:trPr>
        <w:tc>
          <w:tcPr>
            <w:tcW w:w="1730"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Total costs</w:t>
            </w:r>
          </w:p>
        </w:tc>
        <w:tc>
          <w:tcPr>
            <w:tcW w:w="37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67.8</w:t>
            </w:r>
          </w:p>
        </w:tc>
        <w:tc>
          <w:tcPr>
            <w:tcW w:w="415"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103.3</w:t>
            </w:r>
          </w:p>
        </w:tc>
        <w:tc>
          <w:tcPr>
            <w:tcW w:w="38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2.8%</w:t>
            </w:r>
          </w:p>
        </w:tc>
        <w:tc>
          <w:tcPr>
            <w:tcW w:w="419"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17.3%</w:t>
            </w:r>
          </w:p>
        </w:tc>
        <w:tc>
          <w:tcPr>
            <w:tcW w:w="40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2.6%</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17.3%</w:t>
            </w:r>
          </w:p>
        </w:tc>
        <w:tc>
          <w:tcPr>
            <w:tcW w:w="403"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2.7%</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en-IE" w:eastAsia="en-IE"/>
              </w:rPr>
            </w:pPr>
            <w:r>
              <w:rPr>
                <w:rFonts w:ascii="Times New Roman" w:eastAsia="Times New Roman" w:hAnsi="Times New Roman" w:cs="Times New Roman"/>
                <w:noProof/>
                <w:sz w:val="18"/>
                <w:szCs w:val="16"/>
                <w:lang w:val="en-IE" w:eastAsia="en-IE"/>
              </w:rPr>
              <w:t>17.4%</w:t>
            </w:r>
          </w:p>
        </w:tc>
      </w:tr>
    </w:tbl>
    <w:p>
      <w:pPr>
        <w:pStyle w:val="bronvermelding"/>
        <w:rPr>
          <w:rFonts w:eastAsia="Arial"/>
          <w:noProof/>
        </w:rPr>
      </w:pPr>
      <w:r>
        <w:rPr>
          <w:rFonts w:eastAsia="Arial"/>
          <w:noProof/>
        </w:rPr>
        <w:t>Source: PRIMES-Maritime, E3Modelling</w:t>
      </w:r>
    </w:p>
    <w:p>
      <w:pPr>
        <w:spacing w:after="120"/>
        <w:jc w:val="both"/>
        <w:rPr>
          <w:rFonts w:ascii="Times New Roman" w:hAnsi="Times New Roman" w:cs="Times New Roman"/>
          <w:noProof/>
          <w:sz w:val="4"/>
          <w:szCs w:val="24"/>
          <w:lang w:val="en-IE"/>
        </w:rPr>
      </w:pPr>
    </w:p>
    <w:p>
      <w:pPr>
        <w:spacing w:after="120"/>
        <w:jc w:val="both"/>
        <w:rPr>
          <w:noProof/>
          <w:szCs w:val="24"/>
          <w:lang w:val="en-IE"/>
        </w:rPr>
      </w:pPr>
      <w:r>
        <w:rPr>
          <w:rFonts w:ascii="Times New Roman" w:hAnsi="Times New Roman" w:cs="Times New Roman"/>
          <w:noProof/>
          <w:sz w:val="24"/>
          <w:szCs w:val="24"/>
          <w:lang w:val="en-IE"/>
        </w:rPr>
        <w:t>In effect, the fuel costs increase for 2030 vary between 2.9% and 3.2% and between 26.7% and 28.1% in 2050. The impact on the total cost of operators remains around 17% by 2050 in all POs. The cost increase compared to the baseline remains limited in the first years of the policy intervention to gradually increase over time. The impact of the POs on EU trade with third countries is therefore likely to remain limited. Section 6.2.2 looks in greater details at the potential impact of the POs on freight rates.</w:t>
      </w:r>
    </w:p>
    <w:p>
      <w:pPr>
        <w:pStyle w:val="Heading2"/>
        <w:rPr>
          <w:noProof/>
        </w:rPr>
      </w:pPr>
      <w:bookmarkStart w:id="288" w:name="_Toc57907300"/>
      <w:bookmarkStart w:id="289" w:name="_Toc59152635"/>
      <w:bookmarkStart w:id="290" w:name="_Toc63426149"/>
      <w:bookmarkStart w:id="291" w:name="_Toc63438495"/>
      <w:r>
        <w:rPr>
          <w:noProof/>
        </w:rPr>
        <w:t>Social impacts</w:t>
      </w:r>
      <w:bookmarkEnd w:id="288"/>
      <w:bookmarkEnd w:id="289"/>
      <w:bookmarkEnd w:id="290"/>
      <w:bookmarkEnd w:id="291"/>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social impacts have been analysed through three main aspects: the impact on jobs in the different parts of the EU maritime sector, the impact on freight rates (as a proxy for costs related to maritime transport services) as well as the issue of connectivity of remote islands and peripheral maritime regions, and last but not least the health benefits. </w:t>
      </w:r>
    </w:p>
    <w:p>
      <w:pPr>
        <w:pStyle w:val="Heading3"/>
        <w:rPr>
          <w:noProof/>
        </w:rPr>
      </w:pPr>
      <w:bookmarkStart w:id="292" w:name="_Toc57907301"/>
      <w:bookmarkStart w:id="293" w:name="_Toc59152636"/>
      <w:bookmarkStart w:id="294" w:name="_Toc63426150"/>
      <w:bookmarkStart w:id="295" w:name="_Ref63436211"/>
      <w:bookmarkStart w:id="296" w:name="_Toc63438496"/>
      <w:r>
        <w:rPr>
          <w:noProof/>
        </w:rPr>
        <w:t>Impact on jobs in the different parts of the EU maritime cluster</w:t>
      </w:r>
      <w:bookmarkEnd w:id="292"/>
      <w:bookmarkEnd w:id="293"/>
      <w:bookmarkEnd w:id="294"/>
      <w:bookmarkEnd w:id="295"/>
      <w:bookmarkEnd w:id="296"/>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Two types of impacts can be distinguished on jobs: the direct impact on employment, measured in number of jobs, reflecting potential job creation / losses, and the indirect impact, related to changes of skills and knowledge of employees. These impacts are expected to differ depending on the technology choices that will be made for compliance. Differences among the POs will therefore result from the variation in the expected penetration levels of the different fuels in each option.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_Ref63434158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13</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presents an overview of the impact on employment per technology. </w:t>
      </w:r>
    </w:p>
    <w:p>
      <w:pPr>
        <w:pStyle w:val="Caption"/>
        <w:rPr>
          <w:rFonts w:ascii="Times New Roman" w:hAnsi="Times New Roman" w:cs="Times New Roman"/>
          <w:noProof/>
          <w:sz w:val="24"/>
          <w:szCs w:val="24"/>
          <w:lang w:val="en-IE"/>
        </w:rPr>
      </w:pPr>
      <w:bookmarkStart w:id="297" w:name="_Ref63434158"/>
      <w:r>
        <w:rPr>
          <w:noProof/>
        </w:rPr>
        <w:t xml:space="preserve">Table </w:t>
      </w:r>
      <w:r>
        <w:rPr>
          <w:noProof/>
        </w:rPr>
        <w:fldChar w:fldCharType="begin"/>
      </w:r>
      <w:r>
        <w:rPr>
          <w:noProof/>
        </w:rPr>
        <w:instrText xml:space="preserve"> SEQ Table \* ARABIC </w:instrText>
      </w:r>
      <w:r>
        <w:rPr>
          <w:noProof/>
        </w:rPr>
        <w:fldChar w:fldCharType="separate"/>
      </w:r>
      <w:r>
        <w:rPr>
          <w:noProof/>
        </w:rPr>
        <w:t>13</w:t>
      </w:r>
      <w:r>
        <w:rPr>
          <w:noProof/>
        </w:rPr>
        <w:fldChar w:fldCharType="end"/>
      </w:r>
      <w:bookmarkEnd w:id="297"/>
      <w:r>
        <w:rPr>
          <w:noProof/>
        </w:rPr>
        <w:t xml:space="preserve"> Assumed impacts per technology on employment levels</w:t>
      </w:r>
    </w:p>
    <w:tbl>
      <w:tblPr>
        <w:tblStyle w:val="CV12"/>
        <w:tblW w:w="5000" w:type="pct"/>
        <w:tblLook w:val="04A0" w:firstRow="1" w:lastRow="0" w:firstColumn="1" w:lastColumn="0" w:noHBand="0" w:noVBand="1"/>
      </w:tblPr>
      <w:tblGrid>
        <w:gridCol w:w="1411"/>
        <w:gridCol w:w="1898"/>
        <w:gridCol w:w="1898"/>
        <w:gridCol w:w="1898"/>
        <w:gridCol w:w="1898"/>
      </w:tblGrid>
      <w:tr>
        <w:trPr>
          <w:tblHeader/>
        </w:trPr>
        <w:tc>
          <w:tcPr>
            <w:tcW w:w="783" w:type="pct"/>
          </w:tcPr>
          <w:p>
            <w:pPr>
              <w:rPr>
                <w:b/>
                <w:noProof/>
                <w:sz w:val="18"/>
                <w:szCs w:val="24"/>
              </w:rPr>
            </w:pPr>
            <w:r>
              <w:rPr>
                <w:b/>
                <w:noProof/>
                <w:sz w:val="18"/>
                <w:szCs w:val="24"/>
              </w:rPr>
              <w:t>Stakeholder category</w:t>
            </w:r>
          </w:p>
        </w:tc>
        <w:tc>
          <w:tcPr>
            <w:tcW w:w="1054" w:type="pct"/>
          </w:tcPr>
          <w:p>
            <w:pPr>
              <w:rPr>
                <w:b/>
                <w:noProof/>
                <w:sz w:val="18"/>
                <w:szCs w:val="24"/>
              </w:rPr>
            </w:pPr>
            <w:r>
              <w:rPr>
                <w:b/>
                <w:noProof/>
                <w:sz w:val="18"/>
                <w:szCs w:val="24"/>
              </w:rPr>
              <w:t>Biofuels</w:t>
            </w:r>
          </w:p>
        </w:tc>
        <w:tc>
          <w:tcPr>
            <w:tcW w:w="1054" w:type="pct"/>
          </w:tcPr>
          <w:p>
            <w:pPr>
              <w:rPr>
                <w:b/>
                <w:noProof/>
                <w:sz w:val="18"/>
                <w:szCs w:val="24"/>
              </w:rPr>
            </w:pPr>
            <w:r>
              <w:rPr>
                <w:b/>
                <w:noProof/>
                <w:sz w:val="18"/>
                <w:szCs w:val="24"/>
              </w:rPr>
              <w:t>Electro-liquids</w:t>
            </w:r>
          </w:p>
        </w:tc>
        <w:tc>
          <w:tcPr>
            <w:tcW w:w="1054" w:type="pct"/>
          </w:tcPr>
          <w:p>
            <w:pPr>
              <w:rPr>
                <w:b/>
                <w:noProof/>
                <w:sz w:val="18"/>
                <w:szCs w:val="24"/>
              </w:rPr>
            </w:pPr>
            <w:r>
              <w:rPr>
                <w:b/>
                <w:noProof/>
                <w:sz w:val="18"/>
                <w:szCs w:val="24"/>
              </w:rPr>
              <w:t>Hydrogen</w:t>
            </w:r>
          </w:p>
        </w:tc>
        <w:tc>
          <w:tcPr>
            <w:tcW w:w="1054" w:type="pct"/>
          </w:tcPr>
          <w:p>
            <w:pPr>
              <w:rPr>
                <w:b/>
                <w:noProof/>
                <w:sz w:val="18"/>
                <w:szCs w:val="24"/>
              </w:rPr>
            </w:pPr>
            <w:r>
              <w:rPr>
                <w:b/>
                <w:noProof/>
                <w:sz w:val="18"/>
                <w:szCs w:val="24"/>
              </w:rPr>
              <w:t>OPS</w:t>
            </w:r>
          </w:p>
        </w:tc>
      </w:tr>
      <w:tr>
        <w:tc>
          <w:tcPr>
            <w:tcW w:w="783" w:type="pct"/>
          </w:tcPr>
          <w:p>
            <w:pPr>
              <w:rPr>
                <w:noProof/>
                <w:sz w:val="18"/>
                <w:szCs w:val="24"/>
              </w:rPr>
            </w:pPr>
            <w:r>
              <w:rPr>
                <w:noProof/>
                <w:sz w:val="18"/>
                <w:szCs w:val="24"/>
              </w:rPr>
              <w:t>Seafarers</w:t>
            </w:r>
          </w:p>
        </w:tc>
        <w:tc>
          <w:tcPr>
            <w:tcW w:w="1054" w:type="pct"/>
          </w:tcPr>
          <w:p>
            <w:pPr>
              <w:rPr>
                <w:noProof/>
                <w:sz w:val="18"/>
                <w:szCs w:val="24"/>
              </w:rPr>
            </w:pPr>
            <w:r>
              <w:rPr>
                <w:noProof/>
                <w:sz w:val="18"/>
                <w:szCs w:val="24"/>
              </w:rPr>
              <w:t>No change in manning levels</w:t>
            </w:r>
          </w:p>
        </w:tc>
        <w:tc>
          <w:tcPr>
            <w:tcW w:w="1054" w:type="pct"/>
          </w:tcPr>
          <w:p>
            <w:pPr>
              <w:rPr>
                <w:noProof/>
                <w:sz w:val="18"/>
                <w:szCs w:val="24"/>
              </w:rPr>
            </w:pPr>
            <w:r>
              <w:rPr>
                <w:noProof/>
                <w:sz w:val="18"/>
                <w:szCs w:val="24"/>
              </w:rPr>
              <w:t>No change in manning levels</w:t>
            </w:r>
          </w:p>
        </w:tc>
        <w:tc>
          <w:tcPr>
            <w:tcW w:w="1054" w:type="pct"/>
          </w:tcPr>
          <w:p>
            <w:pPr>
              <w:rPr>
                <w:noProof/>
                <w:sz w:val="18"/>
                <w:szCs w:val="24"/>
              </w:rPr>
            </w:pPr>
            <w:r>
              <w:rPr>
                <w:noProof/>
                <w:sz w:val="18"/>
                <w:szCs w:val="24"/>
              </w:rPr>
              <w:t>No change in manning levels</w:t>
            </w:r>
          </w:p>
        </w:tc>
        <w:tc>
          <w:tcPr>
            <w:tcW w:w="1054" w:type="pct"/>
          </w:tcPr>
          <w:p>
            <w:pPr>
              <w:rPr>
                <w:noProof/>
                <w:sz w:val="18"/>
                <w:szCs w:val="24"/>
              </w:rPr>
            </w:pPr>
            <w:r>
              <w:rPr>
                <w:noProof/>
                <w:sz w:val="18"/>
                <w:szCs w:val="24"/>
              </w:rPr>
              <w:t>No change in manning levels</w:t>
            </w:r>
          </w:p>
        </w:tc>
      </w:tr>
      <w:tr>
        <w:tc>
          <w:tcPr>
            <w:tcW w:w="783" w:type="pct"/>
          </w:tcPr>
          <w:p>
            <w:pPr>
              <w:rPr>
                <w:noProof/>
                <w:sz w:val="18"/>
                <w:szCs w:val="24"/>
              </w:rPr>
            </w:pPr>
            <w:r>
              <w:rPr>
                <w:noProof/>
                <w:sz w:val="18"/>
                <w:szCs w:val="24"/>
              </w:rPr>
              <w:t>Bunker suppliers</w:t>
            </w:r>
          </w:p>
        </w:tc>
        <w:tc>
          <w:tcPr>
            <w:tcW w:w="1054" w:type="pct"/>
          </w:tcPr>
          <w:p>
            <w:pPr>
              <w:rPr>
                <w:noProof/>
                <w:sz w:val="18"/>
                <w:szCs w:val="24"/>
              </w:rPr>
            </w:pPr>
            <w:r>
              <w:rPr>
                <w:noProof/>
                <w:sz w:val="18"/>
                <w:szCs w:val="24"/>
              </w:rPr>
              <w:t>No change in employment levels</w:t>
            </w:r>
          </w:p>
        </w:tc>
        <w:tc>
          <w:tcPr>
            <w:tcW w:w="1054" w:type="pct"/>
          </w:tcPr>
          <w:p>
            <w:pPr>
              <w:rPr>
                <w:noProof/>
                <w:sz w:val="18"/>
                <w:szCs w:val="24"/>
              </w:rPr>
            </w:pPr>
            <w:r>
              <w:rPr>
                <w:noProof/>
                <w:sz w:val="18"/>
                <w:szCs w:val="24"/>
              </w:rPr>
              <w:t>Possible increase depending on size / type / efficiency of facility</w:t>
            </w:r>
          </w:p>
        </w:tc>
        <w:tc>
          <w:tcPr>
            <w:tcW w:w="1054" w:type="pct"/>
          </w:tcPr>
          <w:p>
            <w:pPr>
              <w:rPr>
                <w:noProof/>
                <w:sz w:val="18"/>
                <w:szCs w:val="24"/>
              </w:rPr>
            </w:pPr>
            <w:r>
              <w:rPr>
                <w:noProof/>
                <w:sz w:val="18"/>
                <w:szCs w:val="24"/>
              </w:rPr>
              <w:t>Possible increase depending on size / type / efficiency of facility</w:t>
            </w:r>
          </w:p>
        </w:tc>
        <w:tc>
          <w:tcPr>
            <w:tcW w:w="1054" w:type="pct"/>
          </w:tcPr>
          <w:p>
            <w:pPr>
              <w:rPr>
                <w:noProof/>
                <w:sz w:val="18"/>
                <w:szCs w:val="24"/>
              </w:rPr>
            </w:pPr>
            <w:r>
              <w:rPr>
                <w:noProof/>
                <w:sz w:val="18"/>
                <w:szCs w:val="24"/>
              </w:rPr>
              <w:t>Possible increase depending on size / type / automation level / efficiency of facility</w:t>
            </w:r>
          </w:p>
        </w:tc>
      </w:tr>
      <w:tr>
        <w:tc>
          <w:tcPr>
            <w:tcW w:w="783" w:type="pct"/>
          </w:tcPr>
          <w:p>
            <w:pPr>
              <w:rPr>
                <w:noProof/>
                <w:sz w:val="18"/>
                <w:szCs w:val="24"/>
              </w:rPr>
            </w:pPr>
            <w:r>
              <w:rPr>
                <w:noProof/>
                <w:sz w:val="18"/>
                <w:szCs w:val="24"/>
              </w:rPr>
              <w:t>Equipment suppliers</w:t>
            </w:r>
          </w:p>
        </w:tc>
        <w:tc>
          <w:tcPr>
            <w:tcW w:w="1054" w:type="pct"/>
          </w:tcPr>
          <w:p>
            <w:pPr>
              <w:rPr>
                <w:noProof/>
                <w:sz w:val="18"/>
                <w:szCs w:val="24"/>
              </w:rPr>
            </w:pPr>
            <w:r>
              <w:rPr>
                <w:noProof/>
                <w:sz w:val="18"/>
                <w:szCs w:val="24"/>
              </w:rPr>
              <w:t>No change in employment levels</w:t>
            </w:r>
          </w:p>
        </w:tc>
        <w:tc>
          <w:tcPr>
            <w:tcW w:w="1054" w:type="pct"/>
          </w:tcPr>
          <w:p>
            <w:pPr>
              <w:rPr>
                <w:noProof/>
                <w:sz w:val="18"/>
                <w:szCs w:val="24"/>
              </w:rPr>
            </w:pPr>
            <w:r>
              <w:rPr>
                <w:noProof/>
                <w:sz w:val="18"/>
                <w:szCs w:val="24"/>
              </w:rPr>
              <w:t>Possible increase in initial stages</w:t>
            </w:r>
          </w:p>
        </w:tc>
        <w:tc>
          <w:tcPr>
            <w:tcW w:w="1054" w:type="pct"/>
          </w:tcPr>
          <w:p>
            <w:pPr>
              <w:rPr>
                <w:noProof/>
                <w:sz w:val="18"/>
                <w:szCs w:val="24"/>
              </w:rPr>
            </w:pPr>
            <w:r>
              <w:rPr>
                <w:noProof/>
                <w:sz w:val="18"/>
                <w:szCs w:val="24"/>
              </w:rPr>
              <w:t>Possible increase in initial stages</w:t>
            </w:r>
          </w:p>
        </w:tc>
        <w:tc>
          <w:tcPr>
            <w:tcW w:w="1054" w:type="pct"/>
          </w:tcPr>
          <w:p>
            <w:pPr>
              <w:rPr>
                <w:noProof/>
                <w:sz w:val="18"/>
                <w:szCs w:val="24"/>
              </w:rPr>
            </w:pPr>
            <w:r>
              <w:rPr>
                <w:noProof/>
                <w:sz w:val="18"/>
                <w:szCs w:val="24"/>
              </w:rPr>
              <w:t>No change in employment levels</w:t>
            </w:r>
          </w:p>
        </w:tc>
      </w:tr>
      <w:tr>
        <w:tc>
          <w:tcPr>
            <w:tcW w:w="783" w:type="pct"/>
          </w:tcPr>
          <w:p>
            <w:pPr>
              <w:rPr>
                <w:noProof/>
                <w:sz w:val="18"/>
                <w:szCs w:val="24"/>
              </w:rPr>
            </w:pPr>
            <w:r>
              <w:rPr>
                <w:noProof/>
                <w:sz w:val="18"/>
                <w:szCs w:val="24"/>
              </w:rPr>
              <w:t>Ship construction and repair</w:t>
            </w:r>
          </w:p>
        </w:tc>
        <w:tc>
          <w:tcPr>
            <w:tcW w:w="1054" w:type="pct"/>
          </w:tcPr>
          <w:p>
            <w:pPr>
              <w:rPr>
                <w:noProof/>
                <w:sz w:val="18"/>
                <w:szCs w:val="24"/>
              </w:rPr>
            </w:pPr>
            <w:r>
              <w:rPr>
                <w:noProof/>
                <w:sz w:val="18"/>
                <w:szCs w:val="24"/>
              </w:rPr>
              <w:t>No change in employment levels</w:t>
            </w:r>
          </w:p>
        </w:tc>
        <w:tc>
          <w:tcPr>
            <w:tcW w:w="1054" w:type="pct"/>
          </w:tcPr>
          <w:p>
            <w:pPr>
              <w:rPr>
                <w:noProof/>
                <w:sz w:val="18"/>
                <w:szCs w:val="24"/>
              </w:rPr>
            </w:pPr>
            <w:r>
              <w:rPr>
                <w:noProof/>
                <w:sz w:val="18"/>
                <w:szCs w:val="24"/>
              </w:rPr>
              <w:t>Depends on demand</w:t>
            </w:r>
          </w:p>
        </w:tc>
        <w:tc>
          <w:tcPr>
            <w:tcW w:w="1054" w:type="pct"/>
          </w:tcPr>
          <w:p>
            <w:pPr>
              <w:rPr>
                <w:noProof/>
                <w:sz w:val="18"/>
                <w:szCs w:val="24"/>
              </w:rPr>
            </w:pPr>
            <w:r>
              <w:rPr>
                <w:noProof/>
                <w:sz w:val="18"/>
                <w:szCs w:val="24"/>
              </w:rPr>
              <w:t>Depends on demand</w:t>
            </w:r>
          </w:p>
        </w:tc>
        <w:tc>
          <w:tcPr>
            <w:tcW w:w="1054" w:type="pct"/>
          </w:tcPr>
          <w:p>
            <w:pPr>
              <w:rPr>
                <w:noProof/>
                <w:sz w:val="18"/>
                <w:szCs w:val="24"/>
              </w:rPr>
            </w:pPr>
            <w:r>
              <w:rPr>
                <w:noProof/>
                <w:sz w:val="18"/>
                <w:szCs w:val="24"/>
              </w:rPr>
              <w:t>Depends on demand</w:t>
            </w:r>
          </w:p>
        </w:tc>
      </w:tr>
      <w:tr>
        <w:tc>
          <w:tcPr>
            <w:tcW w:w="783" w:type="pct"/>
          </w:tcPr>
          <w:p>
            <w:pPr>
              <w:rPr>
                <w:noProof/>
                <w:sz w:val="18"/>
                <w:szCs w:val="24"/>
              </w:rPr>
            </w:pPr>
            <w:r>
              <w:rPr>
                <w:noProof/>
                <w:sz w:val="18"/>
                <w:szCs w:val="24"/>
              </w:rPr>
              <w:t>Research and development</w:t>
            </w:r>
          </w:p>
        </w:tc>
        <w:tc>
          <w:tcPr>
            <w:tcW w:w="1054" w:type="pct"/>
          </w:tcPr>
          <w:p>
            <w:pPr>
              <w:rPr>
                <w:noProof/>
                <w:sz w:val="18"/>
                <w:szCs w:val="24"/>
              </w:rPr>
            </w:pPr>
            <w:r>
              <w:rPr>
                <w:noProof/>
                <w:sz w:val="18"/>
                <w:szCs w:val="24"/>
              </w:rPr>
              <w:t>No change in employment levels</w:t>
            </w:r>
          </w:p>
        </w:tc>
        <w:tc>
          <w:tcPr>
            <w:tcW w:w="1054" w:type="pct"/>
          </w:tcPr>
          <w:p>
            <w:pPr>
              <w:rPr>
                <w:noProof/>
                <w:sz w:val="18"/>
                <w:szCs w:val="24"/>
              </w:rPr>
            </w:pPr>
            <w:r>
              <w:rPr>
                <w:noProof/>
                <w:sz w:val="18"/>
                <w:szCs w:val="24"/>
              </w:rPr>
              <w:t>Possible increase in initial stages</w:t>
            </w:r>
          </w:p>
        </w:tc>
        <w:tc>
          <w:tcPr>
            <w:tcW w:w="1054" w:type="pct"/>
          </w:tcPr>
          <w:p>
            <w:pPr>
              <w:rPr>
                <w:noProof/>
                <w:sz w:val="18"/>
                <w:szCs w:val="24"/>
              </w:rPr>
            </w:pPr>
            <w:r>
              <w:rPr>
                <w:noProof/>
                <w:sz w:val="18"/>
                <w:szCs w:val="24"/>
              </w:rPr>
              <w:t>Possible increase in initial stages</w:t>
            </w:r>
          </w:p>
        </w:tc>
        <w:tc>
          <w:tcPr>
            <w:tcW w:w="1054" w:type="pct"/>
          </w:tcPr>
          <w:p>
            <w:pPr>
              <w:rPr>
                <w:noProof/>
                <w:sz w:val="18"/>
                <w:szCs w:val="24"/>
              </w:rPr>
            </w:pPr>
            <w:r>
              <w:rPr>
                <w:noProof/>
                <w:sz w:val="18"/>
                <w:szCs w:val="24"/>
              </w:rPr>
              <w:t>No change in employment levels</w:t>
            </w:r>
          </w:p>
        </w:tc>
      </w:tr>
    </w:tbl>
    <w:p>
      <w:pPr>
        <w:spacing w:after="120"/>
        <w:jc w:val="both"/>
        <w:rPr>
          <w:rFonts w:ascii="Arial" w:hAnsi="Arial" w:cs="Arial"/>
          <w:noProof/>
          <w:sz w:val="14"/>
          <w:szCs w:val="16"/>
          <w:lang w:val="en-IE"/>
        </w:rPr>
      </w:pPr>
      <w:r>
        <w:rPr>
          <w:rFonts w:ascii="Arial" w:hAnsi="Arial" w:cs="Arial"/>
          <w:noProof/>
          <w:sz w:val="14"/>
          <w:szCs w:val="16"/>
          <w:lang w:val="en-IE"/>
        </w:rPr>
        <w:t xml:space="preserve">Source: Ecorys / CE Delft forthcoming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lang w:val="en-IE"/>
        </w:rPr>
        <w:t>While direct impacts on any of the options may be limited in certain cases (e.g. manning levels on-board vessels), the training needs arising from the growing penetration of alternative fuels is a common factor for all the POs and for all segments of the EU maritime sector. The need to upgrade skills will result in potentially significant investments in training and certification of seafarers (see also Section 6.1.3. for the assessment of training costs), as these are not included in current training and education programmes nor required by existing regulations (e.g. STCW Convention). However, this evolution is also a potential benefit, as it is likely to increase the competitiveness of European employees in the global market, and improve the image of the sector and inspire more people (young people as well as women) to opt for a maritime career.</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_Ref63434196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14</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presents the overview of the qualitative assessment of the expected employment impact of the POs. </w:t>
      </w:r>
    </w:p>
    <w:p>
      <w:pPr>
        <w:pStyle w:val="Caption"/>
        <w:rPr>
          <w:rFonts w:ascii="Times New Roman" w:hAnsi="Times New Roman" w:cs="Times New Roman"/>
          <w:noProof/>
          <w:sz w:val="24"/>
          <w:szCs w:val="24"/>
          <w:lang w:val="en-IE"/>
        </w:rPr>
      </w:pPr>
      <w:bookmarkStart w:id="298" w:name="_Ref63434196"/>
      <w:r>
        <w:rPr>
          <w:noProof/>
        </w:rPr>
        <w:t xml:space="preserve">Table </w:t>
      </w:r>
      <w:r>
        <w:rPr>
          <w:noProof/>
        </w:rPr>
        <w:fldChar w:fldCharType="begin"/>
      </w:r>
      <w:r>
        <w:rPr>
          <w:noProof/>
        </w:rPr>
        <w:instrText xml:space="preserve"> SEQ Table \* ARABIC </w:instrText>
      </w:r>
      <w:r>
        <w:rPr>
          <w:noProof/>
        </w:rPr>
        <w:fldChar w:fldCharType="separate"/>
      </w:r>
      <w:r>
        <w:rPr>
          <w:noProof/>
        </w:rPr>
        <w:t>14</w:t>
      </w:r>
      <w:r>
        <w:rPr>
          <w:noProof/>
        </w:rPr>
        <w:fldChar w:fldCharType="end"/>
      </w:r>
      <w:bookmarkEnd w:id="298"/>
      <w:r>
        <w:rPr>
          <w:noProof/>
        </w:rPr>
        <w:t xml:space="preserve"> Expected impacts of the policy options on employment</w:t>
      </w:r>
    </w:p>
    <w:tbl>
      <w:tblPr>
        <w:tblStyle w:val="CV11"/>
        <w:tblW w:w="5000" w:type="pct"/>
        <w:tblLook w:val="04A0" w:firstRow="1" w:lastRow="0" w:firstColumn="1" w:lastColumn="0" w:noHBand="0" w:noVBand="1"/>
      </w:tblPr>
      <w:tblGrid>
        <w:gridCol w:w="2964"/>
        <w:gridCol w:w="2015"/>
        <w:gridCol w:w="2015"/>
        <w:gridCol w:w="2009"/>
      </w:tblGrid>
      <w:tr>
        <w:trPr>
          <w:trHeight w:val="283"/>
        </w:trPr>
        <w:tc>
          <w:tcPr>
            <w:tcW w:w="1646" w:type="pct"/>
          </w:tcPr>
          <w:p>
            <w:pPr>
              <w:jc w:val="center"/>
              <w:rPr>
                <w:b/>
                <w:noProof/>
                <w:sz w:val="18"/>
                <w:szCs w:val="24"/>
              </w:rPr>
            </w:pPr>
            <w:r>
              <w:rPr>
                <w:b/>
                <w:noProof/>
                <w:sz w:val="18"/>
                <w:szCs w:val="24"/>
              </w:rPr>
              <w:t>Stakeholder category</w:t>
            </w:r>
          </w:p>
        </w:tc>
        <w:tc>
          <w:tcPr>
            <w:tcW w:w="1119" w:type="pct"/>
          </w:tcPr>
          <w:p>
            <w:pPr>
              <w:jc w:val="center"/>
              <w:rPr>
                <w:b/>
                <w:noProof/>
                <w:sz w:val="18"/>
                <w:szCs w:val="24"/>
              </w:rPr>
            </w:pPr>
            <w:r>
              <w:rPr>
                <w:b/>
                <w:noProof/>
                <w:sz w:val="18"/>
                <w:szCs w:val="24"/>
              </w:rPr>
              <w:t>PO1</w:t>
            </w:r>
          </w:p>
        </w:tc>
        <w:tc>
          <w:tcPr>
            <w:tcW w:w="1119" w:type="pct"/>
          </w:tcPr>
          <w:p>
            <w:pPr>
              <w:jc w:val="center"/>
              <w:rPr>
                <w:b/>
                <w:noProof/>
                <w:sz w:val="18"/>
                <w:szCs w:val="24"/>
              </w:rPr>
            </w:pPr>
            <w:r>
              <w:rPr>
                <w:b/>
                <w:noProof/>
                <w:sz w:val="18"/>
                <w:szCs w:val="24"/>
              </w:rPr>
              <w:t>PO2</w:t>
            </w:r>
          </w:p>
        </w:tc>
        <w:tc>
          <w:tcPr>
            <w:tcW w:w="1116" w:type="pct"/>
          </w:tcPr>
          <w:p>
            <w:pPr>
              <w:jc w:val="center"/>
              <w:rPr>
                <w:b/>
                <w:noProof/>
                <w:sz w:val="18"/>
                <w:szCs w:val="24"/>
              </w:rPr>
            </w:pPr>
            <w:r>
              <w:rPr>
                <w:b/>
                <w:noProof/>
                <w:sz w:val="18"/>
                <w:szCs w:val="24"/>
              </w:rPr>
              <w:t>PO3</w:t>
            </w:r>
          </w:p>
        </w:tc>
      </w:tr>
      <w:tr>
        <w:trPr>
          <w:trHeight w:val="283"/>
        </w:trPr>
        <w:tc>
          <w:tcPr>
            <w:tcW w:w="1646" w:type="pct"/>
          </w:tcPr>
          <w:p>
            <w:pPr>
              <w:rPr>
                <w:noProof/>
                <w:sz w:val="18"/>
                <w:szCs w:val="24"/>
              </w:rPr>
            </w:pPr>
            <w:r>
              <w:rPr>
                <w:noProof/>
                <w:sz w:val="18"/>
                <w:szCs w:val="24"/>
              </w:rPr>
              <w:t>Seafarers</w:t>
            </w:r>
          </w:p>
        </w:tc>
        <w:tc>
          <w:tcPr>
            <w:tcW w:w="1119" w:type="pct"/>
          </w:tcPr>
          <w:p>
            <w:pPr>
              <w:rPr>
                <w:noProof/>
                <w:sz w:val="18"/>
                <w:szCs w:val="24"/>
              </w:rPr>
            </w:pPr>
            <w:r>
              <w:rPr>
                <w:noProof/>
                <w:sz w:val="18"/>
                <w:szCs w:val="24"/>
              </w:rPr>
              <w:t>Small positive</w:t>
            </w:r>
          </w:p>
        </w:tc>
        <w:tc>
          <w:tcPr>
            <w:tcW w:w="1119" w:type="pct"/>
          </w:tcPr>
          <w:p>
            <w:pPr>
              <w:rPr>
                <w:noProof/>
                <w:sz w:val="18"/>
                <w:szCs w:val="24"/>
              </w:rPr>
            </w:pPr>
            <w:r>
              <w:rPr>
                <w:noProof/>
                <w:sz w:val="18"/>
                <w:szCs w:val="24"/>
              </w:rPr>
              <w:t>Small positive</w:t>
            </w:r>
          </w:p>
        </w:tc>
        <w:tc>
          <w:tcPr>
            <w:tcW w:w="1116" w:type="pct"/>
          </w:tcPr>
          <w:p>
            <w:pPr>
              <w:rPr>
                <w:noProof/>
                <w:sz w:val="18"/>
                <w:szCs w:val="24"/>
              </w:rPr>
            </w:pPr>
            <w:r>
              <w:rPr>
                <w:noProof/>
                <w:sz w:val="18"/>
                <w:szCs w:val="24"/>
              </w:rPr>
              <w:t>Small positive</w:t>
            </w:r>
          </w:p>
        </w:tc>
      </w:tr>
      <w:tr>
        <w:trPr>
          <w:trHeight w:val="283"/>
        </w:trPr>
        <w:tc>
          <w:tcPr>
            <w:tcW w:w="1646" w:type="pct"/>
          </w:tcPr>
          <w:p>
            <w:pPr>
              <w:rPr>
                <w:noProof/>
                <w:sz w:val="18"/>
                <w:szCs w:val="24"/>
              </w:rPr>
            </w:pPr>
            <w:r>
              <w:rPr>
                <w:noProof/>
                <w:sz w:val="18"/>
                <w:szCs w:val="24"/>
              </w:rPr>
              <w:t>Bunker suppliers</w:t>
            </w:r>
          </w:p>
        </w:tc>
        <w:tc>
          <w:tcPr>
            <w:tcW w:w="1119" w:type="pct"/>
          </w:tcPr>
          <w:p>
            <w:pPr>
              <w:rPr>
                <w:noProof/>
                <w:sz w:val="18"/>
                <w:szCs w:val="24"/>
              </w:rPr>
            </w:pPr>
            <w:r>
              <w:rPr>
                <w:noProof/>
                <w:sz w:val="18"/>
                <w:szCs w:val="24"/>
              </w:rPr>
              <w:t>Small positive</w:t>
            </w:r>
          </w:p>
        </w:tc>
        <w:tc>
          <w:tcPr>
            <w:tcW w:w="1119" w:type="pct"/>
          </w:tcPr>
          <w:p>
            <w:pPr>
              <w:rPr>
                <w:noProof/>
                <w:sz w:val="18"/>
                <w:szCs w:val="24"/>
              </w:rPr>
            </w:pPr>
            <w:r>
              <w:rPr>
                <w:noProof/>
                <w:sz w:val="18"/>
                <w:szCs w:val="24"/>
              </w:rPr>
              <w:t>Small positive</w:t>
            </w:r>
          </w:p>
        </w:tc>
        <w:tc>
          <w:tcPr>
            <w:tcW w:w="1116" w:type="pct"/>
          </w:tcPr>
          <w:p>
            <w:pPr>
              <w:rPr>
                <w:noProof/>
                <w:sz w:val="18"/>
                <w:szCs w:val="24"/>
              </w:rPr>
            </w:pPr>
            <w:r>
              <w:rPr>
                <w:noProof/>
                <w:sz w:val="18"/>
                <w:szCs w:val="24"/>
              </w:rPr>
              <w:t>Small positive</w:t>
            </w:r>
          </w:p>
        </w:tc>
      </w:tr>
      <w:tr>
        <w:trPr>
          <w:trHeight w:val="283"/>
        </w:trPr>
        <w:tc>
          <w:tcPr>
            <w:tcW w:w="1646" w:type="pct"/>
          </w:tcPr>
          <w:p>
            <w:pPr>
              <w:rPr>
                <w:noProof/>
                <w:sz w:val="18"/>
                <w:szCs w:val="24"/>
              </w:rPr>
            </w:pPr>
            <w:r>
              <w:rPr>
                <w:noProof/>
                <w:sz w:val="18"/>
                <w:szCs w:val="24"/>
              </w:rPr>
              <w:t>Equipment suppliers</w:t>
            </w:r>
          </w:p>
        </w:tc>
        <w:tc>
          <w:tcPr>
            <w:tcW w:w="1119" w:type="pct"/>
          </w:tcPr>
          <w:p>
            <w:pPr>
              <w:rPr>
                <w:noProof/>
                <w:sz w:val="18"/>
                <w:szCs w:val="24"/>
              </w:rPr>
            </w:pPr>
            <w:r>
              <w:rPr>
                <w:noProof/>
                <w:sz w:val="18"/>
                <w:szCs w:val="24"/>
              </w:rPr>
              <w:t>Medium positive</w:t>
            </w:r>
          </w:p>
        </w:tc>
        <w:tc>
          <w:tcPr>
            <w:tcW w:w="1119" w:type="pct"/>
          </w:tcPr>
          <w:p>
            <w:pPr>
              <w:rPr>
                <w:noProof/>
                <w:sz w:val="18"/>
                <w:szCs w:val="24"/>
              </w:rPr>
            </w:pPr>
            <w:r>
              <w:rPr>
                <w:noProof/>
                <w:sz w:val="18"/>
                <w:szCs w:val="24"/>
              </w:rPr>
              <w:t>Medium positive</w:t>
            </w:r>
          </w:p>
        </w:tc>
        <w:tc>
          <w:tcPr>
            <w:tcW w:w="1116" w:type="pct"/>
          </w:tcPr>
          <w:p>
            <w:pPr>
              <w:rPr>
                <w:noProof/>
                <w:sz w:val="18"/>
                <w:szCs w:val="24"/>
              </w:rPr>
            </w:pPr>
            <w:r>
              <w:rPr>
                <w:noProof/>
                <w:sz w:val="18"/>
                <w:szCs w:val="24"/>
              </w:rPr>
              <w:t>Medium positive</w:t>
            </w:r>
          </w:p>
        </w:tc>
      </w:tr>
      <w:tr>
        <w:trPr>
          <w:trHeight w:val="283"/>
        </w:trPr>
        <w:tc>
          <w:tcPr>
            <w:tcW w:w="1646" w:type="pct"/>
          </w:tcPr>
          <w:p>
            <w:pPr>
              <w:rPr>
                <w:noProof/>
                <w:sz w:val="18"/>
                <w:szCs w:val="24"/>
              </w:rPr>
            </w:pPr>
            <w:r>
              <w:rPr>
                <w:noProof/>
                <w:sz w:val="18"/>
                <w:szCs w:val="24"/>
              </w:rPr>
              <w:t>Ship construction &amp; repair</w:t>
            </w:r>
          </w:p>
        </w:tc>
        <w:tc>
          <w:tcPr>
            <w:tcW w:w="1119" w:type="pct"/>
          </w:tcPr>
          <w:p>
            <w:pPr>
              <w:rPr>
                <w:noProof/>
                <w:sz w:val="18"/>
                <w:szCs w:val="24"/>
              </w:rPr>
            </w:pPr>
            <w:r>
              <w:rPr>
                <w:noProof/>
                <w:sz w:val="18"/>
                <w:szCs w:val="24"/>
              </w:rPr>
              <w:t>Medium positive</w:t>
            </w:r>
          </w:p>
        </w:tc>
        <w:tc>
          <w:tcPr>
            <w:tcW w:w="1119" w:type="pct"/>
          </w:tcPr>
          <w:p>
            <w:pPr>
              <w:rPr>
                <w:noProof/>
                <w:sz w:val="18"/>
                <w:szCs w:val="24"/>
              </w:rPr>
            </w:pPr>
            <w:r>
              <w:rPr>
                <w:noProof/>
                <w:sz w:val="18"/>
                <w:szCs w:val="24"/>
              </w:rPr>
              <w:t>Small positive</w:t>
            </w:r>
          </w:p>
        </w:tc>
        <w:tc>
          <w:tcPr>
            <w:tcW w:w="1116" w:type="pct"/>
          </w:tcPr>
          <w:p>
            <w:pPr>
              <w:rPr>
                <w:noProof/>
                <w:sz w:val="18"/>
                <w:szCs w:val="24"/>
              </w:rPr>
            </w:pPr>
            <w:r>
              <w:rPr>
                <w:noProof/>
                <w:sz w:val="18"/>
                <w:szCs w:val="24"/>
              </w:rPr>
              <w:t>Medium positive</w:t>
            </w:r>
          </w:p>
        </w:tc>
      </w:tr>
      <w:tr>
        <w:trPr>
          <w:trHeight w:val="283"/>
        </w:trPr>
        <w:tc>
          <w:tcPr>
            <w:tcW w:w="1646" w:type="pct"/>
          </w:tcPr>
          <w:p>
            <w:pPr>
              <w:rPr>
                <w:noProof/>
                <w:sz w:val="18"/>
                <w:szCs w:val="24"/>
              </w:rPr>
            </w:pPr>
            <w:r>
              <w:rPr>
                <w:noProof/>
                <w:sz w:val="18"/>
                <w:szCs w:val="24"/>
              </w:rPr>
              <w:t>Research and development</w:t>
            </w:r>
          </w:p>
        </w:tc>
        <w:tc>
          <w:tcPr>
            <w:tcW w:w="1119" w:type="pct"/>
          </w:tcPr>
          <w:p>
            <w:pPr>
              <w:rPr>
                <w:noProof/>
                <w:sz w:val="18"/>
                <w:szCs w:val="24"/>
              </w:rPr>
            </w:pPr>
            <w:r>
              <w:rPr>
                <w:noProof/>
                <w:sz w:val="18"/>
                <w:szCs w:val="24"/>
              </w:rPr>
              <w:t>High positive</w:t>
            </w:r>
          </w:p>
        </w:tc>
        <w:tc>
          <w:tcPr>
            <w:tcW w:w="1119" w:type="pct"/>
          </w:tcPr>
          <w:p>
            <w:pPr>
              <w:rPr>
                <w:noProof/>
                <w:sz w:val="18"/>
                <w:szCs w:val="24"/>
              </w:rPr>
            </w:pPr>
            <w:r>
              <w:rPr>
                <w:noProof/>
                <w:sz w:val="18"/>
                <w:szCs w:val="24"/>
              </w:rPr>
              <w:t>High positive</w:t>
            </w:r>
          </w:p>
        </w:tc>
        <w:tc>
          <w:tcPr>
            <w:tcW w:w="1116" w:type="pct"/>
          </w:tcPr>
          <w:p>
            <w:pPr>
              <w:rPr>
                <w:noProof/>
                <w:sz w:val="18"/>
                <w:szCs w:val="24"/>
              </w:rPr>
            </w:pPr>
            <w:r>
              <w:rPr>
                <w:noProof/>
                <w:sz w:val="18"/>
                <w:szCs w:val="24"/>
              </w:rPr>
              <w:t>High positive</w:t>
            </w:r>
          </w:p>
        </w:tc>
      </w:tr>
    </w:tbl>
    <w:p>
      <w:pPr>
        <w:pStyle w:val="bronvermelding"/>
        <w:rPr>
          <w:noProof/>
        </w:rPr>
      </w:pPr>
      <w:r>
        <w:rPr>
          <w:rFonts w:eastAsia="Arial"/>
          <w:noProof/>
        </w:rPr>
        <w:t>Source: Ecorys / CE Delft forthcoming Note: All impacts are presented against today’s situation.</w:t>
      </w:r>
    </w:p>
    <w:p>
      <w:pPr>
        <w:pStyle w:val="DefaultText"/>
        <w:rPr>
          <w:noProof/>
        </w:rPr>
      </w:pP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practice, the employment impact is expected to be marginally positive for the seafarers. Equipment suppliers and ship construction and repair should see more positive impacts reflecting an expected increase in investments, and changes in the fleet, equipment, and facilities. For the bunkering sector, the job growth may be more restrained as potential increases in the new facilities may be counterbalanced by losses in “older” forms of bunkering. Finally, R&amp;D employment should see a clear increase in all options.</w:t>
      </w:r>
    </w:p>
    <w:p>
      <w:pPr>
        <w:pStyle w:val="Heading3"/>
        <w:rPr>
          <w:noProof/>
        </w:rPr>
      </w:pPr>
      <w:bookmarkStart w:id="299" w:name="_Toc57907302"/>
      <w:bookmarkStart w:id="300" w:name="_Toc59152637"/>
      <w:bookmarkStart w:id="301" w:name="_Toc63426151"/>
      <w:bookmarkStart w:id="302" w:name="_Ref63436649"/>
      <w:bookmarkStart w:id="303" w:name="_Toc63438497"/>
      <w:r>
        <w:rPr>
          <w:noProof/>
        </w:rPr>
        <w:t>Impact on freight rates</w:t>
      </w:r>
      <w:bookmarkEnd w:id="299"/>
      <w:r>
        <w:rPr>
          <w:noProof/>
        </w:rPr>
        <w:t xml:space="preserve"> and connectivity of remote islands and peripheral regions</w:t>
      </w:r>
      <w:bookmarkEnd w:id="300"/>
      <w:bookmarkEnd w:id="301"/>
      <w:bookmarkEnd w:id="302"/>
      <w:bookmarkEnd w:id="303"/>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impact on freight rates of the proposed intervention could be used as a determinant of the potential impact on final consumer prices, bearing in mind that maritime transport is an essential vector of EU trade (75% of all EU external trade in volume and 31% of EU internal trade). By extension the impact on freight rates will be used as an indicator of the potential impact of the measure on the connectivity of remote islands and peripheral regions. However, it is difficult to directly relate freight rates to consumer prices. Historical data showed a decline of the cost of maritime transport in the transport of certain commodities, while over the same period freight rates were not following the same trend.</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Drawing conclusions on the impacts of fuel prices on freight rates is also complex, due to the diversity of the maritime sector. The proportion of fuel costs in the operating costs differ indeed from one market segment to another. For instance, while bunker costs may account for around 35% of the freight rate of a small tanker, this proportion is much higher (53%) for container/bulk vessels. The type of traffic can also influence the importance of fuel price fluctuation. Generally, the share of bunker cost is lower for deep sea shipping, compared to short sea shipping. This results in important differences on the impact of fuel prices on freight rates among different sectors. While the general freight index oil shows a strong correlation with the price of marine diesel, freight rates in the dry bulk sector (Baltic Dry Index) are decoupled from bunker prices and mainly influenced by the demand and supply of raw materials, fleet composition and demand and supply of ships.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Nevertheless, based on the existing literature</w:t>
      </w:r>
      <w:r>
        <w:rPr>
          <w:rStyle w:val="FootnoteReference"/>
          <w:rFonts w:ascii="Times New Roman" w:hAnsi="Times New Roman" w:cs="Times New Roman"/>
          <w:noProof/>
          <w:sz w:val="24"/>
          <w:szCs w:val="24"/>
          <w:lang w:val="en-IE"/>
        </w:rPr>
        <w:footnoteReference w:id="128"/>
      </w:r>
      <w:r>
        <w:rPr>
          <w:rFonts w:ascii="Times New Roman" w:hAnsi="Times New Roman" w:cs="Times New Roman"/>
          <w:noProof/>
          <w:sz w:val="24"/>
          <w:szCs w:val="24"/>
          <w:lang w:val="en-IE"/>
        </w:rPr>
        <w:t xml:space="preserve"> on the relation between fuel prices and freight rates, the impacts on the freight rates have been estimated for 2030 and 2050 and are provided in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_Ref63427271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15</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Drawing on the modelling exercise performed with PRIMES-Maritime model, the increase in the price of ‘diesel blend’ is estimated at around 7% by 2030 relative to the baseline and at 42% by 2050 in all POs. The ‘diesel blend’ covers diesel blended with biodiesel, e-fuels, hydrogen, ammonia and methanol. This is relevant in all POs, because the blended diesel which would be mostly decarbonised by 2050 is projected to represent around 51% of the fuel mix used in short sea shipping by 2030 and 36% by 2050. </w:t>
      </w:r>
    </w:p>
    <w:p>
      <w:pPr>
        <w:pStyle w:val="Caption"/>
        <w:spacing w:after="120"/>
        <w:rPr>
          <w:rFonts w:ascii="Times New Roman" w:hAnsi="Times New Roman" w:cs="Times New Roman"/>
          <w:noProof/>
          <w:sz w:val="24"/>
          <w:szCs w:val="24"/>
          <w:lang w:val="en-IE"/>
        </w:rPr>
      </w:pPr>
      <w:bookmarkStart w:id="304" w:name="_Ref63427271"/>
      <w:r>
        <w:rPr>
          <w:noProof/>
        </w:rPr>
        <w:t xml:space="preserve">Table </w:t>
      </w:r>
      <w:r>
        <w:rPr>
          <w:noProof/>
        </w:rPr>
        <w:fldChar w:fldCharType="begin"/>
      </w:r>
      <w:r>
        <w:rPr>
          <w:noProof/>
        </w:rPr>
        <w:instrText xml:space="preserve"> SEQ Table \* ARABIC </w:instrText>
      </w:r>
      <w:r>
        <w:rPr>
          <w:noProof/>
        </w:rPr>
        <w:fldChar w:fldCharType="separate"/>
      </w:r>
      <w:r>
        <w:rPr>
          <w:noProof/>
        </w:rPr>
        <w:t>15</w:t>
      </w:r>
      <w:r>
        <w:rPr>
          <w:noProof/>
        </w:rPr>
        <w:fldChar w:fldCharType="end"/>
      </w:r>
      <w:bookmarkEnd w:id="304"/>
      <w:r>
        <w:rPr>
          <w:noProof/>
        </w:rPr>
        <w:t xml:space="preserve"> Possible impacts of the projected ‘diesel blend’ price increase on freight rates</w:t>
      </w:r>
    </w:p>
    <w:tbl>
      <w:tblPr>
        <w:tblStyle w:val="TableGrid"/>
        <w:tblW w:w="8752" w:type="dxa"/>
        <w:jc w:val="center"/>
        <w:tblLook w:val="04A0" w:firstRow="1" w:lastRow="0" w:firstColumn="1" w:lastColumn="0" w:noHBand="0" w:noVBand="1"/>
      </w:tblPr>
      <w:tblGrid>
        <w:gridCol w:w="2187"/>
        <w:gridCol w:w="2187"/>
        <w:gridCol w:w="2189"/>
        <w:gridCol w:w="2189"/>
      </w:tblGrid>
      <w:tr>
        <w:trPr>
          <w:trHeight w:val="251"/>
          <w:jc w:val="center"/>
        </w:trPr>
        <w:tc>
          <w:tcPr>
            <w:tcW w:w="2187" w:type="dxa"/>
          </w:tcPr>
          <w:p>
            <w:pPr>
              <w:rPr>
                <w:b/>
                <w:noProof/>
                <w:lang w:val="en-IE"/>
              </w:rPr>
            </w:pPr>
            <w:r>
              <w:rPr>
                <w:b/>
                <w:noProof/>
                <w:lang w:val="en-IE" w:eastAsia="en-IE"/>
              </w:rPr>
              <w:t xml:space="preserve">Segment </w:t>
            </w:r>
          </w:p>
        </w:tc>
        <w:tc>
          <w:tcPr>
            <w:tcW w:w="2187" w:type="dxa"/>
          </w:tcPr>
          <w:p>
            <w:pPr>
              <w:jc w:val="center"/>
              <w:rPr>
                <w:b/>
                <w:noProof/>
                <w:lang w:val="en-IE"/>
              </w:rPr>
            </w:pPr>
            <w:r>
              <w:rPr>
                <w:b/>
                <w:noProof/>
                <w:lang w:val="en-IE"/>
              </w:rPr>
              <w:t>Freight rate elasticity</w:t>
            </w:r>
          </w:p>
        </w:tc>
        <w:tc>
          <w:tcPr>
            <w:tcW w:w="2189" w:type="dxa"/>
          </w:tcPr>
          <w:p>
            <w:pPr>
              <w:jc w:val="center"/>
              <w:rPr>
                <w:b/>
                <w:noProof/>
                <w:lang w:val="en-IE"/>
              </w:rPr>
            </w:pPr>
            <w:r>
              <w:rPr>
                <w:b/>
                <w:noProof/>
                <w:lang w:val="en-IE"/>
              </w:rPr>
              <w:t>2030</w:t>
            </w:r>
          </w:p>
        </w:tc>
        <w:tc>
          <w:tcPr>
            <w:tcW w:w="2189" w:type="dxa"/>
          </w:tcPr>
          <w:p>
            <w:pPr>
              <w:jc w:val="center"/>
              <w:rPr>
                <w:b/>
                <w:noProof/>
                <w:lang w:val="en-IE"/>
              </w:rPr>
            </w:pPr>
            <w:r>
              <w:rPr>
                <w:b/>
                <w:noProof/>
                <w:lang w:val="en-IE"/>
              </w:rPr>
              <w:t>2050</w:t>
            </w:r>
          </w:p>
        </w:tc>
      </w:tr>
      <w:tr>
        <w:trPr>
          <w:trHeight w:val="251"/>
          <w:jc w:val="center"/>
        </w:trPr>
        <w:tc>
          <w:tcPr>
            <w:tcW w:w="2187" w:type="dxa"/>
          </w:tcPr>
          <w:p>
            <w:pPr>
              <w:rPr>
                <w:noProof/>
                <w:lang w:val="en-IE"/>
              </w:rPr>
            </w:pPr>
            <w:r>
              <w:rPr>
                <w:rFonts w:eastAsia="Arial"/>
                <w:noProof/>
                <w:lang w:eastAsia="en-IE"/>
              </w:rPr>
              <w:t>General</w:t>
            </w:r>
          </w:p>
        </w:tc>
        <w:tc>
          <w:tcPr>
            <w:tcW w:w="2187" w:type="dxa"/>
          </w:tcPr>
          <w:p>
            <w:pPr>
              <w:jc w:val="center"/>
              <w:rPr>
                <w:noProof/>
                <w:lang w:val="en-IE"/>
              </w:rPr>
            </w:pPr>
            <w:r>
              <w:rPr>
                <w:noProof/>
                <w:lang w:val="en-IE"/>
              </w:rPr>
              <w:t>0.018-0.36</w:t>
            </w:r>
          </w:p>
        </w:tc>
        <w:tc>
          <w:tcPr>
            <w:tcW w:w="2189" w:type="dxa"/>
          </w:tcPr>
          <w:p>
            <w:pPr>
              <w:jc w:val="center"/>
              <w:rPr>
                <w:noProof/>
                <w:lang w:val="en-IE"/>
              </w:rPr>
            </w:pPr>
            <w:r>
              <w:rPr>
                <w:noProof/>
                <w:lang w:val="en-IE"/>
              </w:rPr>
              <w:t>0.1%-2.5%</w:t>
            </w:r>
          </w:p>
        </w:tc>
        <w:tc>
          <w:tcPr>
            <w:tcW w:w="2189" w:type="dxa"/>
          </w:tcPr>
          <w:p>
            <w:pPr>
              <w:jc w:val="center"/>
              <w:rPr>
                <w:noProof/>
                <w:lang w:val="en-IE"/>
              </w:rPr>
            </w:pPr>
            <w:r>
              <w:rPr>
                <w:noProof/>
                <w:lang w:val="en-IE"/>
              </w:rPr>
              <w:t>0.8%-15.1%</w:t>
            </w:r>
          </w:p>
        </w:tc>
      </w:tr>
      <w:tr>
        <w:trPr>
          <w:trHeight w:val="251"/>
          <w:jc w:val="center"/>
        </w:trPr>
        <w:tc>
          <w:tcPr>
            <w:tcW w:w="2187" w:type="dxa"/>
          </w:tcPr>
          <w:p>
            <w:pPr>
              <w:rPr>
                <w:noProof/>
                <w:lang w:val="en-IE"/>
              </w:rPr>
            </w:pPr>
            <w:r>
              <w:rPr>
                <w:rFonts w:eastAsia="Arial"/>
                <w:noProof/>
                <w:lang w:eastAsia="en-IE"/>
              </w:rPr>
              <w:t>Containers</w:t>
            </w:r>
          </w:p>
        </w:tc>
        <w:tc>
          <w:tcPr>
            <w:tcW w:w="2187" w:type="dxa"/>
          </w:tcPr>
          <w:p>
            <w:pPr>
              <w:jc w:val="center"/>
              <w:rPr>
                <w:noProof/>
                <w:lang w:val="en-IE"/>
              </w:rPr>
            </w:pPr>
            <w:r>
              <w:rPr>
                <w:noProof/>
                <w:lang w:val="en-IE"/>
              </w:rPr>
              <w:t>0.11-0.36</w:t>
            </w:r>
          </w:p>
        </w:tc>
        <w:tc>
          <w:tcPr>
            <w:tcW w:w="2189" w:type="dxa"/>
          </w:tcPr>
          <w:p>
            <w:pPr>
              <w:jc w:val="center"/>
              <w:rPr>
                <w:noProof/>
                <w:lang w:val="en-IE"/>
              </w:rPr>
            </w:pPr>
            <w:r>
              <w:rPr>
                <w:noProof/>
                <w:lang w:val="en-IE"/>
              </w:rPr>
              <w:t>0.8%-2.5%</w:t>
            </w:r>
          </w:p>
        </w:tc>
        <w:tc>
          <w:tcPr>
            <w:tcW w:w="2189" w:type="dxa"/>
          </w:tcPr>
          <w:p>
            <w:pPr>
              <w:jc w:val="center"/>
              <w:rPr>
                <w:noProof/>
                <w:lang w:val="en-IE"/>
              </w:rPr>
            </w:pPr>
            <w:r>
              <w:rPr>
                <w:noProof/>
                <w:lang w:val="en-IE"/>
              </w:rPr>
              <w:t>4.6%-15.1%</w:t>
            </w:r>
          </w:p>
        </w:tc>
      </w:tr>
      <w:tr>
        <w:trPr>
          <w:trHeight w:val="251"/>
          <w:jc w:val="center"/>
        </w:trPr>
        <w:tc>
          <w:tcPr>
            <w:tcW w:w="2187" w:type="dxa"/>
          </w:tcPr>
          <w:p>
            <w:pPr>
              <w:rPr>
                <w:noProof/>
                <w:lang w:val="en-IE"/>
              </w:rPr>
            </w:pPr>
            <w:r>
              <w:rPr>
                <w:rFonts w:eastAsia="Arial"/>
                <w:noProof/>
                <w:lang w:eastAsia="en-IE"/>
              </w:rPr>
              <w:t>Dry bulk</w:t>
            </w:r>
          </w:p>
        </w:tc>
        <w:tc>
          <w:tcPr>
            <w:tcW w:w="2187" w:type="dxa"/>
          </w:tcPr>
          <w:p>
            <w:pPr>
              <w:jc w:val="center"/>
              <w:rPr>
                <w:noProof/>
                <w:lang w:val="en-IE"/>
              </w:rPr>
            </w:pPr>
            <w:r>
              <w:rPr>
                <w:noProof/>
                <w:lang w:val="en-IE"/>
              </w:rPr>
              <w:t>0.28</w:t>
            </w:r>
          </w:p>
        </w:tc>
        <w:tc>
          <w:tcPr>
            <w:tcW w:w="2189" w:type="dxa"/>
          </w:tcPr>
          <w:p>
            <w:pPr>
              <w:jc w:val="center"/>
              <w:rPr>
                <w:noProof/>
                <w:lang w:val="en-IE"/>
              </w:rPr>
            </w:pPr>
            <w:r>
              <w:rPr>
                <w:noProof/>
                <w:lang w:val="en-IE"/>
              </w:rPr>
              <w:t>2.0%</w:t>
            </w:r>
          </w:p>
        </w:tc>
        <w:tc>
          <w:tcPr>
            <w:tcW w:w="2189" w:type="dxa"/>
          </w:tcPr>
          <w:p>
            <w:pPr>
              <w:jc w:val="center"/>
              <w:rPr>
                <w:noProof/>
                <w:lang w:val="en-IE"/>
              </w:rPr>
            </w:pPr>
            <w:r>
              <w:rPr>
                <w:noProof/>
                <w:lang w:val="en-IE"/>
              </w:rPr>
              <w:t>11.8%</w:t>
            </w:r>
          </w:p>
        </w:tc>
      </w:tr>
    </w:tbl>
    <w:p>
      <w:pPr>
        <w:pStyle w:val="bronvermelding"/>
        <w:rPr>
          <w:rFonts w:eastAsia="Arial"/>
          <w:noProof/>
        </w:rPr>
      </w:pPr>
      <w:r>
        <w:rPr>
          <w:rFonts w:eastAsia="Arial"/>
          <w:noProof/>
        </w:rPr>
        <w:t>Source: own calculations based on Ecorys (forthcoming) and PRIMES-Maritime</w:t>
      </w:r>
    </w:p>
    <w:p>
      <w:pPr>
        <w:spacing w:after="120"/>
        <w:jc w:val="both"/>
        <w:rPr>
          <w:rFonts w:ascii="Times New Roman" w:hAnsi="Times New Roman" w:cs="Times New Roman"/>
          <w:noProof/>
          <w:sz w:val="2"/>
          <w:szCs w:val="24"/>
          <w:lang w:val="en-IE"/>
        </w:rPr>
      </w:pP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As the impact of the proposed intervention remains limited on freight rates, and given the low share of transport costs on final consumer prices, the intervention is not expected to lead to any significant on commodity, product and raw material prices.</w:t>
      </w:r>
    </w:p>
    <w:p>
      <w:pPr>
        <w:pStyle w:val="Heading3"/>
        <w:rPr>
          <w:noProof/>
        </w:rPr>
      </w:pPr>
      <w:bookmarkStart w:id="305" w:name="_Toc59152638"/>
      <w:bookmarkStart w:id="306" w:name="_Toc63426152"/>
      <w:bookmarkStart w:id="307" w:name="_Ref63436837"/>
      <w:bookmarkStart w:id="308" w:name="_Toc63438498"/>
      <w:r>
        <w:rPr>
          <w:noProof/>
        </w:rPr>
        <w:t>Public health</w:t>
      </w:r>
      <w:bookmarkEnd w:id="305"/>
      <w:bookmarkEnd w:id="306"/>
      <w:bookmarkEnd w:id="307"/>
      <w:bookmarkEnd w:id="308"/>
      <w:r>
        <w:rPr>
          <w:noProof/>
        </w:rPr>
        <w:t xml:space="preserve">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All POs are estimated to have a positive impact on public health due to the decrease in air pollution. For instance, by 2050, in all POs NOx and PM10 emissions associated to maritime transport are projected to decrease by 24-27% relative to the baseline (with small differences among POs as shown in Section 6.3). These decreases are driven by the reduction in transport activity relative to the baseline, the uptake of zero-emission vessels and the uptake of on-shore supply. The POs would results in €9.4 to 10.3bn savings in the external costs of air pollution relative to the baseline</w:t>
      </w:r>
      <w:r>
        <w:rPr>
          <w:rStyle w:val="FootnoteReference"/>
          <w:rFonts w:ascii="Times New Roman" w:hAnsi="Times New Roman" w:cs="Times New Roman"/>
          <w:noProof/>
          <w:sz w:val="24"/>
          <w:szCs w:val="24"/>
        </w:rPr>
        <w:footnoteReference w:id="129"/>
      </w:r>
      <w:r>
        <w:rPr>
          <w:rFonts w:ascii="Times New Roman" w:hAnsi="Times New Roman" w:cs="Times New Roman"/>
          <w:noProof/>
          <w:sz w:val="24"/>
          <w:szCs w:val="24"/>
        </w:rPr>
        <w:t xml:space="preserve">, expressed as present value over the 2021-2050 period. </w:t>
      </w:r>
    </w:p>
    <w:p>
      <w:pPr>
        <w:pStyle w:val="Caption"/>
        <w:spacing w:after="120"/>
        <w:rPr>
          <w:rFonts w:ascii="Times New Roman" w:hAnsi="Times New Roman" w:cs="Times New Roman"/>
          <w:noProof/>
          <w:sz w:val="24"/>
          <w:szCs w:val="24"/>
          <w:lang w:val="en-IE"/>
        </w:rPr>
      </w:pPr>
      <w:r>
        <w:rPr>
          <w:noProof/>
        </w:rPr>
        <w:t xml:space="preserve">Table </w:t>
      </w:r>
      <w:r>
        <w:rPr>
          <w:noProof/>
        </w:rPr>
        <w:fldChar w:fldCharType="begin"/>
      </w:r>
      <w:r>
        <w:rPr>
          <w:noProof/>
        </w:rPr>
        <w:instrText xml:space="preserve"> SEQ Table \* ARABIC </w:instrText>
      </w:r>
      <w:r>
        <w:rPr>
          <w:noProof/>
        </w:rPr>
        <w:fldChar w:fldCharType="separate"/>
      </w:r>
      <w:r>
        <w:rPr>
          <w:noProof/>
        </w:rPr>
        <w:t>16</w:t>
      </w:r>
      <w:r>
        <w:rPr>
          <w:noProof/>
        </w:rPr>
        <w:fldChar w:fldCharType="end"/>
      </w:r>
      <w:r>
        <w:rPr>
          <w:noProof/>
        </w:rPr>
        <w:t xml:space="preserve"> External costs savings on air pollution</w:t>
      </w:r>
    </w:p>
    <w:tbl>
      <w:tblPr>
        <w:tblW w:w="5000" w:type="pct"/>
        <w:tblCellMar>
          <w:left w:w="70" w:type="dxa"/>
          <w:right w:w="70" w:type="dxa"/>
        </w:tblCellMar>
        <w:tblLook w:val="04A0" w:firstRow="1" w:lastRow="0" w:firstColumn="1" w:lastColumn="0" w:noHBand="0" w:noVBand="1"/>
      </w:tblPr>
      <w:tblGrid>
        <w:gridCol w:w="3834"/>
        <w:gridCol w:w="1460"/>
        <w:gridCol w:w="1211"/>
        <w:gridCol w:w="1211"/>
        <w:gridCol w:w="1211"/>
      </w:tblGrid>
      <w:tr>
        <w:trPr>
          <w:trHeight w:val="420"/>
        </w:trPr>
        <w:tc>
          <w:tcPr>
            <w:tcW w:w="2148" w:type="pct"/>
            <w:tcBorders>
              <w:top w:val="single" w:sz="4" w:space="0" w:color="auto"/>
              <w:left w:val="single" w:sz="4" w:space="0" w:color="auto"/>
              <w:bottom w:val="single" w:sz="4" w:space="0" w:color="auto"/>
              <w:right w:val="single" w:sz="4" w:space="0" w:color="auto"/>
            </w:tcBorders>
            <w:shd w:val="clear" w:color="000000" w:fill="FFFFFF"/>
            <w:vAlign w:val="center"/>
            <w:hideMark/>
          </w:tcPr>
          <w:p>
            <w:pPr>
              <w:rPr>
                <w:rFonts w:ascii="Times New Roman" w:eastAsia="Times New Roman" w:hAnsi="Times New Roman" w:cs="Times New Roman"/>
                <w:b/>
                <w:noProof/>
                <w:sz w:val="18"/>
                <w:szCs w:val="18"/>
                <w:lang w:val="en-IE" w:eastAsia="fr-BE"/>
              </w:rPr>
            </w:pPr>
            <w:r>
              <w:rPr>
                <w:rFonts w:ascii="Times New Roman" w:eastAsia="Times New Roman" w:hAnsi="Times New Roman" w:cs="Times New Roman"/>
                <w:b/>
                <w:noProof/>
                <w:sz w:val="18"/>
                <w:szCs w:val="18"/>
                <w:lang w:val="en-IE" w:eastAsia="fr-BE"/>
              </w:rPr>
              <w:t>External costs - present value for 2021-2050 compared to Baseline (bil. €'2015)</w:t>
            </w:r>
          </w:p>
        </w:tc>
        <w:tc>
          <w:tcPr>
            <w:tcW w:w="818" w:type="pct"/>
            <w:tcBorders>
              <w:top w:val="single" w:sz="4" w:space="0" w:color="auto"/>
              <w:left w:val="nil"/>
              <w:bottom w:val="single" w:sz="4" w:space="0" w:color="auto"/>
              <w:right w:val="single" w:sz="4" w:space="0" w:color="auto"/>
            </w:tcBorders>
            <w:shd w:val="clear" w:color="000000" w:fill="FFFFFF"/>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Baseline (bil. €'2015)</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PO1</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PO2</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noProof/>
                <w:sz w:val="18"/>
                <w:szCs w:val="18"/>
                <w:lang w:val="fr-BE" w:eastAsia="fr-BE"/>
              </w:rPr>
            </w:pPr>
            <w:r>
              <w:rPr>
                <w:rFonts w:ascii="Times New Roman" w:eastAsia="Times New Roman" w:hAnsi="Times New Roman" w:cs="Times New Roman"/>
                <w:b/>
                <w:noProof/>
                <w:sz w:val="18"/>
                <w:szCs w:val="18"/>
                <w:lang w:val="fr-BE" w:eastAsia="fr-BE"/>
              </w:rPr>
              <w:t>PO3</w:t>
            </w:r>
          </w:p>
        </w:tc>
      </w:tr>
      <w:tr>
        <w:trPr>
          <w:trHeight w:val="200"/>
        </w:trPr>
        <w:tc>
          <w:tcPr>
            <w:tcW w:w="214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sz w:val="18"/>
                <w:szCs w:val="18"/>
                <w:lang w:val="en-IE" w:eastAsia="fr-BE"/>
              </w:rPr>
            </w:pPr>
            <w:r>
              <w:rPr>
                <w:rFonts w:ascii="Times New Roman" w:eastAsia="Times New Roman" w:hAnsi="Times New Roman" w:cs="Times New Roman"/>
                <w:noProof/>
                <w:sz w:val="18"/>
                <w:szCs w:val="18"/>
                <w:lang w:val="en-IE" w:eastAsia="fr-BE"/>
              </w:rPr>
              <w:t>External costs of air pollution</w:t>
            </w:r>
          </w:p>
        </w:tc>
        <w:tc>
          <w:tcPr>
            <w:tcW w:w="81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124</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-10.3</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-9.4</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-10.0</w:t>
            </w:r>
          </w:p>
        </w:tc>
      </w:tr>
    </w:tbl>
    <w:p>
      <w:pPr>
        <w:pStyle w:val="bronvermelding"/>
        <w:rPr>
          <w:rFonts w:eastAsia="Arial"/>
          <w:noProof/>
        </w:rPr>
      </w:pPr>
      <w:r>
        <w:rPr>
          <w:rFonts w:eastAsia="Arial"/>
          <w:noProof/>
        </w:rPr>
        <w:t>Source: PRIMES-Maritime</w:t>
      </w:r>
    </w:p>
    <w:p>
      <w:pPr>
        <w:spacing w:after="120"/>
        <w:jc w:val="both"/>
        <w:rPr>
          <w:rFonts w:ascii="Times New Roman" w:hAnsi="Times New Roman" w:cs="Times New Roman"/>
          <w:noProof/>
          <w:sz w:val="2"/>
          <w:szCs w:val="24"/>
        </w:rPr>
      </w:pP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Savings happening as the result of the use of cleaner energy sources at berth, in particular OPS, are particularly important as they would contribute reducing the air pollution pressure on ports and port cities. </w:t>
      </w:r>
    </w:p>
    <w:p>
      <w:pPr>
        <w:pStyle w:val="Heading2"/>
        <w:rPr>
          <w:noProof/>
        </w:rPr>
      </w:pPr>
      <w:bookmarkStart w:id="309" w:name="_Toc57907304"/>
      <w:bookmarkStart w:id="310" w:name="_Toc59152639"/>
      <w:bookmarkStart w:id="311" w:name="_Toc63426153"/>
      <w:bookmarkStart w:id="312" w:name="_Ref63436731"/>
      <w:bookmarkStart w:id="313" w:name="_Toc63438499"/>
      <w:r>
        <w:rPr>
          <w:noProof/>
        </w:rPr>
        <w:t>Environmental impacts</w:t>
      </w:r>
      <w:bookmarkEnd w:id="309"/>
      <w:bookmarkEnd w:id="310"/>
      <w:bookmarkEnd w:id="311"/>
      <w:bookmarkEnd w:id="312"/>
      <w:bookmarkEnd w:id="313"/>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environmental impacts have been assessed in terms of fossil fuel savings and GHG emissions reductions, as well as impacts on air quality. An analysis of the risk of carbon leakage and the possible traffic diversion resulting from the proposed intervention is also provided in this section. </w:t>
      </w:r>
    </w:p>
    <w:p>
      <w:pPr>
        <w:pStyle w:val="Heading3"/>
        <w:rPr>
          <w:noProof/>
        </w:rPr>
      </w:pPr>
      <w:bookmarkStart w:id="314" w:name="_Toc59152640"/>
      <w:bookmarkStart w:id="315" w:name="_Toc63426154"/>
      <w:bookmarkStart w:id="316" w:name="_Toc63438500"/>
      <w:bookmarkStart w:id="317" w:name="_Toc57907305"/>
      <w:r>
        <w:rPr>
          <w:noProof/>
        </w:rPr>
        <w:t>Fossil fuels savings</w:t>
      </w:r>
      <w:bookmarkEnd w:id="314"/>
      <w:bookmarkEnd w:id="315"/>
      <w:bookmarkEnd w:id="316"/>
      <w:r>
        <w:rPr>
          <w:noProof/>
        </w:rPr>
        <w:t xml:space="preserve"> </w:t>
      </w:r>
      <w:bookmarkEnd w:id="317"/>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All POs achieve significant fossil fuel savings relative to the baseline, estimated to be around 13% by 2030 and 89 to 91% by 2050. The share is slightly higher for passenger ships and short sea shipping than for deep-sea shipping. This is in line with previous conclusions concerning the frequency of the journeys within the scope of the proposal. Oil products and fossil LNG are gradually replaced over time with renewable and low-carbon liquid and gaseous fuels. This also reduces the EU fossil fuel dependency.  </w:t>
      </w:r>
    </w:p>
    <w:p>
      <w:pPr>
        <w:pStyle w:val="Caption"/>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17</w:t>
      </w:r>
      <w:r>
        <w:rPr>
          <w:noProof/>
        </w:rPr>
        <w:fldChar w:fldCharType="end"/>
      </w:r>
      <w:r>
        <w:rPr>
          <w:noProof/>
        </w:rPr>
        <w:t xml:space="preserve"> Fossil fuel savings in the policy options relative to the baseline</w:t>
      </w:r>
    </w:p>
    <w:tbl>
      <w:tblPr>
        <w:tblStyle w:val="CV11"/>
        <w:tblW w:w="5000" w:type="pct"/>
        <w:tblLook w:val="04A0" w:firstRow="1" w:lastRow="0" w:firstColumn="1" w:lastColumn="0" w:noHBand="0" w:noVBand="1"/>
      </w:tblPr>
      <w:tblGrid>
        <w:gridCol w:w="2553"/>
        <w:gridCol w:w="781"/>
        <w:gridCol w:w="781"/>
        <w:gridCol w:w="816"/>
        <w:gridCol w:w="816"/>
        <w:gridCol w:w="816"/>
        <w:gridCol w:w="816"/>
        <w:gridCol w:w="816"/>
        <w:gridCol w:w="808"/>
      </w:tblGrid>
      <w:tr>
        <w:trPr>
          <w:trHeight w:val="225"/>
        </w:trPr>
        <w:tc>
          <w:tcPr>
            <w:tcW w:w="1418" w:type="pct"/>
            <w:vMerge w:val="restart"/>
            <w:hideMark/>
          </w:tcPr>
          <w:p>
            <w:pPr>
              <w:rPr>
                <w:b/>
                <w:bCs/>
                <w:noProof/>
                <w:sz w:val="18"/>
                <w:lang w:val="en-IE" w:eastAsia="en-IE"/>
              </w:rPr>
            </w:pPr>
            <w:r>
              <w:rPr>
                <w:b/>
                <w:bCs/>
                <w:noProof/>
                <w:sz w:val="18"/>
                <w:lang w:val="en-IE" w:eastAsia="en-IE"/>
              </w:rPr>
              <w:t>Fossil fuel use in maritime (% change to Baseline)</w:t>
            </w:r>
          </w:p>
        </w:tc>
        <w:tc>
          <w:tcPr>
            <w:tcW w:w="867" w:type="pct"/>
            <w:gridSpan w:val="2"/>
            <w:hideMark/>
          </w:tcPr>
          <w:p>
            <w:pPr>
              <w:jc w:val="center"/>
              <w:rPr>
                <w:b/>
                <w:bCs/>
                <w:noProof/>
                <w:sz w:val="18"/>
                <w:lang w:val="en-IE" w:eastAsia="en-IE"/>
              </w:rPr>
            </w:pPr>
            <w:r>
              <w:rPr>
                <w:b/>
                <w:bCs/>
                <w:noProof/>
                <w:sz w:val="18"/>
                <w:lang w:val="en-IE" w:eastAsia="en-IE"/>
              </w:rPr>
              <w:t>Baseline (ktoe)</w:t>
            </w:r>
          </w:p>
        </w:tc>
        <w:tc>
          <w:tcPr>
            <w:tcW w:w="906" w:type="pct"/>
            <w:gridSpan w:val="2"/>
            <w:noWrap/>
            <w:hideMark/>
          </w:tcPr>
          <w:p>
            <w:pPr>
              <w:jc w:val="center"/>
              <w:rPr>
                <w:b/>
                <w:bCs/>
                <w:noProof/>
                <w:sz w:val="18"/>
                <w:lang w:val="en-IE" w:eastAsia="en-IE"/>
              </w:rPr>
            </w:pPr>
            <w:r>
              <w:rPr>
                <w:b/>
                <w:bCs/>
                <w:noProof/>
                <w:sz w:val="18"/>
                <w:lang w:val="en-IE" w:eastAsia="en-IE"/>
              </w:rPr>
              <w:t>PO1</w:t>
            </w:r>
          </w:p>
        </w:tc>
        <w:tc>
          <w:tcPr>
            <w:tcW w:w="906" w:type="pct"/>
            <w:gridSpan w:val="2"/>
            <w:noWrap/>
            <w:hideMark/>
          </w:tcPr>
          <w:p>
            <w:pPr>
              <w:jc w:val="center"/>
              <w:rPr>
                <w:b/>
                <w:bCs/>
                <w:noProof/>
                <w:sz w:val="18"/>
                <w:lang w:val="en-IE" w:eastAsia="en-IE"/>
              </w:rPr>
            </w:pPr>
            <w:r>
              <w:rPr>
                <w:b/>
                <w:bCs/>
                <w:noProof/>
                <w:sz w:val="18"/>
                <w:lang w:val="en-IE" w:eastAsia="en-IE"/>
              </w:rPr>
              <w:t>PO2</w:t>
            </w:r>
          </w:p>
        </w:tc>
        <w:tc>
          <w:tcPr>
            <w:tcW w:w="902" w:type="pct"/>
            <w:gridSpan w:val="2"/>
            <w:noWrap/>
            <w:hideMark/>
          </w:tcPr>
          <w:p>
            <w:pPr>
              <w:jc w:val="center"/>
              <w:rPr>
                <w:b/>
                <w:bCs/>
                <w:noProof/>
                <w:sz w:val="18"/>
                <w:lang w:val="en-IE" w:eastAsia="en-IE"/>
              </w:rPr>
            </w:pPr>
            <w:r>
              <w:rPr>
                <w:b/>
                <w:bCs/>
                <w:noProof/>
                <w:sz w:val="18"/>
                <w:lang w:val="en-IE" w:eastAsia="en-IE"/>
              </w:rPr>
              <w:t>PO3</w:t>
            </w:r>
          </w:p>
        </w:tc>
      </w:tr>
      <w:tr>
        <w:trPr>
          <w:trHeight w:val="216"/>
        </w:trPr>
        <w:tc>
          <w:tcPr>
            <w:tcW w:w="1418" w:type="pct"/>
            <w:vMerge/>
            <w:hideMark/>
          </w:tcPr>
          <w:p>
            <w:pPr>
              <w:rPr>
                <w:b/>
                <w:bCs/>
                <w:noProof/>
                <w:sz w:val="18"/>
                <w:lang w:val="en-IE" w:eastAsia="en-IE"/>
              </w:rPr>
            </w:pPr>
          </w:p>
        </w:tc>
        <w:tc>
          <w:tcPr>
            <w:tcW w:w="434" w:type="pct"/>
            <w:tcBorders>
              <w:right w:val="dotted" w:sz="4" w:space="0" w:color="auto"/>
            </w:tcBorders>
            <w:noWrap/>
            <w:hideMark/>
          </w:tcPr>
          <w:p>
            <w:pPr>
              <w:jc w:val="center"/>
              <w:rPr>
                <w:b/>
                <w:bCs/>
                <w:noProof/>
                <w:sz w:val="18"/>
                <w:lang w:val="en-IE" w:eastAsia="en-IE"/>
              </w:rPr>
            </w:pPr>
            <w:r>
              <w:rPr>
                <w:b/>
                <w:bCs/>
                <w:noProof/>
                <w:sz w:val="18"/>
                <w:lang w:val="en-IE" w:eastAsia="en-IE"/>
              </w:rPr>
              <w:t>2030</w:t>
            </w:r>
          </w:p>
        </w:tc>
        <w:tc>
          <w:tcPr>
            <w:tcW w:w="434" w:type="pct"/>
            <w:tcBorders>
              <w:left w:val="dotted" w:sz="4" w:space="0" w:color="auto"/>
            </w:tcBorders>
            <w:noWrap/>
            <w:hideMark/>
          </w:tcPr>
          <w:p>
            <w:pPr>
              <w:jc w:val="center"/>
              <w:rPr>
                <w:b/>
                <w:bCs/>
                <w:noProof/>
                <w:sz w:val="18"/>
                <w:lang w:val="en-IE" w:eastAsia="en-IE"/>
              </w:rPr>
            </w:pPr>
            <w:r>
              <w:rPr>
                <w:b/>
                <w:bCs/>
                <w:noProof/>
                <w:sz w:val="18"/>
                <w:lang w:val="en-IE" w:eastAsia="en-IE"/>
              </w:rPr>
              <w:t>2050</w:t>
            </w:r>
          </w:p>
        </w:tc>
        <w:tc>
          <w:tcPr>
            <w:tcW w:w="453" w:type="pct"/>
            <w:tcBorders>
              <w:right w:val="dotted" w:sz="4" w:space="0" w:color="auto"/>
            </w:tcBorders>
            <w:noWrap/>
            <w:hideMark/>
          </w:tcPr>
          <w:p>
            <w:pPr>
              <w:jc w:val="center"/>
              <w:rPr>
                <w:b/>
                <w:bCs/>
                <w:noProof/>
                <w:sz w:val="18"/>
                <w:lang w:val="en-IE" w:eastAsia="en-IE"/>
              </w:rPr>
            </w:pPr>
            <w:r>
              <w:rPr>
                <w:b/>
                <w:bCs/>
                <w:noProof/>
                <w:sz w:val="18"/>
                <w:lang w:val="en-IE" w:eastAsia="en-IE"/>
              </w:rPr>
              <w:t>2030</w:t>
            </w:r>
          </w:p>
        </w:tc>
        <w:tc>
          <w:tcPr>
            <w:tcW w:w="453" w:type="pct"/>
            <w:tcBorders>
              <w:left w:val="dotted" w:sz="4" w:space="0" w:color="auto"/>
            </w:tcBorders>
            <w:noWrap/>
            <w:hideMark/>
          </w:tcPr>
          <w:p>
            <w:pPr>
              <w:jc w:val="center"/>
              <w:rPr>
                <w:b/>
                <w:bCs/>
                <w:noProof/>
                <w:sz w:val="18"/>
                <w:lang w:val="en-IE" w:eastAsia="en-IE"/>
              </w:rPr>
            </w:pPr>
            <w:r>
              <w:rPr>
                <w:b/>
                <w:bCs/>
                <w:noProof/>
                <w:sz w:val="18"/>
                <w:lang w:val="en-IE" w:eastAsia="en-IE"/>
              </w:rPr>
              <w:t>2050</w:t>
            </w:r>
          </w:p>
        </w:tc>
        <w:tc>
          <w:tcPr>
            <w:tcW w:w="453" w:type="pct"/>
            <w:tcBorders>
              <w:right w:val="dotted" w:sz="4" w:space="0" w:color="auto"/>
            </w:tcBorders>
            <w:noWrap/>
            <w:hideMark/>
          </w:tcPr>
          <w:p>
            <w:pPr>
              <w:jc w:val="center"/>
              <w:rPr>
                <w:b/>
                <w:bCs/>
                <w:noProof/>
                <w:sz w:val="18"/>
                <w:lang w:val="en-IE" w:eastAsia="en-IE"/>
              </w:rPr>
            </w:pPr>
            <w:r>
              <w:rPr>
                <w:b/>
                <w:bCs/>
                <w:noProof/>
                <w:sz w:val="18"/>
                <w:lang w:val="en-IE" w:eastAsia="en-IE"/>
              </w:rPr>
              <w:t>2030</w:t>
            </w:r>
          </w:p>
        </w:tc>
        <w:tc>
          <w:tcPr>
            <w:tcW w:w="453" w:type="pct"/>
            <w:tcBorders>
              <w:left w:val="dotted" w:sz="4" w:space="0" w:color="auto"/>
            </w:tcBorders>
            <w:noWrap/>
            <w:hideMark/>
          </w:tcPr>
          <w:p>
            <w:pPr>
              <w:jc w:val="center"/>
              <w:rPr>
                <w:b/>
                <w:bCs/>
                <w:noProof/>
                <w:sz w:val="18"/>
                <w:lang w:val="en-IE" w:eastAsia="en-IE"/>
              </w:rPr>
            </w:pPr>
            <w:r>
              <w:rPr>
                <w:b/>
                <w:bCs/>
                <w:noProof/>
                <w:sz w:val="18"/>
                <w:lang w:val="en-IE" w:eastAsia="en-IE"/>
              </w:rPr>
              <w:t>2050</w:t>
            </w:r>
          </w:p>
        </w:tc>
        <w:tc>
          <w:tcPr>
            <w:tcW w:w="453" w:type="pct"/>
            <w:tcBorders>
              <w:right w:val="dotted" w:sz="4" w:space="0" w:color="auto"/>
            </w:tcBorders>
            <w:noWrap/>
            <w:hideMark/>
          </w:tcPr>
          <w:p>
            <w:pPr>
              <w:jc w:val="center"/>
              <w:rPr>
                <w:b/>
                <w:bCs/>
                <w:noProof/>
                <w:sz w:val="18"/>
                <w:lang w:val="en-IE" w:eastAsia="en-IE"/>
              </w:rPr>
            </w:pPr>
            <w:r>
              <w:rPr>
                <w:b/>
                <w:bCs/>
                <w:noProof/>
                <w:sz w:val="18"/>
                <w:lang w:val="en-IE" w:eastAsia="en-IE"/>
              </w:rPr>
              <w:t>2030</w:t>
            </w:r>
          </w:p>
        </w:tc>
        <w:tc>
          <w:tcPr>
            <w:tcW w:w="449" w:type="pct"/>
            <w:tcBorders>
              <w:left w:val="dotted" w:sz="4" w:space="0" w:color="auto"/>
            </w:tcBorders>
            <w:noWrap/>
            <w:hideMark/>
          </w:tcPr>
          <w:p>
            <w:pPr>
              <w:jc w:val="center"/>
              <w:rPr>
                <w:b/>
                <w:bCs/>
                <w:noProof/>
                <w:sz w:val="18"/>
                <w:lang w:val="en-IE" w:eastAsia="en-IE"/>
              </w:rPr>
            </w:pPr>
            <w:r>
              <w:rPr>
                <w:b/>
                <w:bCs/>
                <w:noProof/>
                <w:sz w:val="18"/>
                <w:lang w:val="en-IE" w:eastAsia="en-IE"/>
              </w:rPr>
              <w:t>2050</w:t>
            </w:r>
          </w:p>
        </w:tc>
      </w:tr>
      <w:tr>
        <w:trPr>
          <w:trHeight w:val="204"/>
        </w:trPr>
        <w:tc>
          <w:tcPr>
            <w:tcW w:w="1418" w:type="pct"/>
            <w:noWrap/>
            <w:hideMark/>
          </w:tcPr>
          <w:p>
            <w:pPr>
              <w:rPr>
                <w:b/>
                <w:noProof/>
                <w:sz w:val="18"/>
                <w:lang w:val="en-IE" w:eastAsia="en-IE"/>
              </w:rPr>
            </w:pPr>
            <w:r>
              <w:rPr>
                <w:b/>
                <w:noProof/>
                <w:sz w:val="18"/>
                <w:lang w:val="en-IE" w:eastAsia="en-IE"/>
              </w:rPr>
              <w:t>Total shipping</w:t>
            </w:r>
          </w:p>
        </w:tc>
        <w:tc>
          <w:tcPr>
            <w:tcW w:w="434" w:type="pct"/>
            <w:tcBorders>
              <w:right w:val="dotted" w:sz="4" w:space="0" w:color="auto"/>
            </w:tcBorders>
            <w:noWrap/>
            <w:vAlign w:val="bottom"/>
            <w:hideMark/>
          </w:tcPr>
          <w:p>
            <w:pPr>
              <w:jc w:val="center"/>
              <w:rPr>
                <w:b/>
                <w:noProof/>
                <w:sz w:val="18"/>
                <w:lang w:val="en-IE" w:eastAsia="en-IE"/>
              </w:rPr>
            </w:pPr>
            <w:r>
              <w:rPr>
                <w:b/>
                <w:noProof/>
                <w:color w:val="000000"/>
                <w:sz w:val="16"/>
                <w:szCs w:val="16"/>
              </w:rPr>
              <w:t>45,793</w:t>
            </w:r>
          </w:p>
        </w:tc>
        <w:tc>
          <w:tcPr>
            <w:tcW w:w="434" w:type="pct"/>
            <w:tcBorders>
              <w:left w:val="dotted" w:sz="4" w:space="0" w:color="auto"/>
            </w:tcBorders>
            <w:noWrap/>
            <w:vAlign w:val="bottom"/>
            <w:hideMark/>
          </w:tcPr>
          <w:p>
            <w:pPr>
              <w:jc w:val="center"/>
              <w:rPr>
                <w:b/>
                <w:noProof/>
                <w:sz w:val="18"/>
                <w:lang w:val="en-IE" w:eastAsia="en-IE"/>
              </w:rPr>
            </w:pPr>
            <w:r>
              <w:rPr>
                <w:b/>
                <w:noProof/>
                <w:color w:val="000000"/>
                <w:sz w:val="16"/>
                <w:szCs w:val="16"/>
              </w:rPr>
              <w:t>55,675</w:t>
            </w:r>
          </w:p>
        </w:tc>
        <w:tc>
          <w:tcPr>
            <w:tcW w:w="453" w:type="pct"/>
            <w:tcBorders>
              <w:right w:val="dotted" w:sz="4" w:space="0" w:color="auto"/>
            </w:tcBorders>
            <w:noWrap/>
            <w:hideMark/>
          </w:tcPr>
          <w:p>
            <w:pPr>
              <w:jc w:val="center"/>
              <w:rPr>
                <w:b/>
                <w:noProof/>
                <w:sz w:val="18"/>
                <w:lang w:val="en-IE" w:eastAsia="en-IE"/>
              </w:rPr>
            </w:pPr>
            <w:r>
              <w:rPr>
                <w:b/>
                <w:noProof/>
                <w:color w:val="000000"/>
                <w:sz w:val="16"/>
                <w:szCs w:val="16"/>
              </w:rPr>
              <w:t>-13.2%</w:t>
            </w:r>
          </w:p>
        </w:tc>
        <w:tc>
          <w:tcPr>
            <w:tcW w:w="453" w:type="pct"/>
            <w:tcBorders>
              <w:left w:val="dotted" w:sz="4" w:space="0" w:color="auto"/>
            </w:tcBorders>
            <w:noWrap/>
            <w:hideMark/>
          </w:tcPr>
          <w:p>
            <w:pPr>
              <w:jc w:val="center"/>
              <w:rPr>
                <w:b/>
                <w:noProof/>
                <w:sz w:val="18"/>
                <w:lang w:val="en-IE" w:eastAsia="en-IE"/>
              </w:rPr>
            </w:pPr>
            <w:r>
              <w:rPr>
                <w:b/>
                <w:noProof/>
                <w:color w:val="000000"/>
                <w:sz w:val="16"/>
                <w:szCs w:val="16"/>
              </w:rPr>
              <w:t>-88.6%</w:t>
            </w:r>
          </w:p>
        </w:tc>
        <w:tc>
          <w:tcPr>
            <w:tcW w:w="453" w:type="pct"/>
            <w:tcBorders>
              <w:right w:val="dotted" w:sz="4" w:space="0" w:color="auto"/>
            </w:tcBorders>
            <w:noWrap/>
            <w:hideMark/>
          </w:tcPr>
          <w:p>
            <w:pPr>
              <w:jc w:val="center"/>
              <w:rPr>
                <w:b/>
                <w:noProof/>
                <w:sz w:val="18"/>
                <w:lang w:val="en-IE" w:eastAsia="en-IE"/>
              </w:rPr>
            </w:pPr>
            <w:r>
              <w:rPr>
                <w:b/>
                <w:noProof/>
                <w:color w:val="000000"/>
                <w:sz w:val="16"/>
                <w:szCs w:val="16"/>
              </w:rPr>
              <w:t>-13.1%</w:t>
            </w:r>
          </w:p>
        </w:tc>
        <w:tc>
          <w:tcPr>
            <w:tcW w:w="453" w:type="pct"/>
            <w:tcBorders>
              <w:left w:val="dotted" w:sz="4" w:space="0" w:color="auto"/>
            </w:tcBorders>
            <w:noWrap/>
            <w:hideMark/>
          </w:tcPr>
          <w:p>
            <w:pPr>
              <w:jc w:val="center"/>
              <w:rPr>
                <w:b/>
                <w:noProof/>
                <w:sz w:val="18"/>
                <w:lang w:val="en-IE" w:eastAsia="en-IE"/>
              </w:rPr>
            </w:pPr>
            <w:r>
              <w:rPr>
                <w:b/>
                <w:noProof/>
                <w:color w:val="000000"/>
                <w:sz w:val="16"/>
                <w:szCs w:val="16"/>
              </w:rPr>
              <w:t>-90.7%</w:t>
            </w:r>
          </w:p>
        </w:tc>
        <w:tc>
          <w:tcPr>
            <w:tcW w:w="453" w:type="pct"/>
            <w:tcBorders>
              <w:right w:val="dotted" w:sz="4" w:space="0" w:color="auto"/>
            </w:tcBorders>
            <w:noWrap/>
            <w:hideMark/>
          </w:tcPr>
          <w:p>
            <w:pPr>
              <w:jc w:val="center"/>
              <w:rPr>
                <w:b/>
                <w:noProof/>
                <w:sz w:val="18"/>
                <w:lang w:val="en-IE" w:eastAsia="en-IE"/>
              </w:rPr>
            </w:pPr>
            <w:r>
              <w:rPr>
                <w:b/>
                <w:noProof/>
                <w:color w:val="000000"/>
                <w:sz w:val="16"/>
                <w:szCs w:val="16"/>
              </w:rPr>
              <w:t>-13.1%</w:t>
            </w:r>
          </w:p>
        </w:tc>
        <w:tc>
          <w:tcPr>
            <w:tcW w:w="449" w:type="pct"/>
            <w:tcBorders>
              <w:left w:val="dotted" w:sz="4" w:space="0" w:color="auto"/>
            </w:tcBorders>
            <w:noWrap/>
            <w:hideMark/>
          </w:tcPr>
          <w:p>
            <w:pPr>
              <w:jc w:val="center"/>
              <w:rPr>
                <w:b/>
                <w:noProof/>
                <w:sz w:val="18"/>
                <w:lang w:val="en-IE" w:eastAsia="en-IE"/>
              </w:rPr>
            </w:pPr>
            <w:r>
              <w:rPr>
                <w:b/>
                <w:noProof/>
                <w:color w:val="000000"/>
                <w:sz w:val="16"/>
                <w:szCs w:val="16"/>
              </w:rPr>
              <w:t>-90.2%</w:t>
            </w:r>
          </w:p>
        </w:tc>
      </w:tr>
      <w:tr>
        <w:trPr>
          <w:trHeight w:val="204"/>
        </w:trPr>
        <w:tc>
          <w:tcPr>
            <w:tcW w:w="1418" w:type="pct"/>
            <w:noWrap/>
            <w:hideMark/>
          </w:tcPr>
          <w:p>
            <w:pPr>
              <w:ind w:firstLineChars="100" w:firstLine="180"/>
              <w:rPr>
                <w:noProof/>
                <w:sz w:val="18"/>
                <w:lang w:val="en-IE" w:eastAsia="en-IE"/>
              </w:rPr>
            </w:pPr>
            <w:r>
              <w:rPr>
                <w:noProof/>
                <w:sz w:val="18"/>
                <w:lang w:val="en-IE" w:eastAsia="en-IE"/>
              </w:rPr>
              <w:t>oil products</w:t>
            </w:r>
          </w:p>
        </w:tc>
        <w:tc>
          <w:tcPr>
            <w:tcW w:w="434" w:type="pct"/>
            <w:tcBorders>
              <w:right w:val="dotted" w:sz="4" w:space="0" w:color="auto"/>
            </w:tcBorders>
            <w:noWrap/>
            <w:vAlign w:val="bottom"/>
            <w:hideMark/>
          </w:tcPr>
          <w:p>
            <w:pPr>
              <w:jc w:val="center"/>
              <w:rPr>
                <w:noProof/>
                <w:sz w:val="18"/>
                <w:lang w:val="en-IE" w:eastAsia="en-IE"/>
              </w:rPr>
            </w:pPr>
            <w:r>
              <w:rPr>
                <w:noProof/>
                <w:color w:val="000000"/>
                <w:sz w:val="16"/>
                <w:szCs w:val="16"/>
              </w:rPr>
              <w:t>43,597</w:t>
            </w:r>
          </w:p>
        </w:tc>
        <w:tc>
          <w:tcPr>
            <w:tcW w:w="434" w:type="pct"/>
            <w:tcBorders>
              <w:left w:val="dotted" w:sz="4" w:space="0" w:color="auto"/>
            </w:tcBorders>
            <w:noWrap/>
            <w:vAlign w:val="bottom"/>
            <w:hideMark/>
          </w:tcPr>
          <w:p>
            <w:pPr>
              <w:jc w:val="center"/>
              <w:rPr>
                <w:noProof/>
                <w:sz w:val="18"/>
                <w:lang w:val="en-IE" w:eastAsia="en-IE"/>
              </w:rPr>
            </w:pPr>
            <w:r>
              <w:rPr>
                <w:noProof/>
                <w:color w:val="000000"/>
                <w:sz w:val="16"/>
                <w:szCs w:val="16"/>
              </w:rPr>
              <w:t>45,135</w:t>
            </w:r>
          </w:p>
        </w:tc>
        <w:tc>
          <w:tcPr>
            <w:tcW w:w="453" w:type="pct"/>
            <w:tcBorders>
              <w:right w:val="dotted" w:sz="4" w:space="0" w:color="auto"/>
            </w:tcBorders>
            <w:noWrap/>
            <w:hideMark/>
          </w:tcPr>
          <w:p>
            <w:pPr>
              <w:jc w:val="center"/>
              <w:rPr>
                <w:noProof/>
                <w:sz w:val="18"/>
                <w:lang w:val="en-IE" w:eastAsia="en-IE"/>
              </w:rPr>
            </w:pPr>
            <w:r>
              <w:rPr>
                <w:noProof/>
                <w:color w:val="000000"/>
                <w:sz w:val="16"/>
                <w:szCs w:val="16"/>
              </w:rPr>
              <w:t>-12.3%</w:t>
            </w:r>
          </w:p>
        </w:tc>
        <w:tc>
          <w:tcPr>
            <w:tcW w:w="453" w:type="pct"/>
            <w:tcBorders>
              <w:left w:val="dotted" w:sz="4" w:space="0" w:color="auto"/>
            </w:tcBorders>
            <w:noWrap/>
            <w:hideMark/>
          </w:tcPr>
          <w:p>
            <w:pPr>
              <w:jc w:val="center"/>
              <w:rPr>
                <w:noProof/>
                <w:sz w:val="18"/>
                <w:lang w:val="en-IE" w:eastAsia="en-IE"/>
              </w:rPr>
            </w:pPr>
            <w:r>
              <w:rPr>
                <w:noProof/>
                <w:color w:val="000000"/>
                <w:sz w:val="16"/>
                <w:szCs w:val="16"/>
              </w:rPr>
              <w:t>-88.9%</w:t>
            </w:r>
          </w:p>
        </w:tc>
        <w:tc>
          <w:tcPr>
            <w:tcW w:w="453" w:type="pct"/>
            <w:tcBorders>
              <w:right w:val="dotted" w:sz="4" w:space="0" w:color="auto"/>
            </w:tcBorders>
            <w:noWrap/>
            <w:hideMark/>
          </w:tcPr>
          <w:p>
            <w:pPr>
              <w:jc w:val="center"/>
              <w:rPr>
                <w:noProof/>
                <w:sz w:val="18"/>
                <w:lang w:val="en-IE" w:eastAsia="en-IE"/>
              </w:rPr>
            </w:pPr>
            <w:r>
              <w:rPr>
                <w:noProof/>
                <w:color w:val="000000"/>
                <w:sz w:val="16"/>
                <w:szCs w:val="16"/>
              </w:rPr>
              <w:t>-12.2%</w:t>
            </w:r>
          </w:p>
        </w:tc>
        <w:tc>
          <w:tcPr>
            <w:tcW w:w="453" w:type="pct"/>
            <w:tcBorders>
              <w:left w:val="dotted" w:sz="4" w:space="0" w:color="auto"/>
            </w:tcBorders>
            <w:noWrap/>
            <w:hideMark/>
          </w:tcPr>
          <w:p>
            <w:pPr>
              <w:jc w:val="center"/>
              <w:rPr>
                <w:noProof/>
                <w:sz w:val="18"/>
                <w:lang w:val="en-IE" w:eastAsia="en-IE"/>
              </w:rPr>
            </w:pPr>
            <w:r>
              <w:rPr>
                <w:noProof/>
                <w:color w:val="000000"/>
                <w:sz w:val="16"/>
                <w:szCs w:val="16"/>
              </w:rPr>
              <w:t>-91.7%</w:t>
            </w:r>
          </w:p>
        </w:tc>
        <w:tc>
          <w:tcPr>
            <w:tcW w:w="453" w:type="pct"/>
            <w:tcBorders>
              <w:right w:val="dotted" w:sz="4" w:space="0" w:color="auto"/>
            </w:tcBorders>
            <w:noWrap/>
            <w:hideMark/>
          </w:tcPr>
          <w:p>
            <w:pPr>
              <w:jc w:val="center"/>
              <w:rPr>
                <w:noProof/>
                <w:sz w:val="18"/>
                <w:lang w:val="en-IE" w:eastAsia="en-IE"/>
              </w:rPr>
            </w:pPr>
            <w:r>
              <w:rPr>
                <w:noProof/>
                <w:color w:val="000000"/>
                <w:sz w:val="16"/>
                <w:szCs w:val="16"/>
              </w:rPr>
              <w:t>-12.2%</w:t>
            </w:r>
          </w:p>
        </w:tc>
        <w:tc>
          <w:tcPr>
            <w:tcW w:w="449" w:type="pct"/>
            <w:tcBorders>
              <w:left w:val="dotted" w:sz="4" w:space="0" w:color="auto"/>
            </w:tcBorders>
            <w:noWrap/>
            <w:hideMark/>
          </w:tcPr>
          <w:p>
            <w:pPr>
              <w:jc w:val="center"/>
              <w:rPr>
                <w:noProof/>
                <w:sz w:val="18"/>
                <w:lang w:val="en-IE" w:eastAsia="en-IE"/>
              </w:rPr>
            </w:pPr>
            <w:r>
              <w:rPr>
                <w:noProof/>
                <w:color w:val="000000"/>
                <w:sz w:val="16"/>
                <w:szCs w:val="16"/>
              </w:rPr>
              <w:t>-91.0%</w:t>
            </w:r>
          </w:p>
        </w:tc>
      </w:tr>
      <w:tr>
        <w:trPr>
          <w:trHeight w:val="204"/>
        </w:trPr>
        <w:tc>
          <w:tcPr>
            <w:tcW w:w="1418" w:type="pct"/>
            <w:noWrap/>
            <w:hideMark/>
          </w:tcPr>
          <w:p>
            <w:pPr>
              <w:ind w:firstLineChars="100" w:firstLine="180"/>
              <w:rPr>
                <w:noProof/>
                <w:sz w:val="18"/>
                <w:lang w:val="en-IE" w:eastAsia="en-IE"/>
              </w:rPr>
            </w:pPr>
            <w:r>
              <w:rPr>
                <w:noProof/>
                <w:sz w:val="18"/>
                <w:lang w:val="en-IE" w:eastAsia="en-IE"/>
              </w:rPr>
              <w:t>LNG</w:t>
            </w:r>
          </w:p>
        </w:tc>
        <w:tc>
          <w:tcPr>
            <w:tcW w:w="434" w:type="pct"/>
            <w:tcBorders>
              <w:right w:val="dotted" w:sz="4" w:space="0" w:color="auto"/>
            </w:tcBorders>
            <w:noWrap/>
            <w:vAlign w:val="bottom"/>
            <w:hideMark/>
          </w:tcPr>
          <w:p>
            <w:pPr>
              <w:jc w:val="center"/>
              <w:rPr>
                <w:noProof/>
                <w:sz w:val="18"/>
                <w:lang w:val="en-IE" w:eastAsia="en-IE"/>
              </w:rPr>
            </w:pPr>
            <w:r>
              <w:rPr>
                <w:noProof/>
                <w:color w:val="000000"/>
                <w:sz w:val="16"/>
                <w:szCs w:val="16"/>
              </w:rPr>
              <w:t>2,196</w:t>
            </w:r>
          </w:p>
        </w:tc>
        <w:tc>
          <w:tcPr>
            <w:tcW w:w="434" w:type="pct"/>
            <w:tcBorders>
              <w:left w:val="dotted" w:sz="4" w:space="0" w:color="auto"/>
            </w:tcBorders>
            <w:noWrap/>
            <w:vAlign w:val="bottom"/>
            <w:hideMark/>
          </w:tcPr>
          <w:p>
            <w:pPr>
              <w:jc w:val="center"/>
              <w:rPr>
                <w:noProof/>
                <w:sz w:val="18"/>
                <w:lang w:val="en-IE" w:eastAsia="en-IE"/>
              </w:rPr>
            </w:pPr>
            <w:r>
              <w:rPr>
                <w:noProof/>
                <w:color w:val="000000"/>
                <w:sz w:val="16"/>
                <w:szCs w:val="16"/>
              </w:rPr>
              <w:t>10,540</w:t>
            </w:r>
          </w:p>
        </w:tc>
        <w:tc>
          <w:tcPr>
            <w:tcW w:w="453" w:type="pct"/>
            <w:tcBorders>
              <w:right w:val="dotted" w:sz="4" w:space="0" w:color="auto"/>
            </w:tcBorders>
            <w:noWrap/>
            <w:hideMark/>
          </w:tcPr>
          <w:p>
            <w:pPr>
              <w:jc w:val="center"/>
              <w:rPr>
                <w:noProof/>
                <w:sz w:val="18"/>
                <w:lang w:val="en-IE" w:eastAsia="en-IE"/>
              </w:rPr>
            </w:pPr>
            <w:r>
              <w:rPr>
                <w:noProof/>
                <w:color w:val="000000"/>
                <w:sz w:val="16"/>
                <w:szCs w:val="16"/>
              </w:rPr>
              <w:t>-30.1%</w:t>
            </w:r>
          </w:p>
        </w:tc>
        <w:tc>
          <w:tcPr>
            <w:tcW w:w="453" w:type="pct"/>
            <w:tcBorders>
              <w:left w:val="dotted" w:sz="4" w:space="0" w:color="auto"/>
            </w:tcBorders>
            <w:noWrap/>
            <w:hideMark/>
          </w:tcPr>
          <w:p>
            <w:pPr>
              <w:jc w:val="center"/>
              <w:rPr>
                <w:noProof/>
                <w:sz w:val="18"/>
                <w:lang w:val="en-IE" w:eastAsia="en-IE"/>
              </w:rPr>
            </w:pPr>
            <w:r>
              <w:rPr>
                <w:noProof/>
                <w:color w:val="000000"/>
                <w:sz w:val="16"/>
                <w:szCs w:val="16"/>
              </w:rPr>
              <w:t>-87.1%</w:t>
            </w:r>
          </w:p>
        </w:tc>
        <w:tc>
          <w:tcPr>
            <w:tcW w:w="453" w:type="pct"/>
            <w:tcBorders>
              <w:right w:val="dotted" w:sz="4" w:space="0" w:color="auto"/>
            </w:tcBorders>
            <w:noWrap/>
            <w:hideMark/>
          </w:tcPr>
          <w:p>
            <w:pPr>
              <w:jc w:val="center"/>
              <w:rPr>
                <w:noProof/>
                <w:sz w:val="18"/>
                <w:lang w:val="en-IE" w:eastAsia="en-IE"/>
              </w:rPr>
            </w:pPr>
            <w:r>
              <w:rPr>
                <w:noProof/>
                <w:color w:val="000000"/>
                <w:sz w:val="16"/>
                <w:szCs w:val="16"/>
              </w:rPr>
              <w:t>-30.1%</w:t>
            </w:r>
          </w:p>
        </w:tc>
        <w:tc>
          <w:tcPr>
            <w:tcW w:w="453" w:type="pct"/>
            <w:tcBorders>
              <w:left w:val="dotted" w:sz="4" w:space="0" w:color="auto"/>
            </w:tcBorders>
            <w:noWrap/>
            <w:hideMark/>
          </w:tcPr>
          <w:p>
            <w:pPr>
              <w:jc w:val="center"/>
              <w:rPr>
                <w:noProof/>
                <w:sz w:val="18"/>
                <w:lang w:val="en-IE" w:eastAsia="en-IE"/>
              </w:rPr>
            </w:pPr>
            <w:r>
              <w:rPr>
                <w:noProof/>
                <w:color w:val="000000"/>
                <w:sz w:val="16"/>
                <w:szCs w:val="16"/>
              </w:rPr>
              <w:t>-86.2%</w:t>
            </w:r>
          </w:p>
        </w:tc>
        <w:tc>
          <w:tcPr>
            <w:tcW w:w="453" w:type="pct"/>
            <w:tcBorders>
              <w:right w:val="dotted" w:sz="4" w:space="0" w:color="auto"/>
            </w:tcBorders>
            <w:noWrap/>
            <w:hideMark/>
          </w:tcPr>
          <w:p>
            <w:pPr>
              <w:jc w:val="center"/>
              <w:rPr>
                <w:noProof/>
                <w:sz w:val="18"/>
                <w:lang w:val="en-IE" w:eastAsia="en-IE"/>
              </w:rPr>
            </w:pPr>
            <w:r>
              <w:rPr>
                <w:noProof/>
                <w:color w:val="000000"/>
                <w:sz w:val="16"/>
                <w:szCs w:val="16"/>
              </w:rPr>
              <w:t>-30.1%</w:t>
            </w:r>
          </w:p>
        </w:tc>
        <w:tc>
          <w:tcPr>
            <w:tcW w:w="449" w:type="pct"/>
            <w:tcBorders>
              <w:left w:val="dotted" w:sz="4" w:space="0" w:color="auto"/>
            </w:tcBorders>
            <w:noWrap/>
            <w:hideMark/>
          </w:tcPr>
          <w:p>
            <w:pPr>
              <w:jc w:val="center"/>
              <w:rPr>
                <w:noProof/>
                <w:sz w:val="18"/>
                <w:lang w:val="en-IE" w:eastAsia="en-IE"/>
              </w:rPr>
            </w:pPr>
            <w:r>
              <w:rPr>
                <w:noProof/>
                <w:color w:val="000000"/>
                <w:sz w:val="16"/>
                <w:szCs w:val="16"/>
              </w:rPr>
              <w:t>-86.9%</w:t>
            </w:r>
          </w:p>
        </w:tc>
      </w:tr>
    </w:tbl>
    <w:p>
      <w:pPr>
        <w:pStyle w:val="bronvermelding"/>
        <w:rPr>
          <w:rFonts w:eastAsia="Arial"/>
          <w:noProof/>
        </w:rPr>
      </w:pPr>
      <w:r>
        <w:rPr>
          <w:rFonts w:eastAsia="Arial"/>
          <w:noProof/>
        </w:rPr>
        <w:t>Source: PRIMES-Maritime, E3Modelling</w:t>
      </w:r>
    </w:p>
    <w:p>
      <w:pPr>
        <w:spacing w:after="120"/>
        <w:jc w:val="both"/>
        <w:rPr>
          <w:rFonts w:ascii="Times New Roman" w:hAnsi="Times New Roman" w:cs="Times New Roman"/>
          <w:noProof/>
          <w:sz w:val="4"/>
          <w:szCs w:val="24"/>
          <w:lang w:val="en-IE"/>
        </w:rPr>
      </w:pPr>
    </w:p>
    <w:p>
      <w:pPr>
        <w:pStyle w:val="Heading3"/>
        <w:rPr>
          <w:noProof/>
        </w:rPr>
      </w:pPr>
      <w:bookmarkStart w:id="318" w:name="_Toc59152641"/>
      <w:bookmarkStart w:id="319" w:name="_Toc63426155"/>
      <w:bookmarkStart w:id="320" w:name="_Ref63437783"/>
      <w:bookmarkStart w:id="321" w:name="_Toc63438501"/>
      <w:r>
        <w:rPr>
          <w:noProof/>
        </w:rPr>
        <w:t>Impacts on GHG emissions and air quality</w:t>
      </w:r>
      <w:bookmarkEnd w:id="318"/>
      <w:bookmarkEnd w:id="319"/>
      <w:bookmarkEnd w:id="320"/>
      <w:bookmarkEnd w:id="321"/>
    </w:p>
    <w:p>
      <w:pPr>
        <w:spacing w:after="120"/>
        <w:jc w:val="both"/>
        <w:rPr>
          <w:rFonts w:ascii="Times New Roman" w:hAnsi="Times New Roman" w:cs="Times New Roman"/>
          <w:noProof/>
          <w:sz w:val="24"/>
          <w:szCs w:val="24"/>
          <w:lang w:val="en-IE"/>
        </w:rPr>
      </w:pPr>
      <w:r>
        <w:rPr>
          <w:rFonts w:ascii="Times New Roman" w:hAnsi="Times New Roman" w:cs="Times New Roman"/>
          <w:b/>
          <w:noProof/>
          <w:sz w:val="24"/>
          <w:szCs w:val="24"/>
          <w:lang w:val="en-IE"/>
        </w:rPr>
        <w:t xml:space="preserve">Impacts on GHG emissions: </w:t>
      </w:r>
      <w:r>
        <w:rPr>
          <w:rFonts w:ascii="Times New Roman" w:hAnsi="Times New Roman" w:cs="Times New Roman"/>
          <w:noProof/>
          <w:sz w:val="24"/>
          <w:szCs w:val="24"/>
          <w:lang w:val="en-IE"/>
        </w:rPr>
        <w:t xml:space="preserve">As the policy intervention requires to improve the GHG performance of the energy used on-board of the ship the GHG emissions are also expected to be reduced, both as a result of the use of RLF and the slight changes in the transport activity as described in Section 6.1.1.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_Ref63427315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rPr>
        <w:t>Table 18</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presents the evolution of maritime GHG emission both on tank-to-wake (consumption) and well-to-wake (including upstream emissions related to fuel production, transport, etc.) basis. On a well-to-wake approach, the highest savings are shown in PO3, followed by PO1 and PO2. The levels of CH</w:t>
      </w:r>
      <w:r>
        <w:rPr>
          <w:rFonts w:ascii="Times New Roman" w:hAnsi="Times New Roman" w:cs="Times New Roman"/>
          <w:noProof/>
          <w:sz w:val="24"/>
          <w:szCs w:val="24"/>
          <w:vertAlign w:val="subscript"/>
          <w:lang w:val="en-IE"/>
        </w:rPr>
        <w:t>4</w:t>
      </w:r>
      <w:r>
        <w:rPr>
          <w:rFonts w:ascii="Times New Roman" w:hAnsi="Times New Roman" w:cs="Times New Roman"/>
          <w:noProof/>
          <w:sz w:val="24"/>
          <w:szCs w:val="24"/>
          <w:lang w:val="en-IE"/>
        </w:rPr>
        <w:t xml:space="preserve"> emissions are increasing by 2050 relative to the baseline, as a result of a larger uptake of decarbonised gaseous fuels; this outcome is due to the fact that no significant progress on methane slip control is assumed in the POs. However, this increase is lower in PO1 and PO3, which generally see a higher penetration of hydrogen-based fuels (e-fuels, hydrogen, methanol and ammonia) as well as electricity.</w:t>
      </w:r>
    </w:p>
    <w:p>
      <w:pPr>
        <w:pStyle w:val="Caption"/>
        <w:rPr>
          <w:noProof/>
        </w:rPr>
      </w:pPr>
      <w:bookmarkStart w:id="322" w:name="_Ref63427315"/>
      <w:r>
        <w:rPr>
          <w:noProof/>
        </w:rPr>
        <w:t xml:space="preserve">Table </w:t>
      </w:r>
      <w:r>
        <w:rPr>
          <w:noProof/>
        </w:rPr>
        <w:fldChar w:fldCharType="begin"/>
      </w:r>
      <w:r>
        <w:rPr>
          <w:noProof/>
        </w:rPr>
        <w:instrText xml:space="preserve"> SEQ Table \* ARABIC </w:instrText>
      </w:r>
      <w:r>
        <w:rPr>
          <w:noProof/>
        </w:rPr>
        <w:fldChar w:fldCharType="separate"/>
      </w:r>
      <w:r>
        <w:rPr>
          <w:noProof/>
        </w:rPr>
        <w:t>18</w:t>
      </w:r>
      <w:r>
        <w:rPr>
          <w:noProof/>
        </w:rPr>
        <w:fldChar w:fldCharType="end"/>
      </w:r>
      <w:bookmarkEnd w:id="322"/>
      <w:r>
        <w:rPr>
          <w:noProof/>
        </w:rPr>
        <w:t xml:space="preserve"> Evolution of GHG emissions from maritime transport on a tank-to-wake and well-to-wake basis</w:t>
      </w:r>
    </w:p>
    <w:tbl>
      <w:tblPr>
        <w:tblStyle w:val="CV11"/>
        <w:tblW w:w="5000" w:type="pct"/>
        <w:tblLook w:val="04A0" w:firstRow="1" w:lastRow="0" w:firstColumn="1" w:lastColumn="0" w:noHBand="0" w:noVBand="1"/>
      </w:tblPr>
      <w:tblGrid>
        <w:gridCol w:w="2554"/>
        <w:gridCol w:w="816"/>
        <w:gridCol w:w="817"/>
        <w:gridCol w:w="785"/>
        <w:gridCol w:w="807"/>
        <w:gridCol w:w="807"/>
        <w:gridCol w:w="807"/>
        <w:gridCol w:w="807"/>
        <w:gridCol w:w="803"/>
      </w:tblGrid>
      <w:tr>
        <w:trPr>
          <w:trHeight w:val="225"/>
        </w:trPr>
        <w:tc>
          <w:tcPr>
            <w:tcW w:w="1419" w:type="pct"/>
            <w:vMerge w:val="restart"/>
            <w:hideMark/>
          </w:tcPr>
          <w:p>
            <w:pPr>
              <w:rPr>
                <w:b/>
                <w:bCs/>
                <w:noProof/>
                <w:sz w:val="18"/>
                <w:lang w:val="en-IE" w:eastAsia="en-IE"/>
              </w:rPr>
            </w:pPr>
            <w:r>
              <w:rPr>
                <w:b/>
                <w:bCs/>
                <w:noProof/>
                <w:sz w:val="18"/>
                <w:lang w:val="en-IE" w:eastAsia="en-IE"/>
              </w:rPr>
              <w:t xml:space="preserve">Maritime transport GHG emissions </w:t>
            </w:r>
          </w:p>
          <w:p>
            <w:pPr>
              <w:rPr>
                <w:b/>
                <w:bCs/>
                <w:noProof/>
                <w:sz w:val="18"/>
                <w:lang w:val="en-IE" w:eastAsia="en-IE"/>
              </w:rPr>
            </w:pPr>
            <w:r>
              <w:rPr>
                <w:b/>
                <w:bCs/>
                <w:noProof/>
                <w:sz w:val="18"/>
                <w:lang w:val="en-IE" w:eastAsia="en-IE"/>
              </w:rPr>
              <w:t>(% change to Baseline)</w:t>
            </w:r>
          </w:p>
        </w:tc>
        <w:tc>
          <w:tcPr>
            <w:tcW w:w="907" w:type="pct"/>
            <w:gridSpan w:val="2"/>
            <w:vAlign w:val="center"/>
            <w:hideMark/>
          </w:tcPr>
          <w:p>
            <w:pPr>
              <w:jc w:val="center"/>
              <w:rPr>
                <w:b/>
                <w:bCs/>
                <w:noProof/>
                <w:sz w:val="18"/>
                <w:lang w:val="en-IE" w:eastAsia="en-IE"/>
              </w:rPr>
            </w:pPr>
            <w:r>
              <w:rPr>
                <w:b/>
                <w:bCs/>
                <w:noProof/>
                <w:sz w:val="18"/>
                <w:lang w:val="en-IE" w:eastAsia="en-IE"/>
              </w:rPr>
              <w:t>Baseline</w:t>
            </w:r>
          </w:p>
          <w:p>
            <w:pPr>
              <w:jc w:val="center"/>
              <w:rPr>
                <w:b/>
                <w:bCs/>
                <w:noProof/>
                <w:sz w:val="18"/>
                <w:lang w:val="en-IE" w:eastAsia="en-IE"/>
              </w:rPr>
            </w:pPr>
            <w:r>
              <w:rPr>
                <w:b/>
                <w:bCs/>
                <w:noProof/>
                <w:sz w:val="18"/>
                <w:lang w:val="en-IE" w:eastAsia="en-IE"/>
              </w:rPr>
              <w:t>(kt CO</w:t>
            </w:r>
            <w:r>
              <w:rPr>
                <w:b/>
                <w:noProof/>
                <w:sz w:val="18"/>
                <w:vertAlign w:val="subscript"/>
                <w:lang w:val="en-IE" w:eastAsia="en-IE"/>
              </w:rPr>
              <w:t>2</w:t>
            </w:r>
            <w:r>
              <w:rPr>
                <w:b/>
                <w:bCs/>
                <w:noProof/>
                <w:sz w:val="18"/>
                <w:lang w:val="en-IE" w:eastAsia="en-IE"/>
              </w:rPr>
              <w:t>-eq)</w:t>
            </w:r>
          </w:p>
        </w:tc>
        <w:tc>
          <w:tcPr>
            <w:tcW w:w="884" w:type="pct"/>
            <w:gridSpan w:val="2"/>
            <w:noWrap/>
            <w:vAlign w:val="center"/>
            <w:hideMark/>
          </w:tcPr>
          <w:p>
            <w:pPr>
              <w:jc w:val="center"/>
              <w:rPr>
                <w:b/>
                <w:bCs/>
                <w:noProof/>
                <w:sz w:val="18"/>
                <w:lang w:val="en-IE" w:eastAsia="en-IE"/>
              </w:rPr>
            </w:pPr>
            <w:r>
              <w:rPr>
                <w:b/>
                <w:bCs/>
                <w:noProof/>
                <w:sz w:val="18"/>
                <w:lang w:val="en-IE" w:eastAsia="en-IE"/>
              </w:rPr>
              <w:t>PO1</w:t>
            </w:r>
          </w:p>
        </w:tc>
        <w:tc>
          <w:tcPr>
            <w:tcW w:w="896" w:type="pct"/>
            <w:gridSpan w:val="2"/>
            <w:noWrap/>
            <w:vAlign w:val="center"/>
            <w:hideMark/>
          </w:tcPr>
          <w:p>
            <w:pPr>
              <w:jc w:val="center"/>
              <w:rPr>
                <w:b/>
                <w:bCs/>
                <w:noProof/>
                <w:sz w:val="18"/>
                <w:lang w:val="en-IE" w:eastAsia="en-IE"/>
              </w:rPr>
            </w:pPr>
            <w:r>
              <w:rPr>
                <w:b/>
                <w:bCs/>
                <w:noProof/>
                <w:sz w:val="18"/>
                <w:lang w:val="en-IE" w:eastAsia="en-IE"/>
              </w:rPr>
              <w:t>PO2</w:t>
            </w:r>
          </w:p>
        </w:tc>
        <w:tc>
          <w:tcPr>
            <w:tcW w:w="894" w:type="pct"/>
            <w:gridSpan w:val="2"/>
            <w:noWrap/>
            <w:vAlign w:val="center"/>
            <w:hideMark/>
          </w:tcPr>
          <w:p>
            <w:pPr>
              <w:jc w:val="center"/>
              <w:rPr>
                <w:b/>
                <w:bCs/>
                <w:noProof/>
                <w:sz w:val="18"/>
                <w:lang w:val="en-IE" w:eastAsia="en-IE"/>
              </w:rPr>
            </w:pPr>
            <w:r>
              <w:rPr>
                <w:b/>
                <w:bCs/>
                <w:noProof/>
                <w:sz w:val="18"/>
                <w:lang w:val="en-IE" w:eastAsia="en-IE"/>
              </w:rPr>
              <w:t>PO3</w:t>
            </w:r>
          </w:p>
        </w:tc>
      </w:tr>
      <w:tr>
        <w:trPr>
          <w:trHeight w:val="480"/>
        </w:trPr>
        <w:tc>
          <w:tcPr>
            <w:tcW w:w="1419" w:type="pct"/>
            <w:vMerge/>
            <w:hideMark/>
          </w:tcPr>
          <w:p>
            <w:pPr>
              <w:rPr>
                <w:b/>
                <w:bCs/>
                <w:noProof/>
                <w:sz w:val="18"/>
                <w:lang w:val="en-IE" w:eastAsia="en-IE"/>
              </w:rPr>
            </w:pPr>
          </w:p>
        </w:tc>
        <w:tc>
          <w:tcPr>
            <w:tcW w:w="453" w:type="pct"/>
            <w:tcBorders>
              <w:right w:val="dotted" w:sz="4" w:space="0" w:color="auto"/>
            </w:tcBorders>
            <w:noWrap/>
            <w:vAlign w:val="center"/>
            <w:hideMark/>
          </w:tcPr>
          <w:p>
            <w:pPr>
              <w:jc w:val="center"/>
              <w:rPr>
                <w:b/>
                <w:bCs/>
                <w:noProof/>
                <w:sz w:val="18"/>
                <w:lang w:val="en-IE" w:eastAsia="en-IE"/>
              </w:rPr>
            </w:pPr>
            <w:r>
              <w:rPr>
                <w:b/>
                <w:bCs/>
                <w:noProof/>
                <w:sz w:val="18"/>
                <w:lang w:val="en-IE" w:eastAsia="en-IE"/>
              </w:rPr>
              <w:t>2030</w:t>
            </w:r>
          </w:p>
        </w:tc>
        <w:tc>
          <w:tcPr>
            <w:tcW w:w="453" w:type="pct"/>
            <w:tcBorders>
              <w:left w:val="dotted" w:sz="4" w:space="0" w:color="auto"/>
            </w:tcBorders>
            <w:noWrap/>
            <w:vAlign w:val="center"/>
            <w:hideMark/>
          </w:tcPr>
          <w:p>
            <w:pPr>
              <w:jc w:val="center"/>
              <w:rPr>
                <w:b/>
                <w:bCs/>
                <w:noProof/>
                <w:sz w:val="18"/>
                <w:lang w:val="en-IE" w:eastAsia="en-IE"/>
              </w:rPr>
            </w:pPr>
            <w:r>
              <w:rPr>
                <w:b/>
                <w:bCs/>
                <w:noProof/>
                <w:sz w:val="18"/>
                <w:lang w:val="en-IE" w:eastAsia="en-IE"/>
              </w:rPr>
              <w:t>2050</w:t>
            </w:r>
          </w:p>
        </w:tc>
        <w:tc>
          <w:tcPr>
            <w:tcW w:w="436" w:type="pct"/>
            <w:tcBorders>
              <w:right w:val="dotted" w:sz="4" w:space="0" w:color="auto"/>
            </w:tcBorders>
            <w:noWrap/>
            <w:vAlign w:val="center"/>
            <w:hideMark/>
          </w:tcPr>
          <w:p>
            <w:pPr>
              <w:jc w:val="center"/>
              <w:rPr>
                <w:b/>
                <w:bCs/>
                <w:noProof/>
                <w:sz w:val="18"/>
                <w:lang w:val="en-IE" w:eastAsia="en-IE"/>
              </w:rPr>
            </w:pPr>
            <w:r>
              <w:rPr>
                <w:b/>
                <w:bCs/>
                <w:noProof/>
                <w:sz w:val="18"/>
                <w:lang w:val="en-IE" w:eastAsia="en-IE"/>
              </w:rPr>
              <w:t>2030</w:t>
            </w:r>
          </w:p>
        </w:tc>
        <w:tc>
          <w:tcPr>
            <w:tcW w:w="448" w:type="pct"/>
            <w:tcBorders>
              <w:left w:val="dotted" w:sz="4" w:space="0" w:color="auto"/>
            </w:tcBorders>
            <w:noWrap/>
            <w:vAlign w:val="center"/>
            <w:hideMark/>
          </w:tcPr>
          <w:p>
            <w:pPr>
              <w:jc w:val="center"/>
              <w:rPr>
                <w:b/>
                <w:bCs/>
                <w:noProof/>
                <w:sz w:val="18"/>
                <w:lang w:val="en-IE" w:eastAsia="en-IE"/>
              </w:rPr>
            </w:pPr>
            <w:r>
              <w:rPr>
                <w:b/>
                <w:bCs/>
                <w:noProof/>
                <w:sz w:val="18"/>
                <w:lang w:val="en-IE" w:eastAsia="en-IE"/>
              </w:rPr>
              <w:t>2050</w:t>
            </w:r>
          </w:p>
        </w:tc>
        <w:tc>
          <w:tcPr>
            <w:tcW w:w="448" w:type="pct"/>
            <w:tcBorders>
              <w:right w:val="dotted" w:sz="4" w:space="0" w:color="auto"/>
            </w:tcBorders>
            <w:noWrap/>
            <w:vAlign w:val="center"/>
            <w:hideMark/>
          </w:tcPr>
          <w:p>
            <w:pPr>
              <w:jc w:val="center"/>
              <w:rPr>
                <w:b/>
                <w:bCs/>
                <w:noProof/>
                <w:sz w:val="18"/>
                <w:lang w:val="en-IE" w:eastAsia="en-IE"/>
              </w:rPr>
            </w:pPr>
            <w:r>
              <w:rPr>
                <w:b/>
                <w:bCs/>
                <w:noProof/>
                <w:sz w:val="18"/>
                <w:lang w:val="en-IE" w:eastAsia="en-IE"/>
              </w:rPr>
              <w:t>2030</w:t>
            </w:r>
          </w:p>
        </w:tc>
        <w:tc>
          <w:tcPr>
            <w:tcW w:w="448" w:type="pct"/>
            <w:tcBorders>
              <w:left w:val="dotted" w:sz="4" w:space="0" w:color="auto"/>
            </w:tcBorders>
            <w:noWrap/>
            <w:vAlign w:val="center"/>
            <w:hideMark/>
          </w:tcPr>
          <w:p>
            <w:pPr>
              <w:jc w:val="center"/>
              <w:rPr>
                <w:b/>
                <w:bCs/>
                <w:noProof/>
                <w:sz w:val="18"/>
                <w:lang w:val="en-IE" w:eastAsia="en-IE"/>
              </w:rPr>
            </w:pPr>
            <w:r>
              <w:rPr>
                <w:b/>
                <w:bCs/>
                <w:noProof/>
                <w:sz w:val="18"/>
                <w:lang w:val="en-IE" w:eastAsia="en-IE"/>
              </w:rPr>
              <w:t>2050</w:t>
            </w:r>
          </w:p>
        </w:tc>
        <w:tc>
          <w:tcPr>
            <w:tcW w:w="448" w:type="pct"/>
            <w:tcBorders>
              <w:right w:val="dotted" w:sz="4" w:space="0" w:color="auto"/>
            </w:tcBorders>
            <w:noWrap/>
            <w:vAlign w:val="center"/>
            <w:hideMark/>
          </w:tcPr>
          <w:p>
            <w:pPr>
              <w:jc w:val="center"/>
              <w:rPr>
                <w:b/>
                <w:bCs/>
                <w:noProof/>
                <w:sz w:val="18"/>
                <w:lang w:val="en-IE" w:eastAsia="en-IE"/>
              </w:rPr>
            </w:pPr>
            <w:r>
              <w:rPr>
                <w:b/>
                <w:bCs/>
                <w:noProof/>
                <w:sz w:val="18"/>
                <w:lang w:val="en-IE" w:eastAsia="en-IE"/>
              </w:rPr>
              <w:t>2030</w:t>
            </w:r>
          </w:p>
        </w:tc>
        <w:tc>
          <w:tcPr>
            <w:tcW w:w="446" w:type="pct"/>
            <w:tcBorders>
              <w:left w:val="dotted" w:sz="4" w:space="0" w:color="auto"/>
            </w:tcBorders>
            <w:noWrap/>
            <w:vAlign w:val="center"/>
            <w:hideMark/>
          </w:tcPr>
          <w:p>
            <w:pPr>
              <w:jc w:val="center"/>
              <w:rPr>
                <w:b/>
                <w:bCs/>
                <w:noProof/>
                <w:sz w:val="18"/>
                <w:lang w:val="en-IE" w:eastAsia="en-IE"/>
              </w:rPr>
            </w:pPr>
            <w:r>
              <w:rPr>
                <w:b/>
                <w:bCs/>
                <w:noProof/>
                <w:sz w:val="18"/>
                <w:lang w:val="en-IE" w:eastAsia="en-IE"/>
              </w:rPr>
              <w:t>2050</w:t>
            </w:r>
          </w:p>
        </w:tc>
      </w:tr>
      <w:tr>
        <w:trPr>
          <w:trHeight w:val="204"/>
        </w:trPr>
        <w:tc>
          <w:tcPr>
            <w:tcW w:w="1419" w:type="pct"/>
            <w:noWrap/>
            <w:hideMark/>
          </w:tcPr>
          <w:p>
            <w:pPr>
              <w:rPr>
                <w:b/>
                <w:noProof/>
                <w:sz w:val="18"/>
                <w:lang w:val="en-IE" w:eastAsia="en-IE"/>
              </w:rPr>
            </w:pPr>
            <w:r>
              <w:rPr>
                <w:b/>
                <w:noProof/>
                <w:sz w:val="18"/>
                <w:lang w:val="en-IE" w:eastAsia="en-IE"/>
              </w:rPr>
              <w:t>Tank to wake GHG emissions</w:t>
            </w:r>
          </w:p>
        </w:tc>
        <w:tc>
          <w:tcPr>
            <w:tcW w:w="453" w:type="pct"/>
            <w:tcBorders>
              <w:right w:val="dotted" w:sz="4" w:space="0" w:color="auto"/>
            </w:tcBorders>
            <w:noWrap/>
            <w:vAlign w:val="bottom"/>
            <w:hideMark/>
          </w:tcPr>
          <w:p>
            <w:pPr>
              <w:jc w:val="center"/>
              <w:rPr>
                <w:b/>
                <w:noProof/>
                <w:sz w:val="18"/>
                <w:lang w:val="en-IE" w:eastAsia="en-IE"/>
              </w:rPr>
            </w:pPr>
            <w:r>
              <w:rPr>
                <w:b/>
                <w:noProof/>
                <w:color w:val="000000"/>
                <w:sz w:val="16"/>
                <w:szCs w:val="16"/>
              </w:rPr>
              <w:t>144,474</w:t>
            </w:r>
          </w:p>
        </w:tc>
        <w:tc>
          <w:tcPr>
            <w:tcW w:w="453" w:type="pct"/>
            <w:tcBorders>
              <w:left w:val="dotted" w:sz="4" w:space="0" w:color="auto"/>
            </w:tcBorders>
            <w:noWrap/>
            <w:vAlign w:val="bottom"/>
            <w:hideMark/>
          </w:tcPr>
          <w:p>
            <w:pPr>
              <w:jc w:val="center"/>
              <w:rPr>
                <w:b/>
                <w:noProof/>
                <w:sz w:val="18"/>
                <w:lang w:val="en-IE" w:eastAsia="en-IE"/>
              </w:rPr>
            </w:pPr>
            <w:r>
              <w:rPr>
                <w:b/>
                <w:noProof/>
                <w:color w:val="000000"/>
                <w:sz w:val="16"/>
                <w:szCs w:val="16"/>
              </w:rPr>
              <w:t>169,166</w:t>
            </w:r>
          </w:p>
        </w:tc>
        <w:tc>
          <w:tcPr>
            <w:tcW w:w="436" w:type="pct"/>
            <w:tcBorders>
              <w:right w:val="dotted" w:sz="4" w:space="0" w:color="auto"/>
            </w:tcBorders>
            <w:noWrap/>
            <w:vAlign w:val="bottom"/>
            <w:hideMark/>
          </w:tcPr>
          <w:p>
            <w:pPr>
              <w:jc w:val="center"/>
              <w:rPr>
                <w:b/>
                <w:noProof/>
                <w:sz w:val="18"/>
                <w:lang w:val="en-IE" w:eastAsia="en-IE"/>
              </w:rPr>
            </w:pPr>
            <w:r>
              <w:rPr>
                <w:b/>
                <w:noProof/>
                <w:color w:val="000000"/>
                <w:sz w:val="16"/>
                <w:szCs w:val="16"/>
              </w:rPr>
              <w:t>-12.9%</w:t>
            </w:r>
          </w:p>
        </w:tc>
        <w:tc>
          <w:tcPr>
            <w:tcW w:w="448" w:type="pct"/>
            <w:tcBorders>
              <w:left w:val="dotted" w:sz="4" w:space="0" w:color="auto"/>
            </w:tcBorders>
            <w:noWrap/>
            <w:vAlign w:val="bottom"/>
            <w:hideMark/>
          </w:tcPr>
          <w:p>
            <w:pPr>
              <w:jc w:val="center"/>
              <w:rPr>
                <w:b/>
                <w:noProof/>
                <w:sz w:val="18"/>
                <w:lang w:val="en-IE" w:eastAsia="en-IE"/>
              </w:rPr>
            </w:pPr>
            <w:r>
              <w:rPr>
                <w:b/>
                <w:noProof/>
                <w:color w:val="000000"/>
                <w:sz w:val="16"/>
                <w:szCs w:val="16"/>
              </w:rPr>
              <w:t>-88.4%</w:t>
            </w:r>
          </w:p>
        </w:tc>
        <w:tc>
          <w:tcPr>
            <w:tcW w:w="448" w:type="pct"/>
            <w:tcBorders>
              <w:right w:val="dotted" w:sz="4" w:space="0" w:color="auto"/>
            </w:tcBorders>
            <w:noWrap/>
            <w:vAlign w:val="bottom"/>
            <w:hideMark/>
          </w:tcPr>
          <w:p>
            <w:pPr>
              <w:jc w:val="center"/>
              <w:rPr>
                <w:b/>
                <w:noProof/>
                <w:sz w:val="18"/>
                <w:lang w:val="en-IE" w:eastAsia="en-IE"/>
              </w:rPr>
            </w:pPr>
            <w:r>
              <w:rPr>
                <w:b/>
                <w:noProof/>
                <w:color w:val="000000"/>
                <w:sz w:val="16"/>
                <w:szCs w:val="16"/>
              </w:rPr>
              <w:t>-12.8%</w:t>
            </w:r>
          </w:p>
        </w:tc>
        <w:tc>
          <w:tcPr>
            <w:tcW w:w="448" w:type="pct"/>
            <w:tcBorders>
              <w:left w:val="dotted" w:sz="4" w:space="0" w:color="auto"/>
            </w:tcBorders>
            <w:noWrap/>
            <w:vAlign w:val="bottom"/>
            <w:hideMark/>
          </w:tcPr>
          <w:p>
            <w:pPr>
              <w:jc w:val="center"/>
              <w:rPr>
                <w:b/>
                <w:noProof/>
                <w:sz w:val="18"/>
                <w:lang w:val="en-IE" w:eastAsia="en-IE"/>
              </w:rPr>
            </w:pPr>
            <w:r>
              <w:rPr>
                <w:b/>
                <w:noProof/>
                <w:color w:val="000000"/>
                <w:sz w:val="16"/>
                <w:szCs w:val="16"/>
              </w:rPr>
              <w:t>-90.6%</w:t>
            </w:r>
          </w:p>
        </w:tc>
        <w:tc>
          <w:tcPr>
            <w:tcW w:w="448" w:type="pct"/>
            <w:tcBorders>
              <w:right w:val="dotted" w:sz="4" w:space="0" w:color="auto"/>
            </w:tcBorders>
            <w:noWrap/>
            <w:vAlign w:val="bottom"/>
            <w:hideMark/>
          </w:tcPr>
          <w:p>
            <w:pPr>
              <w:jc w:val="center"/>
              <w:rPr>
                <w:b/>
                <w:noProof/>
                <w:sz w:val="18"/>
                <w:lang w:val="en-IE" w:eastAsia="en-IE"/>
              </w:rPr>
            </w:pPr>
            <w:r>
              <w:rPr>
                <w:b/>
                <w:noProof/>
                <w:color w:val="000000"/>
                <w:sz w:val="16"/>
                <w:szCs w:val="16"/>
              </w:rPr>
              <w:t>-12.9%</w:t>
            </w:r>
          </w:p>
        </w:tc>
        <w:tc>
          <w:tcPr>
            <w:tcW w:w="446" w:type="pct"/>
            <w:tcBorders>
              <w:left w:val="dotted" w:sz="4" w:space="0" w:color="auto"/>
            </w:tcBorders>
            <w:noWrap/>
            <w:vAlign w:val="bottom"/>
            <w:hideMark/>
          </w:tcPr>
          <w:p>
            <w:pPr>
              <w:jc w:val="center"/>
              <w:rPr>
                <w:b/>
                <w:noProof/>
                <w:sz w:val="18"/>
                <w:lang w:val="en-IE" w:eastAsia="en-IE"/>
              </w:rPr>
            </w:pPr>
            <w:r>
              <w:rPr>
                <w:b/>
                <w:noProof/>
                <w:color w:val="000000"/>
                <w:sz w:val="16"/>
                <w:szCs w:val="16"/>
              </w:rPr>
              <w:t>-90.1%</w:t>
            </w:r>
          </w:p>
        </w:tc>
      </w:tr>
      <w:tr>
        <w:trPr>
          <w:trHeight w:val="204"/>
        </w:trPr>
        <w:tc>
          <w:tcPr>
            <w:tcW w:w="1419" w:type="pct"/>
            <w:noWrap/>
            <w:hideMark/>
          </w:tcPr>
          <w:p>
            <w:pPr>
              <w:ind w:firstLineChars="100" w:firstLine="180"/>
              <w:rPr>
                <w:noProof/>
                <w:sz w:val="18"/>
                <w:lang w:val="en-IE" w:eastAsia="en-IE"/>
              </w:rPr>
            </w:pPr>
            <w:r>
              <w:rPr>
                <w:noProof/>
                <w:sz w:val="18"/>
                <w:lang w:val="en-IE" w:eastAsia="en-IE"/>
              </w:rPr>
              <w:t>CO</w:t>
            </w:r>
            <w:r>
              <w:rPr>
                <w:noProof/>
                <w:sz w:val="18"/>
                <w:vertAlign w:val="subscript"/>
                <w:lang w:val="en-IE" w:eastAsia="en-IE"/>
              </w:rPr>
              <w:t>2</w:t>
            </w:r>
            <w:r>
              <w:rPr>
                <w:noProof/>
                <w:sz w:val="18"/>
                <w:lang w:val="en-IE" w:eastAsia="en-IE"/>
              </w:rPr>
              <w:t xml:space="preserve"> emissions</w:t>
            </w:r>
          </w:p>
        </w:tc>
        <w:tc>
          <w:tcPr>
            <w:tcW w:w="453" w:type="pct"/>
            <w:tcBorders>
              <w:right w:val="dotted" w:sz="4" w:space="0" w:color="auto"/>
            </w:tcBorders>
            <w:noWrap/>
            <w:vAlign w:val="bottom"/>
            <w:hideMark/>
          </w:tcPr>
          <w:p>
            <w:pPr>
              <w:jc w:val="center"/>
              <w:rPr>
                <w:noProof/>
                <w:sz w:val="18"/>
                <w:lang w:val="en-IE" w:eastAsia="en-IE"/>
              </w:rPr>
            </w:pPr>
            <w:r>
              <w:rPr>
                <w:noProof/>
                <w:color w:val="000000"/>
                <w:sz w:val="16"/>
                <w:szCs w:val="16"/>
              </w:rPr>
              <w:t>144,363</w:t>
            </w:r>
          </w:p>
        </w:tc>
        <w:tc>
          <w:tcPr>
            <w:tcW w:w="453" w:type="pct"/>
            <w:tcBorders>
              <w:left w:val="dotted" w:sz="4" w:space="0" w:color="auto"/>
            </w:tcBorders>
            <w:noWrap/>
            <w:vAlign w:val="bottom"/>
            <w:hideMark/>
          </w:tcPr>
          <w:p>
            <w:pPr>
              <w:jc w:val="center"/>
              <w:rPr>
                <w:noProof/>
                <w:sz w:val="18"/>
                <w:lang w:val="en-IE" w:eastAsia="en-IE"/>
              </w:rPr>
            </w:pPr>
            <w:r>
              <w:rPr>
                <w:noProof/>
                <w:color w:val="000000"/>
                <w:sz w:val="16"/>
                <w:szCs w:val="16"/>
              </w:rPr>
              <w:t>168,708</w:t>
            </w:r>
          </w:p>
        </w:tc>
        <w:tc>
          <w:tcPr>
            <w:tcW w:w="436" w:type="pct"/>
            <w:tcBorders>
              <w:right w:val="dotted" w:sz="4" w:space="0" w:color="auto"/>
            </w:tcBorders>
            <w:noWrap/>
            <w:vAlign w:val="bottom"/>
            <w:hideMark/>
          </w:tcPr>
          <w:p>
            <w:pPr>
              <w:jc w:val="center"/>
              <w:rPr>
                <w:noProof/>
                <w:sz w:val="18"/>
                <w:lang w:val="en-IE" w:eastAsia="en-IE"/>
              </w:rPr>
            </w:pPr>
            <w:r>
              <w:rPr>
                <w:noProof/>
                <w:color w:val="000000"/>
                <w:sz w:val="16"/>
                <w:szCs w:val="16"/>
              </w:rPr>
              <w:t>-12.9%</w:t>
            </w:r>
          </w:p>
        </w:tc>
        <w:tc>
          <w:tcPr>
            <w:tcW w:w="448" w:type="pct"/>
            <w:tcBorders>
              <w:left w:val="dotted" w:sz="4" w:space="0" w:color="auto"/>
            </w:tcBorders>
            <w:noWrap/>
            <w:vAlign w:val="bottom"/>
            <w:hideMark/>
          </w:tcPr>
          <w:p>
            <w:pPr>
              <w:jc w:val="center"/>
              <w:rPr>
                <w:noProof/>
                <w:sz w:val="18"/>
                <w:lang w:val="en-IE" w:eastAsia="en-IE"/>
              </w:rPr>
            </w:pPr>
            <w:r>
              <w:rPr>
                <w:noProof/>
                <w:color w:val="000000"/>
                <w:sz w:val="16"/>
                <w:szCs w:val="16"/>
              </w:rPr>
              <w:t>-88.6%</w:t>
            </w:r>
          </w:p>
        </w:tc>
        <w:tc>
          <w:tcPr>
            <w:tcW w:w="448" w:type="pct"/>
            <w:tcBorders>
              <w:right w:val="dotted" w:sz="4" w:space="0" w:color="auto"/>
            </w:tcBorders>
            <w:noWrap/>
            <w:vAlign w:val="bottom"/>
            <w:hideMark/>
          </w:tcPr>
          <w:p>
            <w:pPr>
              <w:jc w:val="center"/>
              <w:rPr>
                <w:noProof/>
                <w:sz w:val="18"/>
                <w:lang w:val="en-IE" w:eastAsia="en-IE"/>
              </w:rPr>
            </w:pPr>
            <w:r>
              <w:rPr>
                <w:noProof/>
                <w:color w:val="000000"/>
                <w:sz w:val="16"/>
                <w:szCs w:val="16"/>
              </w:rPr>
              <w:t>-12.8%</w:t>
            </w:r>
          </w:p>
        </w:tc>
        <w:tc>
          <w:tcPr>
            <w:tcW w:w="448" w:type="pct"/>
            <w:tcBorders>
              <w:left w:val="dotted" w:sz="4" w:space="0" w:color="auto"/>
            </w:tcBorders>
            <w:noWrap/>
            <w:vAlign w:val="bottom"/>
            <w:hideMark/>
          </w:tcPr>
          <w:p>
            <w:pPr>
              <w:jc w:val="center"/>
              <w:rPr>
                <w:noProof/>
                <w:sz w:val="18"/>
                <w:lang w:val="en-IE" w:eastAsia="en-IE"/>
              </w:rPr>
            </w:pPr>
            <w:r>
              <w:rPr>
                <w:noProof/>
                <w:color w:val="000000"/>
                <w:sz w:val="16"/>
                <w:szCs w:val="16"/>
              </w:rPr>
              <w:t>-90.9%</w:t>
            </w:r>
          </w:p>
        </w:tc>
        <w:tc>
          <w:tcPr>
            <w:tcW w:w="448" w:type="pct"/>
            <w:tcBorders>
              <w:right w:val="dotted" w:sz="4" w:space="0" w:color="auto"/>
            </w:tcBorders>
            <w:noWrap/>
            <w:vAlign w:val="bottom"/>
            <w:hideMark/>
          </w:tcPr>
          <w:p>
            <w:pPr>
              <w:jc w:val="center"/>
              <w:rPr>
                <w:noProof/>
                <w:sz w:val="18"/>
                <w:lang w:val="en-IE" w:eastAsia="en-IE"/>
              </w:rPr>
            </w:pPr>
            <w:r>
              <w:rPr>
                <w:noProof/>
                <w:color w:val="000000"/>
                <w:sz w:val="16"/>
                <w:szCs w:val="16"/>
              </w:rPr>
              <w:t>-12.9%</w:t>
            </w:r>
          </w:p>
        </w:tc>
        <w:tc>
          <w:tcPr>
            <w:tcW w:w="446" w:type="pct"/>
            <w:tcBorders>
              <w:left w:val="dotted" w:sz="4" w:space="0" w:color="auto"/>
            </w:tcBorders>
            <w:noWrap/>
            <w:vAlign w:val="bottom"/>
            <w:hideMark/>
          </w:tcPr>
          <w:p>
            <w:pPr>
              <w:jc w:val="center"/>
              <w:rPr>
                <w:noProof/>
                <w:sz w:val="18"/>
                <w:lang w:val="en-IE" w:eastAsia="en-IE"/>
              </w:rPr>
            </w:pPr>
            <w:r>
              <w:rPr>
                <w:noProof/>
                <w:color w:val="000000"/>
                <w:sz w:val="16"/>
                <w:szCs w:val="16"/>
              </w:rPr>
              <w:t>-90.4%</w:t>
            </w:r>
          </w:p>
        </w:tc>
      </w:tr>
      <w:tr>
        <w:trPr>
          <w:trHeight w:val="204"/>
        </w:trPr>
        <w:tc>
          <w:tcPr>
            <w:tcW w:w="1419" w:type="pct"/>
            <w:noWrap/>
            <w:hideMark/>
          </w:tcPr>
          <w:p>
            <w:pPr>
              <w:ind w:firstLineChars="100" w:firstLine="180"/>
              <w:rPr>
                <w:noProof/>
                <w:sz w:val="18"/>
                <w:lang w:val="en-IE" w:eastAsia="en-IE"/>
              </w:rPr>
            </w:pPr>
            <w:r>
              <w:rPr>
                <w:noProof/>
                <w:sz w:val="18"/>
                <w:lang w:val="en-IE" w:eastAsia="en-IE"/>
              </w:rPr>
              <w:t>CH</w:t>
            </w:r>
            <w:r>
              <w:rPr>
                <w:noProof/>
                <w:sz w:val="18"/>
                <w:vertAlign w:val="subscript"/>
                <w:lang w:val="en-IE" w:eastAsia="en-IE"/>
              </w:rPr>
              <w:t>4</w:t>
            </w:r>
            <w:r>
              <w:rPr>
                <w:noProof/>
                <w:sz w:val="18"/>
                <w:lang w:val="en-IE" w:eastAsia="en-IE"/>
              </w:rPr>
              <w:t xml:space="preserve"> from slippage</w:t>
            </w:r>
          </w:p>
        </w:tc>
        <w:tc>
          <w:tcPr>
            <w:tcW w:w="453" w:type="pct"/>
            <w:tcBorders>
              <w:right w:val="dotted" w:sz="4" w:space="0" w:color="auto"/>
            </w:tcBorders>
            <w:noWrap/>
            <w:vAlign w:val="bottom"/>
            <w:hideMark/>
          </w:tcPr>
          <w:p>
            <w:pPr>
              <w:jc w:val="center"/>
              <w:rPr>
                <w:noProof/>
                <w:sz w:val="18"/>
                <w:lang w:val="en-IE" w:eastAsia="en-IE"/>
              </w:rPr>
            </w:pPr>
            <w:r>
              <w:rPr>
                <w:noProof/>
                <w:color w:val="000000"/>
                <w:sz w:val="16"/>
                <w:szCs w:val="16"/>
              </w:rPr>
              <w:t>96</w:t>
            </w:r>
          </w:p>
        </w:tc>
        <w:tc>
          <w:tcPr>
            <w:tcW w:w="453" w:type="pct"/>
            <w:tcBorders>
              <w:left w:val="dotted" w:sz="4" w:space="0" w:color="auto"/>
            </w:tcBorders>
            <w:noWrap/>
            <w:vAlign w:val="bottom"/>
            <w:hideMark/>
          </w:tcPr>
          <w:p>
            <w:pPr>
              <w:jc w:val="center"/>
              <w:rPr>
                <w:noProof/>
                <w:sz w:val="18"/>
                <w:lang w:val="en-IE" w:eastAsia="en-IE"/>
              </w:rPr>
            </w:pPr>
            <w:r>
              <w:rPr>
                <w:noProof/>
                <w:color w:val="000000"/>
                <w:sz w:val="16"/>
                <w:szCs w:val="16"/>
              </w:rPr>
              <w:t>440</w:t>
            </w:r>
          </w:p>
        </w:tc>
        <w:tc>
          <w:tcPr>
            <w:tcW w:w="436" w:type="pct"/>
            <w:tcBorders>
              <w:right w:val="dotted" w:sz="4" w:space="0" w:color="auto"/>
            </w:tcBorders>
            <w:noWrap/>
            <w:vAlign w:val="bottom"/>
            <w:hideMark/>
          </w:tcPr>
          <w:p>
            <w:pPr>
              <w:jc w:val="center"/>
              <w:rPr>
                <w:noProof/>
                <w:sz w:val="18"/>
                <w:lang w:val="en-IE" w:eastAsia="en-IE"/>
              </w:rPr>
            </w:pPr>
            <w:r>
              <w:rPr>
                <w:noProof/>
                <w:color w:val="000000"/>
                <w:sz w:val="16"/>
                <w:szCs w:val="16"/>
              </w:rPr>
              <w:t>-6.2%</w:t>
            </w:r>
          </w:p>
        </w:tc>
        <w:tc>
          <w:tcPr>
            <w:tcW w:w="448" w:type="pct"/>
            <w:tcBorders>
              <w:left w:val="dotted" w:sz="4" w:space="0" w:color="auto"/>
            </w:tcBorders>
            <w:noWrap/>
            <w:vAlign w:val="bottom"/>
            <w:hideMark/>
          </w:tcPr>
          <w:p>
            <w:pPr>
              <w:jc w:val="center"/>
              <w:rPr>
                <w:noProof/>
                <w:sz w:val="18"/>
                <w:lang w:val="en-IE" w:eastAsia="en-IE"/>
              </w:rPr>
            </w:pPr>
            <w:r>
              <w:rPr>
                <w:noProof/>
                <w:color w:val="000000"/>
                <w:sz w:val="16"/>
                <w:szCs w:val="16"/>
              </w:rPr>
              <w:t>7.5%</w:t>
            </w:r>
          </w:p>
        </w:tc>
        <w:tc>
          <w:tcPr>
            <w:tcW w:w="448" w:type="pct"/>
            <w:tcBorders>
              <w:right w:val="dotted" w:sz="4" w:space="0" w:color="auto"/>
            </w:tcBorders>
            <w:noWrap/>
            <w:vAlign w:val="bottom"/>
            <w:hideMark/>
          </w:tcPr>
          <w:p>
            <w:pPr>
              <w:jc w:val="center"/>
              <w:rPr>
                <w:noProof/>
                <w:sz w:val="18"/>
                <w:lang w:val="en-IE" w:eastAsia="en-IE"/>
              </w:rPr>
            </w:pPr>
            <w:r>
              <w:rPr>
                <w:noProof/>
                <w:color w:val="000000"/>
                <w:sz w:val="16"/>
                <w:szCs w:val="16"/>
              </w:rPr>
              <w:t>-6.2%</w:t>
            </w:r>
          </w:p>
        </w:tc>
        <w:tc>
          <w:tcPr>
            <w:tcW w:w="448" w:type="pct"/>
            <w:tcBorders>
              <w:left w:val="dotted" w:sz="4" w:space="0" w:color="auto"/>
            </w:tcBorders>
            <w:noWrap/>
            <w:vAlign w:val="bottom"/>
            <w:hideMark/>
          </w:tcPr>
          <w:p>
            <w:pPr>
              <w:jc w:val="center"/>
              <w:rPr>
                <w:noProof/>
                <w:sz w:val="18"/>
                <w:lang w:val="en-IE" w:eastAsia="en-IE"/>
              </w:rPr>
            </w:pPr>
            <w:r>
              <w:rPr>
                <w:noProof/>
                <w:color w:val="000000"/>
                <w:sz w:val="16"/>
                <w:szCs w:val="16"/>
              </w:rPr>
              <w:t>14.9%</w:t>
            </w:r>
          </w:p>
        </w:tc>
        <w:tc>
          <w:tcPr>
            <w:tcW w:w="448" w:type="pct"/>
            <w:tcBorders>
              <w:right w:val="dotted" w:sz="4" w:space="0" w:color="auto"/>
            </w:tcBorders>
            <w:noWrap/>
            <w:vAlign w:val="bottom"/>
            <w:hideMark/>
          </w:tcPr>
          <w:p>
            <w:pPr>
              <w:jc w:val="center"/>
              <w:rPr>
                <w:noProof/>
                <w:sz w:val="18"/>
                <w:lang w:val="en-IE" w:eastAsia="en-IE"/>
              </w:rPr>
            </w:pPr>
            <w:r>
              <w:rPr>
                <w:noProof/>
                <w:color w:val="000000"/>
                <w:sz w:val="16"/>
                <w:szCs w:val="16"/>
              </w:rPr>
              <w:t>-6.2%</w:t>
            </w:r>
          </w:p>
        </w:tc>
        <w:tc>
          <w:tcPr>
            <w:tcW w:w="446" w:type="pct"/>
            <w:tcBorders>
              <w:left w:val="dotted" w:sz="4" w:space="0" w:color="auto"/>
            </w:tcBorders>
            <w:noWrap/>
            <w:vAlign w:val="bottom"/>
            <w:hideMark/>
          </w:tcPr>
          <w:p>
            <w:pPr>
              <w:jc w:val="center"/>
              <w:rPr>
                <w:noProof/>
                <w:sz w:val="18"/>
                <w:lang w:val="en-IE" w:eastAsia="en-IE"/>
              </w:rPr>
            </w:pPr>
            <w:r>
              <w:rPr>
                <w:noProof/>
                <w:color w:val="000000"/>
                <w:sz w:val="16"/>
                <w:szCs w:val="16"/>
              </w:rPr>
              <w:t>9.5%</w:t>
            </w:r>
          </w:p>
        </w:tc>
      </w:tr>
      <w:tr>
        <w:trPr>
          <w:trHeight w:val="204"/>
        </w:trPr>
        <w:tc>
          <w:tcPr>
            <w:tcW w:w="1419" w:type="pct"/>
            <w:noWrap/>
            <w:hideMark/>
          </w:tcPr>
          <w:p>
            <w:pPr>
              <w:ind w:firstLineChars="100" w:firstLine="180"/>
              <w:rPr>
                <w:noProof/>
                <w:sz w:val="18"/>
                <w:lang w:val="en-IE" w:eastAsia="en-IE"/>
              </w:rPr>
            </w:pPr>
            <w:r>
              <w:rPr>
                <w:noProof/>
                <w:sz w:val="18"/>
                <w:lang w:val="en-IE" w:eastAsia="en-IE"/>
              </w:rPr>
              <w:t>N</w:t>
            </w:r>
            <w:r>
              <w:rPr>
                <w:noProof/>
                <w:sz w:val="18"/>
                <w:vertAlign w:val="subscript"/>
                <w:lang w:val="en-IE" w:eastAsia="en-IE"/>
              </w:rPr>
              <w:t>2</w:t>
            </w:r>
            <w:r>
              <w:rPr>
                <w:noProof/>
                <w:sz w:val="18"/>
                <w:lang w:val="en-IE" w:eastAsia="en-IE"/>
              </w:rPr>
              <w:t>O from slippage</w:t>
            </w:r>
          </w:p>
        </w:tc>
        <w:tc>
          <w:tcPr>
            <w:tcW w:w="453" w:type="pct"/>
            <w:tcBorders>
              <w:right w:val="dotted" w:sz="4" w:space="0" w:color="auto"/>
            </w:tcBorders>
            <w:noWrap/>
            <w:vAlign w:val="bottom"/>
            <w:hideMark/>
          </w:tcPr>
          <w:p>
            <w:pPr>
              <w:jc w:val="center"/>
              <w:rPr>
                <w:noProof/>
                <w:sz w:val="18"/>
                <w:lang w:val="en-IE" w:eastAsia="en-IE"/>
              </w:rPr>
            </w:pPr>
            <w:r>
              <w:rPr>
                <w:noProof/>
                <w:color w:val="000000"/>
                <w:sz w:val="16"/>
                <w:szCs w:val="16"/>
              </w:rPr>
              <w:t>16</w:t>
            </w:r>
          </w:p>
        </w:tc>
        <w:tc>
          <w:tcPr>
            <w:tcW w:w="453" w:type="pct"/>
            <w:tcBorders>
              <w:left w:val="dotted" w:sz="4" w:space="0" w:color="auto"/>
            </w:tcBorders>
            <w:noWrap/>
            <w:vAlign w:val="bottom"/>
            <w:hideMark/>
          </w:tcPr>
          <w:p>
            <w:pPr>
              <w:jc w:val="center"/>
              <w:rPr>
                <w:noProof/>
                <w:sz w:val="18"/>
                <w:lang w:val="en-IE" w:eastAsia="en-IE"/>
              </w:rPr>
            </w:pPr>
            <w:r>
              <w:rPr>
                <w:noProof/>
                <w:color w:val="000000"/>
                <w:sz w:val="16"/>
                <w:szCs w:val="16"/>
              </w:rPr>
              <w:t>18</w:t>
            </w:r>
          </w:p>
        </w:tc>
        <w:tc>
          <w:tcPr>
            <w:tcW w:w="436" w:type="pct"/>
            <w:tcBorders>
              <w:right w:val="dotted" w:sz="4" w:space="0" w:color="auto"/>
            </w:tcBorders>
            <w:noWrap/>
            <w:vAlign w:val="bottom"/>
            <w:hideMark/>
          </w:tcPr>
          <w:p>
            <w:pPr>
              <w:jc w:val="center"/>
              <w:rPr>
                <w:noProof/>
                <w:sz w:val="18"/>
                <w:lang w:val="en-IE" w:eastAsia="en-IE"/>
              </w:rPr>
            </w:pPr>
            <w:r>
              <w:rPr>
                <w:noProof/>
                <w:color w:val="000000"/>
                <w:sz w:val="16"/>
                <w:szCs w:val="16"/>
              </w:rPr>
              <w:t>-6.3%</w:t>
            </w:r>
          </w:p>
        </w:tc>
        <w:tc>
          <w:tcPr>
            <w:tcW w:w="448" w:type="pct"/>
            <w:tcBorders>
              <w:left w:val="dotted" w:sz="4" w:space="0" w:color="auto"/>
            </w:tcBorders>
            <w:noWrap/>
            <w:vAlign w:val="bottom"/>
            <w:hideMark/>
          </w:tcPr>
          <w:p>
            <w:pPr>
              <w:jc w:val="center"/>
              <w:rPr>
                <w:noProof/>
                <w:sz w:val="18"/>
                <w:lang w:val="en-IE" w:eastAsia="en-IE"/>
              </w:rPr>
            </w:pPr>
            <w:r>
              <w:rPr>
                <w:noProof/>
                <w:color w:val="000000"/>
                <w:sz w:val="16"/>
                <w:szCs w:val="16"/>
              </w:rPr>
              <w:t>-23.3%</w:t>
            </w:r>
          </w:p>
        </w:tc>
        <w:tc>
          <w:tcPr>
            <w:tcW w:w="448" w:type="pct"/>
            <w:tcBorders>
              <w:right w:val="dotted" w:sz="4" w:space="0" w:color="auto"/>
            </w:tcBorders>
            <w:noWrap/>
            <w:vAlign w:val="bottom"/>
            <w:hideMark/>
          </w:tcPr>
          <w:p>
            <w:pPr>
              <w:jc w:val="center"/>
              <w:rPr>
                <w:noProof/>
                <w:sz w:val="18"/>
                <w:lang w:val="en-IE" w:eastAsia="en-IE"/>
              </w:rPr>
            </w:pPr>
            <w:r>
              <w:rPr>
                <w:noProof/>
                <w:color w:val="000000"/>
                <w:sz w:val="16"/>
                <w:szCs w:val="16"/>
              </w:rPr>
              <w:t>-6.2%</w:t>
            </w:r>
          </w:p>
        </w:tc>
        <w:tc>
          <w:tcPr>
            <w:tcW w:w="448" w:type="pct"/>
            <w:tcBorders>
              <w:left w:val="dotted" w:sz="4" w:space="0" w:color="auto"/>
            </w:tcBorders>
            <w:noWrap/>
            <w:vAlign w:val="bottom"/>
            <w:hideMark/>
          </w:tcPr>
          <w:p>
            <w:pPr>
              <w:jc w:val="center"/>
              <w:rPr>
                <w:noProof/>
                <w:sz w:val="18"/>
                <w:lang w:val="en-IE" w:eastAsia="en-IE"/>
              </w:rPr>
            </w:pPr>
            <w:r>
              <w:rPr>
                <w:noProof/>
                <w:color w:val="000000"/>
                <w:sz w:val="16"/>
                <w:szCs w:val="16"/>
              </w:rPr>
              <w:t>-19.9%</w:t>
            </w:r>
          </w:p>
        </w:tc>
        <w:tc>
          <w:tcPr>
            <w:tcW w:w="448" w:type="pct"/>
            <w:tcBorders>
              <w:right w:val="dotted" w:sz="4" w:space="0" w:color="auto"/>
            </w:tcBorders>
            <w:noWrap/>
            <w:vAlign w:val="bottom"/>
            <w:hideMark/>
          </w:tcPr>
          <w:p>
            <w:pPr>
              <w:jc w:val="center"/>
              <w:rPr>
                <w:noProof/>
                <w:sz w:val="18"/>
                <w:lang w:val="en-IE" w:eastAsia="en-IE"/>
              </w:rPr>
            </w:pPr>
            <w:r>
              <w:rPr>
                <w:noProof/>
                <w:color w:val="000000"/>
                <w:sz w:val="16"/>
                <w:szCs w:val="16"/>
              </w:rPr>
              <w:t>-6.2%</w:t>
            </w:r>
          </w:p>
        </w:tc>
        <w:tc>
          <w:tcPr>
            <w:tcW w:w="446" w:type="pct"/>
            <w:tcBorders>
              <w:left w:val="dotted" w:sz="4" w:space="0" w:color="auto"/>
            </w:tcBorders>
            <w:noWrap/>
            <w:vAlign w:val="bottom"/>
            <w:hideMark/>
          </w:tcPr>
          <w:p>
            <w:pPr>
              <w:jc w:val="center"/>
              <w:rPr>
                <w:noProof/>
                <w:sz w:val="18"/>
                <w:lang w:val="en-IE" w:eastAsia="en-IE"/>
              </w:rPr>
            </w:pPr>
            <w:r>
              <w:rPr>
                <w:noProof/>
                <w:color w:val="000000"/>
                <w:sz w:val="16"/>
                <w:szCs w:val="16"/>
              </w:rPr>
              <w:t>-22.7%</w:t>
            </w:r>
          </w:p>
        </w:tc>
      </w:tr>
      <w:tr>
        <w:trPr>
          <w:trHeight w:val="216"/>
        </w:trPr>
        <w:tc>
          <w:tcPr>
            <w:tcW w:w="1419" w:type="pct"/>
            <w:noWrap/>
            <w:hideMark/>
          </w:tcPr>
          <w:p>
            <w:pPr>
              <w:rPr>
                <w:b/>
                <w:noProof/>
                <w:sz w:val="18"/>
                <w:lang w:val="en-IE" w:eastAsia="en-IE"/>
              </w:rPr>
            </w:pPr>
            <w:r>
              <w:rPr>
                <w:b/>
                <w:noProof/>
                <w:sz w:val="18"/>
                <w:lang w:val="en-IE" w:eastAsia="en-IE"/>
              </w:rPr>
              <w:t>Well to wake GHG emissions</w:t>
            </w:r>
          </w:p>
        </w:tc>
        <w:tc>
          <w:tcPr>
            <w:tcW w:w="453" w:type="pct"/>
            <w:tcBorders>
              <w:right w:val="dotted" w:sz="4" w:space="0" w:color="auto"/>
            </w:tcBorders>
            <w:noWrap/>
            <w:vAlign w:val="bottom"/>
            <w:hideMark/>
          </w:tcPr>
          <w:p>
            <w:pPr>
              <w:jc w:val="center"/>
              <w:rPr>
                <w:b/>
                <w:noProof/>
                <w:sz w:val="18"/>
                <w:lang w:val="en-IE" w:eastAsia="en-IE"/>
              </w:rPr>
            </w:pPr>
            <w:r>
              <w:rPr>
                <w:b/>
                <w:noProof/>
                <w:color w:val="000000"/>
                <w:sz w:val="16"/>
                <w:szCs w:val="16"/>
              </w:rPr>
              <w:t>166,662</w:t>
            </w:r>
          </w:p>
        </w:tc>
        <w:tc>
          <w:tcPr>
            <w:tcW w:w="453" w:type="pct"/>
            <w:tcBorders>
              <w:left w:val="dotted" w:sz="4" w:space="0" w:color="auto"/>
            </w:tcBorders>
            <w:noWrap/>
            <w:vAlign w:val="bottom"/>
            <w:hideMark/>
          </w:tcPr>
          <w:p>
            <w:pPr>
              <w:jc w:val="center"/>
              <w:rPr>
                <w:b/>
                <w:noProof/>
                <w:sz w:val="18"/>
                <w:lang w:val="en-IE" w:eastAsia="en-IE"/>
              </w:rPr>
            </w:pPr>
            <w:r>
              <w:rPr>
                <w:b/>
                <w:noProof/>
                <w:color w:val="000000"/>
                <w:sz w:val="16"/>
                <w:szCs w:val="16"/>
              </w:rPr>
              <w:t>199,015</w:t>
            </w:r>
          </w:p>
        </w:tc>
        <w:tc>
          <w:tcPr>
            <w:tcW w:w="436" w:type="pct"/>
            <w:tcBorders>
              <w:right w:val="dotted" w:sz="4" w:space="0" w:color="auto"/>
            </w:tcBorders>
            <w:noWrap/>
            <w:vAlign w:val="bottom"/>
            <w:hideMark/>
          </w:tcPr>
          <w:p>
            <w:pPr>
              <w:jc w:val="center"/>
              <w:rPr>
                <w:b/>
                <w:noProof/>
                <w:sz w:val="18"/>
                <w:lang w:val="en-IE" w:eastAsia="en-IE"/>
              </w:rPr>
            </w:pPr>
            <w:r>
              <w:rPr>
                <w:b/>
                <w:noProof/>
                <w:color w:val="000000"/>
                <w:sz w:val="16"/>
                <w:szCs w:val="16"/>
              </w:rPr>
              <w:t>-11.1%</w:t>
            </w:r>
          </w:p>
        </w:tc>
        <w:tc>
          <w:tcPr>
            <w:tcW w:w="448" w:type="pct"/>
            <w:tcBorders>
              <w:left w:val="dotted" w:sz="4" w:space="0" w:color="auto"/>
            </w:tcBorders>
            <w:noWrap/>
            <w:vAlign w:val="bottom"/>
            <w:hideMark/>
          </w:tcPr>
          <w:p>
            <w:pPr>
              <w:jc w:val="center"/>
              <w:rPr>
                <w:b/>
                <w:noProof/>
                <w:sz w:val="18"/>
                <w:lang w:val="en-IE" w:eastAsia="en-IE"/>
              </w:rPr>
            </w:pPr>
            <w:r>
              <w:rPr>
                <w:b/>
                <w:noProof/>
                <w:color w:val="000000"/>
                <w:sz w:val="16"/>
                <w:szCs w:val="16"/>
              </w:rPr>
              <w:t>-77.3%</w:t>
            </w:r>
          </w:p>
        </w:tc>
        <w:tc>
          <w:tcPr>
            <w:tcW w:w="448" w:type="pct"/>
            <w:tcBorders>
              <w:right w:val="dotted" w:sz="4" w:space="0" w:color="auto"/>
            </w:tcBorders>
            <w:noWrap/>
            <w:vAlign w:val="bottom"/>
            <w:hideMark/>
          </w:tcPr>
          <w:p>
            <w:pPr>
              <w:jc w:val="center"/>
              <w:rPr>
                <w:b/>
                <w:noProof/>
                <w:sz w:val="18"/>
                <w:lang w:val="en-IE" w:eastAsia="en-IE"/>
              </w:rPr>
            </w:pPr>
            <w:r>
              <w:rPr>
                <w:b/>
                <w:noProof/>
                <w:color w:val="000000"/>
                <w:sz w:val="16"/>
                <w:szCs w:val="16"/>
              </w:rPr>
              <w:t>-11.0%</w:t>
            </w:r>
          </w:p>
        </w:tc>
        <w:tc>
          <w:tcPr>
            <w:tcW w:w="448" w:type="pct"/>
            <w:tcBorders>
              <w:left w:val="dotted" w:sz="4" w:space="0" w:color="auto"/>
            </w:tcBorders>
            <w:noWrap/>
            <w:vAlign w:val="bottom"/>
            <w:hideMark/>
          </w:tcPr>
          <w:p>
            <w:pPr>
              <w:jc w:val="center"/>
              <w:rPr>
                <w:b/>
                <w:noProof/>
                <w:sz w:val="18"/>
                <w:lang w:val="en-IE" w:eastAsia="en-IE"/>
              </w:rPr>
            </w:pPr>
            <w:r>
              <w:rPr>
                <w:b/>
                <w:noProof/>
                <w:color w:val="000000"/>
                <w:sz w:val="16"/>
                <w:szCs w:val="16"/>
              </w:rPr>
              <w:t>-76.8%</w:t>
            </w:r>
          </w:p>
        </w:tc>
        <w:tc>
          <w:tcPr>
            <w:tcW w:w="448" w:type="pct"/>
            <w:tcBorders>
              <w:right w:val="dotted" w:sz="4" w:space="0" w:color="auto"/>
            </w:tcBorders>
            <w:noWrap/>
            <w:vAlign w:val="bottom"/>
            <w:hideMark/>
          </w:tcPr>
          <w:p>
            <w:pPr>
              <w:jc w:val="center"/>
              <w:rPr>
                <w:b/>
                <w:noProof/>
                <w:sz w:val="18"/>
                <w:lang w:val="en-IE" w:eastAsia="en-IE"/>
              </w:rPr>
            </w:pPr>
            <w:r>
              <w:rPr>
                <w:b/>
                <w:noProof/>
                <w:color w:val="000000"/>
                <w:sz w:val="16"/>
                <w:szCs w:val="16"/>
              </w:rPr>
              <w:t>-11.1%</w:t>
            </w:r>
          </w:p>
        </w:tc>
        <w:tc>
          <w:tcPr>
            <w:tcW w:w="446" w:type="pct"/>
            <w:tcBorders>
              <w:left w:val="dotted" w:sz="4" w:space="0" w:color="auto"/>
            </w:tcBorders>
            <w:noWrap/>
            <w:vAlign w:val="bottom"/>
            <w:hideMark/>
          </w:tcPr>
          <w:p>
            <w:pPr>
              <w:jc w:val="center"/>
              <w:rPr>
                <w:b/>
                <w:noProof/>
                <w:sz w:val="18"/>
                <w:lang w:val="en-IE" w:eastAsia="en-IE"/>
              </w:rPr>
            </w:pPr>
            <w:r>
              <w:rPr>
                <w:b/>
                <w:noProof/>
                <w:color w:val="000000"/>
                <w:sz w:val="16"/>
                <w:szCs w:val="16"/>
              </w:rPr>
              <w:t>-78.0%</w:t>
            </w:r>
          </w:p>
        </w:tc>
      </w:tr>
    </w:tbl>
    <w:p>
      <w:pPr>
        <w:pStyle w:val="bronvermelding"/>
        <w:rPr>
          <w:rFonts w:eastAsia="Arial"/>
          <w:noProof/>
        </w:rPr>
      </w:pPr>
      <w:r>
        <w:rPr>
          <w:rFonts w:eastAsia="Arial"/>
          <w:noProof/>
        </w:rPr>
        <w:t>Source: PRIMES-Maritime, E3Modelling</w:t>
      </w:r>
    </w:p>
    <w:p>
      <w:pPr>
        <w:spacing w:before="240"/>
        <w:jc w:val="both"/>
        <w:rPr>
          <w:rFonts w:ascii="Times New Roman" w:hAnsi="Times New Roman" w:cs="Times New Roman"/>
          <w:noProof/>
          <w:sz w:val="24"/>
          <w:szCs w:val="24"/>
        </w:rPr>
      </w:pPr>
      <w:r>
        <w:rPr>
          <w:rFonts w:ascii="Times New Roman" w:hAnsi="Times New Roman" w:cs="Times New Roman"/>
          <w:noProof/>
          <w:sz w:val="24"/>
          <w:szCs w:val="24"/>
        </w:rPr>
        <w:t>In terms of tank-to-wake,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from international maritime are projected to be 81% to 84% lower relative to 1990 in the POs. This is consistent with the climate neutrality objective for 2050 as explained in Section 1.5.</w:t>
      </w:r>
    </w:p>
    <w:p>
      <w:pPr>
        <w:spacing w:before="24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All POs result in significant reductions in the GHG emissions intensity of fuels relative to the baseline, as shown in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_Ref63434310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19</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estimated at around 6% on well to wake basis for 2030 and 73-74% for 2050. Relative to the current period this is equivalent to 7% reduction by 2030 and 74-75% by 2050.</w:t>
      </w:r>
      <w:r>
        <w:rPr>
          <w:rStyle w:val="FootnoteReference"/>
          <w:rFonts w:ascii="Times New Roman" w:hAnsi="Times New Roman" w:cs="Times New Roman"/>
          <w:noProof/>
          <w:sz w:val="24"/>
          <w:szCs w:val="24"/>
          <w:lang w:val="en-IE"/>
        </w:rPr>
        <w:footnoteReference w:id="130"/>
      </w:r>
    </w:p>
    <w:p>
      <w:pPr>
        <w:pStyle w:val="Caption"/>
        <w:rPr>
          <w:noProof/>
        </w:rPr>
      </w:pPr>
      <w:bookmarkStart w:id="323" w:name="_Ref63434310"/>
      <w:r>
        <w:rPr>
          <w:noProof/>
        </w:rPr>
        <w:t xml:space="preserve">Table </w:t>
      </w:r>
      <w:r>
        <w:rPr>
          <w:noProof/>
        </w:rPr>
        <w:fldChar w:fldCharType="begin"/>
      </w:r>
      <w:r>
        <w:rPr>
          <w:noProof/>
        </w:rPr>
        <w:instrText xml:space="preserve"> SEQ Table \* ARABIC </w:instrText>
      </w:r>
      <w:r>
        <w:rPr>
          <w:noProof/>
        </w:rPr>
        <w:fldChar w:fldCharType="separate"/>
      </w:r>
      <w:r>
        <w:rPr>
          <w:noProof/>
        </w:rPr>
        <w:t>19</w:t>
      </w:r>
      <w:r>
        <w:rPr>
          <w:noProof/>
        </w:rPr>
        <w:fldChar w:fldCharType="end"/>
      </w:r>
      <w:bookmarkEnd w:id="323"/>
      <w:r>
        <w:rPr>
          <w:noProof/>
        </w:rPr>
        <w:t xml:space="preserve"> Evolution of GHG intensity of fuels from maritime transport on a tank-to-wake and well-to-wake basis</w:t>
      </w:r>
    </w:p>
    <w:tbl>
      <w:tblPr>
        <w:tblW w:w="5000" w:type="pct"/>
        <w:tblCellMar>
          <w:left w:w="70" w:type="dxa"/>
          <w:right w:w="70" w:type="dxa"/>
        </w:tblCellMar>
        <w:tblLook w:val="04A0" w:firstRow="1" w:lastRow="0" w:firstColumn="1" w:lastColumn="0" w:noHBand="0" w:noVBand="1"/>
      </w:tblPr>
      <w:tblGrid>
        <w:gridCol w:w="2404"/>
        <w:gridCol w:w="978"/>
        <w:gridCol w:w="982"/>
        <w:gridCol w:w="743"/>
        <w:gridCol w:w="778"/>
        <w:gridCol w:w="743"/>
        <w:gridCol w:w="778"/>
        <w:gridCol w:w="743"/>
        <w:gridCol w:w="778"/>
      </w:tblGrid>
      <w:tr>
        <w:trPr>
          <w:trHeight w:val="525"/>
        </w:trPr>
        <w:tc>
          <w:tcPr>
            <w:tcW w:w="1346" w:type="pct"/>
            <w:vMerge w:val="restart"/>
            <w:tcBorders>
              <w:top w:val="single" w:sz="4" w:space="0" w:color="auto"/>
              <w:left w:val="single" w:sz="4" w:space="0" w:color="auto"/>
              <w:bottom w:val="single" w:sz="4" w:space="0" w:color="auto"/>
              <w:right w:val="single" w:sz="4" w:space="0" w:color="auto"/>
            </w:tcBorders>
            <w:shd w:val="clear" w:color="000000" w:fill="FFFFFF"/>
            <w:hideMark/>
          </w:tcPr>
          <w:p>
            <w:pPr>
              <w:spacing w:after="0" w:line="240" w:lineRule="auto"/>
              <w:rPr>
                <w:rFonts w:ascii="Times New Roman" w:eastAsia="Times New Roman" w:hAnsi="Times New Roman" w:cs="Times New Roman"/>
                <w:b/>
                <w:bCs/>
                <w:noProof/>
                <w:sz w:val="18"/>
                <w:szCs w:val="16"/>
                <w:lang w:val="en-IE" w:eastAsia="fr-BE"/>
              </w:rPr>
            </w:pPr>
            <w:r>
              <w:rPr>
                <w:rFonts w:ascii="Times New Roman" w:eastAsia="Times New Roman" w:hAnsi="Times New Roman" w:cs="Times New Roman"/>
                <w:b/>
                <w:bCs/>
                <w:noProof/>
                <w:sz w:val="18"/>
                <w:szCs w:val="16"/>
                <w:lang w:val="en-IE" w:eastAsia="fr-BE"/>
              </w:rPr>
              <w:t>Maritime transport GHG intensity of fuels (% change to Baseline)</w:t>
            </w:r>
          </w:p>
        </w:tc>
        <w:tc>
          <w:tcPr>
            <w:tcW w:w="1097" w:type="pct"/>
            <w:gridSpan w:val="2"/>
            <w:tcBorders>
              <w:top w:val="single" w:sz="4" w:space="0" w:color="auto"/>
              <w:left w:val="nil"/>
              <w:bottom w:val="single" w:sz="4" w:space="0" w:color="auto"/>
              <w:right w:val="single" w:sz="4" w:space="0" w:color="auto"/>
            </w:tcBorders>
            <w:shd w:val="clear" w:color="000000" w:fill="FFFFFF"/>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Baseline (gCO2eq/MJ)</w:t>
            </w:r>
          </w:p>
        </w:tc>
        <w:tc>
          <w:tcPr>
            <w:tcW w:w="852"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PO1</w:t>
            </w:r>
          </w:p>
        </w:tc>
        <w:tc>
          <w:tcPr>
            <w:tcW w:w="852"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PO2</w:t>
            </w:r>
          </w:p>
        </w:tc>
        <w:tc>
          <w:tcPr>
            <w:tcW w:w="852" w:type="pct"/>
            <w:gridSpan w:val="2"/>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PO3</w:t>
            </w:r>
          </w:p>
        </w:tc>
      </w:tr>
      <w:tr>
        <w:trPr>
          <w:trHeight w:val="225"/>
        </w:trPr>
        <w:tc>
          <w:tcPr>
            <w:tcW w:w="1346" w:type="pct"/>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b/>
                <w:bCs/>
                <w:noProof/>
                <w:sz w:val="18"/>
                <w:szCs w:val="16"/>
                <w:lang w:val="fr-BE" w:eastAsia="fr-BE"/>
              </w:rPr>
            </w:pPr>
          </w:p>
        </w:tc>
        <w:tc>
          <w:tcPr>
            <w:tcW w:w="547"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2030</w:t>
            </w:r>
          </w:p>
        </w:tc>
        <w:tc>
          <w:tcPr>
            <w:tcW w:w="550"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2050</w:t>
            </w:r>
          </w:p>
        </w:tc>
        <w:tc>
          <w:tcPr>
            <w:tcW w:w="41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2030</w:t>
            </w:r>
          </w:p>
        </w:tc>
        <w:tc>
          <w:tcPr>
            <w:tcW w:w="43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2050</w:t>
            </w:r>
          </w:p>
        </w:tc>
        <w:tc>
          <w:tcPr>
            <w:tcW w:w="41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2030</w:t>
            </w:r>
          </w:p>
        </w:tc>
        <w:tc>
          <w:tcPr>
            <w:tcW w:w="43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2050</w:t>
            </w:r>
          </w:p>
        </w:tc>
        <w:tc>
          <w:tcPr>
            <w:tcW w:w="41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2030</w:t>
            </w:r>
          </w:p>
        </w:tc>
        <w:tc>
          <w:tcPr>
            <w:tcW w:w="436"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6"/>
                <w:lang w:val="fr-BE" w:eastAsia="fr-BE"/>
              </w:rPr>
            </w:pPr>
            <w:r>
              <w:rPr>
                <w:rFonts w:ascii="Times New Roman" w:eastAsia="Times New Roman" w:hAnsi="Times New Roman" w:cs="Times New Roman"/>
                <w:b/>
                <w:bCs/>
                <w:noProof/>
                <w:sz w:val="18"/>
                <w:szCs w:val="16"/>
                <w:lang w:val="fr-BE" w:eastAsia="fr-BE"/>
              </w:rPr>
              <w:t>2050</w:t>
            </w:r>
          </w:p>
        </w:tc>
      </w:tr>
      <w:tr>
        <w:trPr>
          <w:trHeight w:val="225"/>
        </w:trPr>
        <w:tc>
          <w:tcPr>
            <w:tcW w:w="1346"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rPr>
                <w:rFonts w:ascii="Times New Roman" w:eastAsia="Times New Roman" w:hAnsi="Times New Roman" w:cs="Times New Roman"/>
                <w:noProof/>
                <w:sz w:val="18"/>
                <w:szCs w:val="16"/>
                <w:lang w:val="en-IE" w:eastAsia="fr-BE"/>
              </w:rPr>
            </w:pPr>
            <w:r>
              <w:rPr>
                <w:rFonts w:ascii="Times New Roman" w:eastAsia="Times New Roman" w:hAnsi="Times New Roman" w:cs="Times New Roman"/>
                <w:noProof/>
                <w:sz w:val="18"/>
                <w:szCs w:val="16"/>
                <w:lang w:val="en-IE" w:eastAsia="fr-BE"/>
              </w:rPr>
              <w:t>Tank to wake GHG intensity</w:t>
            </w:r>
          </w:p>
        </w:tc>
        <w:tc>
          <w:tcPr>
            <w:tcW w:w="54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75</w:t>
            </w:r>
          </w:p>
        </w:tc>
        <w:tc>
          <w:tcPr>
            <w:tcW w:w="550"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72</w:t>
            </w:r>
          </w:p>
        </w:tc>
        <w:tc>
          <w:tcPr>
            <w:tcW w:w="41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-8%</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-86%</w:t>
            </w:r>
          </w:p>
        </w:tc>
        <w:tc>
          <w:tcPr>
            <w:tcW w:w="41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-8%</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-89%</w:t>
            </w:r>
          </w:p>
        </w:tc>
        <w:tc>
          <w:tcPr>
            <w:tcW w:w="41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-8%</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-89%</w:t>
            </w:r>
          </w:p>
        </w:tc>
      </w:tr>
      <w:tr>
        <w:trPr>
          <w:trHeight w:val="225"/>
        </w:trPr>
        <w:tc>
          <w:tcPr>
            <w:tcW w:w="1346"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rPr>
                <w:rFonts w:ascii="Times New Roman" w:eastAsia="Times New Roman" w:hAnsi="Times New Roman" w:cs="Times New Roman"/>
                <w:noProof/>
                <w:sz w:val="18"/>
                <w:szCs w:val="16"/>
                <w:lang w:val="en-IE" w:eastAsia="fr-BE"/>
              </w:rPr>
            </w:pPr>
            <w:r>
              <w:rPr>
                <w:rFonts w:ascii="Times New Roman" w:eastAsia="Times New Roman" w:hAnsi="Times New Roman" w:cs="Times New Roman"/>
                <w:noProof/>
                <w:sz w:val="18"/>
                <w:szCs w:val="16"/>
                <w:lang w:val="en-IE" w:eastAsia="fr-BE"/>
              </w:rPr>
              <w:t>Well to wake GHG intensity</w:t>
            </w:r>
          </w:p>
        </w:tc>
        <w:tc>
          <w:tcPr>
            <w:tcW w:w="547"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87</w:t>
            </w:r>
          </w:p>
        </w:tc>
        <w:tc>
          <w:tcPr>
            <w:tcW w:w="550"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84</w:t>
            </w:r>
          </w:p>
        </w:tc>
        <w:tc>
          <w:tcPr>
            <w:tcW w:w="41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-6%</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-73%</w:t>
            </w:r>
          </w:p>
        </w:tc>
        <w:tc>
          <w:tcPr>
            <w:tcW w:w="41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-6%</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-73%</w:t>
            </w:r>
          </w:p>
        </w:tc>
        <w:tc>
          <w:tcPr>
            <w:tcW w:w="41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-6%</w:t>
            </w:r>
          </w:p>
        </w:tc>
        <w:tc>
          <w:tcPr>
            <w:tcW w:w="436"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6"/>
                <w:lang w:val="fr-BE" w:eastAsia="fr-BE"/>
              </w:rPr>
            </w:pPr>
            <w:r>
              <w:rPr>
                <w:rFonts w:ascii="Times New Roman" w:eastAsia="Times New Roman" w:hAnsi="Times New Roman" w:cs="Times New Roman"/>
                <w:noProof/>
                <w:sz w:val="18"/>
                <w:szCs w:val="16"/>
                <w:lang w:val="fr-BE" w:eastAsia="fr-BE"/>
              </w:rPr>
              <w:t>-74%</w:t>
            </w:r>
          </w:p>
        </w:tc>
      </w:tr>
    </w:tbl>
    <w:p>
      <w:pPr>
        <w:pStyle w:val="bronvermelding"/>
        <w:rPr>
          <w:rFonts w:eastAsia="Arial"/>
          <w:noProof/>
        </w:rPr>
      </w:pPr>
      <w:r>
        <w:rPr>
          <w:rFonts w:eastAsia="Arial"/>
          <w:noProof/>
        </w:rPr>
        <w:t>Source: PRIMES-Maritime, E3Modelling</w:t>
      </w:r>
    </w:p>
    <w:p>
      <w:pPr>
        <w:spacing w:before="240"/>
        <w:jc w:val="both"/>
        <w:rPr>
          <w:noProof/>
        </w:rPr>
      </w:pPr>
      <w:r>
        <w:rPr>
          <w:rFonts w:ascii="Times New Roman" w:hAnsi="Times New Roman" w:cs="Times New Roman"/>
          <w:b/>
          <w:noProof/>
          <w:sz w:val="24"/>
          <w:szCs w:val="24"/>
          <w:lang w:val="en-IE"/>
        </w:rPr>
        <w:t xml:space="preserve">Impacts on air pollutant emissions: </w:t>
      </w:r>
      <w:r>
        <w:rPr>
          <w:rFonts w:ascii="Times New Roman" w:hAnsi="Times New Roman" w:cs="Times New Roman"/>
          <w:noProof/>
          <w:sz w:val="24"/>
          <w:szCs w:val="24"/>
        </w:rPr>
        <w:t>The analysis of impacts on air pollutants covers impacts on nitrogen oxide (NOx),  carbon monoxide (CO), n</w:t>
      </w:r>
      <w:r>
        <w:rPr>
          <w:rFonts w:ascii="Times New Roman" w:hAnsi="Times New Roman" w:cs="Times New Roman"/>
          <w:bCs/>
          <w:noProof/>
          <w:sz w:val="24"/>
          <w:szCs w:val="24"/>
        </w:rPr>
        <w:t>on-methane volatile organic compounds</w:t>
      </w:r>
      <w:r>
        <w:rPr>
          <w:rFonts w:ascii="Times New Roman" w:hAnsi="Times New Roman" w:cs="Times New Roman"/>
          <w:noProof/>
          <w:sz w:val="24"/>
          <w:szCs w:val="24"/>
        </w:rPr>
        <w:t xml:space="preserve"> (</w:t>
      </w:r>
      <w:r>
        <w:rPr>
          <w:rFonts w:ascii="Times New Roman" w:hAnsi="Times New Roman" w:cs="Times New Roman"/>
          <w:bCs/>
          <w:noProof/>
          <w:sz w:val="24"/>
          <w:szCs w:val="24"/>
        </w:rPr>
        <w:t>NMVOCs</w:t>
      </w:r>
      <w:r>
        <w:rPr>
          <w:rFonts w:ascii="Times New Roman" w:hAnsi="Times New Roman" w:cs="Times New Roman"/>
          <w:noProof/>
          <w:sz w:val="24"/>
          <w:szCs w:val="24"/>
        </w:rPr>
        <w:t>), sulphur oxide (SOx) emissions and PM</w:t>
      </w:r>
      <w:r>
        <w:rPr>
          <w:rFonts w:ascii="Times New Roman" w:hAnsi="Times New Roman" w:cs="Times New Roman"/>
          <w:noProof/>
          <w:sz w:val="24"/>
          <w:szCs w:val="24"/>
          <w:vertAlign w:val="subscript"/>
        </w:rPr>
        <w:t>10</w:t>
      </w:r>
      <w:r>
        <w:rPr>
          <w:rFonts w:ascii="Times New Roman" w:hAnsi="Times New Roman" w:cs="Times New Roman"/>
          <w:noProof/>
          <w:sz w:val="24"/>
          <w:szCs w:val="24"/>
        </w:rPr>
        <w:t xml:space="preserve">. </w:t>
      </w:r>
      <w:r>
        <w:rPr>
          <w:rFonts w:ascii="Times New Roman" w:hAnsi="Times New Roman" w:cs="Times New Roman"/>
          <w:noProof/>
          <w:sz w:val="24"/>
          <w:szCs w:val="24"/>
          <w:lang w:val="en-IE"/>
        </w:rPr>
        <w:t>Air pollution emissions are reduced in all POs relative to the baseline, including air pollution at berth, with the widening of the use of OPS (or equivalent technologies) by the most polluting fleet. The highest reduction are expected in NOx, SOx and PM</w:t>
      </w:r>
      <w:r>
        <w:rPr>
          <w:rFonts w:ascii="Times New Roman" w:hAnsi="Times New Roman" w:cs="Times New Roman"/>
          <w:noProof/>
          <w:sz w:val="24"/>
          <w:szCs w:val="24"/>
          <w:vertAlign w:val="subscript"/>
          <w:lang w:val="en-IE"/>
        </w:rPr>
        <w:t>10</w:t>
      </w:r>
      <w:r>
        <w:rPr>
          <w:rFonts w:ascii="Times New Roman" w:hAnsi="Times New Roman" w:cs="Times New Roman"/>
          <w:noProof/>
          <w:sz w:val="24"/>
          <w:szCs w:val="24"/>
          <w:lang w:val="en-IE"/>
        </w:rPr>
        <w:t xml:space="preserve">, which in all POs reach 23%-27% reduction in 2050 as compared to the baseline. The reduction in levels of air pollutants will be higher for passenger ships than for freight ships (34%-39% for NOx, SOx and PM), however this is also due to slightly higher decrease of passenger traffic activity compared to the baseline as a result of the policy intervention. The impact of the reduction through the use of OPS (or equivalent) is not homogenously distributed and will be localised, depending on the volume and type of traffic for each port. Thus port-cities and the adjacent areas are those with a direct benefit. </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20</w:t>
      </w:r>
      <w:r>
        <w:rPr>
          <w:noProof/>
        </w:rPr>
        <w:fldChar w:fldCharType="end"/>
      </w:r>
      <w:r>
        <w:rPr>
          <w:noProof/>
        </w:rPr>
        <w:t xml:space="preserve"> Evolution of air pollutant emissions from maritime transport</w:t>
      </w:r>
    </w:p>
    <w:tbl>
      <w:tblPr>
        <w:tblStyle w:val="CV11"/>
        <w:tblW w:w="5000" w:type="pct"/>
        <w:tblLook w:val="04A0" w:firstRow="1" w:lastRow="0" w:firstColumn="1" w:lastColumn="0" w:noHBand="0" w:noVBand="1"/>
      </w:tblPr>
      <w:tblGrid>
        <w:gridCol w:w="2819"/>
        <w:gridCol w:w="794"/>
        <w:gridCol w:w="794"/>
        <w:gridCol w:w="810"/>
        <w:gridCol w:w="810"/>
        <w:gridCol w:w="744"/>
        <w:gridCol w:w="744"/>
        <w:gridCol w:w="744"/>
        <w:gridCol w:w="744"/>
      </w:tblGrid>
      <w:tr>
        <w:trPr>
          <w:trHeight w:val="204"/>
          <w:tblHeader/>
        </w:trPr>
        <w:tc>
          <w:tcPr>
            <w:tcW w:w="1566" w:type="pct"/>
            <w:vMerge w:val="restart"/>
            <w:hideMark/>
          </w:tcPr>
          <w:p>
            <w:pPr>
              <w:rPr>
                <w:b/>
                <w:noProof/>
                <w:sz w:val="18"/>
                <w:szCs w:val="18"/>
                <w:lang w:val="en-IE" w:eastAsia="en-IE"/>
              </w:rPr>
            </w:pPr>
            <w:r>
              <w:rPr>
                <w:b/>
                <w:noProof/>
                <w:sz w:val="18"/>
                <w:szCs w:val="18"/>
                <w:lang w:val="en-IE" w:eastAsia="en-IE"/>
              </w:rPr>
              <w:t>Air pollution emissions (% change to Baseline)</w:t>
            </w:r>
          </w:p>
        </w:tc>
        <w:tc>
          <w:tcPr>
            <w:tcW w:w="882" w:type="pct"/>
            <w:gridSpan w:val="2"/>
            <w:hideMark/>
          </w:tcPr>
          <w:p>
            <w:pPr>
              <w:jc w:val="center"/>
              <w:rPr>
                <w:b/>
                <w:noProof/>
                <w:sz w:val="18"/>
                <w:szCs w:val="18"/>
                <w:lang w:val="en-IE" w:eastAsia="en-IE"/>
              </w:rPr>
            </w:pPr>
            <w:r>
              <w:rPr>
                <w:b/>
                <w:noProof/>
                <w:sz w:val="18"/>
                <w:szCs w:val="18"/>
                <w:lang w:val="en-IE" w:eastAsia="en-IE"/>
              </w:rPr>
              <w:t>Baseline (kt)</w:t>
            </w:r>
          </w:p>
        </w:tc>
        <w:tc>
          <w:tcPr>
            <w:tcW w:w="900" w:type="pct"/>
            <w:gridSpan w:val="2"/>
            <w:noWrap/>
            <w:hideMark/>
          </w:tcPr>
          <w:p>
            <w:pPr>
              <w:jc w:val="center"/>
              <w:rPr>
                <w:b/>
                <w:noProof/>
                <w:sz w:val="18"/>
                <w:szCs w:val="18"/>
                <w:lang w:val="en-IE" w:eastAsia="en-IE"/>
              </w:rPr>
            </w:pPr>
            <w:r>
              <w:rPr>
                <w:b/>
                <w:bCs/>
                <w:noProof/>
                <w:sz w:val="18"/>
                <w:szCs w:val="18"/>
                <w:lang w:val="en-IE" w:eastAsia="en-IE"/>
              </w:rPr>
              <w:t>PO1</w:t>
            </w:r>
          </w:p>
        </w:tc>
        <w:tc>
          <w:tcPr>
            <w:tcW w:w="826" w:type="pct"/>
            <w:gridSpan w:val="2"/>
            <w:noWrap/>
            <w:hideMark/>
          </w:tcPr>
          <w:p>
            <w:pPr>
              <w:jc w:val="center"/>
              <w:rPr>
                <w:b/>
                <w:noProof/>
                <w:sz w:val="18"/>
                <w:szCs w:val="18"/>
                <w:lang w:val="en-IE" w:eastAsia="en-IE"/>
              </w:rPr>
            </w:pPr>
            <w:r>
              <w:rPr>
                <w:b/>
                <w:bCs/>
                <w:noProof/>
                <w:sz w:val="18"/>
                <w:szCs w:val="18"/>
                <w:lang w:val="en-IE" w:eastAsia="en-IE"/>
              </w:rPr>
              <w:t>PO2</w:t>
            </w:r>
          </w:p>
        </w:tc>
        <w:tc>
          <w:tcPr>
            <w:tcW w:w="826" w:type="pct"/>
            <w:gridSpan w:val="2"/>
            <w:noWrap/>
            <w:hideMark/>
          </w:tcPr>
          <w:p>
            <w:pPr>
              <w:jc w:val="center"/>
              <w:rPr>
                <w:b/>
                <w:noProof/>
                <w:sz w:val="18"/>
                <w:szCs w:val="18"/>
                <w:lang w:val="en-IE" w:eastAsia="en-IE"/>
              </w:rPr>
            </w:pPr>
            <w:r>
              <w:rPr>
                <w:b/>
                <w:bCs/>
                <w:noProof/>
                <w:sz w:val="18"/>
                <w:szCs w:val="18"/>
                <w:lang w:val="en-IE" w:eastAsia="en-IE"/>
              </w:rPr>
              <w:t>PO3</w:t>
            </w:r>
          </w:p>
        </w:tc>
      </w:tr>
      <w:tr>
        <w:trPr>
          <w:trHeight w:val="216"/>
          <w:tblHeader/>
        </w:trPr>
        <w:tc>
          <w:tcPr>
            <w:tcW w:w="1566" w:type="pct"/>
            <w:vMerge/>
            <w:hideMark/>
          </w:tcPr>
          <w:p>
            <w:pPr>
              <w:rPr>
                <w:b/>
                <w:noProof/>
                <w:sz w:val="18"/>
                <w:szCs w:val="18"/>
                <w:lang w:val="en-IE" w:eastAsia="en-IE"/>
              </w:rPr>
            </w:pPr>
          </w:p>
        </w:tc>
        <w:tc>
          <w:tcPr>
            <w:tcW w:w="441" w:type="pct"/>
            <w:noWrap/>
            <w:hideMark/>
          </w:tcPr>
          <w:p>
            <w:pPr>
              <w:jc w:val="center"/>
              <w:rPr>
                <w:b/>
                <w:noProof/>
                <w:sz w:val="18"/>
                <w:szCs w:val="18"/>
                <w:lang w:val="en-IE" w:eastAsia="en-IE"/>
              </w:rPr>
            </w:pPr>
            <w:r>
              <w:rPr>
                <w:b/>
                <w:noProof/>
                <w:sz w:val="18"/>
                <w:szCs w:val="18"/>
                <w:lang w:val="en-IE" w:eastAsia="en-IE"/>
              </w:rPr>
              <w:t>2030</w:t>
            </w:r>
          </w:p>
        </w:tc>
        <w:tc>
          <w:tcPr>
            <w:tcW w:w="441" w:type="pct"/>
            <w:noWrap/>
            <w:hideMark/>
          </w:tcPr>
          <w:p>
            <w:pPr>
              <w:jc w:val="center"/>
              <w:rPr>
                <w:b/>
                <w:noProof/>
                <w:sz w:val="18"/>
                <w:szCs w:val="18"/>
                <w:lang w:val="en-IE" w:eastAsia="en-IE"/>
              </w:rPr>
            </w:pPr>
            <w:r>
              <w:rPr>
                <w:b/>
                <w:noProof/>
                <w:sz w:val="18"/>
                <w:szCs w:val="18"/>
                <w:lang w:val="en-IE" w:eastAsia="en-IE"/>
              </w:rPr>
              <w:t>2050</w:t>
            </w:r>
          </w:p>
        </w:tc>
        <w:tc>
          <w:tcPr>
            <w:tcW w:w="450" w:type="pct"/>
            <w:noWrap/>
            <w:hideMark/>
          </w:tcPr>
          <w:p>
            <w:pPr>
              <w:jc w:val="center"/>
              <w:rPr>
                <w:b/>
                <w:noProof/>
                <w:sz w:val="18"/>
                <w:szCs w:val="18"/>
                <w:lang w:val="en-IE" w:eastAsia="en-IE"/>
              </w:rPr>
            </w:pPr>
            <w:r>
              <w:rPr>
                <w:b/>
                <w:noProof/>
                <w:sz w:val="18"/>
                <w:szCs w:val="18"/>
                <w:lang w:val="en-IE" w:eastAsia="en-IE"/>
              </w:rPr>
              <w:t>2030</w:t>
            </w:r>
          </w:p>
        </w:tc>
        <w:tc>
          <w:tcPr>
            <w:tcW w:w="450" w:type="pct"/>
            <w:noWrap/>
            <w:hideMark/>
          </w:tcPr>
          <w:p>
            <w:pPr>
              <w:jc w:val="center"/>
              <w:rPr>
                <w:b/>
                <w:noProof/>
                <w:sz w:val="18"/>
                <w:szCs w:val="18"/>
                <w:lang w:val="en-IE" w:eastAsia="en-IE"/>
              </w:rPr>
            </w:pPr>
            <w:r>
              <w:rPr>
                <w:b/>
                <w:noProof/>
                <w:sz w:val="18"/>
                <w:szCs w:val="18"/>
                <w:lang w:val="en-IE" w:eastAsia="en-IE"/>
              </w:rPr>
              <w:t>2050</w:t>
            </w:r>
          </w:p>
        </w:tc>
        <w:tc>
          <w:tcPr>
            <w:tcW w:w="413" w:type="pct"/>
            <w:noWrap/>
            <w:hideMark/>
          </w:tcPr>
          <w:p>
            <w:pPr>
              <w:jc w:val="center"/>
              <w:rPr>
                <w:b/>
                <w:noProof/>
                <w:sz w:val="18"/>
                <w:szCs w:val="18"/>
                <w:lang w:val="en-IE" w:eastAsia="en-IE"/>
              </w:rPr>
            </w:pPr>
            <w:r>
              <w:rPr>
                <w:b/>
                <w:noProof/>
                <w:sz w:val="18"/>
                <w:szCs w:val="18"/>
                <w:lang w:val="en-IE" w:eastAsia="en-IE"/>
              </w:rPr>
              <w:t>2030</w:t>
            </w:r>
          </w:p>
        </w:tc>
        <w:tc>
          <w:tcPr>
            <w:tcW w:w="413" w:type="pct"/>
            <w:noWrap/>
            <w:hideMark/>
          </w:tcPr>
          <w:p>
            <w:pPr>
              <w:jc w:val="center"/>
              <w:rPr>
                <w:b/>
                <w:noProof/>
                <w:sz w:val="18"/>
                <w:szCs w:val="18"/>
                <w:lang w:val="en-IE" w:eastAsia="en-IE"/>
              </w:rPr>
            </w:pPr>
            <w:r>
              <w:rPr>
                <w:b/>
                <w:noProof/>
                <w:sz w:val="18"/>
                <w:szCs w:val="18"/>
                <w:lang w:val="en-IE" w:eastAsia="en-IE"/>
              </w:rPr>
              <w:t>2050</w:t>
            </w:r>
          </w:p>
        </w:tc>
        <w:tc>
          <w:tcPr>
            <w:tcW w:w="413" w:type="pct"/>
            <w:noWrap/>
            <w:hideMark/>
          </w:tcPr>
          <w:p>
            <w:pPr>
              <w:jc w:val="center"/>
              <w:rPr>
                <w:b/>
                <w:noProof/>
                <w:sz w:val="18"/>
                <w:szCs w:val="18"/>
                <w:lang w:val="en-IE" w:eastAsia="en-IE"/>
              </w:rPr>
            </w:pPr>
            <w:r>
              <w:rPr>
                <w:b/>
                <w:noProof/>
                <w:sz w:val="18"/>
                <w:szCs w:val="18"/>
                <w:lang w:val="en-IE" w:eastAsia="en-IE"/>
              </w:rPr>
              <w:t>2030</w:t>
            </w:r>
          </w:p>
        </w:tc>
        <w:tc>
          <w:tcPr>
            <w:tcW w:w="413" w:type="pct"/>
            <w:noWrap/>
            <w:hideMark/>
          </w:tcPr>
          <w:p>
            <w:pPr>
              <w:jc w:val="center"/>
              <w:rPr>
                <w:b/>
                <w:noProof/>
                <w:sz w:val="18"/>
                <w:szCs w:val="18"/>
                <w:lang w:val="en-IE" w:eastAsia="en-IE"/>
              </w:rPr>
            </w:pPr>
            <w:r>
              <w:rPr>
                <w:b/>
                <w:noProof/>
                <w:sz w:val="18"/>
                <w:szCs w:val="18"/>
                <w:lang w:val="en-IE" w:eastAsia="en-IE"/>
              </w:rPr>
              <w:t>2050</w:t>
            </w:r>
          </w:p>
        </w:tc>
      </w:tr>
      <w:tr>
        <w:trPr>
          <w:trHeight w:val="204"/>
        </w:trPr>
        <w:tc>
          <w:tcPr>
            <w:tcW w:w="1566" w:type="pct"/>
            <w:hideMark/>
          </w:tcPr>
          <w:p>
            <w:pPr>
              <w:rPr>
                <w:b/>
                <w:noProof/>
                <w:sz w:val="18"/>
                <w:szCs w:val="18"/>
                <w:lang w:val="en-IE" w:eastAsia="en-IE"/>
              </w:rPr>
            </w:pPr>
            <w:r>
              <w:rPr>
                <w:b/>
                <w:noProof/>
                <w:sz w:val="18"/>
                <w:szCs w:val="18"/>
                <w:lang w:val="en-IE" w:eastAsia="en-IE"/>
              </w:rPr>
              <w:t xml:space="preserve">Total shipping </w:t>
            </w:r>
          </w:p>
        </w:tc>
        <w:tc>
          <w:tcPr>
            <w:tcW w:w="441" w:type="pct"/>
            <w:noWrap/>
            <w:hideMark/>
          </w:tcPr>
          <w:p>
            <w:pPr>
              <w:jc w:val="center"/>
              <w:rPr>
                <w:noProof/>
                <w:sz w:val="18"/>
                <w:szCs w:val="18"/>
                <w:lang w:val="en-IE" w:eastAsia="en-IE"/>
              </w:rPr>
            </w:pPr>
            <w:r>
              <w:rPr>
                <w:noProof/>
                <w:sz w:val="18"/>
                <w:szCs w:val="18"/>
                <w:lang w:val="en-IE" w:eastAsia="en-IE"/>
              </w:rPr>
              <w:t> </w:t>
            </w:r>
          </w:p>
        </w:tc>
        <w:tc>
          <w:tcPr>
            <w:tcW w:w="441" w:type="pct"/>
            <w:noWrap/>
            <w:hideMark/>
          </w:tcPr>
          <w:p>
            <w:pPr>
              <w:jc w:val="center"/>
              <w:rPr>
                <w:noProof/>
                <w:sz w:val="18"/>
                <w:szCs w:val="18"/>
                <w:lang w:val="en-IE" w:eastAsia="en-IE"/>
              </w:rPr>
            </w:pPr>
            <w:r>
              <w:rPr>
                <w:noProof/>
                <w:sz w:val="18"/>
                <w:szCs w:val="18"/>
                <w:lang w:val="en-IE" w:eastAsia="en-IE"/>
              </w:rPr>
              <w:t> </w:t>
            </w:r>
          </w:p>
        </w:tc>
        <w:tc>
          <w:tcPr>
            <w:tcW w:w="450" w:type="pct"/>
            <w:noWrap/>
            <w:hideMark/>
          </w:tcPr>
          <w:p>
            <w:pPr>
              <w:jc w:val="center"/>
              <w:rPr>
                <w:noProof/>
                <w:sz w:val="18"/>
                <w:szCs w:val="18"/>
                <w:lang w:val="en-IE" w:eastAsia="en-IE"/>
              </w:rPr>
            </w:pPr>
            <w:r>
              <w:rPr>
                <w:noProof/>
                <w:sz w:val="18"/>
                <w:szCs w:val="18"/>
                <w:lang w:val="en-IE" w:eastAsia="en-IE"/>
              </w:rPr>
              <w:t> </w:t>
            </w:r>
          </w:p>
        </w:tc>
        <w:tc>
          <w:tcPr>
            <w:tcW w:w="450" w:type="pct"/>
            <w:noWrap/>
            <w:hideMark/>
          </w:tcPr>
          <w:p>
            <w:pPr>
              <w:jc w:val="center"/>
              <w:rPr>
                <w:noProof/>
                <w:sz w:val="18"/>
                <w:szCs w:val="18"/>
                <w:lang w:val="en-IE" w:eastAsia="en-IE"/>
              </w:rPr>
            </w:pPr>
            <w:r>
              <w:rPr>
                <w:noProof/>
                <w:sz w:val="18"/>
                <w:szCs w:val="18"/>
                <w:lang w:val="en-IE" w:eastAsia="en-IE"/>
              </w:rPr>
              <w:t> </w:t>
            </w:r>
          </w:p>
        </w:tc>
        <w:tc>
          <w:tcPr>
            <w:tcW w:w="413" w:type="pct"/>
            <w:noWrap/>
            <w:hideMark/>
          </w:tcPr>
          <w:p>
            <w:pPr>
              <w:jc w:val="center"/>
              <w:rPr>
                <w:noProof/>
                <w:sz w:val="18"/>
                <w:szCs w:val="18"/>
                <w:lang w:val="en-IE" w:eastAsia="en-IE"/>
              </w:rPr>
            </w:pPr>
            <w:r>
              <w:rPr>
                <w:noProof/>
                <w:sz w:val="18"/>
                <w:szCs w:val="18"/>
                <w:lang w:val="en-IE" w:eastAsia="en-IE"/>
              </w:rPr>
              <w:t> </w:t>
            </w:r>
          </w:p>
        </w:tc>
        <w:tc>
          <w:tcPr>
            <w:tcW w:w="413" w:type="pct"/>
            <w:noWrap/>
            <w:hideMark/>
          </w:tcPr>
          <w:p>
            <w:pPr>
              <w:jc w:val="center"/>
              <w:rPr>
                <w:noProof/>
                <w:sz w:val="18"/>
                <w:szCs w:val="18"/>
                <w:lang w:val="en-IE" w:eastAsia="en-IE"/>
              </w:rPr>
            </w:pPr>
            <w:r>
              <w:rPr>
                <w:noProof/>
                <w:sz w:val="18"/>
                <w:szCs w:val="18"/>
                <w:lang w:val="en-IE" w:eastAsia="en-IE"/>
              </w:rPr>
              <w:t> </w:t>
            </w:r>
          </w:p>
        </w:tc>
        <w:tc>
          <w:tcPr>
            <w:tcW w:w="413" w:type="pct"/>
            <w:noWrap/>
            <w:hideMark/>
          </w:tcPr>
          <w:p>
            <w:pPr>
              <w:jc w:val="center"/>
              <w:rPr>
                <w:noProof/>
                <w:sz w:val="18"/>
                <w:szCs w:val="18"/>
                <w:lang w:val="en-IE" w:eastAsia="en-IE"/>
              </w:rPr>
            </w:pPr>
            <w:r>
              <w:rPr>
                <w:noProof/>
                <w:sz w:val="18"/>
                <w:szCs w:val="18"/>
                <w:lang w:val="en-IE" w:eastAsia="en-IE"/>
              </w:rPr>
              <w:t> </w:t>
            </w:r>
          </w:p>
        </w:tc>
        <w:tc>
          <w:tcPr>
            <w:tcW w:w="413" w:type="pct"/>
            <w:noWrap/>
            <w:hideMark/>
          </w:tcPr>
          <w:p>
            <w:pPr>
              <w:jc w:val="center"/>
              <w:rPr>
                <w:noProof/>
                <w:sz w:val="18"/>
                <w:szCs w:val="18"/>
                <w:lang w:val="en-IE" w:eastAsia="en-IE"/>
              </w:rPr>
            </w:pPr>
            <w:r>
              <w:rPr>
                <w:noProof/>
                <w:sz w:val="18"/>
                <w:szCs w:val="18"/>
                <w:lang w:val="en-IE" w:eastAsia="en-IE"/>
              </w:rPr>
              <w:t> </w:t>
            </w:r>
          </w:p>
        </w:tc>
      </w:tr>
      <w:tr>
        <w:trPr>
          <w:trHeight w:val="204"/>
        </w:trPr>
        <w:tc>
          <w:tcPr>
            <w:tcW w:w="1566" w:type="pct"/>
            <w:noWrap/>
            <w:hideMark/>
          </w:tcPr>
          <w:p>
            <w:pPr>
              <w:ind w:firstLineChars="100" w:firstLine="180"/>
              <w:rPr>
                <w:noProof/>
                <w:sz w:val="18"/>
                <w:szCs w:val="18"/>
                <w:lang w:val="en-IE" w:eastAsia="en-IE"/>
              </w:rPr>
            </w:pPr>
            <w:r>
              <w:rPr>
                <w:noProof/>
                <w:sz w:val="18"/>
                <w:szCs w:val="18"/>
                <w:lang w:val="en-IE" w:eastAsia="en-IE"/>
              </w:rPr>
              <w:t>NOx</w:t>
            </w:r>
          </w:p>
        </w:tc>
        <w:tc>
          <w:tcPr>
            <w:tcW w:w="441" w:type="pct"/>
            <w:noWrap/>
            <w:hideMark/>
          </w:tcPr>
          <w:p>
            <w:pPr>
              <w:jc w:val="center"/>
              <w:rPr>
                <w:noProof/>
                <w:sz w:val="18"/>
                <w:szCs w:val="18"/>
                <w:lang w:val="en-IE" w:eastAsia="en-IE"/>
              </w:rPr>
            </w:pPr>
            <w:r>
              <w:rPr>
                <w:noProof/>
                <w:sz w:val="18"/>
                <w:szCs w:val="18"/>
                <w:lang w:val="en-IE" w:eastAsia="en-IE"/>
              </w:rPr>
              <w:t>1,574</w:t>
            </w:r>
          </w:p>
        </w:tc>
        <w:tc>
          <w:tcPr>
            <w:tcW w:w="441" w:type="pct"/>
            <w:noWrap/>
            <w:hideMark/>
          </w:tcPr>
          <w:p>
            <w:pPr>
              <w:jc w:val="center"/>
              <w:rPr>
                <w:noProof/>
                <w:sz w:val="18"/>
                <w:szCs w:val="18"/>
                <w:lang w:val="en-IE" w:eastAsia="en-IE"/>
              </w:rPr>
            </w:pPr>
            <w:r>
              <w:rPr>
                <w:noProof/>
                <w:sz w:val="18"/>
                <w:szCs w:val="18"/>
                <w:lang w:val="en-IE" w:eastAsia="en-IE"/>
              </w:rPr>
              <w:t>1,664</w:t>
            </w:r>
          </w:p>
        </w:tc>
        <w:tc>
          <w:tcPr>
            <w:tcW w:w="450" w:type="pct"/>
            <w:noWrap/>
            <w:hideMark/>
          </w:tcPr>
          <w:p>
            <w:pPr>
              <w:jc w:val="center"/>
              <w:rPr>
                <w:noProof/>
                <w:sz w:val="18"/>
                <w:szCs w:val="18"/>
                <w:lang w:val="en-IE" w:eastAsia="en-IE"/>
              </w:rPr>
            </w:pPr>
            <w:r>
              <w:rPr>
                <w:noProof/>
                <w:sz w:val="18"/>
                <w:szCs w:val="18"/>
                <w:lang w:val="en-IE" w:eastAsia="en-IE"/>
              </w:rPr>
              <w:t>-6%</w:t>
            </w:r>
          </w:p>
        </w:tc>
        <w:tc>
          <w:tcPr>
            <w:tcW w:w="450" w:type="pct"/>
            <w:noWrap/>
            <w:hideMark/>
          </w:tcPr>
          <w:p>
            <w:pPr>
              <w:jc w:val="center"/>
              <w:rPr>
                <w:noProof/>
                <w:sz w:val="18"/>
                <w:szCs w:val="18"/>
                <w:lang w:val="en-IE" w:eastAsia="en-IE"/>
              </w:rPr>
            </w:pPr>
            <w:r>
              <w:rPr>
                <w:noProof/>
                <w:sz w:val="18"/>
                <w:szCs w:val="18"/>
                <w:lang w:val="en-IE" w:eastAsia="en-IE"/>
              </w:rPr>
              <w:t>-27%</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-24%</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-27%</w:t>
            </w:r>
          </w:p>
        </w:tc>
      </w:tr>
      <w:tr>
        <w:trPr>
          <w:trHeight w:val="204"/>
        </w:trPr>
        <w:tc>
          <w:tcPr>
            <w:tcW w:w="1566" w:type="pct"/>
            <w:noWrap/>
            <w:hideMark/>
          </w:tcPr>
          <w:p>
            <w:pPr>
              <w:ind w:firstLineChars="100" w:firstLine="180"/>
              <w:rPr>
                <w:noProof/>
                <w:sz w:val="18"/>
                <w:szCs w:val="18"/>
                <w:lang w:val="en-IE" w:eastAsia="en-IE"/>
              </w:rPr>
            </w:pPr>
            <w:r>
              <w:rPr>
                <w:noProof/>
                <w:sz w:val="18"/>
                <w:szCs w:val="18"/>
                <w:lang w:val="en-IE" w:eastAsia="en-IE"/>
              </w:rPr>
              <w:t>CO</w:t>
            </w:r>
          </w:p>
        </w:tc>
        <w:tc>
          <w:tcPr>
            <w:tcW w:w="441" w:type="pct"/>
            <w:noWrap/>
            <w:hideMark/>
          </w:tcPr>
          <w:p>
            <w:pPr>
              <w:jc w:val="center"/>
              <w:rPr>
                <w:noProof/>
                <w:sz w:val="18"/>
                <w:szCs w:val="18"/>
                <w:lang w:val="en-IE" w:eastAsia="en-IE"/>
              </w:rPr>
            </w:pPr>
            <w:r>
              <w:rPr>
                <w:noProof/>
                <w:sz w:val="18"/>
                <w:szCs w:val="18"/>
                <w:lang w:val="en-IE" w:eastAsia="en-IE"/>
              </w:rPr>
              <w:t>164</w:t>
            </w:r>
          </w:p>
        </w:tc>
        <w:tc>
          <w:tcPr>
            <w:tcW w:w="441" w:type="pct"/>
            <w:noWrap/>
            <w:hideMark/>
          </w:tcPr>
          <w:p>
            <w:pPr>
              <w:jc w:val="center"/>
              <w:rPr>
                <w:noProof/>
                <w:sz w:val="18"/>
                <w:szCs w:val="18"/>
                <w:lang w:val="en-IE" w:eastAsia="en-IE"/>
              </w:rPr>
            </w:pPr>
            <w:r>
              <w:rPr>
                <w:noProof/>
                <w:sz w:val="18"/>
                <w:szCs w:val="18"/>
                <w:lang w:val="en-IE" w:eastAsia="en-IE"/>
              </w:rPr>
              <w:t>236</w:t>
            </w:r>
          </w:p>
        </w:tc>
        <w:tc>
          <w:tcPr>
            <w:tcW w:w="450" w:type="pct"/>
            <w:noWrap/>
            <w:hideMark/>
          </w:tcPr>
          <w:p>
            <w:pPr>
              <w:jc w:val="center"/>
              <w:rPr>
                <w:noProof/>
                <w:sz w:val="18"/>
                <w:szCs w:val="18"/>
                <w:lang w:val="en-IE" w:eastAsia="en-IE"/>
              </w:rPr>
            </w:pPr>
            <w:r>
              <w:rPr>
                <w:noProof/>
                <w:sz w:val="18"/>
                <w:szCs w:val="18"/>
                <w:lang w:val="en-IE" w:eastAsia="en-IE"/>
              </w:rPr>
              <w:t>-6%</w:t>
            </w:r>
          </w:p>
        </w:tc>
        <w:tc>
          <w:tcPr>
            <w:tcW w:w="450" w:type="pct"/>
            <w:noWrap/>
            <w:hideMark/>
          </w:tcPr>
          <w:p>
            <w:pPr>
              <w:jc w:val="center"/>
              <w:rPr>
                <w:noProof/>
                <w:sz w:val="18"/>
                <w:szCs w:val="18"/>
                <w:lang w:val="en-IE" w:eastAsia="en-IE"/>
              </w:rPr>
            </w:pPr>
            <w:r>
              <w:rPr>
                <w:noProof/>
                <w:sz w:val="18"/>
                <w:szCs w:val="18"/>
                <w:lang w:val="en-IE" w:eastAsia="en-IE"/>
              </w:rPr>
              <w:t>-16%</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-11%</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-15%</w:t>
            </w:r>
          </w:p>
        </w:tc>
      </w:tr>
      <w:tr>
        <w:trPr>
          <w:trHeight w:val="204"/>
        </w:trPr>
        <w:tc>
          <w:tcPr>
            <w:tcW w:w="1566" w:type="pct"/>
            <w:noWrap/>
            <w:hideMark/>
          </w:tcPr>
          <w:p>
            <w:pPr>
              <w:ind w:firstLineChars="100" w:firstLine="180"/>
              <w:rPr>
                <w:noProof/>
                <w:sz w:val="18"/>
                <w:szCs w:val="18"/>
                <w:lang w:val="en-IE" w:eastAsia="en-IE"/>
              </w:rPr>
            </w:pPr>
            <w:r>
              <w:rPr>
                <w:noProof/>
                <w:sz w:val="18"/>
                <w:szCs w:val="18"/>
                <w:lang w:val="en-IE" w:eastAsia="en-IE"/>
              </w:rPr>
              <w:t>NMVOC</w:t>
            </w:r>
          </w:p>
        </w:tc>
        <w:tc>
          <w:tcPr>
            <w:tcW w:w="441" w:type="pct"/>
            <w:noWrap/>
            <w:hideMark/>
          </w:tcPr>
          <w:p>
            <w:pPr>
              <w:jc w:val="center"/>
              <w:rPr>
                <w:noProof/>
                <w:sz w:val="18"/>
                <w:szCs w:val="18"/>
                <w:lang w:val="en-IE" w:eastAsia="en-IE"/>
              </w:rPr>
            </w:pPr>
            <w:r>
              <w:rPr>
                <w:noProof/>
                <w:sz w:val="18"/>
                <w:szCs w:val="18"/>
                <w:lang w:val="en-IE" w:eastAsia="en-IE"/>
              </w:rPr>
              <w:t>62</w:t>
            </w:r>
          </w:p>
        </w:tc>
        <w:tc>
          <w:tcPr>
            <w:tcW w:w="441" w:type="pct"/>
            <w:noWrap/>
            <w:hideMark/>
          </w:tcPr>
          <w:p>
            <w:pPr>
              <w:jc w:val="center"/>
              <w:rPr>
                <w:noProof/>
                <w:sz w:val="18"/>
                <w:szCs w:val="18"/>
                <w:lang w:val="en-IE" w:eastAsia="en-IE"/>
              </w:rPr>
            </w:pPr>
            <w:r>
              <w:rPr>
                <w:noProof/>
                <w:sz w:val="18"/>
                <w:szCs w:val="18"/>
                <w:lang w:val="en-IE" w:eastAsia="en-IE"/>
              </w:rPr>
              <w:t>74</w:t>
            </w:r>
          </w:p>
        </w:tc>
        <w:tc>
          <w:tcPr>
            <w:tcW w:w="450" w:type="pct"/>
            <w:noWrap/>
            <w:hideMark/>
          </w:tcPr>
          <w:p>
            <w:pPr>
              <w:jc w:val="center"/>
              <w:rPr>
                <w:noProof/>
                <w:sz w:val="18"/>
                <w:szCs w:val="18"/>
                <w:lang w:val="en-IE" w:eastAsia="en-IE"/>
              </w:rPr>
            </w:pPr>
            <w:r>
              <w:rPr>
                <w:noProof/>
                <w:sz w:val="18"/>
                <w:szCs w:val="18"/>
                <w:lang w:val="en-IE" w:eastAsia="en-IE"/>
              </w:rPr>
              <w:t>-6%</w:t>
            </w:r>
          </w:p>
        </w:tc>
        <w:tc>
          <w:tcPr>
            <w:tcW w:w="450" w:type="pct"/>
            <w:noWrap/>
            <w:hideMark/>
          </w:tcPr>
          <w:p>
            <w:pPr>
              <w:jc w:val="center"/>
              <w:rPr>
                <w:noProof/>
                <w:sz w:val="18"/>
                <w:szCs w:val="18"/>
                <w:lang w:val="en-IE" w:eastAsia="en-IE"/>
              </w:rPr>
            </w:pPr>
            <w:r>
              <w:rPr>
                <w:noProof/>
                <w:sz w:val="18"/>
                <w:szCs w:val="18"/>
                <w:lang w:val="en-IE" w:eastAsia="en-IE"/>
              </w:rPr>
              <w:t>-22%</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-19%</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-22%</w:t>
            </w:r>
          </w:p>
        </w:tc>
      </w:tr>
      <w:tr>
        <w:trPr>
          <w:trHeight w:val="204"/>
        </w:trPr>
        <w:tc>
          <w:tcPr>
            <w:tcW w:w="1566" w:type="pct"/>
            <w:noWrap/>
            <w:hideMark/>
          </w:tcPr>
          <w:p>
            <w:pPr>
              <w:ind w:firstLineChars="100" w:firstLine="180"/>
              <w:rPr>
                <w:noProof/>
                <w:sz w:val="18"/>
                <w:szCs w:val="18"/>
                <w:lang w:val="en-IE" w:eastAsia="en-IE"/>
              </w:rPr>
            </w:pPr>
            <w:r>
              <w:rPr>
                <w:noProof/>
                <w:sz w:val="18"/>
                <w:szCs w:val="18"/>
                <w:lang w:val="en-IE" w:eastAsia="en-IE"/>
              </w:rPr>
              <w:t>PM10</w:t>
            </w:r>
          </w:p>
        </w:tc>
        <w:tc>
          <w:tcPr>
            <w:tcW w:w="441" w:type="pct"/>
            <w:noWrap/>
            <w:hideMark/>
          </w:tcPr>
          <w:p>
            <w:pPr>
              <w:jc w:val="center"/>
              <w:rPr>
                <w:noProof/>
                <w:sz w:val="18"/>
                <w:szCs w:val="18"/>
                <w:lang w:val="en-IE" w:eastAsia="en-IE"/>
              </w:rPr>
            </w:pPr>
            <w:r>
              <w:rPr>
                <w:noProof/>
                <w:sz w:val="18"/>
                <w:szCs w:val="18"/>
                <w:lang w:val="en-IE" w:eastAsia="en-IE"/>
              </w:rPr>
              <w:t>74</w:t>
            </w:r>
          </w:p>
        </w:tc>
        <w:tc>
          <w:tcPr>
            <w:tcW w:w="441" w:type="pct"/>
            <w:noWrap/>
            <w:hideMark/>
          </w:tcPr>
          <w:p>
            <w:pPr>
              <w:jc w:val="center"/>
              <w:rPr>
                <w:noProof/>
                <w:sz w:val="18"/>
                <w:szCs w:val="18"/>
                <w:lang w:val="en-IE" w:eastAsia="en-IE"/>
              </w:rPr>
            </w:pPr>
            <w:r>
              <w:rPr>
                <w:noProof/>
                <w:sz w:val="18"/>
                <w:szCs w:val="18"/>
                <w:lang w:val="en-IE" w:eastAsia="en-IE"/>
              </w:rPr>
              <w:t>64</w:t>
            </w:r>
          </w:p>
        </w:tc>
        <w:tc>
          <w:tcPr>
            <w:tcW w:w="450" w:type="pct"/>
            <w:noWrap/>
            <w:hideMark/>
          </w:tcPr>
          <w:p>
            <w:pPr>
              <w:jc w:val="center"/>
              <w:rPr>
                <w:noProof/>
                <w:sz w:val="18"/>
                <w:szCs w:val="18"/>
                <w:lang w:val="en-IE" w:eastAsia="en-IE"/>
              </w:rPr>
            </w:pPr>
            <w:r>
              <w:rPr>
                <w:noProof/>
                <w:sz w:val="18"/>
                <w:szCs w:val="18"/>
                <w:lang w:val="en-IE" w:eastAsia="en-IE"/>
              </w:rPr>
              <w:t>-6%</w:t>
            </w:r>
          </w:p>
        </w:tc>
        <w:tc>
          <w:tcPr>
            <w:tcW w:w="450" w:type="pct"/>
            <w:noWrap/>
            <w:hideMark/>
          </w:tcPr>
          <w:p>
            <w:pPr>
              <w:jc w:val="center"/>
              <w:rPr>
                <w:noProof/>
                <w:sz w:val="18"/>
                <w:szCs w:val="18"/>
                <w:lang w:val="en-IE" w:eastAsia="en-IE"/>
              </w:rPr>
            </w:pPr>
            <w:r>
              <w:rPr>
                <w:noProof/>
                <w:sz w:val="18"/>
                <w:szCs w:val="18"/>
                <w:lang w:val="en-IE" w:eastAsia="en-IE"/>
              </w:rPr>
              <w:t>-27%</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-24%</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-27%</w:t>
            </w:r>
          </w:p>
        </w:tc>
      </w:tr>
      <w:tr>
        <w:trPr>
          <w:trHeight w:val="204"/>
        </w:trPr>
        <w:tc>
          <w:tcPr>
            <w:tcW w:w="1566" w:type="pct"/>
            <w:noWrap/>
            <w:hideMark/>
          </w:tcPr>
          <w:p>
            <w:pPr>
              <w:ind w:firstLineChars="100" w:firstLine="180"/>
              <w:rPr>
                <w:noProof/>
                <w:sz w:val="18"/>
                <w:szCs w:val="18"/>
                <w:lang w:val="en-IE" w:eastAsia="en-IE"/>
              </w:rPr>
            </w:pPr>
            <w:r>
              <w:rPr>
                <w:noProof/>
                <w:sz w:val="18"/>
                <w:szCs w:val="18"/>
                <w:lang w:val="en-IE" w:eastAsia="en-IE"/>
              </w:rPr>
              <w:t>SOx</w:t>
            </w:r>
          </w:p>
        </w:tc>
        <w:tc>
          <w:tcPr>
            <w:tcW w:w="441" w:type="pct"/>
            <w:noWrap/>
            <w:hideMark/>
          </w:tcPr>
          <w:p>
            <w:pPr>
              <w:jc w:val="center"/>
              <w:rPr>
                <w:noProof/>
                <w:sz w:val="18"/>
                <w:szCs w:val="18"/>
                <w:lang w:val="en-IE" w:eastAsia="en-IE"/>
              </w:rPr>
            </w:pPr>
            <w:r>
              <w:rPr>
                <w:noProof/>
                <w:sz w:val="18"/>
                <w:szCs w:val="18"/>
                <w:lang w:val="en-IE" w:eastAsia="en-IE"/>
              </w:rPr>
              <w:t>302</w:t>
            </w:r>
          </w:p>
        </w:tc>
        <w:tc>
          <w:tcPr>
            <w:tcW w:w="441" w:type="pct"/>
            <w:noWrap/>
            <w:hideMark/>
          </w:tcPr>
          <w:p>
            <w:pPr>
              <w:jc w:val="center"/>
              <w:rPr>
                <w:noProof/>
                <w:sz w:val="18"/>
                <w:szCs w:val="18"/>
                <w:lang w:val="en-IE" w:eastAsia="en-IE"/>
              </w:rPr>
            </w:pPr>
            <w:r>
              <w:rPr>
                <w:noProof/>
                <w:sz w:val="18"/>
                <w:szCs w:val="18"/>
                <w:lang w:val="en-IE" w:eastAsia="en-IE"/>
              </w:rPr>
              <w:t>249</w:t>
            </w:r>
          </w:p>
        </w:tc>
        <w:tc>
          <w:tcPr>
            <w:tcW w:w="450" w:type="pct"/>
            <w:noWrap/>
            <w:hideMark/>
          </w:tcPr>
          <w:p>
            <w:pPr>
              <w:jc w:val="center"/>
              <w:rPr>
                <w:noProof/>
                <w:sz w:val="18"/>
                <w:szCs w:val="18"/>
                <w:lang w:val="en-IE" w:eastAsia="en-IE"/>
              </w:rPr>
            </w:pPr>
            <w:r>
              <w:rPr>
                <w:noProof/>
                <w:sz w:val="18"/>
                <w:szCs w:val="18"/>
                <w:lang w:val="en-IE" w:eastAsia="en-IE"/>
              </w:rPr>
              <w:t>-6%</w:t>
            </w:r>
          </w:p>
        </w:tc>
        <w:tc>
          <w:tcPr>
            <w:tcW w:w="450" w:type="pct"/>
            <w:noWrap/>
            <w:hideMark/>
          </w:tcPr>
          <w:p>
            <w:pPr>
              <w:jc w:val="center"/>
              <w:rPr>
                <w:noProof/>
                <w:sz w:val="18"/>
                <w:szCs w:val="18"/>
                <w:lang w:val="en-IE" w:eastAsia="en-IE"/>
              </w:rPr>
            </w:pPr>
            <w:r>
              <w:rPr>
                <w:noProof/>
                <w:sz w:val="18"/>
                <w:szCs w:val="18"/>
                <w:lang w:val="en-IE" w:eastAsia="en-IE"/>
              </w:rPr>
              <w:t>-27%</w:t>
            </w:r>
          </w:p>
        </w:tc>
        <w:tc>
          <w:tcPr>
            <w:tcW w:w="413" w:type="pct"/>
            <w:noWrap/>
            <w:hideMark/>
          </w:tcPr>
          <w:p>
            <w:pPr>
              <w:jc w:val="center"/>
              <w:rPr>
                <w:noProof/>
                <w:sz w:val="18"/>
                <w:szCs w:val="18"/>
                <w:lang w:val="en-IE" w:eastAsia="en-IE"/>
              </w:rPr>
            </w:pPr>
            <w:r>
              <w:rPr>
                <w:noProof/>
                <w:sz w:val="18"/>
                <w:szCs w:val="18"/>
                <w:lang w:val="en-IE" w:eastAsia="en-IE"/>
              </w:rPr>
              <w:t>-5%</w:t>
            </w:r>
          </w:p>
        </w:tc>
        <w:tc>
          <w:tcPr>
            <w:tcW w:w="413" w:type="pct"/>
            <w:noWrap/>
            <w:hideMark/>
          </w:tcPr>
          <w:p>
            <w:pPr>
              <w:jc w:val="center"/>
              <w:rPr>
                <w:noProof/>
                <w:sz w:val="18"/>
                <w:szCs w:val="18"/>
                <w:lang w:val="en-IE" w:eastAsia="en-IE"/>
              </w:rPr>
            </w:pPr>
            <w:r>
              <w:rPr>
                <w:noProof/>
                <w:sz w:val="18"/>
                <w:szCs w:val="18"/>
                <w:lang w:val="en-IE" w:eastAsia="en-IE"/>
              </w:rPr>
              <w:t>-23%</w:t>
            </w:r>
          </w:p>
        </w:tc>
        <w:tc>
          <w:tcPr>
            <w:tcW w:w="413" w:type="pct"/>
            <w:noWrap/>
            <w:hideMark/>
          </w:tcPr>
          <w:p>
            <w:pPr>
              <w:jc w:val="center"/>
              <w:rPr>
                <w:noProof/>
                <w:sz w:val="18"/>
                <w:szCs w:val="18"/>
                <w:lang w:val="en-IE" w:eastAsia="en-IE"/>
              </w:rPr>
            </w:pPr>
            <w:r>
              <w:rPr>
                <w:noProof/>
                <w:sz w:val="18"/>
                <w:szCs w:val="18"/>
                <w:lang w:val="en-IE" w:eastAsia="en-IE"/>
              </w:rPr>
              <w:t>-6%</w:t>
            </w:r>
          </w:p>
        </w:tc>
        <w:tc>
          <w:tcPr>
            <w:tcW w:w="413" w:type="pct"/>
            <w:noWrap/>
            <w:hideMark/>
          </w:tcPr>
          <w:p>
            <w:pPr>
              <w:jc w:val="center"/>
              <w:rPr>
                <w:noProof/>
                <w:sz w:val="18"/>
                <w:szCs w:val="18"/>
                <w:lang w:val="en-IE" w:eastAsia="en-IE"/>
              </w:rPr>
            </w:pPr>
            <w:r>
              <w:rPr>
                <w:noProof/>
                <w:sz w:val="18"/>
                <w:szCs w:val="18"/>
                <w:lang w:val="en-IE" w:eastAsia="en-IE"/>
              </w:rPr>
              <w:t>-26%</w:t>
            </w:r>
          </w:p>
        </w:tc>
      </w:tr>
    </w:tbl>
    <w:p>
      <w:pPr>
        <w:pStyle w:val="bronvermelding"/>
        <w:rPr>
          <w:rFonts w:eastAsia="Arial"/>
          <w:noProof/>
        </w:rPr>
      </w:pPr>
      <w:r>
        <w:rPr>
          <w:rFonts w:eastAsia="Arial"/>
          <w:noProof/>
        </w:rPr>
        <w:t>Source: PRIMES-Maritime, E3Modelling</w:t>
      </w:r>
    </w:p>
    <w:p>
      <w:pPr>
        <w:spacing w:after="0"/>
        <w:jc w:val="both"/>
        <w:rPr>
          <w:rFonts w:ascii="Times New Roman" w:hAnsi="Times New Roman" w:cs="Times New Roman"/>
          <w:b/>
          <w:noProof/>
          <w:sz w:val="10"/>
          <w:szCs w:val="24"/>
          <w:lang w:val="en-IE"/>
        </w:rPr>
      </w:pPr>
    </w:p>
    <w:p>
      <w:pPr>
        <w:jc w:val="both"/>
        <w:rPr>
          <w:rFonts w:ascii="Times New Roman" w:hAnsi="Times New Roman" w:cs="Times New Roman"/>
          <w:noProof/>
          <w:sz w:val="24"/>
          <w:szCs w:val="24"/>
        </w:rPr>
      </w:pPr>
      <w:r>
        <w:rPr>
          <w:rFonts w:ascii="Times New Roman" w:hAnsi="Times New Roman" w:cs="Times New Roman"/>
          <w:b/>
          <w:noProof/>
          <w:sz w:val="24"/>
          <w:szCs w:val="24"/>
          <w:lang w:val="en-IE"/>
        </w:rPr>
        <w:t xml:space="preserve">Impacts on external costs: </w:t>
      </w:r>
      <w:r>
        <w:rPr>
          <w:rFonts w:ascii="Times New Roman" w:hAnsi="Times New Roman" w:cs="Times New Roman"/>
          <w:noProof/>
          <w:sz w:val="24"/>
          <w:szCs w:val="24"/>
        </w:rPr>
        <w:t xml:space="preserve">Based on the GHG emissions and the reduction in the air pollutant emissions presented above,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_Ref63434340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Table 21</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presents the savings in external costs of air pollution and climate change relative to the baseline</w:t>
      </w:r>
      <w:r>
        <w:rPr>
          <w:rStyle w:val="FootnoteReference"/>
          <w:rFonts w:ascii="Times New Roman" w:hAnsi="Times New Roman" w:cs="Times New Roman"/>
          <w:noProof/>
          <w:sz w:val="24"/>
          <w:szCs w:val="24"/>
        </w:rPr>
        <w:footnoteReference w:id="131"/>
      </w:r>
      <w:r>
        <w:rPr>
          <w:rFonts w:ascii="Times New Roman" w:hAnsi="Times New Roman" w:cs="Times New Roman"/>
          <w:noProof/>
          <w:sz w:val="24"/>
          <w:szCs w:val="24"/>
        </w:rPr>
        <w:t xml:space="preserve">, expressed as present value over the 2021-2050 period. These have been monetised using the Handbook on the external costs of transport. As already explained in Section 6.2.3, the initiative would result in a reduction of external costs of air pollution of €9.4 to 10.3bn relative to the baseline. The reduction in external costs of GHG emissions is projected to be more significant at €135.9 to 138.6bn relative to the baseline over the 2021-2050 period, expressed as present value.  </w:t>
      </w:r>
    </w:p>
    <w:p>
      <w:pPr>
        <w:pStyle w:val="Caption"/>
        <w:spacing w:after="120"/>
        <w:rPr>
          <w:noProof/>
        </w:rPr>
      </w:pPr>
      <w:bookmarkStart w:id="324" w:name="_Ref63434340"/>
      <w:r>
        <w:rPr>
          <w:noProof/>
        </w:rPr>
        <w:t xml:space="preserve">Table </w:t>
      </w:r>
      <w:r>
        <w:rPr>
          <w:noProof/>
        </w:rPr>
        <w:fldChar w:fldCharType="begin"/>
      </w:r>
      <w:r>
        <w:rPr>
          <w:noProof/>
        </w:rPr>
        <w:instrText xml:space="preserve"> SEQ Table \* ARABIC </w:instrText>
      </w:r>
      <w:r>
        <w:rPr>
          <w:noProof/>
        </w:rPr>
        <w:fldChar w:fldCharType="separate"/>
      </w:r>
      <w:r>
        <w:rPr>
          <w:noProof/>
        </w:rPr>
        <w:t>21</w:t>
      </w:r>
      <w:r>
        <w:rPr>
          <w:noProof/>
        </w:rPr>
        <w:fldChar w:fldCharType="end"/>
      </w:r>
      <w:bookmarkEnd w:id="324"/>
      <w:r>
        <w:rPr>
          <w:noProof/>
        </w:rPr>
        <w:t xml:space="preserve"> Changes in external costs of air pollution and climate change relative to the baseline, expressed as present value over the 2021-2050 period</w:t>
      </w:r>
    </w:p>
    <w:tbl>
      <w:tblPr>
        <w:tblW w:w="5000" w:type="pct"/>
        <w:tblCellMar>
          <w:left w:w="70" w:type="dxa"/>
          <w:right w:w="70" w:type="dxa"/>
        </w:tblCellMar>
        <w:tblLook w:val="04A0" w:firstRow="1" w:lastRow="0" w:firstColumn="1" w:lastColumn="0" w:noHBand="0" w:noVBand="1"/>
      </w:tblPr>
      <w:tblGrid>
        <w:gridCol w:w="3834"/>
        <w:gridCol w:w="1460"/>
        <w:gridCol w:w="1211"/>
        <w:gridCol w:w="1211"/>
        <w:gridCol w:w="1211"/>
      </w:tblGrid>
      <w:tr>
        <w:trPr>
          <w:trHeight w:val="420"/>
        </w:trPr>
        <w:tc>
          <w:tcPr>
            <w:tcW w:w="2148" w:type="pct"/>
            <w:tcBorders>
              <w:top w:val="single" w:sz="4" w:space="0" w:color="auto"/>
              <w:left w:val="single" w:sz="4" w:space="0" w:color="auto"/>
              <w:bottom w:val="single" w:sz="4" w:space="0" w:color="auto"/>
              <w:right w:val="single" w:sz="4" w:space="0" w:color="auto"/>
            </w:tcBorders>
            <w:shd w:val="clear" w:color="000000" w:fill="FFFFFF"/>
            <w:vAlign w:val="center"/>
            <w:hideMark/>
          </w:tcPr>
          <w:p>
            <w:pPr>
              <w:rPr>
                <w:rFonts w:ascii="Times New Roman" w:eastAsia="Times New Roman" w:hAnsi="Times New Roman" w:cs="Times New Roman"/>
                <w:b/>
                <w:noProof/>
                <w:sz w:val="18"/>
                <w:szCs w:val="18"/>
                <w:lang w:val="en-IE" w:eastAsia="fr-BE"/>
              </w:rPr>
            </w:pPr>
            <w:r>
              <w:rPr>
                <w:rFonts w:ascii="Times New Roman" w:eastAsia="Times New Roman" w:hAnsi="Times New Roman" w:cs="Times New Roman"/>
                <w:b/>
                <w:noProof/>
                <w:sz w:val="18"/>
                <w:szCs w:val="18"/>
                <w:lang w:val="en-IE" w:eastAsia="fr-BE"/>
              </w:rPr>
              <w:t>External costs - present value for 2021-2050 compared to Baseline (bil. €'2015)</w:t>
            </w:r>
          </w:p>
        </w:tc>
        <w:tc>
          <w:tcPr>
            <w:tcW w:w="818" w:type="pct"/>
            <w:tcBorders>
              <w:top w:val="single" w:sz="4" w:space="0" w:color="auto"/>
              <w:left w:val="nil"/>
              <w:bottom w:val="single" w:sz="4" w:space="0" w:color="auto"/>
              <w:right w:val="single" w:sz="4" w:space="0" w:color="auto"/>
            </w:tcBorders>
            <w:shd w:val="clear" w:color="000000" w:fill="FFFFFF"/>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Baseline (bil. €'2015)</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PO1</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PO2</w:t>
            </w:r>
          </w:p>
        </w:tc>
        <w:tc>
          <w:tcPr>
            <w:tcW w:w="678"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18"/>
                <w:szCs w:val="18"/>
                <w:lang w:val="fr-BE" w:eastAsia="fr-BE"/>
              </w:rPr>
            </w:pPr>
            <w:r>
              <w:rPr>
                <w:rFonts w:ascii="Times New Roman" w:eastAsia="Times New Roman" w:hAnsi="Times New Roman" w:cs="Times New Roman"/>
                <w:b/>
                <w:bCs/>
                <w:noProof/>
                <w:sz w:val="18"/>
                <w:szCs w:val="18"/>
                <w:lang w:val="fr-BE" w:eastAsia="fr-BE"/>
              </w:rPr>
              <w:t>PO3</w:t>
            </w:r>
          </w:p>
        </w:tc>
      </w:tr>
      <w:tr>
        <w:trPr>
          <w:trHeight w:val="200"/>
        </w:trPr>
        <w:tc>
          <w:tcPr>
            <w:tcW w:w="214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en-IE" w:eastAsia="fr-BE"/>
              </w:rPr>
            </w:pPr>
            <w:r>
              <w:rPr>
                <w:rFonts w:ascii="Times New Roman" w:eastAsia="Times New Roman" w:hAnsi="Times New Roman" w:cs="Times New Roman"/>
                <w:noProof/>
                <w:sz w:val="18"/>
                <w:szCs w:val="18"/>
                <w:lang w:val="en-IE" w:eastAsia="fr-BE"/>
              </w:rPr>
              <w:t>External costs of air pollution</w:t>
            </w:r>
          </w:p>
        </w:tc>
        <w:tc>
          <w:tcPr>
            <w:tcW w:w="81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124</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-10.3</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-9.4</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-10.0</w:t>
            </w:r>
          </w:p>
        </w:tc>
      </w:tr>
      <w:tr>
        <w:trPr>
          <w:trHeight w:val="200"/>
        </w:trPr>
        <w:tc>
          <w:tcPr>
            <w:tcW w:w="214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180"/>
              <w:rPr>
                <w:rFonts w:ascii="Times New Roman" w:eastAsia="Times New Roman" w:hAnsi="Times New Roman" w:cs="Times New Roman"/>
                <w:noProof/>
                <w:sz w:val="18"/>
                <w:szCs w:val="18"/>
                <w:lang w:val="en-IE" w:eastAsia="fr-BE"/>
              </w:rPr>
            </w:pPr>
            <w:r>
              <w:rPr>
                <w:rFonts w:ascii="Times New Roman" w:eastAsia="Times New Roman" w:hAnsi="Times New Roman" w:cs="Times New Roman"/>
                <w:noProof/>
                <w:sz w:val="18"/>
                <w:szCs w:val="18"/>
                <w:lang w:val="en-IE" w:eastAsia="fr-BE"/>
              </w:rPr>
              <w:t>External costs of GHG emissions</w:t>
            </w:r>
          </w:p>
        </w:tc>
        <w:tc>
          <w:tcPr>
            <w:tcW w:w="81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363</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-135.9</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-138.5</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-138.6</w:t>
            </w:r>
          </w:p>
        </w:tc>
      </w:tr>
      <w:tr>
        <w:trPr>
          <w:trHeight w:val="200"/>
        </w:trPr>
        <w:tc>
          <w:tcPr>
            <w:tcW w:w="2148"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Total external costs</w:t>
            </w:r>
          </w:p>
        </w:tc>
        <w:tc>
          <w:tcPr>
            <w:tcW w:w="81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487</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-146.2</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-148.0</w:t>
            </w:r>
          </w:p>
        </w:tc>
        <w:tc>
          <w:tcPr>
            <w:tcW w:w="678"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18"/>
                <w:szCs w:val="18"/>
                <w:lang w:val="fr-BE" w:eastAsia="fr-BE"/>
              </w:rPr>
            </w:pPr>
            <w:r>
              <w:rPr>
                <w:rFonts w:ascii="Times New Roman" w:eastAsia="Times New Roman" w:hAnsi="Times New Roman" w:cs="Times New Roman"/>
                <w:noProof/>
                <w:sz w:val="18"/>
                <w:szCs w:val="18"/>
                <w:lang w:val="fr-BE" w:eastAsia="fr-BE"/>
              </w:rPr>
              <w:t>-148.6</w:t>
            </w:r>
          </w:p>
        </w:tc>
      </w:tr>
    </w:tbl>
    <w:p>
      <w:pPr>
        <w:pStyle w:val="bronvermelding"/>
        <w:rPr>
          <w:rFonts w:eastAsia="Arial"/>
          <w:noProof/>
        </w:rPr>
      </w:pPr>
      <w:r>
        <w:rPr>
          <w:rFonts w:eastAsia="Arial"/>
          <w:noProof/>
        </w:rPr>
        <w:t>Source: PRIMES-Maritime, E3Modelling</w:t>
      </w:r>
    </w:p>
    <w:p>
      <w:pPr>
        <w:pStyle w:val="DefaultText"/>
        <w:rPr>
          <w:rFonts w:eastAsia="Arial"/>
          <w:noProof/>
          <w:sz w:val="4"/>
        </w:rPr>
      </w:pPr>
    </w:p>
    <w:p>
      <w:pPr>
        <w:pStyle w:val="Heading3"/>
        <w:rPr>
          <w:noProof/>
        </w:rPr>
      </w:pPr>
      <w:bookmarkStart w:id="325" w:name="_Toc57907306"/>
      <w:bookmarkStart w:id="326" w:name="_Toc59152642"/>
      <w:bookmarkStart w:id="327" w:name="_Toc63426156"/>
      <w:bookmarkStart w:id="328" w:name="_Toc63438502"/>
      <w:r>
        <w:rPr>
          <w:noProof/>
        </w:rPr>
        <w:t>Carbon leakage</w:t>
      </w:r>
      <w:bookmarkEnd w:id="325"/>
      <w:bookmarkEnd w:id="326"/>
      <w:bookmarkEnd w:id="327"/>
      <w:bookmarkEnd w:id="328"/>
    </w:p>
    <w:p>
      <w:pPr>
        <w:jc w:val="both"/>
        <w:rPr>
          <w:rFonts w:ascii="Times New Roman" w:hAnsi="Times New Roman" w:cs="Times New Roman"/>
          <w:noProof/>
          <w:sz w:val="24"/>
          <w:szCs w:val="24"/>
        </w:rPr>
      </w:pPr>
      <w:r>
        <w:rPr>
          <w:rFonts w:ascii="Times New Roman" w:hAnsi="Times New Roman" w:cs="Times New Roman"/>
          <w:noProof/>
          <w:sz w:val="24"/>
          <w:szCs w:val="24"/>
        </w:rPr>
        <w:t>In the absence of any fuel requirement imposed on maritime operators, ship would continue use of conventional fuels. In the event that conventional fuels were not available in the EU, ships would bunker them in non-EU ports during one of their regular calls. In other words, without obligations on demand, carbon leakage would occur without any need for ships to modify their normal activity.</w:t>
      </w:r>
    </w:p>
    <w:p>
      <w:pPr>
        <w:jc w:val="both"/>
        <w:rPr>
          <w:rFonts w:ascii="Times New Roman" w:hAnsi="Times New Roman" w:cs="Times New Roman"/>
          <w:noProof/>
          <w:sz w:val="24"/>
          <w:szCs w:val="24"/>
        </w:rPr>
      </w:pPr>
      <w:r>
        <w:rPr>
          <w:rFonts w:ascii="Times New Roman" w:hAnsi="Times New Roman" w:cs="Times New Roman"/>
          <w:noProof/>
          <w:sz w:val="24"/>
          <w:szCs w:val="24"/>
        </w:rPr>
        <w:t>If obligations are imposed on ships for the use of (some proportion of) RLF for voyages within the scope of the mandates, ships would have an interest in reducing the length of those voyages. In this case, carbon leakage could still occur, but would require ships to re-route and alter their normal course of business.</w:t>
      </w:r>
    </w:p>
    <w:p>
      <w:pPr>
        <w:jc w:val="both"/>
        <w:rPr>
          <w:noProof/>
        </w:rPr>
      </w:pPr>
      <w:r>
        <w:rPr>
          <w:rFonts w:ascii="Times New Roman" w:hAnsi="Times New Roman" w:cs="Times New Roman"/>
          <w:noProof/>
          <w:sz w:val="24"/>
          <w:szCs w:val="24"/>
        </w:rPr>
        <w:t xml:space="preserve">The potential for ships re-routing to reduce the amount of traffic that falls in scope of the initiative has been analysed for 2030 by comparing the situation without re-routing (i.e. direct link from port A to port B, where port A is a non-EU/EEA port and port B is an EU/EEA port) with a situation including an intermediate stop to a non-EU/EEA port (port C), closer (or the closest) to the EU/EEA port (port B). The analysis, performed with the TRUST model by TRT, takes into account the cost types according to different ship types along different routes, as illustrated in Annex 4, as well as the increase in the fuel blend cost projected as a result of the initiative. The analysis has been performed for PO1 and PO3 and three categories of ships: container ships, dry bulk ships and liquid bulk ships. </w:t>
      </w:r>
    </w:p>
    <w:p>
      <w:pPr>
        <w:jc w:val="both"/>
        <w:rPr>
          <w:rFonts w:ascii="Times New Roman" w:hAnsi="Times New Roman" w:cs="Times New Roman"/>
          <w:noProof/>
          <w:sz w:val="24"/>
          <w:szCs w:val="24"/>
        </w:rPr>
      </w:pPr>
      <w:r>
        <w:rPr>
          <w:rFonts w:ascii="Times New Roman" w:hAnsi="Times New Roman" w:cs="Times New Roman"/>
          <w:noProof/>
          <w:sz w:val="24"/>
          <w:szCs w:val="24"/>
        </w:rPr>
        <w:t>For container ships, the analysis shows that, for the vast majority of routes, total travel cost increases in case of an intermediate stop to a non-EU/EEA port. In PO1 although fuel costs in case of a route diversion (i.e. with an intermediate stop to a non-EU/EEA port) are projected to be reduced by 1-6% relative to the Baseline in 2030 (i.e. €26,000 to €242,000 depending on the route and ship type), travel time costs would increase by 4-13% (i.e. €13,300 to €102,000) and costs at ports would go up by 50% (i.e. €47,500 to €137,000 depending on the ship type). These results suggest that the risk of leakage resulting from container ships’ route diversion to reduce the amount of traffic that falls in the scope of the initiative is low, due to the increase in the travel time costs and costs at ports that outweighs the reduction in the fuel costs.</w:t>
      </w:r>
      <w:r>
        <w:rPr>
          <w:noProof/>
          <w:vertAlign w:val="superscript"/>
        </w:rPr>
        <w:footnoteReference w:id="132"/>
      </w:r>
      <w:r>
        <w:rPr>
          <w:rFonts w:ascii="Times New Roman" w:hAnsi="Times New Roman" w:cs="Times New Roman"/>
          <w:noProof/>
          <w:sz w:val="24"/>
          <w:szCs w:val="24"/>
        </w:rPr>
        <w:t xml:space="preserve"> For PO3, the analysis shows similar results as PO1, with fuel costs projected to reduce by 1-6% (i.e. €26,000 to €238,600), while travel times costs and costs at ports would increase at the same rate as in PO1. This, for example, results in an increase of total travel costs ranging from about €17,000 for a 21,000 TEU ship travelling from Shanghai to North Europe (Antwerp, Rotterdam, Hamburg) and performing an intermediate stop in Egypt (Port Said) to near €201,000 if the intermediate stop is performed in Turkey (Mersin). Similar considerations apply to dry bulk ships and liquid bulk ships, as illustrated in Annex 4, showing that the risk of re-routing to reduce the amount of traffic that falls in scope of the initiative is low. </w:t>
      </w:r>
    </w:p>
    <w:p>
      <w:pPr>
        <w:pStyle w:val="Heading1"/>
        <w:rPr>
          <w:noProof/>
        </w:rPr>
      </w:pPr>
      <w:bookmarkStart w:id="329" w:name="_Toc49520303"/>
      <w:bookmarkStart w:id="330" w:name="_Toc57907307"/>
      <w:bookmarkStart w:id="331" w:name="_Toc59152643"/>
      <w:bookmarkStart w:id="332" w:name="_Toc63426157"/>
      <w:bookmarkStart w:id="333" w:name="_Toc63438503"/>
      <w:r>
        <w:rPr>
          <w:noProof/>
        </w:rPr>
        <w:t>How do the options compare?</w:t>
      </w:r>
      <w:bookmarkEnd w:id="329"/>
      <w:bookmarkEnd w:id="330"/>
      <w:bookmarkEnd w:id="331"/>
      <w:bookmarkEnd w:id="332"/>
      <w:bookmarkEnd w:id="333"/>
    </w:p>
    <w:p>
      <w:pPr>
        <w:pStyle w:val="Heading2"/>
        <w:rPr>
          <w:noProof/>
        </w:rPr>
      </w:pPr>
      <w:bookmarkStart w:id="334" w:name="_Toc57907309"/>
      <w:bookmarkStart w:id="335" w:name="_Toc59152644"/>
      <w:bookmarkStart w:id="336" w:name="_Toc63426158"/>
      <w:bookmarkStart w:id="337" w:name="_Ref63437345"/>
      <w:bookmarkStart w:id="338" w:name="_Ref63437804"/>
      <w:bookmarkStart w:id="339" w:name="_Toc63438504"/>
      <w:r>
        <w:rPr>
          <w:noProof/>
        </w:rPr>
        <w:t>Effectiveness</w:t>
      </w:r>
      <w:bookmarkEnd w:id="334"/>
      <w:bookmarkEnd w:id="335"/>
      <w:bookmarkEnd w:id="336"/>
      <w:bookmarkEnd w:id="337"/>
      <w:bookmarkEnd w:id="338"/>
      <w:bookmarkEnd w:id="339"/>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effectiveness of the options is examined against the policy objectives identified in Sections 4.1 and 4.2. However, as already indicated in Section 5.2.1, the three POs have been designed to address the key specific objectives </w:t>
      </w:r>
      <w:r>
        <w:rPr>
          <w:rFonts w:ascii="Times New Roman" w:hAnsi="Times New Roman" w:cs="Times New Roman"/>
          <w:i/>
          <w:noProof/>
          <w:sz w:val="24"/>
          <w:szCs w:val="24"/>
          <w:lang w:val="en-IE"/>
        </w:rPr>
        <w:t>“by design”</w:t>
      </w:r>
      <w:r>
        <w:rPr>
          <w:rFonts w:ascii="Times New Roman" w:hAnsi="Times New Roman" w:cs="Times New Roman"/>
          <w:noProof/>
          <w:sz w:val="24"/>
          <w:szCs w:val="24"/>
          <w:lang w:val="en-IE"/>
        </w:rPr>
        <w:t xml:space="preserve"> and to mostly differ on their approach to technology developments (SO2).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As the type of intervention in all retained POs is of a regulatory nature, they are all expected to produce the same results with regards to SO1 (predictability of the regulatory environment). While it could be argued that a prescriptive approach (PO1) provides the highest possible degree of predictability, the design of the goal-based approaches presented (PO2 and PO3) are expected to perform equally well in this respect. This is due to the fact that the proposed regulation will clearly identify the performance level to be met as well as indicate how this performance will be measured. Given the long lifetime of vessels (and the fuel’s distribution infrastructure), it is important that the framework sets a clear pathway and targets towards 2050 to provide a clear signal to allow the market to develop and mature.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SO3 (stimulation of production and price gap), SO4 (demand signal) and SO5 (carbon leakage) are equally addressed by all POs through the focus of the proposed intervention on demand-side requirements. This approach is designed to complement the already existing regulatory framework (in particular RED II and AFID). By boosting demand for certain quantities of RLF, all POs are expected to address the interdependency issue, which has been identified as an obstacle to the development of mature ecosystem for marine RLF.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Concerning the issue of price gap (SO3), all POs are expected to be equally effective in tackling it. In PO1, the regulator would give precise indications on the types of fuel to be used, which would minimise uncertainty for both demand and supply. This would result in a more rapid achievement of critical mass and quicker reduction of the price gap. However, PO1 is also the option that is more rigid and less easily adaptable to changing circumstances. Whenever technological advances or unexpected market developments require it, the regulator would need to modify the mandates and this would require time and difficult negotiations to account for past investments.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PO2 leaves total flexibility to the operators to decide on the most appropriate RLF options to meet the specified targets. It would therefore draw operators to the most cost-effective technologies for their individual situation, and those better reflecting their strategic planning. As this selection process matures, it is expected that the market will reduce the number of technologies further and reach on a longer term a more optimal result than in PO1. However, PO2 is also the scenario in which a greater convergence towards fewer technologies – those initially cheaper – is likely to develop and, therefore, its ability to reduce the price gap for some of the less mature technologies might be lower.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PO3 would combine the flexibility of the goal-based approach in PO2, with the advantages of the wider availability of technologies of PO1 that results from the incentive schemes, and would appear to be at least as effective as the other two options in reducing the price gap of RLF.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All POs will perform equally well in limiting the risk of carbon leakage (SO5). This is the result of the intervention’s focus on the demand for fuels. Indeed, given the large autonomy of ships and the ability to bunker outside the EU, any regulatory approach based solely on EU supply can easily be circumvented in the maritime sector. In the same manner, possible remaining risks of carbon leakage (as presented in 6.3.2) will affect all POs equally.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Given the nature of the main market barrier addressed by the initiative, all POs will have a positive effect on the development of new RLF technology for the maritime sector (SO2). However, their effectiveness in doing so, and in particular in allowing the introduction of new technologies (hence reducing the risk of technology lock-in), differ. While the share of RLF in the overall maritime fuel mix is the highest in PO2, it mainly results from a larger uptake of bio-fuels compared to other technologies considered (notably e-fuels, hydrogen and ammonia). This is explained by the fact that economic actors will react to the goal-based target by preferring the cheapest and most technologically mature way of achieving the goal. As PO1 implies a technology choice, it allows to better steer the type of technologies used, and hence, if selected, also to accelerate the development of new solutions.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the projections made in support of this initiative, PO1 is the one delivering the highest usage share of hydrogen-based fuels (e-fuels, hydrogen and ammonia) and electricity. This will however depend on the ability of the regulator to foresee and reflect the technology developments well into the future.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While in practice, PO3 is based on the same principles as PO2, it also includes a specific mechanism to reward overachievement, which not only provides flexibility to the economic actors, but also boosts the uptake of the most advanced technology, via a built-in multiplier for the use of zero-emission solutions. This is also reflected in the impacts of the POs on innovation (see 6.1.6). In summary, when it comes to technology development, PO1 and PO3 are performing better than PO2 as they are less prone to technology lock-in and are also stimulating the uptake of more advanced technology solutions (electricity or hydrogen-based fuels). In comparison to PO2, PO3 delivers ca. 5 percentage points more in fuel cell ships and 3 percentage points in electric ships. While the capacity of PO3 to foster technology development results directly from the design of the policy option itself (through the mechanism for overachievers), the capacity of PO1 depends on the agility of the regulator to reflect the technical progresses.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Table 19 summarises the analysis of impact of the three POs in terms of their effectiveness to address the SOs. </w:t>
      </w:r>
    </w:p>
    <w:p>
      <w:pPr>
        <w:pStyle w:val="Caption"/>
        <w:spacing w:after="120"/>
        <w:rPr>
          <w:rFonts w:ascii="Times New Roman" w:hAnsi="Times New Roman" w:cs="Times New Roman"/>
          <w:noProof/>
          <w:sz w:val="24"/>
          <w:szCs w:val="24"/>
          <w:lang w:val="en-IE"/>
        </w:rPr>
      </w:pPr>
      <w:r>
        <w:rPr>
          <w:noProof/>
        </w:rPr>
        <w:t xml:space="preserve">Table </w:t>
      </w:r>
      <w:r>
        <w:rPr>
          <w:noProof/>
        </w:rPr>
        <w:fldChar w:fldCharType="begin"/>
      </w:r>
      <w:r>
        <w:rPr>
          <w:noProof/>
        </w:rPr>
        <w:instrText xml:space="preserve"> SEQ Table \* ARABIC </w:instrText>
      </w:r>
      <w:r>
        <w:rPr>
          <w:noProof/>
        </w:rPr>
        <w:fldChar w:fldCharType="separate"/>
      </w:r>
      <w:r>
        <w:rPr>
          <w:noProof/>
        </w:rPr>
        <w:t>22</w:t>
      </w:r>
      <w:r>
        <w:rPr>
          <w:noProof/>
        </w:rPr>
        <w:fldChar w:fldCharType="end"/>
      </w:r>
      <w:r>
        <w:rPr>
          <w:noProof/>
        </w:rPr>
        <w:t xml:space="preserve"> Comparison of impact of policy options in terms of the specific objectives (relative to the baseline)</w:t>
      </w:r>
    </w:p>
    <w:tbl>
      <w:tblPr>
        <w:tblStyle w:val="TableGrid"/>
        <w:tblW w:w="5000" w:type="pct"/>
        <w:tblLook w:val="04A0" w:firstRow="1" w:lastRow="0" w:firstColumn="1" w:lastColumn="0" w:noHBand="0" w:noVBand="1"/>
      </w:tblPr>
      <w:tblGrid>
        <w:gridCol w:w="7163"/>
        <w:gridCol w:w="614"/>
        <w:gridCol w:w="614"/>
        <w:gridCol w:w="612"/>
      </w:tblGrid>
      <w:tr>
        <w:tc>
          <w:tcPr>
            <w:tcW w:w="3978" w:type="pct"/>
          </w:tcPr>
          <w:p>
            <w:pPr>
              <w:spacing w:after="120"/>
              <w:jc w:val="center"/>
              <w:rPr>
                <w:b/>
                <w:noProof/>
                <w:lang w:val="en-IE"/>
              </w:rPr>
            </w:pPr>
            <w:r>
              <w:rPr>
                <w:b/>
                <w:noProof/>
                <w:lang w:val="en-IE"/>
              </w:rPr>
              <w:t>Specific objectives / compared to baseline</w:t>
            </w:r>
          </w:p>
        </w:tc>
        <w:tc>
          <w:tcPr>
            <w:tcW w:w="341" w:type="pct"/>
          </w:tcPr>
          <w:p>
            <w:pPr>
              <w:spacing w:after="120"/>
              <w:jc w:val="center"/>
              <w:rPr>
                <w:b/>
                <w:noProof/>
                <w:lang w:val="en-IE"/>
              </w:rPr>
            </w:pPr>
            <w:r>
              <w:rPr>
                <w:b/>
                <w:noProof/>
                <w:lang w:val="en-IE"/>
              </w:rPr>
              <w:t>PO1</w:t>
            </w:r>
          </w:p>
        </w:tc>
        <w:tc>
          <w:tcPr>
            <w:tcW w:w="341" w:type="pct"/>
          </w:tcPr>
          <w:p>
            <w:pPr>
              <w:spacing w:after="120"/>
              <w:jc w:val="center"/>
              <w:rPr>
                <w:b/>
                <w:noProof/>
                <w:lang w:val="en-IE"/>
              </w:rPr>
            </w:pPr>
            <w:r>
              <w:rPr>
                <w:b/>
                <w:noProof/>
                <w:lang w:val="en-IE"/>
              </w:rPr>
              <w:t>PO2</w:t>
            </w:r>
          </w:p>
        </w:tc>
        <w:tc>
          <w:tcPr>
            <w:tcW w:w="341" w:type="pct"/>
          </w:tcPr>
          <w:p>
            <w:pPr>
              <w:spacing w:after="120"/>
              <w:jc w:val="center"/>
              <w:rPr>
                <w:b/>
                <w:noProof/>
                <w:lang w:val="en-IE"/>
              </w:rPr>
            </w:pPr>
            <w:r>
              <w:rPr>
                <w:b/>
                <w:noProof/>
                <w:lang w:val="en-IE"/>
              </w:rPr>
              <w:t>PO3</w:t>
            </w:r>
          </w:p>
        </w:tc>
      </w:tr>
      <w:tr>
        <w:tc>
          <w:tcPr>
            <w:tcW w:w="3978" w:type="pct"/>
          </w:tcPr>
          <w:p>
            <w:pPr>
              <w:spacing w:after="120"/>
              <w:jc w:val="both"/>
              <w:rPr>
                <w:noProof/>
                <w:lang w:val="en-IE"/>
              </w:rPr>
            </w:pPr>
            <w:r>
              <w:rPr>
                <w:noProof/>
                <w:lang w:val="en-IE"/>
              </w:rPr>
              <w:t>SO1: Enhance predictability through the setting of a clear regulatory environment concerning the use of alternative fuels in maritime transport</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r>
      <w:tr>
        <w:tc>
          <w:tcPr>
            <w:tcW w:w="3978" w:type="pct"/>
          </w:tcPr>
          <w:p>
            <w:pPr>
              <w:spacing w:after="120"/>
              <w:jc w:val="both"/>
              <w:rPr>
                <w:noProof/>
                <w:lang w:val="en-IE"/>
              </w:rPr>
            </w:pPr>
            <w:r>
              <w:rPr>
                <w:noProof/>
                <w:lang w:val="en-IE"/>
              </w:rPr>
              <w:t>SO2: Stimulate technology development</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r>
      <w:tr>
        <w:tc>
          <w:tcPr>
            <w:tcW w:w="3978" w:type="pct"/>
          </w:tcPr>
          <w:p>
            <w:pPr>
              <w:spacing w:after="120"/>
              <w:jc w:val="both"/>
              <w:rPr>
                <w:noProof/>
                <w:lang w:val="en-IE"/>
              </w:rPr>
            </w:pPr>
            <w:r>
              <w:rPr>
                <w:noProof/>
                <w:lang w:val="en-IE"/>
              </w:rPr>
              <w:t>SO3: Stimulate production on a larger scale of RLF with sufficient high technology readiness level (TRLs) and reduce the price gap with current fuels and technologies</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r>
      <w:tr>
        <w:tc>
          <w:tcPr>
            <w:tcW w:w="3978" w:type="pct"/>
          </w:tcPr>
          <w:p>
            <w:pPr>
              <w:spacing w:after="120"/>
              <w:jc w:val="both"/>
              <w:rPr>
                <w:noProof/>
                <w:lang w:val="en-IE"/>
              </w:rPr>
            </w:pPr>
            <w:r>
              <w:rPr>
                <w:noProof/>
                <w:lang w:val="en-IE"/>
              </w:rPr>
              <w:t>SO4: Create demand from ship operators to bunker alternative fuels with a sufficient high TRL or connect to the electric grid while at berth.</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r>
      <w:tr>
        <w:tc>
          <w:tcPr>
            <w:tcW w:w="3978" w:type="pct"/>
          </w:tcPr>
          <w:p>
            <w:pPr>
              <w:spacing w:after="120"/>
              <w:jc w:val="both"/>
              <w:rPr>
                <w:noProof/>
                <w:lang w:val="en-IE"/>
              </w:rPr>
            </w:pPr>
            <w:r>
              <w:rPr>
                <w:noProof/>
                <w:lang w:val="en-IE"/>
              </w:rPr>
              <w:t>SO5: Avoid carbon leakage</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r>
    </w:tbl>
    <w:p>
      <w:pPr>
        <w:spacing w:after="120"/>
        <w:jc w:val="both"/>
        <w:rPr>
          <w:rFonts w:ascii="Times New Roman" w:hAnsi="Times New Roman" w:cs="Times New Roman"/>
          <w:noProof/>
          <w:sz w:val="8"/>
          <w:szCs w:val="24"/>
          <w:lang w:val="en-IE"/>
        </w:rPr>
      </w:pPr>
    </w:p>
    <w:p>
      <w:pPr>
        <w:pStyle w:val="Heading2"/>
        <w:rPr>
          <w:noProof/>
        </w:rPr>
      </w:pPr>
      <w:bookmarkStart w:id="340" w:name="_Toc57907310"/>
      <w:bookmarkStart w:id="341" w:name="_Toc59152645"/>
      <w:bookmarkStart w:id="342" w:name="_Toc63426159"/>
      <w:bookmarkStart w:id="343" w:name="_Ref63437352"/>
      <w:bookmarkStart w:id="344" w:name="_Ref63437809"/>
      <w:bookmarkStart w:id="345" w:name="_Toc63438505"/>
      <w:r>
        <w:rPr>
          <w:noProof/>
        </w:rPr>
        <w:t>Efficiency</w:t>
      </w:r>
      <w:bookmarkEnd w:id="340"/>
      <w:bookmarkEnd w:id="341"/>
      <w:bookmarkEnd w:id="342"/>
      <w:bookmarkEnd w:id="343"/>
      <w:bookmarkEnd w:id="344"/>
      <w:bookmarkEnd w:id="345"/>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combined measures under the three POs have economic, social and environmental impacts. The net benefits for all three options is positive, with the highest net benefits shown by PO2 (€61.9bn) and PO3 (€55.0bn). </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23</w:t>
      </w:r>
      <w:r>
        <w:rPr>
          <w:noProof/>
        </w:rPr>
        <w:fldChar w:fldCharType="end"/>
      </w:r>
      <w:r>
        <w:rPr>
          <w:noProof/>
        </w:rPr>
        <w:t xml:space="preserve"> Costs and benefits of the policy options relative to the baseline over the full scope of the policy intervention (2021-2050), expressed as present value</w:t>
      </w:r>
    </w:p>
    <w:tbl>
      <w:tblPr>
        <w:tblW w:w="5000" w:type="pct"/>
        <w:tblLook w:val="04A0" w:firstRow="1" w:lastRow="0" w:firstColumn="1" w:lastColumn="0" w:noHBand="0" w:noVBand="1"/>
      </w:tblPr>
      <w:tblGrid>
        <w:gridCol w:w="4241"/>
        <w:gridCol w:w="1588"/>
        <w:gridCol w:w="1588"/>
        <w:gridCol w:w="1586"/>
      </w:tblGrid>
      <w:tr>
        <w:trPr>
          <w:trHeight w:val="618"/>
        </w:trPr>
        <w:tc>
          <w:tcPr>
            <w:tcW w:w="2355" w:type="pct"/>
            <w:tcBorders>
              <w:top w:val="single" w:sz="4" w:space="0" w:color="auto"/>
              <w:left w:val="single" w:sz="4" w:space="0" w:color="auto"/>
              <w:bottom w:val="single" w:sz="4" w:space="0" w:color="auto"/>
              <w:right w:val="single" w:sz="4" w:space="0" w:color="auto"/>
            </w:tcBorders>
            <w:shd w:val="clear" w:color="000000" w:fill="FFFFFF"/>
            <w:vAlign w:val="center"/>
            <w:hideMark/>
          </w:tcPr>
          <w:p>
            <w:pPr>
              <w:spacing w:after="0" w:line="240" w:lineRule="auto"/>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Costs and benefits - present value for 2021-2050 compared to Baseline (bil. €'2015)</w:t>
            </w:r>
          </w:p>
        </w:tc>
        <w:tc>
          <w:tcPr>
            <w:tcW w:w="882"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PO1</w:t>
            </w:r>
          </w:p>
        </w:tc>
        <w:tc>
          <w:tcPr>
            <w:tcW w:w="882"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PO2</w:t>
            </w:r>
          </w:p>
        </w:tc>
        <w:tc>
          <w:tcPr>
            <w:tcW w:w="881" w:type="pct"/>
            <w:tcBorders>
              <w:top w:val="single" w:sz="4" w:space="0" w:color="auto"/>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PO3</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vAlign w:val="center"/>
            <w:hideMark/>
          </w:tcPr>
          <w:p>
            <w:pPr>
              <w:spacing w:after="0" w:line="240" w:lineRule="auto"/>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Costs</w:t>
            </w:r>
          </w:p>
        </w:tc>
        <w:tc>
          <w:tcPr>
            <w:tcW w:w="88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 </w:t>
            </w:r>
          </w:p>
        </w:tc>
        <w:tc>
          <w:tcPr>
            <w:tcW w:w="882"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 </w:t>
            </w:r>
          </w:p>
        </w:tc>
        <w:tc>
          <w:tcPr>
            <w:tcW w:w="881" w:type="pct"/>
            <w:tcBorders>
              <w:top w:val="nil"/>
              <w:left w:val="nil"/>
              <w:bottom w:val="single" w:sz="4" w:space="0" w:color="auto"/>
              <w:right w:val="single" w:sz="4" w:space="0" w:color="auto"/>
            </w:tcBorders>
            <w:shd w:val="clear" w:color="000000" w:fill="FFFFFF"/>
            <w:noWrap/>
            <w:vAlign w:val="center"/>
            <w:hideMark/>
          </w:tcPr>
          <w:p>
            <w:pPr>
              <w:spacing w:after="0" w:line="240" w:lineRule="auto"/>
              <w:jc w:val="center"/>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 </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Capital costs</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32.6</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28.6</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31.5</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ind w:firstLineChars="200" w:firstLine="400"/>
              <w:rPr>
                <w:rFonts w:ascii="Times New Roman" w:eastAsia="Times New Roman" w:hAnsi="Times New Roman" w:cs="Times New Roman"/>
                <w:noProof/>
                <w:color w:val="000000"/>
                <w:sz w:val="20"/>
                <w:szCs w:val="20"/>
                <w:lang w:val="en-IE" w:eastAsia="en-IE"/>
              </w:rPr>
            </w:pPr>
            <w:r>
              <w:rPr>
                <w:rFonts w:ascii="Times New Roman" w:eastAsia="Times New Roman" w:hAnsi="Times New Roman" w:cs="Times New Roman"/>
                <w:noProof/>
                <w:color w:val="000000"/>
                <w:sz w:val="20"/>
                <w:szCs w:val="20"/>
                <w:lang w:val="en-IE" w:eastAsia="en-IE"/>
              </w:rPr>
              <w:t>of which for OPS on vessels</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2.5</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2.6</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2.5</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hideMark/>
          </w:tcPr>
          <w:p>
            <w:pPr>
              <w:spacing w:after="0" w:line="240" w:lineRule="auto"/>
              <w:ind w:firstLineChars="200" w:firstLine="400"/>
              <w:rPr>
                <w:rFonts w:ascii="Times New Roman" w:eastAsia="Times New Roman" w:hAnsi="Times New Roman" w:cs="Times New Roman"/>
                <w:noProof/>
                <w:color w:val="000000"/>
                <w:sz w:val="20"/>
                <w:szCs w:val="20"/>
                <w:lang w:val="en-IE" w:eastAsia="en-IE"/>
              </w:rPr>
            </w:pPr>
            <w:r>
              <w:rPr>
                <w:rFonts w:ascii="Times New Roman" w:eastAsia="Times New Roman" w:hAnsi="Times New Roman" w:cs="Times New Roman"/>
                <w:noProof/>
                <w:color w:val="000000"/>
                <w:sz w:val="20"/>
                <w:szCs w:val="20"/>
                <w:lang w:val="en-IE" w:eastAsia="en-IE"/>
              </w:rPr>
              <w:t>of which for ports</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5.7</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5.7</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5.7</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xml:space="preserve">Fuel costs </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69.1</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59.1</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63.9</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Operation costs</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-2.4</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-2.2</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-2.3</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vAlign w:val="center"/>
            <w:hideMark/>
          </w:tcPr>
          <w:p>
            <w:pPr>
              <w:spacing w:after="0" w:line="240" w:lineRule="auto"/>
              <w:ind w:firstLineChars="100" w:firstLine="200"/>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xml:space="preserve">Administrative costs of ship owners </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0.4</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0.4</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0.4</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color w:val="000000"/>
                <w:sz w:val="20"/>
                <w:szCs w:val="20"/>
                <w:lang w:val="en-IE" w:eastAsia="en-IE"/>
              </w:rPr>
            </w:pPr>
            <w:r>
              <w:rPr>
                <w:rFonts w:ascii="Times New Roman" w:eastAsia="Times New Roman" w:hAnsi="Times New Roman" w:cs="Times New Roman"/>
                <w:noProof/>
                <w:color w:val="000000"/>
                <w:sz w:val="20"/>
                <w:szCs w:val="20"/>
                <w:lang w:val="en-IE" w:eastAsia="en-IE"/>
              </w:rPr>
              <w:t xml:space="preserve">Administrative costs for port authorities </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0.0</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0.0</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0.0</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color w:val="000000"/>
                <w:sz w:val="20"/>
                <w:szCs w:val="20"/>
                <w:lang w:val="en-IE" w:eastAsia="en-IE"/>
              </w:rPr>
            </w:pPr>
            <w:r>
              <w:rPr>
                <w:rFonts w:ascii="Times New Roman" w:eastAsia="Times New Roman" w:hAnsi="Times New Roman" w:cs="Times New Roman"/>
                <w:noProof/>
                <w:color w:val="000000"/>
                <w:sz w:val="20"/>
                <w:szCs w:val="20"/>
                <w:lang w:val="en-IE" w:eastAsia="en-IE"/>
              </w:rPr>
              <w:t xml:space="preserve">Enforcement costs  </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0.1</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0.1</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0.1</w:t>
            </w:r>
          </w:p>
        </w:tc>
      </w:tr>
      <w:tr>
        <w:trPr>
          <w:trHeight w:val="215"/>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b/>
                <w:bCs/>
                <w:i/>
                <w:iCs/>
                <w:noProof/>
                <w:sz w:val="20"/>
                <w:szCs w:val="20"/>
                <w:lang w:val="en-IE" w:eastAsia="en-IE"/>
              </w:rPr>
            </w:pPr>
            <w:r>
              <w:rPr>
                <w:rFonts w:ascii="Times New Roman" w:eastAsia="Times New Roman" w:hAnsi="Times New Roman" w:cs="Times New Roman"/>
                <w:b/>
                <w:bCs/>
                <w:i/>
                <w:iCs/>
                <w:noProof/>
                <w:sz w:val="20"/>
                <w:szCs w:val="20"/>
                <w:lang w:val="en-IE" w:eastAsia="en-IE"/>
              </w:rPr>
              <w:t xml:space="preserve">Total costs </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99.8</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86.0</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93.6</w:t>
            </w:r>
          </w:p>
        </w:tc>
      </w:tr>
      <w:tr>
        <w:trPr>
          <w:trHeight w:val="48"/>
        </w:trPr>
        <w:tc>
          <w:tcPr>
            <w:tcW w:w="2355" w:type="pct"/>
            <w:tcBorders>
              <w:top w:val="nil"/>
              <w:left w:val="single" w:sz="4" w:space="0" w:color="auto"/>
              <w:bottom w:val="single" w:sz="4" w:space="0" w:color="auto"/>
              <w:right w:val="single" w:sz="4" w:space="0" w:color="auto"/>
            </w:tcBorders>
            <w:shd w:val="clear" w:color="auto" w:fill="1F497D" w:themeFill="text2"/>
            <w:noWrap/>
            <w:vAlign w:val="bottom"/>
            <w:hideMark/>
          </w:tcPr>
          <w:p>
            <w:pPr>
              <w:spacing w:after="0" w:line="240" w:lineRule="auto"/>
              <w:rPr>
                <w:rFonts w:ascii="Times New Roman" w:eastAsia="Times New Roman" w:hAnsi="Times New Roman" w:cs="Times New Roman"/>
                <w:b/>
                <w:bCs/>
                <w:i/>
                <w:iCs/>
                <w:noProof/>
                <w:sz w:val="20"/>
                <w:szCs w:val="20"/>
                <w:lang w:val="en-IE" w:eastAsia="en-IE"/>
              </w:rPr>
            </w:pPr>
            <w:r>
              <w:rPr>
                <w:rFonts w:ascii="Times New Roman" w:eastAsia="Times New Roman" w:hAnsi="Times New Roman" w:cs="Times New Roman"/>
                <w:b/>
                <w:bCs/>
                <w:i/>
                <w:iCs/>
                <w:noProof/>
                <w:sz w:val="20"/>
                <w:szCs w:val="20"/>
                <w:lang w:val="en-IE" w:eastAsia="en-IE"/>
              </w:rPr>
              <w:t> </w:t>
            </w:r>
          </w:p>
        </w:tc>
        <w:tc>
          <w:tcPr>
            <w:tcW w:w="882" w:type="pct"/>
            <w:tcBorders>
              <w:top w:val="nil"/>
              <w:left w:val="nil"/>
              <w:bottom w:val="single" w:sz="4" w:space="0" w:color="auto"/>
              <w:right w:val="single" w:sz="4" w:space="0" w:color="auto"/>
            </w:tcBorders>
            <w:shd w:val="clear" w:color="auto" w:fill="1F497D" w:themeFill="text2"/>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c>
          <w:tcPr>
            <w:tcW w:w="882" w:type="pct"/>
            <w:tcBorders>
              <w:top w:val="nil"/>
              <w:left w:val="nil"/>
              <w:bottom w:val="single" w:sz="4" w:space="0" w:color="auto"/>
              <w:right w:val="single" w:sz="4" w:space="0" w:color="auto"/>
            </w:tcBorders>
            <w:shd w:val="clear" w:color="auto" w:fill="1F497D" w:themeFill="text2"/>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c>
          <w:tcPr>
            <w:tcW w:w="881" w:type="pct"/>
            <w:tcBorders>
              <w:top w:val="nil"/>
              <w:left w:val="nil"/>
              <w:bottom w:val="single" w:sz="4" w:space="0" w:color="auto"/>
              <w:right w:val="single" w:sz="4" w:space="0" w:color="auto"/>
            </w:tcBorders>
            <w:shd w:val="clear" w:color="auto" w:fill="1F497D" w:themeFill="text2"/>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Benefits</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External costs savings of air pollution</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10.3</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9.4</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10.0</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ind w:firstLineChars="100" w:firstLine="200"/>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xml:space="preserve">External costs savings of GHG emissions </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135.9</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138.5</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138.6</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tcPr>
          <w:p>
            <w:pPr>
              <w:spacing w:after="0" w:line="240" w:lineRule="auto"/>
              <w:rPr>
                <w:rFonts w:ascii="Times New Roman" w:eastAsia="Times New Roman" w:hAnsi="Times New Roman" w:cs="Times New Roman"/>
                <w:noProof/>
                <w:sz w:val="20"/>
                <w:szCs w:val="20"/>
                <w:lang w:val="en-IE" w:eastAsia="en-IE"/>
              </w:rPr>
            </w:pPr>
            <w:r>
              <w:rPr>
                <w:rFonts w:ascii="Times New Roman" w:eastAsia="Times New Roman" w:hAnsi="Times New Roman" w:cs="Times New Roman"/>
                <w:b/>
                <w:i/>
                <w:noProof/>
                <w:sz w:val="20"/>
                <w:szCs w:val="20"/>
                <w:lang w:val="en-IE" w:eastAsia="en-IE"/>
              </w:rPr>
              <w:t>Tota</w:t>
            </w:r>
            <w:r>
              <w:rPr>
                <w:rFonts w:ascii="Times New Roman" w:eastAsia="Times New Roman" w:hAnsi="Times New Roman" w:cs="Times New Roman"/>
                <w:b/>
                <w:bCs/>
                <w:i/>
                <w:iCs/>
                <w:noProof/>
                <w:sz w:val="20"/>
                <w:szCs w:val="20"/>
                <w:lang w:val="en-IE" w:eastAsia="en-IE"/>
              </w:rPr>
              <w:t>l benefits</w:t>
            </w:r>
          </w:p>
        </w:tc>
        <w:tc>
          <w:tcPr>
            <w:tcW w:w="882" w:type="pct"/>
            <w:tcBorders>
              <w:top w:val="nil"/>
              <w:left w:val="nil"/>
              <w:bottom w:val="single" w:sz="4" w:space="0" w:color="auto"/>
              <w:right w:val="single" w:sz="4" w:space="0" w:color="auto"/>
            </w:tcBorders>
            <w:shd w:val="clear" w:color="000000" w:fill="FFFFFF"/>
            <w:noWrap/>
            <w:vAlign w:val="bottom"/>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146.2</w:t>
            </w:r>
          </w:p>
        </w:tc>
        <w:tc>
          <w:tcPr>
            <w:tcW w:w="882" w:type="pct"/>
            <w:tcBorders>
              <w:top w:val="nil"/>
              <w:left w:val="nil"/>
              <w:bottom w:val="single" w:sz="4" w:space="0" w:color="auto"/>
              <w:right w:val="single" w:sz="4" w:space="0" w:color="auto"/>
            </w:tcBorders>
            <w:shd w:val="clear" w:color="000000" w:fill="FFFFFF"/>
            <w:noWrap/>
            <w:vAlign w:val="bottom"/>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147.9</w:t>
            </w:r>
          </w:p>
        </w:tc>
        <w:tc>
          <w:tcPr>
            <w:tcW w:w="881" w:type="pct"/>
            <w:tcBorders>
              <w:top w:val="nil"/>
              <w:left w:val="nil"/>
              <w:bottom w:val="single" w:sz="4" w:space="0" w:color="auto"/>
              <w:right w:val="single" w:sz="4" w:space="0" w:color="auto"/>
            </w:tcBorders>
            <w:shd w:val="clear" w:color="000000" w:fill="FFFFFF"/>
            <w:noWrap/>
            <w:vAlign w:val="bottom"/>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148.6</w:t>
            </w:r>
          </w:p>
        </w:tc>
      </w:tr>
      <w:tr>
        <w:trPr>
          <w:trHeight w:val="48"/>
        </w:trPr>
        <w:tc>
          <w:tcPr>
            <w:tcW w:w="2355" w:type="pct"/>
            <w:tcBorders>
              <w:top w:val="nil"/>
              <w:left w:val="single" w:sz="4" w:space="0" w:color="auto"/>
              <w:bottom w:val="single" w:sz="4" w:space="0" w:color="auto"/>
              <w:right w:val="single" w:sz="4" w:space="0" w:color="auto"/>
            </w:tcBorders>
            <w:shd w:val="clear" w:color="auto" w:fill="1F497D" w:themeFill="text2"/>
            <w:noWrap/>
            <w:vAlign w:val="bottom"/>
            <w:hideMark/>
          </w:tcPr>
          <w:p>
            <w:pPr>
              <w:spacing w:after="0" w:line="240" w:lineRule="auto"/>
              <w:rPr>
                <w:rFonts w:ascii="Times New Roman" w:eastAsia="Times New Roman" w:hAnsi="Times New Roman" w:cs="Times New Roman"/>
                <w:b/>
                <w:bCs/>
                <w:i/>
                <w:iCs/>
                <w:noProof/>
                <w:sz w:val="20"/>
                <w:szCs w:val="20"/>
                <w:lang w:val="en-IE" w:eastAsia="en-IE"/>
              </w:rPr>
            </w:pPr>
            <w:r>
              <w:rPr>
                <w:rFonts w:ascii="Times New Roman" w:eastAsia="Times New Roman" w:hAnsi="Times New Roman" w:cs="Times New Roman"/>
                <w:b/>
                <w:bCs/>
                <w:i/>
                <w:iCs/>
                <w:noProof/>
                <w:sz w:val="20"/>
                <w:szCs w:val="20"/>
                <w:lang w:val="en-IE" w:eastAsia="en-IE"/>
              </w:rPr>
              <w:t> </w:t>
            </w:r>
          </w:p>
        </w:tc>
        <w:tc>
          <w:tcPr>
            <w:tcW w:w="882" w:type="pct"/>
            <w:tcBorders>
              <w:top w:val="nil"/>
              <w:left w:val="nil"/>
              <w:bottom w:val="single" w:sz="4" w:space="0" w:color="auto"/>
              <w:right w:val="single" w:sz="4" w:space="0" w:color="auto"/>
            </w:tcBorders>
            <w:shd w:val="clear" w:color="auto" w:fill="1F497D" w:themeFill="text2"/>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c>
          <w:tcPr>
            <w:tcW w:w="882" w:type="pct"/>
            <w:tcBorders>
              <w:top w:val="nil"/>
              <w:left w:val="nil"/>
              <w:bottom w:val="single" w:sz="4" w:space="0" w:color="auto"/>
              <w:right w:val="single" w:sz="4" w:space="0" w:color="auto"/>
            </w:tcBorders>
            <w:shd w:val="clear" w:color="auto" w:fill="1F497D" w:themeFill="text2"/>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c>
          <w:tcPr>
            <w:tcW w:w="881" w:type="pct"/>
            <w:tcBorders>
              <w:top w:val="nil"/>
              <w:left w:val="nil"/>
              <w:bottom w:val="single" w:sz="4" w:space="0" w:color="auto"/>
              <w:right w:val="single" w:sz="4" w:space="0" w:color="auto"/>
            </w:tcBorders>
            <w:shd w:val="clear" w:color="auto" w:fill="1F497D" w:themeFill="text2"/>
            <w:noWrap/>
            <w:vAlign w:val="bottom"/>
            <w:hideMark/>
          </w:tcPr>
          <w:p>
            <w:pPr>
              <w:spacing w:after="0" w:line="240" w:lineRule="auto"/>
              <w:jc w:val="center"/>
              <w:rPr>
                <w:rFonts w:ascii="Times New Roman" w:eastAsia="Times New Roman" w:hAnsi="Times New Roman" w:cs="Times New Roman"/>
                <w:noProof/>
                <w:sz w:val="20"/>
                <w:szCs w:val="20"/>
                <w:lang w:val="en-IE" w:eastAsia="en-IE"/>
              </w:rPr>
            </w:pPr>
            <w:r>
              <w:rPr>
                <w:rFonts w:ascii="Times New Roman" w:eastAsia="Times New Roman" w:hAnsi="Times New Roman" w:cs="Times New Roman"/>
                <w:noProof/>
                <w:sz w:val="20"/>
                <w:szCs w:val="20"/>
                <w:lang w:val="en-IE" w:eastAsia="en-IE"/>
              </w:rPr>
              <w:t> </w:t>
            </w:r>
          </w:p>
        </w:tc>
      </w:tr>
      <w:tr>
        <w:trPr>
          <w:trHeight w:val="206"/>
        </w:trPr>
        <w:tc>
          <w:tcPr>
            <w:tcW w:w="2355" w:type="pct"/>
            <w:tcBorders>
              <w:top w:val="nil"/>
              <w:left w:val="single" w:sz="4" w:space="0" w:color="auto"/>
              <w:bottom w:val="single" w:sz="4" w:space="0" w:color="auto"/>
              <w:right w:val="single" w:sz="4" w:space="0" w:color="auto"/>
            </w:tcBorders>
            <w:shd w:val="clear" w:color="000000" w:fill="FFFFFF"/>
            <w:noWrap/>
            <w:vAlign w:val="bottom"/>
            <w:hideMark/>
          </w:tcPr>
          <w:p>
            <w:pPr>
              <w:spacing w:after="0" w:line="240" w:lineRule="auto"/>
              <w:rPr>
                <w:rFonts w:ascii="Times New Roman" w:eastAsia="Times New Roman" w:hAnsi="Times New Roman" w:cs="Times New Roman"/>
                <w:b/>
                <w:bCs/>
                <w:noProof/>
                <w:sz w:val="20"/>
                <w:szCs w:val="20"/>
                <w:lang w:val="en-IE" w:eastAsia="en-IE"/>
              </w:rPr>
            </w:pPr>
            <w:r>
              <w:rPr>
                <w:rFonts w:ascii="Times New Roman" w:eastAsia="Times New Roman" w:hAnsi="Times New Roman" w:cs="Times New Roman"/>
                <w:b/>
                <w:bCs/>
                <w:noProof/>
                <w:sz w:val="20"/>
                <w:szCs w:val="20"/>
                <w:lang w:val="en-IE" w:eastAsia="en-IE"/>
              </w:rPr>
              <w:t>Net benefits</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46.4</w:t>
            </w:r>
          </w:p>
        </w:tc>
        <w:tc>
          <w:tcPr>
            <w:tcW w:w="882"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61.9</w:t>
            </w:r>
          </w:p>
        </w:tc>
        <w:tc>
          <w:tcPr>
            <w:tcW w:w="881" w:type="pct"/>
            <w:tcBorders>
              <w:top w:val="nil"/>
              <w:left w:val="nil"/>
              <w:bottom w:val="single" w:sz="4" w:space="0" w:color="auto"/>
              <w:right w:val="single" w:sz="4" w:space="0" w:color="auto"/>
            </w:tcBorders>
            <w:shd w:val="clear" w:color="000000" w:fill="FFFFFF"/>
            <w:noWrap/>
            <w:vAlign w:val="bottom"/>
            <w:hideMark/>
          </w:tcPr>
          <w:p>
            <w:pPr>
              <w:spacing w:after="0" w:line="240" w:lineRule="auto"/>
              <w:jc w:val="center"/>
              <w:rPr>
                <w:rFonts w:ascii="Times New Roman" w:eastAsia="Times New Roman" w:hAnsi="Times New Roman" w:cs="Times New Roman"/>
                <w:b/>
                <w:noProof/>
                <w:sz w:val="20"/>
                <w:szCs w:val="20"/>
                <w:lang w:val="en-IE" w:eastAsia="en-IE"/>
              </w:rPr>
            </w:pPr>
            <w:r>
              <w:rPr>
                <w:rFonts w:ascii="Times New Roman" w:eastAsia="Times New Roman" w:hAnsi="Times New Roman" w:cs="Times New Roman"/>
                <w:b/>
                <w:noProof/>
                <w:sz w:val="20"/>
                <w:szCs w:val="20"/>
                <w:lang w:val="en-IE" w:eastAsia="en-IE"/>
              </w:rPr>
              <w:t>55.0</w:t>
            </w:r>
          </w:p>
        </w:tc>
      </w:tr>
    </w:tbl>
    <w:p>
      <w:pPr>
        <w:pStyle w:val="bronvermelding"/>
        <w:rPr>
          <w:rFonts w:eastAsia="Arial"/>
          <w:noProof/>
        </w:rPr>
      </w:pPr>
      <w:r>
        <w:rPr>
          <w:rFonts w:eastAsia="Arial"/>
          <w:noProof/>
        </w:rPr>
        <w:t xml:space="preserve">Source: PRIMES-TREMOVE, E3Modelling and Ecorys / CE Delft forthcoming </w:t>
      </w:r>
    </w:p>
    <w:p>
      <w:pPr>
        <w:pStyle w:val="DefaultText"/>
        <w:rPr>
          <w:noProof/>
        </w:rPr>
      </w:pPr>
    </w:p>
    <w:p>
      <w:pPr>
        <w:spacing w:after="120"/>
        <w:jc w:val="both"/>
        <w:rPr>
          <w:rFonts w:ascii="Times New Roman" w:hAnsi="Times New Roman" w:cs="Times New Roman"/>
          <w:noProof/>
          <w:sz w:val="24"/>
          <w:szCs w:val="24"/>
          <w:lang w:val="en-IE"/>
        </w:rPr>
      </w:pPr>
      <w:r>
        <w:rPr>
          <w:rFonts w:ascii="Times New Roman" w:hAnsi="Times New Roman"/>
          <w:noProof/>
          <w:sz w:val="24"/>
          <w:lang w:val="en-IE"/>
        </w:rPr>
        <w:t xml:space="preserve">It is important to keep in mind that these calculations are made on the basis of current </w:t>
      </w:r>
      <w:r>
        <w:rPr>
          <w:rFonts w:ascii="Times New Roman" w:hAnsi="Times New Roman" w:cs="Times New Roman"/>
          <w:noProof/>
          <w:sz w:val="24"/>
          <w:szCs w:val="24"/>
          <w:lang w:val="en-IE"/>
        </w:rPr>
        <w:t xml:space="preserve">knowledge related to the possible evolution of technology costs and feedstock costs. As explained in section 6.1.2, the costs may turn out to be somewhat different if the evolution of the technology costs and feedstock costs proves to be different.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Benefits are very similar across the three POs as they have been designed to provide comparable emissions reductions over time, in line with the objectives of the CTP. As a result, the impact on capital costs and fuel costs are the most important cost elements where the three POs differ. As explained in Section 6.1.1, these differences result from the variation in the fuel mix among the three POs. PO2 remains the least expensive option as it does not contain any additional “constraint” for the operators than meeting the GHG intensity target. Operators are assumed to make a rationale decision and focus on the cheapest and most readily available options, i.e. biofuels. In both PO1 and PO3, the introduction of specific mandates for more advanced fuels (PO1) or the mechanism for overachievers (PO3) result in a more diverse fuel mix and a higher penetration of the electricity and hydrogen-based fuels, that are more expensive but potentially more performant technology solutions.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Because it relies on a technology choice by the regulator, PO1 would be the most sensitive to possible mistakes in identifying the potential of certain technologies. Having to respect the legal requirements on the fuel mix, market operators would not have the possibility to quickly adapt their fuel choices to economic and technological developments, but would have to wait for modifications in the regulatory framework to take into account any change in the optimal adjustment path.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On the contrary, PO2 leaves full freedom to operators to meet the goal with fuels and technologies of their choice. This is likely to translate in operators always opting for the least cost solution, but also, possibly, taking lower risk in experimenting with other technologies. This could make the fuel mix more prone to technology lock-in and vulnerable to price fluctuations, as the amount of fuel alternatives would be more limited than in the other scenarios.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PO3 would provide operators with an equal degree of flexibility as PO2, but would offer additional incentives to invest in more advanced solutions. As a result, a broader range of technologies is likely to be tested in PO3 – and potentially rolled out if successful – than in the other two options. For this reason, PO3 is expected to best meet the objectives of the proposed intervention.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conclusion, PO3 would be the most robust policy option to unexpected developments and possible wrong predictions on the side of both maritime operators and the regulator. It would offer significant net benefits with respect to PO1 not only on the basis of current projections, but also in possible alternative scenarios. PO3 would also be better suited than PO2 in preparing the sector for different technological</w:t>
      </w:r>
      <w:r>
        <w:rPr>
          <w:rFonts w:ascii="Times New Roman" w:hAnsi="Times New Roman"/>
          <w:noProof/>
          <w:sz w:val="24"/>
          <w:lang w:val="en-IE"/>
        </w:rPr>
        <w:t xml:space="preserve"> developments. </w:t>
      </w:r>
    </w:p>
    <w:p>
      <w:pPr>
        <w:spacing w:after="120"/>
        <w:jc w:val="both"/>
        <w:rPr>
          <w:noProof/>
        </w:rPr>
      </w:pPr>
      <w:r>
        <w:rPr>
          <w:rFonts w:ascii="Times New Roman" w:hAnsi="Times New Roman"/>
          <w:noProof/>
          <w:sz w:val="24"/>
          <w:lang w:val="en-IE"/>
        </w:rPr>
        <w:t>For this reason, PO3 appears at least as efficient as PO2 in meeting the objectives despite slightly lower net benefits quantified on the basis of current projections. These considerations are also well reflected in the stakeholders’ views (see Section 7.5).</w:t>
      </w:r>
    </w:p>
    <w:p>
      <w:pPr>
        <w:pStyle w:val="Heading2"/>
        <w:rPr>
          <w:noProof/>
        </w:rPr>
      </w:pPr>
      <w:bookmarkStart w:id="346" w:name="_Toc57907311"/>
      <w:bookmarkStart w:id="347" w:name="_Toc59152646"/>
      <w:bookmarkStart w:id="348" w:name="_Toc63426160"/>
      <w:bookmarkStart w:id="349" w:name="_Toc63438506"/>
      <w:r>
        <w:rPr>
          <w:noProof/>
        </w:rPr>
        <w:t>Coherence</w:t>
      </w:r>
      <w:bookmarkEnd w:id="346"/>
      <w:bookmarkEnd w:id="347"/>
      <w:bookmarkEnd w:id="348"/>
      <w:bookmarkEnd w:id="349"/>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general, there are no specific issues regarding internal coherence, inconsistencies or gaps among the POs, which were designed to ensure that all drivers are addressed. This is ensured by the general policy approach described in Section 5.2.15.2.1.</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All options are coherent with the key EU policy objectives, in particular the environmental objective of the Union to become a climate neutral economy by 2050 and other elements presented as part of the ‘Fit for 55’ package. The POs build upon the directions outlined in the EGD, as regards ramping-up the production and deployment of sustainable alternative transport fuels, accelerating the deployment of zero-and low-emission vehicles and vessels, and regulating access of the most polluting ships to EU ports as well as obliging docked ships to use shore-side electricity.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As explained in Section 1.5, the level of ambition proposed in this initiative is fully coherent with the </w:t>
      </w:r>
      <w:r>
        <w:rPr>
          <w:rFonts w:ascii="Times New Roman" w:hAnsi="Times New Roman" w:cs="Times New Roman"/>
          <w:noProof/>
          <w:sz w:val="24"/>
          <w:szCs w:val="24"/>
        </w:rPr>
        <w:t>common economic assessment underpinning the 2030 Climate Target Plan and the Sustainable and Smart Mobility Strategy</w:t>
      </w:r>
      <w:r>
        <w:rPr>
          <w:rFonts w:ascii="Times New Roman" w:hAnsi="Times New Roman" w:cs="Times New Roman"/>
          <w:noProof/>
          <w:sz w:val="24"/>
          <w:szCs w:val="24"/>
          <w:lang w:val="en-IE"/>
        </w:rPr>
        <w:t xml:space="preserve"> and is also consistent with the conclusions drawn in the 2050 Long Term Strategy (Clean Planet for All). The objective of the proposed intervention is based on the recognition of the major potential of RLF in decarbonising maritime transport and the need to significantly improve their penetration in the maritime fuel mix, for the sector to appropriately contribute to the EU climate objectives.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this context, the proposed POs are designed as an integral part of the overall “basket of measures” to address maritime emissions (see Section 1.2). More precisely, the proposed intervention is expected to specifically address the technology barrier related to RLF uptake and, by doing so, make available a wider and cheaper range of abatement options. As a result, a cap-and-trade mechanism, such as the ETS, would be able to achieve its target – other things equal – at a lower price of carbon and lower cost for society. Conversely, carbon pricing would narrow the price gap between fossil fuels and RLF and support progress on alternative fuels technologies. Even though, in all analysed POs, the penetration rate of RLF is expected to become significant only after 2035 (reaching around 30% of the overall fuel mix in 2040), rapid policy intervention is necessary to address the long lead times related to RLF deployment and to reflect the long-lived nature of the vessels and, generally, the fuel infrastructure. As regards the coherence with other EU policies on RLF, all POs have been designed to complement the existing framework (in particular RED II concerning fuel supply and AFID concerning the deployment of the distribution infrastructure) and fill a specific gap concerning the lack of demand-side push on the uptake of marine RLF. Sustainability and eligibility criteria of RLF and the corresponding certification requirements will be based on the RED II provisions. While coherence and consistency with AFID is guaranteed with all POs, PO1 may facilitate the identification of the need to deploy new infrastructure for a given technology (as the number of technology options is limited and a technology choice is made ex-ante) through AFID. However, in all options, the highest share of RLF is expected to be compatible with existing infrastructure.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proposed POs are also fully consistent with the EU MRV framework and have been designed to build as much as possible on the existing monitoring, reporting and verification requirements and systems in order to facilitate compliance by operators as well as compliance checks by the public authorities.</w:t>
      </w:r>
    </w:p>
    <w:p>
      <w:pPr>
        <w:pStyle w:val="Heading2"/>
        <w:rPr>
          <w:noProof/>
        </w:rPr>
      </w:pPr>
      <w:bookmarkStart w:id="350" w:name="_Toc57907312"/>
      <w:bookmarkStart w:id="351" w:name="_Toc59152647"/>
      <w:bookmarkStart w:id="352" w:name="_Toc63426161"/>
      <w:bookmarkStart w:id="353" w:name="_Toc63438507"/>
      <w:r>
        <w:rPr>
          <w:noProof/>
        </w:rPr>
        <w:t>Proportionality</w:t>
      </w:r>
      <w:bookmarkEnd w:id="350"/>
      <w:r>
        <w:rPr>
          <w:noProof/>
        </w:rPr>
        <w:t xml:space="preserve"> and subsidiarity</w:t>
      </w:r>
      <w:bookmarkEnd w:id="351"/>
      <w:bookmarkEnd w:id="352"/>
      <w:bookmarkEnd w:id="353"/>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None of the options goes beyond what is necessary to achieve the objectives. The proposed intervention ensures the minimum uptake of RLF in the maritime sector necessary for delivering the EU climate ambition. To do so, the initiative addresses the technology barriers currently hampering the deployment of RLF in the maritime sector, which is an essential component of the overall approach to shipping emissions. The proposed measures are designed to boost the uptake of RLF in the EU, which is </w:t>
      </w:r>
      <w:r>
        <w:rPr>
          <w:rFonts w:ascii="Times New Roman" w:hAnsi="Times New Roman" w:cs="Times New Roman"/>
          <w:noProof/>
          <w:sz w:val="24"/>
          <w:szCs w:val="24"/>
        </w:rPr>
        <w:t xml:space="preserve">unlikely to be realised by the sector without a specific regulatory push (as seen from the limited uptake and existing plans and also confirmed by answers in the OPC as referenced in Section 2.1). </w:t>
      </w:r>
      <w:r>
        <w:rPr>
          <w:rFonts w:ascii="Times New Roman" w:hAnsi="Times New Roman" w:cs="Times New Roman"/>
          <w:noProof/>
          <w:sz w:val="24"/>
          <w:szCs w:val="24"/>
          <w:lang w:val="en-IE"/>
        </w:rPr>
        <w:t xml:space="preserve">The POs are all expected to provide a stable and predictable regulatory framework, which would unlock and stimulate investments to develop the necessary fuel ecosystem (predictable level of demand, increase production and distribution of marine RLF, etc.).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options are designed not to impose any disproportionate impacts on the shipping operators, notably by setting targets that imply a gradual introduction of RLF in the maritime fuel mix, which is increased over time (from around 3% in 2025 to more than 85% in 2050). This approach is expected to provide sufficient time for the market to adjust: for operators to plan the shift towards higher levels of RLFs and for the suppliers to ramp-up production and provide appropriate levels of RLF to meet upcoming demand. In this context, it is important to note that while the initiative will not require that the RLF are bunkered in the EU (for the reasons of carbon leakage explained above), the target levels have been set in such a way that they can be answered, if necessary, by sufficient level of such fuels produced in the EU. Also, concerning the particular case of emissions at berth, the specific requirements for the use of OPS (or equally performant alternative such as batteries) are foreseen to be phased-in with a sufficient lead-time and first mandated to only the most polluting ships in ports, i.e. containerships, passenger ships and ro-pax ships, to avoid imposing disproportionate impacts to the entire fleet and the ports.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long time horizon included in each PO (up to 2050) is also an important element allowing proportionality for the sector. Given the long lead times related to RLF deployment as well as the long-lived nature of the concerned assets (vessels and infrastructure), this long time perspective is an important aspect of the proposed intervention. It is also critical to provide the highest degree of predictability to all market operators, and hence facilitate planning and investments.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terms of technology developments, PO2 and PO3 are expected to provide more flexibility for operators to comply compared with PO1, as it allows them to make their own technology choice to meet the given standard. By introducing a mechanism on over-achievement, PO3 also provides a greater incentives for the best performers. Given the diversity of the maritime sector, an ex-ante technology choice as in PO1 may create sub-optimal situations, in which the type of selected fuels are not the most economically or environmentally efficient choice for specific operators.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Overall, emissions reductions produced by each PO significantly outweigh the costs of the measure imposed on the sector. They also guarantee that the sector adequately contributes to the overall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emissions targets set for the entire European economy.</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Given then international nature of maritime transport, the proposed intervention at EU level is also expected to deliver the highest benefits compared to regional or national requirements, which would trigger the development of technical solutions that may not necessarily be compatible among each other. EU action is also justified by the fact that the nature and scope of the identified problems is the same across all EU Member States. In the absence of specific provisions on RLF at global level (IMO), this initiative is also expected to provide substantial input to such debate, expected to start in the second half of 2021.</w:t>
      </w:r>
    </w:p>
    <w:p>
      <w:pPr>
        <w:pStyle w:val="Heading2"/>
        <w:rPr>
          <w:noProof/>
        </w:rPr>
      </w:pPr>
      <w:bookmarkStart w:id="354" w:name="_Toc59152648"/>
      <w:bookmarkStart w:id="355" w:name="_Toc63426162"/>
      <w:bookmarkStart w:id="356" w:name="_Ref63436937"/>
      <w:bookmarkStart w:id="357" w:name="_Toc63438508"/>
      <w:r>
        <w:rPr>
          <w:noProof/>
        </w:rPr>
        <w:t>Stakeholder’s views on the options</w:t>
      </w:r>
      <w:bookmarkEnd w:id="354"/>
      <w:bookmarkEnd w:id="355"/>
      <w:bookmarkEnd w:id="356"/>
      <w:bookmarkEnd w:id="357"/>
      <w:r>
        <w:rPr>
          <w:noProof/>
        </w:rPr>
        <w:t xml:space="preserve">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87% (118/136) of the OPC respondents finds it either relevant or very relevant to complement existing supply-side policy with demand-side policy to promote the uptake of RLF in maritime transport. Only 2 % (3/136) find it less relevant or not relevant at all.</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Similarly to the feedback received on the inception impact assessment, respondents to the OPC voiced a clear preference for goal-based approach to regulate ships during </w:t>
      </w:r>
      <w:r>
        <w:rPr>
          <w:rFonts w:ascii="Times New Roman" w:hAnsi="Times New Roman" w:cs="Times New Roman"/>
          <w:noProof/>
          <w:sz w:val="24"/>
          <w:szCs w:val="24"/>
          <w:u w:val="single"/>
          <w:lang w:val="en-IE"/>
        </w:rPr>
        <w:t>navigation</w:t>
      </w:r>
      <w:r>
        <w:rPr>
          <w:rFonts w:ascii="Times New Roman" w:hAnsi="Times New Roman" w:cs="Times New Roman"/>
          <w:noProof/>
          <w:sz w:val="24"/>
          <w:szCs w:val="24"/>
          <w:lang w:val="en-IE"/>
        </w:rPr>
        <w:t xml:space="preserve"> (53% (71/136))</w:t>
      </w:r>
      <w:r>
        <w:rPr>
          <w:rStyle w:val="FootnoteReference"/>
          <w:rFonts w:ascii="Times New Roman" w:hAnsi="Times New Roman" w:cs="Times New Roman"/>
          <w:noProof/>
          <w:sz w:val="24"/>
          <w:szCs w:val="24"/>
          <w:lang w:val="en-IE"/>
        </w:rPr>
        <w:footnoteReference w:id="133"/>
      </w:r>
      <w:r>
        <w:rPr>
          <w:rFonts w:ascii="Times New Roman" w:hAnsi="Times New Roman" w:cs="Times New Roman"/>
          <w:noProof/>
          <w:sz w:val="24"/>
          <w:szCs w:val="24"/>
          <w:lang w:val="en-IE"/>
        </w:rPr>
        <w:t>. All stakeholder groups preferred a goal-based approach. However, during the interviews and the roundtable revealed diverging views on what this goal-based requirement should be. Stakeholders in ship owning and ship management and NGOs preferred a broader approach including also energy efficiency criteria, i.e. the amount of fuel or energy used per transport work irrespective of its GHG footprint. Most other stakeholder groups argued for a goal-based requirement of the fuel only.</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For ships at </w:t>
      </w:r>
      <w:r>
        <w:rPr>
          <w:rFonts w:ascii="Times New Roman" w:hAnsi="Times New Roman" w:cs="Times New Roman"/>
          <w:noProof/>
          <w:sz w:val="24"/>
          <w:szCs w:val="24"/>
          <w:u w:val="single"/>
          <w:lang w:val="en-IE"/>
        </w:rPr>
        <w:t>berth</w:t>
      </w:r>
      <w:r>
        <w:rPr>
          <w:rFonts w:ascii="Times New Roman" w:hAnsi="Times New Roman" w:cs="Times New Roman"/>
          <w:noProof/>
          <w:sz w:val="24"/>
          <w:szCs w:val="24"/>
          <w:lang w:val="en-IE"/>
        </w:rPr>
        <w:t>, most stakeholder groups also prefer a goal-based approach. Even though the situation is more balanced with the prescriptive approach concerning the regulation of ships at berth, the goal-based approach is also the one which received the largest share of support (42% (57/136))</w:t>
      </w:r>
      <w:r>
        <w:rPr>
          <w:rStyle w:val="FootnoteReference"/>
          <w:rFonts w:ascii="Times New Roman" w:hAnsi="Times New Roman" w:cs="Times New Roman"/>
          <w:noProof/>
          <w:sz w:val="24"/>
          <w:szCs w:val="24"/>
          <w:lang w:val="en-IE"/>
        </w:rPr>
        <w:footnoteReference w:id="134"/>
      </w:r>
      <w:r>
        <w:rPr>
          <w:rFonts w:ascii="Times New Roman" w:hAnsi="Times New Roman" w:cs="Times New Roman"/>
          <w:noProof/>
          <w:sz w:val="24"/>
          <w:szCs w:val="24"/>
          <w:lang w:val="en-IE"/>
        </w:rPr>
        <w:t xml:space="preserve">. However, academia, R&amp;I stakeholders slightly prefer ‘requirements on the share of sustainable alternative fuels’. Representatives of port management and administration as well as port terminal operators or other port service providers are indifferent between the two.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Another closely related requirement for the policy voiced by most stakeholders is technology neutrality. Multiple stakeholders, including NGOs and technology suppliers explicitly indicated that prescriptive measures for a certain technology would be suboptimal, because of the high risk of technology lock-in and stranded assets.</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On this aspect of the stakeholders’ views vis-à-vis the overall policy approach, PO2 and PO3 would both be superior to PO1. The PO3 mechanism to reward overachievement addresses better the flexibility needs of the economic actors while boosting the uptake of the most advanced technology and, consequently reducing the risk of technology lock-in. Annex 2 provides further information on the stakeholder consultation.</w:t>
      </w:r>
    </w:p>
    <w:p>
      <w:pPr>
        <w:pStyle w:val="Heading2"/>
        <w:rPr>
          <w:noProof/>
        </w:rPr>
      </w:pPr>
      <w:bookmarkStart w:id="358" w:name="_Toc57907313"/>
      <w:bookmarkStart w:id="359" w:name="_Toc59152649"/>
      <w:bookmarkStart w:id="360" w:name="_Toc63426163"/>
      <w:bookmarkStart w:id="361" w:name="_Ref63437358"/>
      <w:bookmarkStart w:id="362" w:name="_Ref63437818"/>
      <w:bookmarkStart w:id="363" w:name="_Toc63438509"/>
      <w:r>
        <w:rPr>
          <w:noProof/>
        </w:rPr>
        <w:t>Summary on the comparison of options</w:t>
      </w:r>
      <w:bookmarkEnd w:id="358"/>
      <w:bookmarkEnd w:id="359"/>
      <w:bookmarkEnd w:id="360"/>
      <w:bookmarkEnd w:id="361"/>
      <w:bookmarkEnd w:id="362"/>
      <w:bookmarkEnd w:id="363"/>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All POs are comparable in meeting the effectiveness criteria, even though PO2 is less suitable for tackling the need of technology development. Also while PO1 may be effective on this issue, it will require the regulatory framework to be sufficiently flexible to reflect technology development in the list of selected technology options. Concerning effectiveness, PO3 ranks first followed by PO1 and then PO2.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As regards efficiency, all POs are also producing very similar results. Both PO2 and PO3 are providing greater flexibility to the operators to choose technology to meet the given target. However, in the lack of any mechanism to incentivise the uptake of more advanced technology options, PO2 is expected to foster first the most cost-efficient options and hence deliver the best cost-benefit ratio. Indeed, as all POs have been designed to provide comparable emissions reductions over time, in line with the objectives of the CTP, the diversity of the fuel mix is what will influence most the overall cost of the initiative. As PO2 focusses mainly on the cheapest solutions (64.6% of the fuel mix is delivered by biofuels in liquid or gaseous form), it is the one delivering the best cost-benefit ratio. This is however done “at the expense” of a greater stimulation of most advanced technologies (SO2) and a more divers fuel mix. In terms of cost-benefit ration, PO2  is followed by PO3 and then PO1.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 terms of coherence, all options are perfectly coherent with the overall policy objectives of the Green Deal and with the other measures developed to address ship emission. The consistency with infrastructure policy (in particular AFID) may be facilitated by PO1 as it implies a clear technology choice, which allows to better plan the resulting infrastructure needs. However, PO2 and PO3 remain highly performant, considering that, as indicated in Section 6.1.1, around three quarters of the RLF expected to be deployed under these POs may not require specific infrastructure (bio- and e-fuels, bio- and e-gas can be considered as drop-in fuels in this respect).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proportionality is also guaranteed in all POs. The prescriptive approach implied by PO1 may not be the most optimal, and turns to be also the most costly one. Both PO2 and PO3 provides the highest degree of flexibility for the sector to make the most appropriate choices to comply with the proposed targets and therefore perform similarly in terms of proportionality. The introduction of the mechanism for over-achievers in PO3 requires slightly higher administrative costs for the public authorities, but this is considered justified in terms of the incentives it provides on the uptake of most advanced technologies (hence addressing SO2). While the use of this mechanism may come with a limited additional burden for the operators, it remains a </w:t>
      </w:r>
      <w:r>
        <w:rPr>
          <w:rFonts w:ascii="Times New Roman" w:hAnsi="Times New Roman" w:cs="Times New Roman"/>
          <w:i/>
          <w:noProof/>
          <w:sz w:val="24"/>
          <w:szCs w:val="24"/>
          <w:lang w:val="en-IE"/>
        </w:rPr>
        <w:t>voluntary</w:t>
      </w:r>
      <w:r>
        <w:rPr>
          <w:rFonts w:ascii="Times New Roman" w:hAnsi="Times New Roman" w:cs="Times New Roman"/>
          <w:noProof/>
          <w:sz w:val="24"/>
          <w:szCs w:val="24"/>
          <w:lang w:val="en-IE"/>
        </w:rPr>
        <w:t xml:space="preserve"> scheme and its use is likely to be subject on an individual assessment by the concerned operators.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_Ref63434357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24</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summarises the performance of the three POs on each assessment criteria compared to the baseline. It also provides an overview of the stakeholder preferences. </w:t>
      </w:r>
    </w:p>
    <w:p>
      <w:pPr>
        <w:pStyle w:val="Caption"/>
        <w:rPr>
          <w:rFonts w:ascii="Times New Roman" w:hAnsi="Times New Roman" w:cs="Times New Roman"/>
          <w:noProof/>
          <w:sz w:val="24"/>
          <w:szCs w:val="24"/>
          <w:lang w:val="en-IE"/>
        </w:rPr>
      </w:pPr>
      <w:bookmarkStart w:id="364" w:name="_Ref63434357"/>
      <w:r>
        <w:rPr>
          <w:noProof/>
        </w:rPr>
        <w:t xml:space="preserve">Table </w:t>
      </w:r>
      <w:r>
        <w:rPr>
          <w:noProof/>
        </w:rPr>
        <w:fldChar w:fldCharType="begin"/>
      </w:r>
      <w:r>
        <w:rPr>
          <w:noProof/>
        </w:rPr>
        <w:instrText xml:space="preserve"> SEQ Table \* ARABIC </w:instrText>
      </w:r>
      <w:r>
        <w:rPr>
          <w:noProof/>
        </w:rPr>
        <w:fldChar w:fldCharType="separate"/>
      </w:r>
      <w:r>
        <w:rPr>
          <w:noProof/>
        </w:rPr>
        <w:t>24</w:t>
      </w:r>
      <w:r>
        <w:rPr>
          <w:noProof/>
        </w:rPr>
        <w:fldChar w:fldCharType="end"/>
      </w:r>
      <w:bookmarkEnd w:id="364"/>
      <w:r>
        <w:rPr>
          <w:noProof/>
        </w:rPr>
        <w:t xml:space="preserve"> Comparison of the policy options</w:t>
      </w:r>
    </w:p>
    <w:tbl>
      <w:tblPr>
        <w:tblStyle w:val="TableGrid"/>
        <w:tblW w:w="5000" w:type="pct"/>
        <w:tblLook w:val="04A0" w:firstRow="1" w:lastRow="0" w:firstColumn="1" w:lastColumn="0" w:noHBand="0" w:noVBand="1"/>
      </w:tblPr>
      <w:tblGrid>
        <w:gridCol w:w="7163"/>
        <w:gridCol w:w="614"/>
        <w:gridCol w:w="614"/>
        <w:gridCol w:w="612"/>
      </w:tblGrid>
      <w:tr>
        <w:tc>
          <w:tcPr>
            <w:tcW w:w="3978" w:type="pct"/>
          </w:tcPr>
          <w:p>
            <w:pPr>
              <w:spacing w:after="120"/>
              <w:jc w:val="center"/>
              <w:rPr>
                <w:b/>
                <w:noProof/>
                <w:lang w:val="en-IE"/>
              </w:rPr>
            </w:pPr>
            <w:r>
              <w:rPr>
                <w:b/>
                <w:noProof/>
                <w:lang w:val="en-IE"/>
              </w:rPr>
              <w:t>Assessment criteria / compared to baseline</w:t>
            </w:r>
          </w:p>
        </w:tc>
        <w:tc>
          <w:tcPr>
            <w:tcW w:w="341" w:type="pct"/>
          </w:tcPr>
          <w:p>
            <w:pPr>
              <w:spacing w:after="120"/>
              <w:jc w:val="center"/>
              <w:rPr>
                <w:b/>
                <w:noProof/>
                <w:lang w:val="en-IE"/>
              </w:rPr>
            </w:pPr>
            <w:r>
              <w:rPr>
                <w:b/>
                <w:noProof/>
                <w:lang w:val="en-IE"/>
              </w:rPr>
              <w:t>PO1</w:t>
            </w:r>
          </w:p>
        </w:tc>
        <w:tc>
          <w:tcPr>
            <w:tcW w:w="341" w:type="pct"/>
          </w:tcPr>
          <w:p>
            <w:pPr>
              <w:spacing w:after="120"/>
              <w:jc w:val="center"/>
              <w:rPr>
                <w:b/>
                <w:noProof/>
                <w:lang w:val="en-IE"/>
              </w:rPr>
            </w:pPr>
            <w:r>
              <w:rPr>
                <w:b/>
                <w:noProof/>
                <w:lang w:val="en-IE"/>
              </w:rPr>
              <w:t>PO2</w:t>
            </w:r>
          </w:p>
        </w:tc>
        <w:tc>
          <w:tcPr>
            <w:tcW w:w="340" w:type="pct"/>
          </w:tcPr>
          <w:p>
            <w:pPr>
              <w:spacing w:after="120"/>
              <w:jc w:val="center"/>
              <w:rPr>
                <w:b/>
                <w:noProof/>
                <w:lang w:val="en-IE"/>
              </w:rPr>
            </w:pPr>
            <w:r>
              <w:rPr>
                <w:b/>
                <w:noProof/>
                <w:lang w:val="en-IE"/>
              </w:rPr>
              <w:t>PO3</w:t>
            </w:r>
          </w:p>
        </w:tc>
      </w:tr>
      <w:tr>
        <w:tc>
          <w:tcPr>
            <w:tcW w:w="3978" w:type="pct"/>
          </w:tcPr>
          <w:p>
            <w:pPr>
              <w:spacing w:after="120"/>
              <w:jc w:val="both"/>
              <w:rPr>
                <w:noProof/>
                <w:lang w:val="en-IE"/>
              </w:rPr>
            </w:pPr>
            <w:r>
              <w:rPr>
                <w:noProof/>
                <w:lang w:val="en-IE"/>
              </w:rPr>
              <w:t>Effectiveness</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0" w:type="pct"/>
          </w:tcPr>
          <w:p>
            <w:pPr>
              <w:spacing w:after="120"/>
              <w:jc w:val="center"/>
              <w:rPr>
                <w:noProof/>
                <w:lang w:val="en-IE"/>
              </w:rPr>
            </w:pPr>
            <w:r>
              <w:rPr>
                <w:noProof/>
                <w:lang w:val="en-IE"/>
              </w:rPr>
              <w:t>+++</w:t>
            </w:r>
          </w:p>
        </w:tc>
      </w:tr>
      <w:tr>
        <w:tc>
          <w:tcPr>
            <w:tcW w:w="3978" w:type="pct"/>
          </w:tcPr>
          <w:p>
            <w:pPr>
              <w:spacing w:after="120"/>
              <w:jc w:val="both"/>
              <w:rPr>
                <w:noProof/>
                <w:lang w:val="en-IE"/>
              </w:rPr>
            </w:pPr>
            <w:r>
              <w:rPr>
                <w:noProof/>
                <w:lang w:val="en-IE"/>
              </w:rPr>
              <w:t>Efficiency</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0" w:type="pct"/>
          </w:tcPr>
          <w:p>
            <w:pPr>
              <w:spacing w:after="120"/>
              <w:jc w:val="center"/>
              <w:rPr>
                <w:noProof/>
                <w:lang w:val="en-IE"/>
              </w:rPr>
            </w:pPr>
            <w:r>
              <w:rPr>
                <w:noProof/>
                <w:lang w:val="en-IE"/>
              </w:rPr>
              <w:t>+++</w:t>
            </w:r>
          </w:p>
        </w:tc>
      </w:tr>
      <w:tr>
        <w:tc>
          <w:tcPr>
            <w:tcW w:w="3978" w:type="pct"/>
          </w:tcPr>
          <w:p>
            <w:pPr>
              <w:spacing w:after="120"/>
              <w:jc w:val="both"/>
              <w:rPr>
                <w:noProof/>
                <w:lang w:val="en-IE"/>
              </w:rPr>
            </w:pPr>
            <w:r>
              <w:rPr>
                <w:noProof/>
                <w:lang w:val="en-IE"/>
              </w:rPr>
              <w:t>Coherence</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0" w:type="pct"/>
          </w:tcPr>
          <w:p>
            <w:pPr>
              <w:spacing w:after="120"/>
              <w:jc w:val="center"/>
              <w:rPr>
                <w:noProof/>
                <w:lang w:val="en-IE"/>
              </w:rPr>
            </w:pPr>
            <w:r>
              <w:rPr>
                <w:noProof/>
                <w:lang w:val="en-IE"/>
              </w:rPr>
              <w:t>++</w:t>
            </w:r>
          </w:p>
        </w:tc>
      </w:tr>
      <w:tr>
        <w:tc>
          <w:tcPr>
            <w:tcW w:w="3978" w:type="pct"/>
          </w:tcPr>
          <w:p>
            <w:pPr>
              <w:spacing w:after="120"/>
              <w:jc w:val="both"/>
              <w:rPr>
                <w:noProof/>
                <w:lang w:val="en-IE"/>
              </w:rPr>
            </w:pPr>
            <w:r>
              <w:rPr>
                <w:noProof/>
                <w:lang w:val="en-IE"/>
              </w:rPr>
              <w:t>Proportionality</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0" w:type="pct"/>
          </w:tcPr>
          <w:p>
            <w:pPr>
              <w:spacing w:after="120"/>
              <w:jc w:val="center"/>
              <w:rPr>
                <w:noProof/>
                <w:lang w:val="en-IE"/>
              </w:rPr>
            </w:pPr>
            <w:r>
              <w:rPr>
                <w:noProof/>
                <w:lang w:val="en-IE"/>
              </w:rPr>
              <w:t>+++</w:t>
            </w:r>
          </w:p>
        </w:tc>
      </w:tr>
      <w:tr>
        <w:trPr>
          <w:trHeight w:val="44"/>
        </w:trPr>
        <w:tc>
          <w:tcPr>
            <w:tcW w:w="5000" w:type="pct"/>
            <w:gridSpan w:val="4"/>
          </w:tcPr>
          <w:p>
            <w:pPr>
              <w:spacing w:after="120"/>
              <w:jc w:val="center"/>
              <w:rPr>
                <w:noProof/>
                <w:sz w:val="2"/>
                <w:lang w:val="en-IE"/>
              </w:rPr>
            </w:pPr>
          </w:p>
        </w:tc>
      </w:tr>
      <w:tr>
        <w:tc>
          <w:tcPr>
            <w:tcW w:w="3978" w:type="pct"/>
          </w:tcPr>
          <w:p>
            <w:pPr>
              <w:spacing w:after="120"/>
              <w:jc w:val="both"/>
              <w:rPr>
                <w:noProof/>
                <w:lang w:val="en-IE"/>
              </w:rPr>
            </w:pPr>
            <w:r>
              <w:rPr>
                <w:noProof/>
                <w:lang w:val="en-IE"/>
              </w:rPr>
              <w:t>Stakeholder preferences</w:t>
            </w:r>
          </w:p>
        </w:tc>
        <w:tc>
          <w:tcPr>
            <w:tcW w:w="341" w:type="pct"/>
          </w:tcPr>
          <w:p>
            <w:pPr>
              <w:spacing w:after="120"/>
              <w:jc w:val="center"/>
              <w:rPr>
                <w:noProof/>
                <w:lang w:val="en-IE"/>
              </w:rPr>
            </w:pPr>
            <w:r>
              <w:rPr>
                <w:noProof/>
                <w:lang w:val="en-IE"/>
              </w:rPr>
              <w:t>+</w:t>
            </w:r>
          </w:p>
        </w:tc>
        <w:tc>
          <w:tcPr>
            <w:tcW w:w="341" w:type="pct"/>
          </w:tcPr>
          <w:p>
            <w:pPr>
              <w:spacing w:after="120"/>
              <w:jc w:val="center"/>
              <w:rPr>
                <w:noProof/>
                <w:lang w:val="en-IE"/>
              </w:rPr>
            </w:pPr>
            <w:r>
              <w:rPr>
                <w:noProof/>
                <w:lang w:val="en-IE"/>
              </w:rPr>
              <w:t>++</w:t>
            </w:r>
          </w:p>
        </w:tc>
        <w:tc>
          <w:tcPr>
            <w:tcW w:w="340" w:type="pct"/>
          </w:tcPr>
          <w:p>
            <w:pPr>
              <w:spacing w:after="120"/>
              <w:jc w:val="center"/>
              <w:rPr>
                <w:noProof/>
                <w:lang w:val="en-IE"/>
              </w:rPr>
            </w:pPr>
            <w:r>
              <w:rPr>
                <w:noProof/>
                <w:lang w:val="en-IE"/>
              </w:rPr>
              <w:t>+++</w:t>
            </w:r>
          </w:p>
        </w:tc>
      </w:tr>
    </w:tbl>
    <w:p>
      <w:pPr>
        <w:spacing w:after="120"/>
        <w:jc w:val="both"/>
        <w:rPr>
          <w:rFonts w:ascii="Times New Roman" w:hAnsi="Times New Roman" w:cs="Times New Roman"/>
          <w:noProof/>
          <w:sz w:val="8"/>
          <w:szCs w:val="24"/>
          <w:lang w:val="en-IE"/>
        </w:rPr>
      </w:pPr>
    </w:p>
    <w:p>
      <w:pPr>
        <w:pStyle w:val="Heading1"/>
        <w:rPr>
          <w:noProof/>
        </w:rPr>
      </w:pPr>
      <w:bookmarkStart w:id="365" w:name="_Toc49520304"/>
      <w:bookmarkStart w:id="366" w:name="_Toc57907314"/>
      <w:bookmarkStart w:id="367" w:name="_Toc59152650"/>
      <w:bookmarkStart w:id="368" w:name="_Toc63426164"/>
      <w:bookmarkStart w:id="369" w:name="_Toc63438510"/>
      <w:r>
        <w:rPr>
          <w:noProof/>
        </w:rPr>
        <w:t>Preferred option</w:t>
      </w:r>
      <w:bookmarkEnd w:id="365"/>
      <w:bookmarkEnd w:id="366"/>
      <w:bookmarkEnd w:id="367"/>
      <w:bookmarkEnd w:id="368"/>
      <w:bookmarkEnd w:id="369"/>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Based on the combined analysis of cost-benefit ratio, acceptance by stakeholders and expected effectiveness and proportionality, the preferred option is therefore </w:t>
      </w:r>
      <w:r>
        <w:rPr>
          <w:rFonts w:ascii="Times New Roman" w:hAnsi="Times New Roman" w:cs="Times New Roman"/>
          <w:b/>
          <w:noProof/>
          <w:sz w:val="24"/>
          <w:szCs w:val="24"/>
          <w:u w:val="single"/>
          <w:lang w:val="en-IE"/>
        </w:rPr>
        <w:t>policy option 3</w:t>
      </w:r>
      <w:r>
        <w:rPr>
          <w:rFonts w:ascii="Times New Roman" w:hAnsi="Times New Roman" w:cs="Times New Roman"/>
          <w:noProof/>
          <w:sz w:val="24"/>
          <w:szCs w:val="24"/>
          <w:lang w:val="en-IE"/>
        </w:rPr>
        <w:t xml:space="preserve"> (goal-based approach with reward mechanisms for overachievers).</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This option strikes the best balance between the achieved objectives and the overall implementation costs. It provides net benefits amounting to €55.0bn over the 2021-2050 period (expressed as present value). Through the goal-based approach, this PO also answers the needs for flexibility, which have been stressed by stakeholders during the consultation activities (in particular operators and ports). An important aspect where PO3 is also superior compared to the two other approaches concerns the introduction of a mechanism for rewarding over-compliance through the use of the most advanced – zero-emission – technologies. In doing so, this PO also reduces the risk of technology lock-in and ensures several technology options can be used by operators as soon as they become mature and contribute to meeting the defined targets. This choice of this PO as the preferred one is thus determined by the need to create lead markets for zero-emission technologies, which will be necessary to deliver on the post-2030 climate objectives. This mechanism however implies additional administrative costs, which are considered justifiable compared to the benefits it provides, in particular in fulfilling the objective of stimulating technology developments.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As regards the type of legal instrument which would implement the preferred policy option, a Regulation appears to be the most appropriate choice.</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Annex 3 contains a more detailed description of the regulatory measures envisaged, as well as an indication of how implementation could take place in practice, based on already existing practices set out in the EU MRV system as well as the applicable PSC procedures.</w:t>
      </w:r>
    </w:p>
    <w:p>
      <w:pPr>
        <w:pStyle w:val="Heading1"/>
        <w:rPr>
          <w:noProof/>
        </w:rPr>
      </w:pPr>
      <w:bookmarkStart w:id="370" w:name="_Toc49520307"/>
      <w:bookmarkStart w:id="371" w:name="_Toc57907315"/>
      <w:bookmarkStart w:id="372" w:name="_Toc59152651"/>
      <w:bookmarkStart w:id="373" w:name="_Toc63426165"/>
      <w:bookmarkStart w:id="374" w:name="_Toc63438511"/>
      <w:r>
        <w:rPr>
          <w:noProof/>
        </w:rPr>
        <w:t>How will actual impacts be monitored and evaluated?</w:t>
      </w:r>
      <w:bookmarkEnd w:id="370"/>
      <w:bookmarkEnd w:id="371"/>
      <w:bookmarkEnd w:id="372"/>
      <w:bookmarkEnd w:id="373"/>
      <w:bookmarkEnd w:id="374"/>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Commission will follow the progress, the impacts and results of this initiative through a set of regular monitoring tools as well as dedicated evaluations.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Indication on the RLF penetration in the maritime fuel mix will be the main criterion to evaluate the impacts of the proposed initiative. The evaluation arrangements of the impacts of this initiative, as well as the identification of the operational objectives and monitoring plan have been developed for the preferred option, PO3. A set of operational objectives were derived from the general and specific objectives of the initiative, which reflect the nature and type of measures adopted. The monitoring should start immediately after the entry into force of the Regulation.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One of the most important elements of the monitoring framework will be the data collected through the EU MRV that ships calling EU ports need to fulfil, in which they indicate the quantities and types of fuel consumed during the journeys covered by the Regulation. This will allow to have an annual indication of the penetration rate of RLF in the maritime transport fuel mix, which is one of the main indicators of progress. In this respect, it is worth noting that the MRV requirements also concern ships at berth. As a result, data collected through the EU MRV will allow providing an accurate picture of the use of RLF in the maritime sector not only while in navigation (addressing problem 1) but also at berth (problem 2). In addition, data on alternative fuel infrastructure collected under the framework of the AFID would also allow to identify what impacts this initiative will have on the deployment of port infrastructure, in particular on-shore power connection points.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In this context, additional information will be collected on the use of electricity on the ship side and the first review of the Regulation will also include assessment on possible extension of the requirements at berth to additional ship types.</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Commission will also initiate an evaluation to verify whether the objectives of the initiative have been reached, based on the data collected through EU MRV, the evolution of the distribution infrastructure as well as a series of targeted surveys. This should also provide an indication on the impact of the initiative on production levels of marine RLF as well as the cost evolution of these fuels. Interactions with other policies aimed at decarbonisation of the maritime sector will also form an important element of such an assessment to ensure continued consistency and complementarity between initiatives. If necessary, the evaluation will inform future decision-making processes to ensure necessary adjustments for reaching the set objectives, while also taking into account developments of other policy initiatives.</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 list of operational objectives, indicators and data sources is presented in Annex 7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_Ref63423492 \h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noProof/>
        </w:rPr>
        <w:t>Table 70</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Some of these monitoring arrangements will be established more in detail only after thorough discussion with Member States and key stakeholders.</w:t>
      </w:r>
    </w:p>
    <w:p>
      <w:pPr>
        <w:jc w:val="both"/>
        <w:rPr>
          <w:rFonts w:ascii="Times New Roman" w:hAnsi="Times New Roman" w:cs="Times New Roman"/>
          <w:noProof/>
          <w:sz w:val="24"/>
          <w:szCs w:val="24"/>
        </w:rPr>
      </w:pPr>
    </w:p>
    <w:p>
      <w:pPr>
        <w:rPr>
          <w:rFonts w:ascii="Times New Roman" w:hAnsi="Times New Roman" w:cs="Times New Roman"/>
          <w:noProof/>
        </w:rPr>
      </w:pPr>
      <w:r>
        <w:rPr>
          <w:rFonts w:ascii="Times New Roman" w:hAnsi="Times New Roman" w:cs="Times New Roman"/>
          <w:noProof/>
        </w:rPr>
        <w:br w:type="page"/>
      </w:r>
    </w:p>
    <w:p>
      <w:pPr>
        <w:pStyle w:val="AnnexTitle"/>
        <w:rPr>
          <w:noProof/>
        </w:rPr>
      </w:pPr>
      <w:bookmarkStart w:id="375" w:name="_Toc49520308"/>
      <w:bookmarkStart w:id="376" w:name="_Toc57907316"/>
      <w:bookmarkStart w:id="377" w:name="_Toc59152652"/>
      <w:bookmarkStart w:id="378" w:name="_Toc63426166"/>
      <w:bookmarkStart w:id="379" w:name="_Toc63438512"/>
      <w:r>
        <w:rPr>
          <w:noProof/>
        </w:rPr>
        <w:t>Annex 1: Procedural information</w:t>
      </w:r>
      <w:bookmarkEnd w:id="375"/>
      <w:bookmarkEnd w:id="376"/>
      <w:bookmarkEnd w:id="377"/>
      <w:bookmarkEnd w:id="378"/>
      <w:bookmarkEnd w:id="379"/>
    </w:p>
    <w:p>
      <w:pPr>
        <w:pStyle w:val="Heading1"/>
        <w:numPr>
          <w:ilvl w:val="0"/>
          <w:numId w:val="4"/>
        </w:numPr>
        <w:rPr>
          <w:noProof/>
        </w:rPr>
      </w:pPr>
      <w:bookmarkStart w:id="380" w:name="_Toc471997754"/>
      <w:bookmarkStart w:id="381" w:name="_Toc49520309"/>
      <w:bookmarkStart w:id="382" w:name="_Toc57907317"/>
      <w:bookmarkStart w:id="383" w:name="_Toc59152653"/>
      <w:bookmarkStart w:id="384" w:name="_Toc63426167"/>
      <w:bookmarkStart w:id="385" w:name="_Toc63438513"/>
      <w:r>
        <w:rPr>
          <w:noProof/>
        </w:rPr>
        <w:t>Lead DG, D</w:t>
      </w:r>
      <w:r>
        <w:rPr>
          <w:b w:val="0"/>
          <w:i/>
          <w:iCs/>
          <w:smallCaps w:val="0"/>
          <w:noProof/>
        </w:rPr>
        <w:t>e</w:t>
      </w:r>
      <w:r>
        <w:rPr>
          <w:noProof/>
        </w:rPr>
        <w:t>cide Planning/CWP references</w:t>
      </w:r>
      <w:bookmarkEnd w:id="380"/>
      <w:bookmarkEnd w:id="381"/>
      <w:bookmarkEnd w:id="382"/>
      <w:bookmarkEnd w:id="383"/>
      <w:bookmarkEnd w:id="384"/>
      <w:bookmarkEnd w:id="385"/>
    </w:p>
    <w:p>
      <w:pPr>
        <w:jc w:val="both"/>
        <w:rPr>
          <w:rFonts w:ascii="Times New Roman" w:hAnsi="Times New Roman" w:cs="Times New Roman"/>
          <w:noProof/>
          <w:sz w:val="24"/>
          <w:szCs w:val="24"/>
        </w:rPr>
      </w:pPr>
      <w:r>
        <w:rPr>
          <w:rFonts w:ascii="Times New Roman" w:hAnsi="Times New Roman" w:cs="Times New Roman"/>
          <w:noProof/>
          <w:sz w:val="24"/>
          <w:szCs w:val="24"/>
        </w:rPr>
        <w:t>The lead DG is Directorate General for Mobility and Transport (MOVE), Unit D1: Maritime Transport and Logistics</w:t>
      </w:r>
    </w:p>
    <w:p>
      <w:pPr>
        <w:jc w:val="both"/>
        <w:rPr>
          <w:rFonts w:ascii="Times New Roman" w:hAnsi="Times New Roman" w:cs="Times New Roman"/>
          <w:noProof/>
          <w:sz w:val="24"/>
          <w:szCs w:val="24"/>
        </w:rPr>
      </w:pPr>
      <w:r>
        <w:rPr>
          <w:rFonts w:ascii="Times New Roman" w:hAnsi="Times New Roman" w:cs="Times New Roman"/>
          <w:noProof/>
          <w:sz w:val="24"/>
          <w:szCs w:val="24"/>
        </w:rPr>
        <w:t>DECIDE reference number: PLAN/2020/6945</w:t>
      </w:r>
    </w:p>
    <w:p>
      <w:pPr>
        <w:jc w:val="both"/>
        <w:rPr>
          <w:rFonts w:ascii="Times New Roman" w:hAnsi="Times New Roman" w:cs="Times New Roman"/>
          <w:noProof/>
          <w:sz w:val="24"/>
          <w:szCs w:val="24"/>
        </w:rPr>
      </w:pPr>
      <w:r>
        <w:rPr>
          <w:rFonts w:ascii="Times New Roman" w:hAnsi="Times New Roman" w:cs="Times New Roman"/>
          <w:noProof/>
          <w:sz w:val="24"/>
          <w:szCs w:val="24"/>
        </w:rPr>
        <w:t>The development of this initiative was announced under item 8 in Annex I to the Adjusted Commission Work Programme 2020</w:t>
      </w:r>
      <w:r>
        <w:rPr>
          <w:rStyle w:val="FootnoteReference"/>
          <w:rFonts w:ascii="Times New Roman" w:hAnsi="Times New Roman" w:cs="Times New Roman"/>
          <w:noProof/>
          <w:sz w:val="24"/>
          <w:szCs w:val="24"/>
        </w:rPr>
        <w:footnoteReference w:id="135"/>
      </w:r>
      <w:r>
        <w:rPr>
          <w:rFonts w:ascii="Times New Roman" w:hAnsi="Times New Roman" w:cs="Times New Roman"/>
          <w:noProof/>
          <w:sz w:val="24"/>
          <w:szCs w:val="24"/>
        </w:rPr>
        <w:t>. The Inception Impact Assessment was published on 27 March 2020</w:t>
      </w:r>
      <w:r>
        <w:rPr>
          <w:rStyle w:val="FootnoteReference"/>
          <w:rFonts w:ascii="Times New Roman" w:hAnsi="Times New Roman" w:cs="Times New Roman"/>
          <w:noProof/>
          <w:sz w:val="24"/>
          <w:szCs w:val="24"/>
        </w:rPr>
        <w:footnoteReference w:id="136"/>
      </w:r>
      <w:r>
        <w:rPr>
          <w:rFonts w:ascii="Times New Roman" w:hAnsi="Times New Roman" w:cs="Times New Roman"/>
          <w:noProof/>
          <w:sz w:val="24"/>
          <w:szCs w:val="24"/>
        </w:rPr>
        <w:t xml:space="preserve">. </w:t>
      </w:r>
    </w:p>
    <w:p>
      <w:pPr>
        <w:pStyle w:val="Heading1"/>
        <w:numPr>
          <w:ilvl w:val="0"/>
          <w:numId w:val="54"/>
        </w:numPr>
        <w:rPr>
          <w:noProof/>
        </w:rPr>
      </w:pPr>
      <w:bookmarkStart w:id="386" w:name="_Toc471997755"/>
      <w:bookmarkStart w:id="387" w:name="_Toc49520310"/>
      <w:bookmarkStart w:id="388" w:name="_Toc57907318"/>
      <w:bookmarkStart w:id="389" w:name="_Toc59152654"/>
      <w:bookmarkStart w:id="390" w:name="_Toc63426168"/>
      <w:bookmarkStart w:id="391" w:name="_Toc63438514"/>
      <w:r>
        <w:rPr>
          <w:noProof/>
        </w:rPr>
        <w:t>Organisation and timing</w:t>
      </w:r>
      <w:bookmarkEnd w:id="386"/>
      <w:bookmarkEnd w:id="387"/>
      <w:bookmarkEnd w:id="388"/>
      <w:bookmarkEnd w:id="389"/>
      <w:bookmarkEnd w:id="390"/>
      <w:bookmarkEnd w:id="391"/>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Inter Service Steering Group (ISSG) for the Impact Assessment was set up in February 2020 and includes the following DGs and Services: SG, LS, CLIMA, ENV, ENER, RTD, GROW, MARE, COMP, TAXUD as well as EMSA (European Maritime Safety Agency).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ISSG approved the Inception Impact Assessment and discussed the main milestones in the process, in particular the consultation strategy and main stakeholder consultation activities, the task specifications to launch the contract for the external IA support study, the key deliverables from the support study, and the draft impact assessment report before submission to the Regulatory Scrutiny Board. In total, 5 meetings of the ISSG were organised to discuss this impact assessment, including virtual meetings, resulting from the COVID-19 crisis. These meetings took place on 24 February 2020, 30 April 2020, 1 July 2020, 1 October 2020 and 14 December 2020. Further consultations with the ISSG were carried out by e-mails. When necessary bilateral discussions were also organised with the most concerned services. </w:t>
      </w:r>
    </w:p>
    <w:p>
      <w:pPr>
        <w:pStyle w:val="Heading1"/>
        <w:rPr>
          <w:noProof/>
        </w:rPr>
      </w:pPr>
      <w:bookmarkStart w:id="392" w:name="_Toc471997757"/>
      <w:bookmarkStart w:id="393" w:name="_Toc49520311"/>
      <w:bookmarkStart w:id="394" w:name="_Toc57907319"/>
      <w:bookmarkStart w:id="395" w:name="_Toc59152655"/>
      <w:bookmarkStart w:id="396" w:name="_Toc63426169"/>
      <w:bookmarkStart w:id="397" w:name="_Toc63438515"/>
      <w:r>
        <w:rPr>
          <w:noProof/>
        </w:rPr>
        <w:t>Consultation of the RSB</w:t>
      </w:r>
      <w:bookmarkEnd w:id="392"/>
      <w:bookmarkEnd w:id="393"/>
      <w:bookmarkEnd w:id="394"/>
      <w:bookmarkEnd w:id="395"/>
      <w:bookmarkEnd w:id="396"/>
      <w:bookmarkEnd w:id="397"/>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Regulatory Scrutiny Board received the draft version of the impact assessment report on 18 December 2020. The Board meeting took place on 20 January 2021, following which it gave a negative opinion on the report. The Board also made several recommendations which were addressed in the revised impact assessment report as follows: </w:t>
      </w:r>
    </w:p>
    <w:p>
      <w:pPr>
        <w:pStyle w:val="Caption"/>
        <w:keepNext/>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25</w:t>
      </w:r>
      <w:r>
        <w:rPr>
          <w:noProof/>
        </w:rPr>
        <w:fldChar w:fldCharType="end"/>
      </w:r>
      <w:r>
        <w:rPr>
          <w:noProof/>
        </w:rPr>
        <w:t xml:space="preserve"> Modification of the IA report in response to RSB recommendations</w:t>
      </w:r>
    </w:p>
    <w:tbl>
      <w:tblPr>
        <w:tblStyle w:val="LightShading-Accent11"/>
        <w:tblW w:w="4712" w:type="pct"/>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5065"/>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hideMark/>
          </w:tcPr>
          <w:p>
            <w:pPr>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RSB recommendations</w:t>
            </w:r>
          </w:p>
        </w:tc>
        <w:tc>
          <w:tcPr>
            <w:tcW w:w="2985" w:type="pct"/>
            <w:tcBorders>
              <w:top w:val="single" w:sz="4" w:space="0" w:color="auto"/>
              <w:left w:val="single" w:sz="4" w:space="0" w:color="auto"/>
              <w:bottom w:val="single" w:sz="4" w:space="0" w:color="auto"/>
              <w:right w:val="single" w:sz="4" w:space="0" w:color="auto"/>
            </w:tcBorders>
            <w:hideMark/>
          </w:tcPr>
          <w:p>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Modification of the IA report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hideMark/>
          </w:tcPr>
          <w:p>
            <w:pPr>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lang w:bidi="en-US"/>
              </w:rPr>
              <w:t>Main considerations</w:t>
            </w: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(1) The report is unclear about how it has established the fuel specific targets and pathways for the maritime sector, and what the key assumptions and uncertainties are. It does not show how, and under what conditions, they are compatible with the overall EU 2030/2050 climate targets. The report does not analyse the implications and feasibility of alternative targets and pathways.</w:t>
            </w:r>
          </w:p>
        </w:tc>
        <w:tc>
          <w:tcPr>
            <w:tcW w:w="2985" w:type="pct"/>
            <w:tcBorders>
              <w:top w:val="single" w:sz="4" w:space="0" w:color="auto"/>
              <w:left w:val="single" w:sz="4" w:space="0" w:color="auto"/>
              <w:bottom w:val="single" w:sz="4" w:space="0" w:color="auto"/>
              <w:right w:val="single" w:sz="4" w:space="0" w:color="auto"/>
            </w:tcBorders>
          </w:tcPr>
          <w:p>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A new Section 1.5 has been added to the report, to explain the trajectory for the RLF uptake. It also explains the compatibility with the overall EU 2030/2050 climate targets. In addition, Section 5.4 includes a qualitative assessment of the implications and feasibility of alternative trajectories for RLF uptake.</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(2) The report is not sufficiently clear on how it ensures coherence with the other ‘Fit for 55’ initiatives. It does not explain how it takes into account the uncertainty on the future content of the most directly related climate initiatives.</w:t>
            </w:r>
          </w:p>
        </w:tc>
        <w:tc>
          <w:tcPr>
            <w:tcW w:w="2985" w:type="pct"/>
            <w:tcBorders>
              <w:top w:val="single" w:sz="4" w:space="0" w:color="auto"/>
              <w:left w:val="single" w:sz="4" w:space="0" w:color="auto"/>
              <w:bottom w:val="single" w:sz="4" w:space="0" w:color="auto"/>
              <w:right w:val="single" w:sz="4" w:space="0" w:color="auto"/>
            </w:tcBorders>
          </w:tcPr>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A new Section 1.2 has been added based on elements provided in the previous Annex 7 (deleted now to avoid duplication). The new Section 1.5 also adds clearer explanation on the trajectories for RLF as assessed in the context of the analytical work underpinning the Climate Target Plan and the Smart and Sustainable Mobility Strategy. </w:t>
            </w:r>
          </w:p>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This, in conjunction with Section 5.3, explains how the different elements of the “basket of measures” for maritime transport are complementing to each other. </w:t>
            </w:r>
          </w:p>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(3) The report does not explain convincingly why the present initiative cannot be integrated into existing instruments that are part of the ‘Fit for 55’ package.</w:t>
            </w:r>
          </w:p>
        </w:tc>
        <w:tc>
          <w:tcPr>
            <w:tcW w:w="2985" w:type="pct"/>
            <w:tcBorders>
              <w:top w:val="single" w:sz="4" w:space="0" w:color="auto"/>
              <w:left w:val="single" w:sz="4" w:space="0" w:color="auto"/>
              <w:bottom w:val="single" w:sz="4" w:space="0" w:color="auto"/>
              <w:right w:val="single" w:sz="4" w:space="0" w:color="auto"/>
            </w:tcBorders>
          </w:tcPr>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As per consideration (2) above</w:t>
            </w:r>
          </w:p>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(4) The report is not always clear on the content of the options and how they will function. It does not sufficiently explain the functioning of the reward mechanisms for overachievers and its possible interaction with the Emission Trading System. The report does not show clearly why it prefers the option with the reward mechanisms for overachievers.</w:t>
            </w:r>
          </w:p>
        </w:tc>
        <w:tc>
          <w:tcPr>
            <w:tcW w:w="2985" w:type="pct"/>
            <w:tcBorders>
              <w:top w:val="single" w:sz="4" w:space="0" w:color="auto"/>
              <w:left w:val="single" w:sz="4" w:space="0" w:color="auto"/>
              <w:bottom w:val="single" w:sz="4" w:space="0" w:color="auto"/>
              <w:right w:val="single" w:sz="4" w:space="0" w:color="auto"/>
            </w:tcBorders>
          </w:tcPr>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Details have been added in Section 5.2.2 on the description of each of the policy options including elements related to certification. Concerning the scheme for over-achievers, additional elements have been introduced in the detailed description of PO3. </w:t>
            </w:r>
          </w:p>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Details on reporting and enforcement have been added to Section 5.2.3, which outlines aspects of policy design that all options have in common.</w:t>
            </w:r>
          </w:p>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While some elements from Annex 6 have been brought to the main text in chapter 5 to facilitate the reading and understand the design of the policy options, the long list of policy measures identified in the early stages of the analysis has been kept to the Annex in order to still limit the size of the document. </w:t>
            </w:r>
          </w:p>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Concerning the choice of the preferred policy option, clarifications have been brought to chapter 7 (in particular Sections 7.1, 7.2 and 7.6).</w:t>
            </w:r>
          </w:p>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p>
        </w:tc>
      </w:tr>
      <w:t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tcPr>
          <w:p>
            <w:pPr>
              <w:spacing w:after="120"/>
              <w:jc w:val="center"/>
              <w:rPr>
                <w:rFonts w:ascii="Times New Roman" w:hAnsi="Times New Roman" w:cs="Times New Roman"/>
                <w:b w:val="0"/>
                <w:noProof/>
                <w:color w:val="auto"/>
                <w:sz w:val="20"/>
                <w:szCs w:val="20"/>
              </w:rPr>
            </w:pPr>
            <w:r>
              <w:rPr>
                <w:rFonts w:ascii="Times New Roman" w:hAnsi="Times New Roman" w:cs="Times New Roman"/>
                <w:noProof/>
                <w:color w:val="auto"/>
                <w:sz w:val="20"/>
                <w:szCs w:val="20"/>
              </w:rPr>
              <w:t>Adjustment requirements</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(1) The report should explain how the fuel-specific targets (or parameters) for maritime transport were chosen. It should make clear how the proposed pathways towards these targets align with the GHG reduction targets of the Climate Law, and how they follow or differ from the Climate Target Plan modelling scenarios. The report should explain the assumptions behind the maritime fuel targets, and under what conditions they are compatible with targets for the other transport sectors.</w:t>
            </w:r>
          </w:p>
        </w:tc>
        <w:tc>
          <w:tcPr>
            <w:tcW w:w="2985" w:type="pct"/>
            <w:tcBorders>
              <w:top w:val="single" w:sz="4" w:space="0" w:color="auto"/>
              <w:left w:val="single" w:sz="4" w:space="0" w:color="auto"/>
              <w:bottom w:val="single" w:sz="4" w:space="0" w:color="auto"/>
              <w:right w:val="single" w:sz="4" w:space="0" w:color="auto"/>
            </w:tcBorders>
          </w:tcPr>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The new Section 1.5 adds explanations on the trajectories for RLF as assessed in the context of the analytical work underpinning the Climate Target Plan and the Smart and Sustainable Mobility Strategy and consequently how the fuel-specific targets for this initiative have been established. Specific indication have consequently be added in the description of the policy options under Section 5.2.2.</w:t>
            </w:r>
          </w:p>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(2) The report should justify why it does not include any alternative maritime fuel targets and pathways. Do the costs of alternative pathways disqualify them as unfeasible? It should present at least a qualitative check on the feasibility and implications of deviating from the set target, including for the overall ‘Fit for 55’ package.</w:t>
            </w:r>
          </w:p>
        </w:tc>
        <w:tc>
          <w:tcPr>
            <w:tcW w:w="2985" w:type="pct"/>
            <w:tcBorders>
              <w:top w:val="single" w:sz="4" w:space="0" w:color="auto"/>
              <w:left w:val="single" w:sz="4" w:space="0" w:color="auto"/>
              <w:bottom w:val="single" w:sz="4" w:space="0" w:color="auto"/>
              <w:right w:val="single" w:sz="4" w:space="0" w:color="auto"/>
            </w:tcBorders>
          </w:tcPr>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The new Section 1.5 adds explanation on the trajectories for RLF as assessed in the context of the analytical work underpinning the Climate Target Plan and the Smart and Sustainable Mobility Strategy. </w:t>
            </w:r>
          </w:p>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A new Section 5.4 has also been added to discuss the feasibility of alternative pathways for marine RLF uptake. </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(3) The report should better explain how the initiative is coherent with the most directly related other ‘Fit for 55’ initiatives (in particular the Renewable Energy Directive, the Emissions Trading System (ETS) and the Energy Taxation Directive). Would this initiative make some of the others superfluous for the maritime sector? As the baseline does not include the envisaged changes of the other ‘Fit for 55’ initiatives, the report should explain why it does not include alternative policy scenarios in the options, to reflect the uncertainty on the future content of these other initiatives.</w:t>
            </w:r>
          </w:p>
        </w:tc>
        <w:tc>
          <w:tcPr>
            <w:tcW w:w="2985" w:type="pct"/>
            <w:tcBorders>
              <w:top w:val="single" w:sz="4" w:space="0" w:color="auto"/>
              <w:left w:val="single" w:sz="4" w:space="0" w:color="auto"/>
              <w:bottom w:val="single" w:sz="4" w:space="0" w:color="auto"/>
              <w:right w:val="single" w:sz="4" w:space="0" w:color="auto"/>
            </w:tcBorders>
          </w:tcPr>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A new Section 1.2 has been added based on elements provided in the previous Annex 7 (deleted now to avoid duplication). The new Section 1.5 also adds clearer explanation on the trajectories for RLF as assessed in the context of the analytical work underpinning the Climate Target Plan and the Smart and Sustainable Mobility Strategy. </w:t>
            </w:r>
          </w:p>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This, in conjunction with Section 5.3, explains how the different elements of the “basket of measures” for maritime transport are complementing to each other. </w:t>
            </w:r>
          </w:p>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Section 5.1 (What is the baseline from which options are assessed?) clarifies that the other ‘Fit for 55’ initiatives are not part of the baseline. It further explains how coherence is ensured.</w:t>
            </w: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(4) The report should explain why this initiative cannot be (partly) covered by the other ‘Fit for 55’ initiatives. For example, could the voluntary transfer of balances and a possible reward scheme for overachievers not be integrated in the ETS?</w:t>
            </w:r>
          </w:p>
        </w:tc>
        <w:tc>
          <w:tcPr>
            <w:tcW w:w="2985" w:type="pct"/>
            <w:tcBorders>
              <w:top w:val="single" w:sz="4" w:space="0" w:color="auto"/>
              <w:left w:val="single" w:sz="4" w:space="0" w:color="auto"/>
              <w:bottom w:val="single" w:sz="4" w:space="0" w:color="auto"/>
              <w:right w:val="single" w:sz="4" w:space="0" w:color="auto"/>
            </w:tcBorders>
          </w:tcPr>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A new Section 1.2 has been added based on elements provided in the previous Annex 7 (deleted now to avoid duplication). The new Section 1.5 also adds clearer explanation on the trajectories for RLF as assessed in the context of the analytical work underpinning the Climate Target Plan and the Smart and Sustainable Mobility Strategy. </w:t>
            </w:r>
          </w:p>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In addition, elements from the former Annex 6 have been moved to the main text and extended under Section 5.3 to explain how other measures included in the ‘Fit for 55’ package would not sufficiently address the objectives of this initiative. </w:t>
            </w:r>
          </w:p>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Concerning the voluntary transfer of balances, more information has been included in the description of PO3 in Section 5.2.2.</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(5) The report should clarify the connection between the problems concerning greenhouse gases and local air pollution. It should properly reflect the latter throughout the intervention logic (i.e. also in the options and impact analysis).</w:t>
            </w:r>
          </w:p>
        </w:tc>
        <w:tc>
          <w:tcPr>
            <w:tcW w:w="2985" w:type="pct"/>
            <w:tcBorders>
              <w:top w:val="single" w:sz="4" w:space="0" w:color="auto"/>
              <w:left w:val="single" w:sz="4" w:space="0" w:color="auto"/>
              <w:bottom w:val="single" w:sz="4" w:space="0" w:color="auto"/>
              <w:right w:val="single" w:sz="4" w:space="0" w:color="auto"/>
            </w:tcBorders>
          </w:tcPr>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Clarifications have been added in Section 2.1 and further in chapter 5. In both cases, the problem definition focuses on the </w:t>
            </w:r>
            <w:r>
              <w:rPr>
                <w:rFonts w:ascii="Times New Roman" w:hAnsi="Times New Roman" w:cs="Times New Roman"/>
                <w:i/>
                <w:noProof/>
                <w:color w:val="auto"/>
                <w:sz w:val="20"/>
                <w:szCs w:val="20"/>
              </w:rPr>
              <w:t xml:space="preserve">uptake of specific fuels. </w:t>
            </w:r>
            <w:r>
              <w:rPr>
                <w:rFonts w:ascii="Times New Roman" w:hAnsi="Times New Roman" w:cs="Times New Roman"/>
                <w:noProof/>
                <w:color w:val="auto"/>
                <w:sz w:val="20"/>
                <w:szCs w:val="20"/>
              </w:rPr>
              <w:t>However, the introduction of a specific problem at berth recognises the fact that, when ships are in ports, effects on air quality impose an additional constraint on the techncial solution to be chosen, being cognisant to the fact that not all RLF will have equal performance in terms of reduction of air pollutants.</w:t>
            </w: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(6) The report should provide more detail on how far scaling up of RLF demand will contribute to reducing costs and prices. It should provide more detail about the sources of greater feedstock supply and competing demands. It should explain better the cost differences between standard and advanced biofuels. The report should also acknowledge the high-energy demand for producing biofuels. The impact assessment should be explicit about how coherence will be ensured with the EU’s overall renewable energy policy (e.g. for competition for feedstock, or accounting of total renewable targets), and how the risk for overlapping regulation is avoided.</w:t>
            </w:r>
          </w:p>
        </w:tc>
        <w:tc>
          <w:tcPr>
            <w:tcW w:w="2985" w:type="pct"/>
            <w:tcBorders>
              <w:top w:val="single" w:sz="4" w:space="0" w:color="auto"/>
              <w:left w:val="single" w:sz="4" w:space="0" w:color="auto"/>
              <w:bottom w:val="single" w:sz="4" w:space="0" w:color="auto"/>
              <w:right w:val="single" w:sz="4" w:space="0" w:color="auto"/>
            </w:tcBorders>
          </w:tcPr>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A new Section 6.1.2 has been added to provide an overview of the impact on RLF prices, feedstocks and renewable electricity needs for e-fuels. This provide greater details in particular on the sources of feedstocks that have been assumed in this analysis. It also discusses the energy needs for producing biofuels. </w:t>
            </w:r>
          </w:p>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Concerning coherence with the overall renewable energy policy, these points are also covered by Sections 1.5 and 5.4. In addition to this, clarification on the risk of overlaps is provided in Sections 1.2 and 5.3, which describe also how the different elements of the “basket of measures” (and hence other initiatives of the “Fit for 55” package) are complementing each other. </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(7) The report should further specify the content of the options and how they would function. In particular, it should specify the target values and technology shares, and explain better certification, reporting and enforcement under the different options. It should also specify how the scheme for overachievers would function. It should explain how the proposed options are cost-effective.</w:t>
            </w:r>
          </w:p>
        </w:tc>
        <w:tc>
          <w:tcPr>
            <w:tcW w:w="2985" w:type="pct"/>
            <w:tcBorders>
              <w:top w:val="single" w:sz="4" w:space="0" w:color="auto"/>
              <w:left w:val="single" w:sz="4" w:space="0" w:color="auto"/>
              <w:bottom w:val="single" w:sz="4" w:space="0" w:color="auto"/>
              <w:right w:val="single" w:sz="4" w:space="0" w:color="auto"/>
            </w:tcBorders>
          </w:tcPr>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Details have been added in Section 5.2.2 on the description of each of the policy options including elements related to certification. Concerning the scheme for over-achievers, additional elements have been introduced in the detailed description of PO3. </w:t>
            </w:r>
          </w:p>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Details on reporting and enforcement have been added to Section 5.2.3, which outlines aspects of policy design that all options have in common.</w:t>
            </w:r>
          </w:p>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While some elements from Annex 6 have been brought to the main text in chapter 5 to facilitate the reading and understand the design of the policy options, the long list of policy measures identified in the early stages of the analysis has been kept to the Annex in order to still limit the size of the document. </w:t>
            </w:r>
          </w:p>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(8) The report should elaborate the assessment and comparison of options. It should justify better why the option with the reward mechanisms for overachievers is the preferred option, given that the net benefits of the option without these mechanisms are estimated to be higher. It should explain why the preferred option does not lead to a higher GHG emission reduction than the option without rewards for overachievers.</w:t>
            </w:r>
          </w:p>
        </w:tc>
        <w:tc>
          <w:tcPr>
            <w:tcW w:w="2985" w:type="pct"/>
            <w:tcBorders>
              <w:top w:val="single" w:sz="4" w:space="0" w:color="auto"/>
              <w:left w:val="single" w:sz="4" w:space="0" w:color="auto"/>
              <w:bottom w:val="single" w:sz="4" w:space="0" w:color="auto"/>
              <w:right w:val="single" w:sz="4" w:space="0" w:color="auto"/>
            </w:tcBorders>
          </w:tcPr>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As presented in Section 6.3.2, the preferred option, PO3 is actually the one delivering the highest degree of GHG emissions reductions from maritime transport on a well-to-wake basis. Further clarifications have been added so Sections 7.1, 7.2 and 7.6, in particular on the effectiveness of the three assessed policy options in tackling the specific objectives of this initiative. It also clarifies that the main difference in terms of costs between the options result from the fuel costs associated with the different energy mix delivered. While PO2</w:t>
            </w:r>
            <w:r>
              <w:rPr>
                <w:noProof/>
                <w:color w:val="auto"/>
              </w:rPr>
              <w:t xml:space="preserve"> </w:t>
            </w:r>
            <w:r>
              <w:rPr>
                <w:rFonts w:ascii="Times New Roman" w:hAnsi="Times New Roman" w:cs="Times New Roman"/>
                <w:noProof/>
                <w:color w:val="auto"/>
                <w:sz w:val="20"/>
                <w:szCs w:val="20"/>
              </w:rPr>
              <w:t xml:space="preserve">remains the least expensive option as it does not contain any additional “constraint” for the operators than meeting the GHG intensity target (hence allowing them to select the cheapest compliance option), it does not address the SO2 (technology development) as good the other options. </w:t>
            </w:r>
          </w:p>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(9) The impact assessment should discuss the importance of the sectors and activities that are excluded from the scope of the options. It should analyse the effect of these exemptions on the realisation of the targets.</w:t>
            </w:r>
          </w:p>
        </w:tc>
        <w:tc>
          <w:tcPr>
            <w:tcW w:w="2985" w:type="pct"/>
            <w:tcBorders>
              <w:top w:val="single" w:sz="4" w:space="0" w:color="auto"/>
              <w:left w:val="single" w:sz="4" w:space="0" w:color="auto"/>
              <w:bottom w:val="single" w:sz="4" w:space="0" w:color="auto"/>
              <w:right w:val="single" w:sz="4" w:space="0" w:color="auto"/>
            </w:tcBorders>
          </w:tcPr>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Further clarifications have been added in Section 5.2.3 to explain why it is proposed to replicate the MRV approach in terms of types and size of ships covered by the initiative. This approach strikes a balance between environmental effectiveness and the administrative burden. Broadening the scope to ships above 400 GT (which is the minimum size applicable in international conventions) would bring minimal benefits in terms of emission reductions but would significantly increase the number of regulated entities. The approach currently proposed allows to address the highest emitters in terms of GHG and air pollutants while limiting the number of regulated ships. </w:t>
            </w:r>
          </w:p>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p>
        </w:tc>
      </w:tr>
    </w:tbl>
    <w:p>
      <w:pPr>
        <w:jc w:val="both"/>
        <w:rPr>
          <w:rFonts w:ascii="Times New Roman" w:hAnsi="Times New Roman" w:cs="Times New Roman"/>
          <w:noProof/>
          <w:sz w:val="24"/>
          <w:szCs w:val="24"/>
        </w:rPr>
      </w:pP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Board  issued  a  second,  positive  opinion  on  3  March  2021,  including  some further recommendations. These have been addressed in </w:t>
      </w:r>
      <w:r>
        <w:rPr>
          <w:rFonts w:ascii="Times New Roman" w:hAnsi="Times New Roman" w:cs="Times New Roman"/>
          <w:b/>
          <w:noProof/>
          <w:sz w:val="24"/>
          <w:szCs w:val="24"/>
        </w:rPr>
        <w:t>this final version of the Impact Assessment report</w:t>
      </w:r>
      <w:r>
        <w:rPr>
          <w:rFonts w:ascii="Times New Roman" w:hAnsi="Times New Roman" w:cs="Times New Roman"/>
          <w:noProof/>
          <w:sz w:val="24"/>
          <w:szCs w:val="24"/>
        </w:rPr>
        <w:t xml:space="preserve"> as detailed in the table below.</w:t>
      </w:r>
    </w:p>
    <w:p>
      <w:pPr>
        <w:pStyle w:val="Caption"/>
        <w:keepNext/>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26</w:t>
      </w:r>
      <w:r>
        <w:rPr>
          <w:noProof/>
        </w:rPr>
        <w:fldChar w:fldCharType="end"/>
      </w:r>
      <w:r>
        <w:rPr>
          <w:noProof/>
        </w:rPr>
        <w:t xml:space="preserve"> Modification of the IA report in response to RSB recommendations</w:t>
      </w:r>
    </w:p>
    <w:tbl>
      <w:tblPr>
        <w:tblStyle w:val="LightShading-Accent11"/>
        <w:tblW w:w="4712" w:type="pct"/>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5065"/>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hideMark/>
          </w:tcPr>
          <w:p>
            <w:pPr>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rPr>
              <w:t>RSB recommendations</w:t>
            </w:r>
          </w:p>
        </w:tc>
        <w:tc>
          <w:tcPr>
            <w:tcW w:w="2985" w:type="pct"/>
            <w:tcBorders>
              <w:top w:val="single" w:sz="4" w:space="0" w:color="auto"/>
              <w:left w:val="single" w:sz="4" w:space="0" w:color="auto"/>
              <w:bottom w:val="single" w:sz="4" w:space="0" w:color="auto"/>
              <w:right w:val="single" w:sz="4" w:space="0" w:color="auto"/>
            </w:tcBorders>
            <w:hideMark/>
          </w:tcPr>
          <w:p>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Modification of the IA report</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hideMark/>
          </w:tcPr>
          <w:p>
            <w:pPr>
              <w:spacing w:after="120"/>
              <w:jc w:val="center"/>
              <w:rPr>
                <w:rFonts w:ascii="Times New Roman" w:hAnsi="Times New Roman" w:cs="Times New Roman"/>
                <w:noProof/>
                <w:color w:val="auto"/>
                <w:sz w:val="20"/>
                <w:szCs w:val="20"/>
              </w:rPr>
            </w:pPr>
            <w:r>
              <w:rPr>
                <w:rFonts w:ascii="Times New Roman" w:hAnsi="Times New Roman" w:cs="Times New Roman"/>
                <w:noProof/>
                <w:color w:val="auto"/>
                <w:sz w:val="20"/>
                <w:szCs w:val="20"/>
                <w:lang w:bidi="en-US"/>
              </w:rPr>
              <w:t>Main considerations</w:t>
            </w: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 xml:space="preserve">(1) The report does not sufficiently stress the importance of getting maritime renewable fuel technologies ready in time to reach the post-2030 climate target. </w:t>
            </w:r>
          </w:p>
        </w:tc>
        <w:tc>
          <w:tcPr>
            <w:tcW w:w="2985" w:type="pct"/>
            <w:tcBorders>
              <w:top w:val="single" w:sz="4" w:space="0" w:color="auto"/>
              <w:left w:val="single" w:sz="4" w:space="0" w:color="auto"/>
              <w:bottom w:val="single" w:sz="4" w:space="0" w:color="auto"/>
              <w:right w:val="single" w:sz="4" w:space="0" w:color="auto"/>
            </w:tcBorders>
          </w:tcPr>
          <w:p>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An explicit reference to the need for increase uptake of RLF in order to reach the post-2030 climate targets has been added in section 2.3. </w:t>
            </w:r>
          </w:p>
          <w:p>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Furthermore, section 5.3.1 explains the need for the legislative instrument to establish the necessary conditions for lead markets to start emerging as rapidly as possible and to support the deployment of new fuel technologies to deliver on the post-2030 climate objectives</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 xml:space="preserve">(2) The report is not clear enough about the uncertainties underlying the impact assessment. </w:t>
            </w:r>
          </w:p>
        </w:tc>
        <w:tc>
          <w:tcPr>
            <w:tcW w:w="2985" w:type="pct"/>
            <w:tcBorders>
              <w:top w:val="single" w:sz="4" w:space="0" w:color="auto"/>
              <w:left w:val="single" w:sz="4" w:space="0" w:color="auto"/>
              <w:bottom w:val="single" w:sz="4" w:space="0" w:color="auto"/>
              <w:right w:val="single" w:sz="4" w:space="0" w:color="auto"/>
            </w:tcBorders>
          </w:tcPr>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An explicit reference to uncertainties has been added in the introduction of section 6 that points out to the methodology described in Annex 4. Additional paragraphs highlighting the uncertainties have been added in sections 6.1.2 and 7.2.</w:t>
            </w:r>
          </w:p>
        </w:tc>
      </w:tr>
      <w:t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tcPr>
          <w:p>
            <w:pPr>
              <w:spacing w:after="120"/>
              <w:jc w:val="center"/>
              <w:rPr>
                <w:rFonts w:ascii="Times New Roman" w:hAnsi="Times New Roman" w:cs="Times New Roman"/>
                <w:b w:val="0"/>
                <w:noProof/>
                <w:color w:val="auto"/>
                <w:sz w:val="20"/>
                <w:szCs w:val="20"/>
              </w:rPr>
            </w:pPr>
            <w:r>
              <w:rPr>
                <w:rFonts w:ascii="Times New Roman" w:hAnsi="Times New Roman" w:cs="Times New Roman"/>
                <w:noProof/>
                <w:color w:val="auto"/>
                <w:sz w:val="20"/>
                <w:szCs w:val="20"/>
              </w:rPr>
              <w:t>Adjustment requirements</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(1) The report should briefly explain why the transport sector should reduce its CO</w:t>
            </w:r>
            <w:r>
              <w:rPr>
                <w:rFonts w:ascii="Times New Roman" w:hAnsi="Times New Roman" w:cs="Times New Roman"/>
                <w:noProof/>
                <w:sz w:val="20"/>
                <w:szCs w:val="20"/>
                <w:vertAlign w:val="subscript"/>
              </w:rPr>
              <w:t>2</w:t>
            </w:r>
            <w:r>
              <w:rPr>
                <w:rFonts w:ascii="Times New Roman" w:hAnsi="Times New Roman" w:cs="Times New Roman"/>
                <w:b w:val="0"/>
                <w:noProof/>
                <w:color w:val="auto"/>
                <w:sz w:val="20"/>
                <w:szCs w:val="20"/>
                <w:vertAlign w:val="subscript"/>
              </w:rPr>
              <w:t xml:space="preserve"> </w:t>
            </w:r>
            <w:r>
              <w:rPr>
                <w:rFonts w:ascii="Times New Roman" w:hAnsi="Times New Roman" w:cs="Times New Roman"/>
                <w:b w:val="0"/>
                <w:noProof/>
                <w:color w:val="auto"/>
                <w:sz w:val="20"/>
                <w:szCs w:val="20"/>
              </w:rPr>
              <w:t xml:space="preserve">emissions only by 90% by 2050. It should similarly clarify how this margin has been distributed across the transport sectors. </w:t>
            </w:r>
          </w:p>
        </w:tc>
        <w:tc>
          <w:tcPr>
            <w:tcW w:w="2985" w:type="pct"/>
            <w:tcBorders>
              <w:top w:val="single" w:sz="4" w:space="0" w:color="auto"/>
              <w:left w:val="single" w:sz="4" w:space="0" w:color="auto"/>
              <w:bottom w:val="single" w:sz="4" w:space="0" w:color="auto"/>
              <w:right w:val="single" w:sz="4" w:space="0" w:color="auto"/>
            </w:tcBorders>
          </w:tcPr>
          <w:p>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Details have been added in Section 1.5.2.2 on the implications of meeting th European Green Deal objectives for the transport sector in general and for the maritime transport in particular. </w:t>
            </w: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 xml:space="preserve">(2) The report discusses the relation between the demand-side measures in the maritime sector and the cost-efficient emissions trading system, and compares the cost-efficiency and cost-effectiveness of the options. However, the report and executive summary should highlight more prominently that the choice for the preferred option is determined by the need to create lead markets for new fuel technologies to deliver on the post-2030 climate objectives. It should better explain how the monitoring and evaluation arrangements will help ensure complementarity between the various policy initiatives over time. </w:t>
            </w:r>
          </w:p>
        </w:tc>
        <w:tc>
          <w:tcPr>
            <w:tcW w:w="2985" w:type="pct"/>
            <w:tcBorders>
              <w:top w:val="single" w:sz="4" w:space="0" w:color="auto"/>
              <w:left w:val="single" w:sz="4" w:space="0" w:color="auto"/>
              <w:bottom w:val="single" w:sz="4" w:space="0" w:color="auto"/>
              <w:right w:val="single" w:sz="4" w:space="0" w:color="auto"/>
            </w:tcBorders>
          </w:tcPr>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A specific reference has been added to section 5.3.1 on the need for the legislative instrument to establish the necessary conditions for lead markets to start emerging as rapidly as possible and to support the deployment of new fuel technologies to deliver on the post-2030 climate objectives.</w:t>
            </w:r>
          </w:p>
        </w:tc>
      </w:tr>
      <w:tr>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(3) The report should be more transparent about uncertainities underlying the analysis. In particular, it should discuss uncertainties in the costs of renewable fuels and the demand by other sectors, and their possible effects on the greening and competitiveness of the maritime sector. It could also be more nuanced on the expected effects of the preferred option’s scheme for over-achievers on stimulating new technologies, by better aligning the text with the presented scenario outcomes.</w:t>
            </w:r>
          </w:p>
        </w:tc>
        <w:tc>
          <w:tcPr>
            <w:tcW w:w="2985" w:type="pct"/>
            <w:tcBorders>
              <w:top w:val="single" w:sz="4" w:space="0" w:color="auto"/>
              <w:left w:val="single" w:sz="4" w:space="0" w:color="auto"/>
              <w:bottom w:val="single" w:sz="4" w:space="0" w:color="auto"/>
              <w:right w:val="single" w:sz="4" w:space="0" w:color="auto"/>
            </w:tcBorders>
          </w:tcPr>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auto"/>
                <w:sz w:val="20"/>
                <w:szCs w:val="20"/>
              </w:rPr>
            </w:pPr>
            <w:r>
              <w:rPr>
                <w:rFonts w:ascii="Times New Roman" w:hAnsi="Times New Roman" w:cs="Times New Roman"/>
                <w:noProof/>
                <w:color w:val="auto"/>
                <w:sz w:val="20"/>
                <w:szCs w:val="20"/>
              </w:rPr>
              <w:t xml:space="preserve">An explicit reference to uncertainties has been added in the introduction of section 6 that points out to the methodology described in Annex 4. Additional paragraphs highlighting the uncertainties have been added in sections 6.1.2 and 7.2. </w:t>
            </w:r>
          </w:p>
          <w:p>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noProof/>
                <w:color w:val="auto"/>
                <w:sz w:val="20"/>
                <w:szCs w:val="20"/>
              </w:rPr>
            </w:pPr>
            <w:r>
              <w:rPr>
                <w:rFonts w:ascii="Times New Roman" w:hAnsi="Times New Roman" w:cs="Times New Roman"/>
                <w:noProof/>
                <w:color w:val="auto"/>
                <w:sz w:val="20"/>
                <w:szCs w:val="20"/>
              </w:rPr>
              <w:t>Concerning the expected impact of the preferred option (mechanism to reward over-achievers) on stimulating new technologies, figures have been added to section 7.1.</w:t>
            </w:r>
          </w:p>
        </w:tc>
      </w:tr>
      <w:tr>
        <w:tc>
          <w:tcPr>
            <w:cnfStyle w:val="001000000000" w:firstRow="0" w:lastRow="0" w:firstColumn="1" w:lastColumn="0" w:oddVBand="0" w:evenVBand="0" w:oddHBand="0" w:evenHBand="0" w:firstRowFirstColumn="0" w:firstRowLastColumn="0" w:lastRowFirstColumn="0" w:lastRowLastColumn="0"/>
            <w:tcW w:w="2015" w:type="pct"/>
            <w:tcBorders>
              <w:top w:val="single" w:sz="4" w:space="0" w:color="auto"/>
              <w:left w:val="single" w:sz="4" w:space="0" w:color="auto"/>
              <w:bottom w:val="single" w:sz="4" w:space="0" w:color="auto"/>
              <w:right w:val="single" w:sz="4" w:space="0" w:color="auto"/>
            </w:tcBorders>
          </w:tcPr>
          <w:p>
            <w:pPr>
              <w:spacing w:after="120"/>
              <w:jc w:val="both"/>
              <w:rPr>
                <w:rFonts w:ascii="Times New Roman" w:hAnsi="Times New Roman" w:cs="Times New Roman"/>
                <w:b w:val="0"/>
                <w:noProof/>
                <w:color w:val="auto"/>
                <w:sz w:val="20"/>
                <w:szCs w:val="20"/>
              </w:rPr>
            </w:pPr>
            <w:r>
              <w:rPr>
                <w:rFonts w:ascii="Times New Roman" w:hAnsi="Times New Roman" w:cs="Times New Roman"/>
                <w:b w:val="0"/>
                <w:noProof/>
                <w:color w:val="auto"/>
                <w:sz w:val="20"/>
                <w:szCs w:val="20"/>
              </w:rPr>
              <w:t>(4) The report should better justify why it excludes smaller ships and certain categories of ships (e.g. fishing vessels) from the scope of the intiative, as this would significantly limit the reduction of particulate matter emissions. The report should also consider to what extent exempted ships could be affected by the supply measures of the (to be revised) Renewable Energy Directive, as their smaller size limits their bunkering capacity.</w:t>
            </w:r>
          </w:p>
        </w:tc>
        <w:tc>
          <w:tcPr>
            <w:tcW w:w="2985" w:type="pct"/>
            <w:tcBorders>
              <w:top w:val="single" w:sz="4" w:space="0" w:color="auto"/>
              <w:left w:val="single" w:sz="4" w:space="0" w:color="auto"/>
              <w:bottom w:val="single" w:sz="4" w:space="0" w:color="auto"/>
              <w:right w:val="single" w:sz="4" w:space="0" w:color="auto"/>
            </w:tcBorders>
          </w:tcPr>
          <w:p>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auto"/>
                <w:sz w:val="20"/>
                <w:szCs w:val="20"/>
              </w:rPr>
            </w:pPr>
            <w:r>
              <w:rPr>
                <w:rFonts w:ascii="Times New Roman" w:hAnsi="Times New Roman" w:cs="Times New Roman"/>
                <w:noProof/>
                <w:color w:val="auto"/>
                <w:sz w:val="20"/>
                <w:szCs w:val="20"/>
              </w:rPr>
              <w:t xml:space="preserve">Further clarifications have been added in Section 5.2.3 on the size of ships considered under the initiative and possible links with specific measures on supply. </w:t>
            </w:r>
          </w:p>
        </w:tc>
      </w:tr>
    </w:tbl>
    <w:p>
      <w:pPr>
        <w:jc w:val="both"/>
        <w:rPr>
          <w:rFonts w:ascii="Times New Roman" w:hAnsi="Times New Roman" w:cs="Times New Roman"/>
          <w:noProof/>
          <w:sz w:val="24"/>
          <w:szCs w:val="24"/>
        </w:rPr>
      </w:pPr>
    </w:p>
    <w:p>
      <w:pPr>
        <w:pStyle w:val="Heading1"/>
        <w:rPr>
          <w:noProof/>
        </w:rPr>
      </w:pPr>
      <w:bookmarkStart w:id="398" w:name="_Toc471997758"/>
      <w:bookmarkStart w:id="399" w:name="_Toc49520312"/>
      <w:bookmarkStart w:id="400" w:name="_Toc57907320"/>
      <w:bookmarkStart w:id="401" w:name="_Toc59152656"/>
      <w:bookmarkStart w:id="402" w:name="_Toc63426170"/>
      <w:bookmarkStart w:id="403" w:name="_Toc63438516"/>
      <w:r>
        <w:rPr>
          <w:noProof/>
        </w:rPr>
        <w:t>Evidence, sources and quality</w:t>
      </w:r>
      <w:bookmarkEnd w:id="398"/>
      <w:bookmarkEnd w:id="399"/>
      <w:bookmarkEnd w:id="400"/>
      <w:bookmarkEnd w:id="401"/>
      <w:bookmarkEnd w:id="402"/>
      <w:bookmarkEnd w:id="403"/>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impact assessment is based on research/analyses done by the Commission with support of EMSA. The Commission also contracted an external, independent consultant (Ecorys and CE Delft) to support this impact assessment. The external support study will be published alongside this report.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Qualitative and quantitative data supporting this impact assessment has been collected from Member States, shipping owners and operators, ports, fuel and technology producers, academia and non-governmental organisations.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Modelling of the policy options in a consistent way with the scenarios prepared in support of the Climate Target Plan has been performed by E3Modelling with the PRIMES model, including its PRIMES-TREMOVE and PRIMES-Maritime modules. Specific analysis on the risk of carbon leakage in the introduction of extra-EU journeys in the scope of the policy options has been carried out by TRT with the TRUST model. </w:t>
      </w:r>
    </w:p>
    <w:p>
      <w:pPr>
        <w:jc w:val="both"/>
        <w:rPr>
          <w:rFonts w:ascii="Times New Roman" w:hAnsi="Times New Roman" w:cs="Times New Roman"/>
          <w:noProof/>
          <w:sz w:val="24"/>
          <w:szCs w:val="24"/>
        </w:rPr>
      </w:pPr>
      <w:r>
        <w:rPr>
          <w:rFonts w:ascii="Times New Roman" w:hAnsi="Times New Roman" w:cs="Times New Roman"/>
          <w:noProof/>
          <w:sz w:val="24"/>
          <w:szCs w:val="24"/>
        </w:rPr>
        <w:t>This report also draws on the activities of two Commission’s expert groups, namely the European Ports Forum</w:t>
      </w:r>
      <w:r>
        <w:rPr>
          <w:rStyle w:val="FootnoteReference"/>
          <w:rFonts w:ascii="Times New Roman" w:hAnsi="Times New Roman" w:cs="Times New Roman"/>
          <w:noProof/>
          <w:sz w:val="24"/>
          <w:szCs w:val="24"/>
        </w:rPr>
        <w:footnoteReference w:id="137"/>
      </w:r>
      <w:r>
        <w:rPr>
          <w:rFonts w:ascii="Times New Roman" w:hAnsi="Times New Roman" w:cs="Times New Roman"/>
          <w:noProof/>
          <w:sz w:val="24"/>
          <w:szCs w:val="24"/>
        </w:rPr>
        <w:t xml:space="preserve"> (EPF) and the European Sustainable Shipping Forum</w:t>
      </w:r>
      <w:r>
        <w:rPr>
          <w:rStyle w:val="FootnoteReference"/>
          <w:rFonts w:ascii="Times New Roman" w:hAnsi="Times New Roman" w:cs="Times New Roman"/>
          <w:noProof/>
          <w:sz w:val="24"/>
          <w:szCs w:val="24"/>
        </w:rPr>
        <w:footnoteReference w:id="138"/>
      </w:r>
      <w:r>
        <w:rPr>
          <w:rFonts w:ascii="Times New Roman" w:hAnsi="Times New Roman" w:cs="Times New Roman"/>
          <w:noProof/>
          <w:sz w:val="24"/>
          <w:szCs w:val="24"/>
        </w:rPr>
        <w:t xml:space="preserve"> (ESSF), in particular its sub-group on Sustainable Alternative Power for Shipping. </w:t>
      </w:r>
    </w:p>
    <w:p>
      <w:pPr>
        <w:rPr>
          <w:rFonts w:ascii="Times New Roman" w:hAnsi="Times New Roman" w:cs="Times New Roman"/>
          <w:noProof/>
        </w:rPr>
      </w:pPr>
    </w:p>
    <w:p>
      <w:pPr>
        <w:pStyle w:val="Text1"/>
        <w:rPr>
          <w:noProof/>
        </w:rPr>
      </w:pPr>
    </w:p>
    <w:p>
      <w:pPr>
        <w:rPr>
          <w:rFonts w:ascii="Times New Roman" w:eastAsia="Times New Roman" w:hAnsi="Times New Roman" w:cs="Times New Roman"/>
          <w:noProof/>
          <w:sz w:val="24"/>
          <w:szCs w:val="20"/>
        </w:rPr>
      </w:pPr>
      <w:r>
        <w:rPr>
          <w:rFonts w:ascii="Times New Roman" w:hAnsi="Times New Roman" w:cs="Times New Roman"/>
          <w:noProof/>
        </w:rPr>
        <w:br w:type="page"/>
      </w:r>
    </w:p>
    <w:p>
      <w:pPr>
        <w:pStyle w:val="AnnexTitle"/>
        <w:spacing w:line="276" w:lineRule="auto"/>
        <w:rPr>
          <w:noProof/>
        </w:rPr>
      </w:pPr>
      <w:bookmarkStart w:id="404" w:name="_Toc49520313"/>
      <w:bookmarkStart w:id="405" w:name="_Toc57907321"/>
      <w:bookmarkStart w:id="406" w:name="_Toc59152657"/>
      <w:bookmarkStart w:id="407" w:name="_Toc63426171"/>
      <w:bookmarkStart w:id="408" w:name="_Toc63438517"/>
      <w:r>
        <w:rPr>
          <w:noProof/>
        </w:rPr>
        <w:t>Annex 2: Stakeholder consultation</w:t>
      </w:r>
      <w:bookmarkEnd w:id="404"/>
      <w:bookmarkEnd w:id="405"/>
      <w:bookmarkEnd w:id="406"/>
      <w:bookmarkEnd w:id="407"/>
      <w:bookmarkEnd w:id="408"/>
      <w:r>
        <w:rPr>
          <w:noProof/>
        </w:rPr>
        <w:t xml:space="preserve">  </w:t>
      </w:r>
    </w:p>
    <w:p>
      <w:pPr>
        <w:pStyle w:val="Heading1"/>
        <w:numPr>
          <w:ilvl w:val="0"/>
          <w:numId w:val="47"/>
        </w:numPr>
        <w:spacing w:line="276" w:lineRule="auto"/>
        <w:rPr>
          <w:noProof/>
          <w:szCs w:val="24"/>
          <w:lang w:val="fr-BE"/>
        </w:rPr>
      </w:pPr>
      <w:bookmarkStart w:id="409" w:name="_Toc59152658"/>
      <w:bookmarkStart w:id="410" w:name="_Toc63426172"/>
      <w:bookmarkStart w:id="411" w:name="_Toc63438518"/>
      <w:r>
        <w:rPr>
          <w:noProof/>
        </w:rPr>
        <w:t>Introduction</w:t>
      </w:r>
      <w:bookmarkEnd w:id="409"/>
      <w:bookmarkEnd w:id="410"/>
      <w:bookmarkEnd w:id="411"/>
      <w:r>
        <w:rPr>
          <w:noProof/>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This annex provides a summary of the outcome of the consultation activities, which have been carried out for the FuelEU Maritime initiative (including in the context of the external support study). It provides a basic analysis of the range of stakeholder groups that were engaged in those activities and a summary of the main issues that they raised.</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objectives of the consultation activities were to: </w:t>
      </w:r>
    </w:p>
    <w:p>
      <w:pPr>
        <w:pStyle w:val="ListParagraph"/>
        <w:numPr>
          <w:ilvl w:val="0"/>
          <w:numId w:val="45"/>
        </w:numPr>
        <w:jc w:val="both"/>
        <w:rPr>
          <w:rFonts w:ascii="Times New Roman" w:hAnsi="Times New Roman" w:cs="Times New Roman"/>
          <w:noProof/>
          <w:sz w:val="24"/>
          <w:szCs w:val="24"/>
        </w:rPr>
      </w:pPr>
      <w:r>
        <w:rPr>
          <w:rFonts w:ascii="Times New Roman" w:hAnsi="Times New Roman" w:cs="Times New Roman"/>
          <w:noProof/>
          <w:sz w:val="24"/>
          <w:szCs w:val="24"/>
        </w:rPr>
        <w:t xml:space="preserve">Collect stakeholder views on draft policy measures and policy options (POs) discussed in this impact assessment; </w:t>
      </w:r>
    </w:p>
    <w:p>
      <w:pPr>
        <w:pStyle w:val="ListParagraph"/>
        <w:numPr>
          <w:ilvl w:val="0"/>
          <w:numId w:val="45"/>
        </w:numPr>
        <w:jc w:val="both"/>
        <w:rPr>
          <w:rFonts w:ascii="Times New Roman" w:hAnsi="Times New Roman" w:cs="Times New Roman"/>
          <w:noProof/>
          <w:sz w:val="24"/>
          <w:szCs w:val="24"/>
        </w:rPr>
      </w:pPr>
      <w:r>
        <w:rPr>
          <w:rFonts w:ascii="Times New Roman" w:hAnsi="Times New Roman" w:cs="Times New Roman"/>
          <w:noProof/>
          <w:sz w:val="24"/>
          <w:szCs w:val="24"/>
        </w:rPr>
        <w:t xml:space="preserve">Gather evidence on expected costs and benefits of draft policy measures; and </w:t>
      </w:r>
    </w:p>
    <w:p>
      <w:pPr>
        <w:pStyle w:val="ListParagraph"/>
        <w:numPr>
          <w:ilvl w:val="0"/>
          <w:numId w:val="45"/>
        </w:numPr>
        <w:jc w:val="both"/>
        <w:rPr>
          <w:rFonts w:ascii="Times New Roman" w:hAnsi="Times New Roman" w:cs="Times New Roman"/>
          <w:noProof/>
          <w:sz w:val="24"/>
          <w:szCs w:val="24"/>
        </w:rPr>
      </w:pPr>
      <w:r>
        <w:rPr>
          <w:rFonts w:ascii="Times New Roman" w:hAnsi="Times New Roman" w:cs="Times New Roman"/>
          <w:noProof/>
          <w:sz w:val="24"/>
          <w:szCs w:val="24"/>
        </w:rPr>
        <w:t>Help in identifying gaps in the intervention logic or areas requiring further attention.</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main consultation activities included: </w:t>
      </w:r>
    </w:p>
    <w:p>
      <w:pPr>
        <w:pStyle w:val="ListParagraph"/>
        <w:numPr>
          <w:ilvl w:val="0"/>
          <w:numId w:val="46"/>
        </w:numPr>
        <w:jc w:val="both"/>
        <w:rPr>
          <w:rStyle w:val="ecl-u-type-capitalize"/>
          <w:rFonts w:ascii="Times New Roman" w:hAnsi="Times New Roman"/>
          <w:noProof/>
          <w:sz w:val="24"/>
          <w:szCs w:val="24"/>
        </w:rPr>
      </w:pPr>
      <w:r>
        <w:rPr>
          <w:rFonts w:ascii="Times New Roman" w:hAnsi="Times New Roman" w:cs="Times New Roman"/>
          <w:noProof/>
          <w:sz w:val="24"/>
          <w:szCs w:val="24"/>
        </w:rPr>
        <w:t xml:space="preserve">An open public consultation (OPC), organised by the Commission, running from </w:t>
      </w:r>
      <w:r>
        <w:rPr>
          <w:rStyle w:val="ecl-u-type-capitalize"/>
          <w:rFonts w:ascii="Times New Roman" w:hAnsi="Times New Roman"/>
          <w:noProof/>
          <w:sz w:val="24"/>
          <w:szCs w:val="24"/>
          <w:bdr w:val="none" w:sz="0" w:space="0" w:color="auto" w:frame="1"/>
        </w:rPr>
        <w:t xml:space="preserve">2 July 2020 to 10 September 2020; </w:t>
      </w:r>
    </w:p>
    <w:p>
      <w:pPr>
        <w:pStyle w:val="ListParagraph"/>
        <w:numPr>
          <w:ilvl w:val="0"/>
          <w:numId w:val="46"/>
        </w:numPr>
        <w:jc w:val="both"/>
        <w:rPr>
          <w:rFonts w:ascii="Times New Roman" w:hAnsi="Times New Roman" w:cs="Times New Roman"/>
          <w:noProof/>
          <w:sz w:val="24"/>
          <w:szCs w:val="24"/>
        </w:rPr>
      </w:pPr>
      <w:r>
        <w:rPr>
          <w:rStyle w:val="ecl-u-type-capitalize"/>
          <w:rFonts w:ascii="Times New Roman" w:hAnsi="Times New Roman"/>
          <w:noProof/>
          <w:sz w:val="24"/>
          <w:szCs w:val="24"/>
          <w:bdr w:val="none" w:sz="0" w:space="0" w:color="auto" w:frame="1"/>
        </w:rPr>
        <w:t>A targeted stakeholders consultation (TC) organised by the consultant responsible for the impact assessment support study, running from 18 August 2020 to 18 September 2020 and directed at experts from the European Sustainable Shipping Forum (ESSF). The consultant also conducted a series of</w:t>
      </w:r>
      <w:r>
        <w:rPr>
          <w:rFonts w:ascii="Times New Roman" w:hAnsi="Times New Roman" w:cs="Times New Roman"/>
          <w:noProof/>
          <w:sz w:val="24"/>
          <w:szCs w:val="24"/>
        </w:rPr>
        <w:t xml:space="preserve"> interviews with stakeholders, including industry representatives and national authorities, between 10 July 2020 and 1 December 2020;</w:t>
      </w:r>
    </w:p>
    <w:p>
      <w:pPr>
        <w:pStyle w:val="ListParagraph"/>
        <w:numPr>
          <w:ilvl w:val="0"/>
          <w:numId w:val="46"/>
        </w:numPr>
        <w:jc w:val="both"/>
        <w:rPr>
          <w:rFonts w:ascii="Times New Roman" w:hAnsi="Times New Roman" w:cs="Times New Roman"/>
          <w:noProof/>
          <w:sz w:val="24"/>
          <w:szCs w:val="24"/>
        </w:rPr>
      </w:pPr>
      <w:r>
        <w:rPr>
          <w:rFonts w:ascii="Times New Roman" w:hAnsi="Times New Roman" w:cs="Times New Roman"/>
          <w:noProof/>
          <w:sz w:val="24"/>
          <w:szCs w:val="24"/>
        </w:rPr>
        <w:t xml:space="preserve">A stakeholders roundtable, organised by the Commission on 18 September 2020 with members of </w:t>
      </w:r>
      <w:r>
        <w:rPr>
          <w:rFonts w:ascii="Times New Roman" w:hAnsi="Times New Roman" w:cs="Times New Roman"/>
          <w:noProof/>
          <w:sz w:val="24"/>
          <w:szCs w:val="24"/>
          <w:lang w:eastAsia="en-GB"/>
        </w:rPr>
        <w:t>European Sustainable Shipping Forum</w:t>
      </w:r>
      <w:r>
        <w:rPr>
          <w:rStyle w:val="FootnoteReference"/>
          <w:rFonts w:ascii="Times New Roman" w:hAnsi="Times New Roman" w:cs="Times New Roman"/>
          <w:noProof/>
          <w:szCs w:val="24"/>
          <w:lang w:eastAsia="en-GB"/>
        </w:rPr>
        <w:footnoteReference w:id="139"/>
      </w:r>
      <w:r>
        <w:rPr>
          <w:rFonts w:ascii="Times New Roman" w:hAnsi="Times New Roman" w:cs="Times New Roman"/>
          <w:noProof/>
          <w:sz w:val="24"/>
          <w:szCs w:val="24"/>
          <w:lang w:eastAsia="en-GB"/>
        </w:rPr>
        <w:t xml:space="preserve"> (ESSF) and the European Ports Forum</w:t>
      </w:r>
      <w:r>
        <w:rPr>
          <w:rStyle w:val="FootnoteReference"/>
          <w:rFonts w:ascii="Times New Roman" w:hAnsi="Times New Roman" w:cs="Times New Roman"/>
          <w:noProof/>
          <w:szCs w:val="24"/>
          <w:lang w:eastAsia="en-GB"/>
        </w:rPr>
        <w:footnoteReference w:id="140"/>
      </w:r>
      <w:r>
        <w:rPr>
          <w:rFonts w:ascii="Times New Roman" w:hAnsi="Times New Roman" w:cs="Times New Roman"/>
          <w:noProof/>
          <w:sz w:val="24"/>
          <w:szCs w:val="24"/>
          <w:lang w:eastAsia="en-GB"/>
        </w:rPr>
        <w:t xml:space="preserve"> (EPF);</w:t>
      </w:r>
    </w:p>
    <w:p>
      <w:pPr>
        <w:pStyle w:val="ListParagraph"/>
        <w:numPr>
          <w:ilvl w:val="0"/>
          <w:numId w:val="46"/>
        </w:numPr>
        <w:jc w:val="both"/>
        <w:rPr>
          <w:rFonts w:ascii="Times New Roman" w:hAnsi="Times New Roman" w:cs="Times New Roman"/>
          <w:noProof/>
          <w:sz w:val="24"/>
          <w:szCs w:val="24"/>
        </w:rPr>
      </w:pPr>
      <w:r>
        <w:rPr>
          <w:rFonts w:ascii="Times New Roman" w:hAnsi="Times New Roman" w:cs="Times New Roman"/>
          <w:noProof/>
          <w:sz w:val="24"/>
          <w:szCs w:val="24"/>
          <w:lang w:eastAsia="en-GB"/>
        </w:rPr>
        <w:t>Regular expert group meetings.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information collected from stakeholders was key in allowing the Commission to refine the design of the POs as well as to assess their economic, social and environmental impacts, compare them and determine which PO is likely to maximize the benefits/costs ratio for the society. </w:t>
      </w:r>
    </w:p>
    <w:p>
      <w:pPr>
        <w:pStyle w:val="Heading1"/>
        <w:numPr>
          <w:ilvl w:val="0"/>
          <w:numId w:val="4"/>
        </w:numPr>
        <w:spacing w:line="276" w:lineRule="auto"/>
        <w:rPr>
          <w:noProof/>
          <w:sz w:val="20"/>
          <w:shd w:val="clear" w:color="auto" w:fill="FFFFFF"/>
        </w:rPr>
      </w:pPr>
      <w:bookmarkStart w:id="412" w:name="_Toc59152659"/>
      <w:bookmarkStart w:id="413" w:name="_Toc63426173"/>
      <w:bookmarkStart w:id="414" w:name="_Toc63438519"/>
      <w:r>
        <w:rPr>
          <w:noProof/>
        </w:rPr>
        <w:t>Feedback on the Inception Impact Assessment</w:t>
      </w:r>
      <w:bookmarkEnd w:id="412"/>
      <w:bookmarkEnd w:id="413"/>
      <w:bookmarkEnd w:id="414"/>
      <w:r>
        <w:rPr>
          <w:noProof/>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Commission received 81 replies to the Inception Impact Assessment (IIA)</w:t>
      </w:r>
      <w:r>
        <w:rPr>
          <w:rStyle w:val="FootnoteReference"/>
          <w:rFonts w:ascii="Times New Roman" w:hAnsi="Times New Roman" w:cs="Times New Roman"/>
          <w:noProof/>
          <w:sz w:val="24"/>
          <w:szCs w:val="24"/>
        </w:rPr>
        <w:footnoteReference w:id="141"/>
      </w:r>
      <w:r>
        <w:rPr>
          <w:rFonts w:ascii="Times New Roman" w:hAnsi="Times New Roman" w:cs="Times New Roman"/>
          <w:noProof/>
          <w:sz w:val="24"/>
          <w:szCs w:val="24"/>
        </w:rPr>
        <w:t xml:space="preserve"> during the public feedback period (27 March - 24 April 2020). </w:t>
      </w:r>
    </w:p>
    <w:p>
      <w:pPr>
        <w:jc w:val="both"/>
        <w:rPr>
          <w:rFonts w:ascii="Times New Roman" w:hAnsi="Times New Roman" w:cs="Times New Roman"/>
          <w:noProof/>
          <w:sz w:val="24"/>
          <w:szCs w:val="24"/>
        </w:rPr>
      </w:pPr>
      <w:r>
        <w:rPr>
          <w:rFonts w:ascii="Times New Roman" w:hAnsi="Times New Roman" w:cs="Times New Roman"/>
          <w:noProof/>
          <w:sz w:val="24"/>
          <w:szCs w:val="24"/>
          <w:lang w:val="en-US"/>
        </w:rPr>
        <w:t>Most of the feedback was submitted by companies and business associations (54/81), including beyond the “traditional” maritime stakeholders and also covering expertise on fuel supply and distribution. NGOs, academia and citizens also responded directly to the IIA publication. Several public authorities provided feedback to the IIA (DE, SP, SE, City of Stockholm).</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In general, the initiative as presented in the inception impact assessment received positive reactions. Some representatives of the sector stressed the importance to pursuing activities at global (IMO) level as well as the need to develop a series of support measures (including financial support) for boosting the uptake of alternative fuels in maritime transport. There was no clear preference emerging concerning the fuels and technologies that would ultimately provide the best pathway to reduce emissions. Concerning the regulatory approach, the majority of respondents was in favour of goal-based measures over prescriptive measures. </w:t>
      </w:r>
    </w:p>
    <w:p>
      <w:pPr>
        <w:pStyle w:val="Heading1"/>
        <w:numPr>
          <w:ilvl w:val="0"/>
          <w:numId w:val="4"/>
        </w:numPr>
        <w:spacing w:line="276" w:lineRule="auto"/>
        <w:rPr>
          <w:noProof/>
        </w:rPr>
      </w:pPr>
      <w:bookmarkStart w:id="415" w:name="_Toc59152660"/>
      <w:bookmarkStart w:id="416" w:name="_Toc63426174"/>
      <w:bookmarkStart w:id="417" w:name="_Toc63438520"/>
      <w:r>
        <w:rPr>
          <w:noProof/>
        </w:rPr>
        <w:t>Methodology</w:t>
      </w:r>
      <w:bookmarkEnd w:id="415"/>
      <w:bookmarkEnd w:id="416"/>
      <w:bookmarkEnd w:id="417"/>
    </w:p>
    <w:p>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 xml:space="preserve">Expert Group Meetings </w:t>
      </w:r>
    </w:p>
    <w:p>
      <w:pPr>
        <w:jc w:val="both"/>
        <w:rPr>
          <w:rFonts w:ascii="Times New Roman" w:hAnsi="Times New Roman" w:cs="Times New Roman"/>
          <w:noProof/>
          <w:sz w:val="24"/>
          <w:szCs w:val="24"/>
          <w:shd w:val="clear" w:color="auto" w:fill="FFFFFF"/>
        </w:rPr>
      </w:pPr>
      <w:r>
        <w:rPr>
          <w:rFonts w:ascii="Times New Roman" w:hAnsi="Times New Roman" w:cs="Times New Roman"/>
          <w:noProof/>
          <w:sz w:val="24"/>
          <w:szCs w:val="24"/>
          <w:shd w:val="clear" w:color="auto" w:fill="FFFFFF"/>
        </w:rPr>
        <w:t>As part of its consultation strategy, the Commission held several expert group meetings to gather specialised input. On these occasions, the Commission presented the FuelEU Maritime initiative and gathered stakeholders’ opinions on the proposal and the POs.</w:t>
      </w:r>
    </w:p>
    <w:p>
      <w:pPr>
        <w:jc w:val="both"/>
        <w:rPr>
          <w:rFonts w:ascii="Times New Roman" w:hAnsi="Times New Roman" w:cs="Times New Roman"/>
          <w:noProof/>
          <w:sz w:val="24"/>
          <w:szCs w:val="24"/>
          <w:lang w:val="en-US" w:eastAsia="en-GB"/>
        </w:rPr>
      </w:pPr>
      <w:r>
        <w:rPr>
          <w:rFonts w:ascii="Times New Roman" w:hAnsi="Times New Roman" w:cs="Times New Roman"/>
          <w:noProof/>
          <w:sz w:val="24"/>
          <w:szCs w:val="24"/>
          <w:lang w:val="en-US" w:eastAsia="en-GB"/>
        </w:rPr>
        <w:t>On 2 March 2020, the Commission</w:t>
      </w:r>
      <w:r>
        <w:rPr>
          <w:rFonts w:ascii="Times New Roman" w:hAnsi="Times New Roman" w:cs="Times New Roman"/>
          <w:noProof/>
          <w:sz w:val="24"/>
          <w:szCs w:val="24"/>
          <w:lang w:eastAsia="en-GB"/>
        </w:rPr>
        <w:t xml:space="preserve"> consulted a targeted group of stakeholders in the </w:t>
      </w:r>
      <w:r>
        <w:rPr>
          <w:rFonts w:ascii="Times New Roman" w:hAnsi="Times New Roman" w:cs="Times New Roman"/>
          <w:noProof/>
          <w:sz w:val="24"/>
          <w:szCs w:val="24"/>
          <w:lang w:val="en-US" w:eastAsia="en-GB"/>
        </w:rPr>
        <w:t>sub-group Sustainable Alternative Power for Shipping (SAPS) in the context of the ESSF</w:t>
      </w:r>
      <w:r>
        <w:rPr>
          <w:rFonts w:ascii="Times New Roman" w:hAnsi="Times New Roman" w:cs="Times New Roman"/>
          <w:noProof/>
          <w:sz w:val="24"/>
          <w:szCs w:val="24"/>
          <w:lang w:eastAsia="en-GB"/>
        </w:rPr>
        <w:t xml:space="preserve">. The meeting was attended by approximately 60 participants. </w:t>
      </w:r>
      <w:r>
        <w:rPr>
          <w:rFonts w:ascii="Times New Roman" w:hAnsi="Times New Roman" w:cs="Times New Roman"/>
          <w:noProof/>
          <w:sz w:val="24"/>
          <w:szCs w:val="24"/>
          <w:lang w:val="en-US" w:eastAsia="en-GB"/>
        </w:rPr>
        <w:t xml:space="preserve">On this occasion, several stakeholders such as </w:t>
      </w:r>
      <w:r>
        <w:rPr>
          <w:rFonts w:ascii="Times New Roman" w:hAnsi="Times New Roman" w:cs="Times New Roman"/>
          <w:noProof/>
          <w:sz w:val="24"/>
          <w:szCs w:val="24"/>
          <w:lang w:val="en-US"/>
        </w:rPr>
        <w:t xml:space="preserve">individual independent experts, associations, </w:t>
      </w:r>
      <w:r>
        <w:rPr>
          <w:rFonts w:ascii="Times New Roman" w:hAnsi="Times New Roman" w:cs="Times New Roman"/>
          <w:noProof/>
          <w:sz w:val="24"/>
          <w:szCs w:val="24"/>
          <w:lang w:eastAsia="en-GB"/>
        </w:rPr>
        <w:t>third country authorities and Member States representatives</w:t>
      </w:r>
      <w:r>
        <w:rPr>
          <w:rFonts w:ascii="Times New Roman" w:hAnsi="Times New Roman" w:cs="Times New Roman"/>
          <w:noProof/>
          <w:sz w:val="24"/>
          <w:szCs w:val="24"/>
          <w:lang w:val="en-US" w:eastAsia="en-GB"/>
        </w:rPr>
        <w:t xml:space="preserve"> participated (BE, DE, DK, ES, FI, FR, HR, IE, LT, NL, PT and SE). They welcomed the initiative and many participants confirmed their availability to support the work by sharing their knowledge. </w:t>
      </w:r>
    </w:p>
    <w:p>
      <w:pPr>
        <w:jc w:val="both"/>
        <w:rPr>
          <w:rFonts w:ascii="Times New Roman" w:hAnsi="Times New Roman" w:cs="Times New Roman"/>
          <w:noProof/>
          <w:sz w:val="24"/>
          <w:szCs w:val="24"/>
          <w:lang w:val="en-US" w:eastAsia="en-GB"/>
        </w:rPr>
      </w:pPr>
      <w:r>
        <w:rPr>
          <w:rFonts w:ascii="Times New Roman" w:hAnsi="Times New Roman" w:cs="Times New Roman"/>
          <w:noProof/>
          <w:sz w:val="24"/>
          <w:szCs w:val="24"/>
          <w:lang w:eastAsia="en-GB"/>
        </w:rPr>
        <w:t xml:space="preserve">On 4 March 2020, the Commission consulted the EPF Plenary. </w:t>
      </w:r>
      <w:r>
        <w:rPr>
          <w:rFonts w:ascii="Times New Roman" w:hAnsi="Times New Roman" w:cs="Times New Roman"/>
          <w:noProof/>
          <w:sz w:val="24"/>
          <w:szCs w:val="24"/>
          <w:lang w:val="en-US" w:eastAsia="en-GB"/>
        </w:rPr>
        <w:t xml:space="preserve">The meeting gathered </w:t>
      </w:r>
      <w:r>
        <w:rPr>
          <w:rFonts w:ascii="Times New Roman" w:hAnsi="Times New Roman" w:cs="Times New Roman"/>
          <w:noProof/>
          <w:sz w:val="24"/>
          <w:szCs w:val="24"/>
          <w:lang w:val="en-US"/>
        </w:rPr>
        <w:t>ports associations</w:t>
      </w:r>
      <w:r>
        <w:rPr>
          <w:rFonts w:ascii="Times New Roman" w:hAnsi="Times New Roman" w:cs="Times New Roman"/>
          <w:noProof/>
          <w:sz w:val="24"/>
          <w:szCs w:val="24"/>
          <w:lang w:val="en-US" w:eastAsia="en-GB"/>
        </w:rPr>
        <w:t xml:space="preserve"> and representatives from Member States (BE, DK, EL, ES, FR, LV, MT, IE, PL and RO).</w:t>
      </w:r>
      <w:r>
        <w:rPr>
          <w:rFonts w:ascii="Times New Roman" w:hAnsi="Times New Roman" w:cs="Times New Roman"/>
          <w:noProof/>
          <w:sz w:val="24"/>
          <w:szCs w:val="24"/>
          <w:lang w:eastAsia="en-GB"/>
        </w:rPr>
        <w:t xml:space="preserve"> </w:t>
      </w:r>
      <w:r>
        <w:rPr>
          <w:rFonts w:ascii="Times New Roman" w:hAnsi="Times New Roman" w:cs="Times New Roman"/>
          <w:noProof/>
          <w:sz w:val="24"/>
          <w:szCs w:val="24"/>
          <w:lang w:val="en-US" w:eastAsia="en-GB"/>
        </w:rPr>
        <w:t xml:space="preserve">The 38 participants stressed that clarity and certainty about the fuels of the future is crucial for first movers and investors. The importance of port call optimization was also mentioned as important, which, besides the maritime sector, requires cooperation between all port stakeholders. </w:t>
      </w:r>
    </w:p>
    <w:p>
      <w:pPr>
        <w:jc w:val="both"/>
        <w:rPr>
          <w:rFonts w:ascii="Times New Roman" w:hAnsi="Times New Roman" w:cs="Times New Roman"/>
          <w:noProof/>
          <w:sz w:val="24"/>
          <w:szCs w:val="24"/>
        </w:rPr>
      </w:pPr>
      <w:r>
        <w:rPr>
          <w:rFonts w:ascii="Times New Roman" w:hAnsi="Times New Roman" w:cs="Times New Roman"/>
          <w:noProof/>
          <w:sz w:val="24"/>
          <w:szCs w:val="24"/>
          <w:lang w:val="en-US" w:eastAsia="en-GB"/>
        </w:rPr>
        <w:t xml:space="preserve">On 17 June 2020, another ESSF SAPS sub-group meeting was held with </w:t>
      </w:r>
      <w:r>
        <w:rPr>
          <w:rFonts w:ascii="Times New Roman" w:hAnsi="Times New Roman" w:cs="Times New Roman"/>
          <w:noProof/>
          <w:sz w:val="24"/>
          <w:szCs w:val="24"/>
          <w:lang w:val="en-US"/>
        </w:rPr>
        <w:t xml:space="preserve">individual independent experts, associations, </w:t>
      </w:r>
      <w:r>
        <w:rPr>
          <w:rFonts w:ascii="Times New Roman" w:hAnsi="Times New Roman" w:cs="Times New Roman"/>
          <w:noProof/>
          <w:sz w:val="24"/>
          <w:szCs w:val="24"/>
          <w:lang w:eastAsia="en-GB"/>
        </w:rPr>
        <w:t xml:space="preserve">third country authorities and </w:t>
      </w:r>
      <w:r>
        <w:rPr>
          <w:rFonts w:ascii="Times New Roman" w:hAnsi="Times New Roman" w:cs="Times New Roman"/>
          <w:noProof/>
          <w:sz w:val="24"/>
          <w:szCs w:val="24"/>
          <w:lang w:val="en-US" w:eastAsia="en-GB"/>
        </w:rPr>
        <w:t>Member States representatives (BE, DE, DK, ES, FI, FR, HR, IE, LT, NL, PT and SE) making up approximately 80 participants. The meeting focused on discussions on the feedback from the IIA.</w:t>
      </w:r>
      <w:r>
        <w:rPr>
          <w:rFonts w:ascii="Times New Roman" w:hAnsi="Times New Roman" w:cs="Times New Roman"/>
          <w:noProof/>
          <w:sz w:val="24"/>
          <w:szCs w:val="24"/>
        </w:rPr>
        <w:t xml:space="preserve"> The participants noted suggestions concerning predictability for first movers and investors, mandatory requirements with regards to the availability of OPS for the ports, highlighted that requirements should target different ship types and ship sizes, and expressed preferences for a goal-based approach where port incentive schemes decided by port managing bodies would be one way to support it.</w:t>
      </w:r>
    </w:p>
    <w:p>
      <w:pPr>
        <w:jc w:val="both"/>
        <w:rPr>
          <w:rFonts w:ascii="Times New Roman" w:hAnsi="Times New Roman" w:cs="Times New Roman"/>
          <w:noProof/>
          <w:sz w:val="24"/>
          <w:szCs w:val="24"/>
          <w:lang w:val="en-US"/>
        </w:rPr>
      </w:pPr>
      <w:r>
        <w:rPr>
          <w:rFonts w:ascii="Times New Roman" w:hAnsi="Times New Roman" w:cs="Times New Roman"/>
          <w:noProof/>
          <w:sz w:val="24"/>
          <w:szCs w:val="24"/>
          <w:lang w:eastAsia="en-GB"/>
        </w:rPr>
        <w:t>On 18 September 2020, a joint ESSF and the EPF</w:t>
      </w:r>
      <w:r>
        <w:rPr>
          <w:rFonts w:ascii="Times New Roman" w:hAnsi="Times New Roman" w:cs="Times New Roman"/>
          <w:noProof/>
          <w:sz w:val="24"/>
          <w:szCs w:val="24"/>
          <w:lang w:val="en-US"/>
        </w:rPr>
        <w:t xml:space="preserve"> Roundtable took place with approximately 150 participants. The ESSF plenary, the ESSF SAPS sub-group, the EPF plenary and the EPF sub-group Sustainable Ports were invited. Present on this occasion were associations representing ports, ship owners and operators, equipment manufacturers, bunker suppliers, industry, trade unions, </w:t>
      </w:r>
      <w:r>
        <w:rPr>
          <w:rFonts w:ascii="Times New Roman" w:hAnsi="Times New Roman" w:cs="Times New Roman"/>
          <w:noProof/>
          <w:sz w:val="24"/>
          <w:szCs w:val="24"/>
          <w:lang w:eastAsia="en-GB"/>
        </w:rPr>
        <w:t>third country authorities, individual independent experts and Member States representatives (CY, FR, IE, IT, PL, PT and SE). Following information-sharing about the initiative and the preliminary outcome of the impact assessment, the Roundtable meeting</w:t>
      </w:r>
      <w:r>
        <w:rPr>
          <w:rFonts w:ascii="Times New Roman" w:hAnsi="Times New Roman" w:cs="Times New Roman"/>
          <w:noProof/>
          <w:sz w:val="24"/>
          <w:szCs w:val="24"/>
          <w:lang w:val="en-US"/>
        </w:rPr>
        <w:t xml:space="preserve"> was split into two panel sessions, covering both the role of FuelEU Maritime in the sector’s decarbonisation strategy, and how to ramp-up sustainable alternative fuels through FuelEU Maritime. The participants stressed the importance of a stable regulatory framework with sufficient flexibility for a sector where there was no “one size fits all” and the need to act rapidly on a measure stimulating demand. </w:t>
      </w:r>
    </w:p>
    <w:p>
      <w:pPr>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On 4 December 2020, the ESSF Plenary was informed about progress on the development of the FuelEU Maritime initiative. On 8 December 2020, the final ESSF SAPS sub-group meeting of the year was held with approximately 80 participants. In a poll about the updated policy options in which half the participants responded, the new PO 3 came out as the preferred approach with 53 % in favour (while 8 % expressed support for a prescriptive approach (PO1), 23 % for a goal-based approach (PO2)).</w:t>
      </w:r>
    </w:p>
    <w:p>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 xml:space="preserve">Open Public Consultation </w:t>
      </w:r>
    </w:p>
    <w:p>
      <w:pPr>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The OPC was launched on </w:t>
      </w:r>
      <w:r>
        <w:rPr>
          <w:rStyle w:val="ecl-u-type-capitalize"/>
          <w:rFonts w:ascii="Times New Roman" w:hAnsi="Times New Roman"/>
          <w:noProof/>
          <w:sz w:val="24"/>
          <w:szCs w:val="24"/>
          <w:bdr w:val="none" w:sz="0" w:space="0" w:color="auto" w:frame="1"/>
        </w:rPr>
        <w:t>2 July 2020 and closed on 10 September 2020</w:t>
      </w:r>
      <w:r>
        <w:rPr>
          <w:rFonts w:ascii="Times New Roman" w:hAnsi="Times New Roman" w:cs="Times New Roman"/>
          <w:noProof/>
          <w:sz w:val="24"/>
          <w:szCs w:val="24"/>
          <w:lang w:val="en-US"/>
        </w:rPr>
        <w:t>. Given the importance of the measure including in the recovery from the crisis, the OPC has been open for a period of 10 weeks instead of the standard 12 weeks.</w:t>
      </w:r>
    </w:p>
    <w:p>
      <w:pPr>
        <w:jc w:val="both"/>
        <w:rPr>
          <w:rFonts w:ascii="Times New Roman" w:hAnsi="Times New Roman" w:cs="Times New Roman"/>
          <w:noProof/>
          <w:sz w:val="24"/>
          <w:szCs w:val="24"/>
          <w:lang w:eastAsia="en-GB"/>
        </w:rPr>
      </w:pPr>
      <w:r>
        <w:rPr>
          <w:rFonts w:ascii="Times New Roman" w:hAnsi="Times New Roman" w:cs="Times New Roman"/>
          <w:noProof/>
          <w:sz w:val="24"/>
          <w:szCs w:val="24"/>
        </w:rPr>
        <w:t>The aim of the OPC was to gather views on the main elements of the impact assessment; problem definition and respective drivers, the issue of subsidiarity, the added value of an EU level intervention, and preliminary policy options and policy measures.</w:t>
      </w:r>
      <w:r>
        <w:rPr>
          <w:rFonts w:ascii="Times New Roman" w:hAnsi="Times New Roman" w:cs="Times New Roman"/>
          <w:noProof/>
          <w:sz w:val="24"/>
          <w:szCs w:val="24"/>
          <w:shd w:val="clear" w:color="auto" w:fill="FFFFFF"/>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A total of 136 responses</w:t>
      </w:r>
      <w:r>
        <w:rPr>
          <w:rStyle w:val="FootnoteReference"/>
          <w:rFonts w:ascii="Times New Roman" w:hAnsi="Times New Roman" w:cs="Times New Roman"/>
          <w:noProof/>
          <w:sz w:val="24"/>
          <w:szCs w:val="24"/>
        </w:rPr>
        <w:footnoteReference w:id="142"/>
      </w:r>
      <w:r>
        <w:rPr>
          <w:rFonts w:ascii="Times New Roman" w:hAnsi="Times New Roman" w:cs="Times New Roman"/>
          <w:noProof/>
          <w:sz w:val="24"/>
          <w:szCs w:val="24"/>
        </w:rPr>
        <w:t xml:space="preserve"> were received, covering a variety of stakeholder groups. The responses came from ship owning and ship management (40), energy producers and fuel supply (37), short sea shipping (25), national public authorities (15), interest organizations (14), </w:t>
      </w:r>
      <w:r>
        <w:rPr>
          <w:rStyle w:val="eop"/>
          <w:rFonts w:ascii="Times New Roman" w:hAnsi="Times New Roman"/>
          <w:noProof/>
          <w:sz w:val="24"/>
          <w:szCs w:val="24"/>
        </w:rPr>
        <w:t>ports management and administrators (13), port terminal operator or other port services provider (13), academia research and innovation (12), inland waterways sector (11), shipbuilding and marine equipment manufacturers (10), regional or local public authorities (9), logistics suppliers, shippers and cargo owners (9), technical standardization bodies and class societies (2), investment and financing (2), and other (17).</w:t>
      </w:r>
      <w:r>
        <w:rPr>
          <w:rStyle w:val="FootnoteReference"/>
          <w:rFonts w:ascii="Times New Roman" w:hAnsi="Times New Roman" w:cs="Times New Roman"/>
          <w:noProof/>
          <w:sz w:val="24"/>
          <w:szCs w:val="24"/>
        </w:rPr>
        <w:footnoteReference w:id="143"/>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Responses were received from respondents residing or based in 14 EU Member States (BE, CY, DE, DK, EE, EL, ES, FI, FR, IT, NL, PL, SE and UK), as well as from Norway, Turkey and United States. Most responses were received by stakeholders in BE (30), followed by DE (15), NL (13), and IT (11). </w:t>
      </w:r>
    </w:p>
    <w:p>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Targeted Consultation</w:t>
      </w:r>
    </w:p>
    <w:p>
      <w:pPr>
        <w:jc w:val="both"/>
        <w:rPr>
          <w:rStyle w:val="normaltextrun"/>
          <w:rFonts w:ascii="Times New Roman" w:hAnsi="Times New Roman" w:cs="Times New Roman"/>
          <w:noProof/>
          <w:sz w:val="24"/>
          <w:szCs w:val="24"/>
        </w:rPr>
      </w:pPr>
      <w:r>
        <w:rPr>
          <w:rStyle w:val="normaltextrun"/>
          <w:rFonts w:ascii="Times New Roman" w:hAnsi="Times New Roman" w:cs="Times New Roman"/>
          <w:noProof/>
          <w:sz w:val="24"/>
          <w:szCs w:val="24"/>
        </w:rPr>
        <w:t>A targeted consultation (TC) survey was distributed to four Commission expert groups</w:t>
      </w:r>
      <w:r>
        <w:rPr>
          <w:rStyle w:val="FootnoteReference"/>
          <w:rFonts w:ascii="Times New Roman" w:hAnsi="Times New Roman" w:cs="Times New Roman"/>
          <w:noProof/>
          <w:sz w:val="24"/>
          <w:szCs w:val="24"/>
        </w:rPr>
        <w:footnoteReference w:id="144"/>
      </w:r>
      <w:r>
        <w:rPr>
          <w:rStyle w:val="normaltextrun"/>
          <w:rFonts w:ascii="Times New Roman" w:hAnsi="Times New Roman" w:cs="Times New Roman"/>
          <w:noProof/>
          <w:sz w:val="24"/>
          <w:szCs w:val="24"/>
        </w:rPr>
        <w:t>, and 32 responses were received.</w:t>
      </w:r>
    </w:p>
    <w:p>
      <w:pPr>
        <w:jc w:val="both"/>
        <w:rPr>
          <w:rFonts w:ascii="Times New Roman" w:hAnsi="Times New Roman" w:cs="Times New Roman"/>
          <w:noProof/>
          <w:sz w:val="24"/>
          <w:szCs w:val="24"/>
        </w:rPr>
      </w:pPr>
      <w:r>
        <w:rPr>
          <w:rStyle w:val="normaltextrun"/>
          <w:rFonts w:ascii="Times New Roman" w:hAnsi="Times New Roman" w:cs="Times New Roman"/>
          <w:noProof/>
          <w:sz w:val="24"/>
          <w:szCs w:val="24"/>
        </w:rPr>
        <w:t xml:space="preserve">The responses came from </w:t>
      </w:r>
      <w:r>
        <w:rPr>
          <w:rStyle w:val="eop"/>
          <w:rFonts w:ascii="Times New Roman" w:hAnsi="Times New Roman"/>
          <w:noProof/>
          <w:sz w:val="24"/>
          <w:szCs w:val="24"/>
        </w:rPr>
        <w:t>ports management and administrators (7), ship owning and ship management (7), shipbuilding and marine equipment manufacturers (6), and interest organisations (5), technical standardization bodies and class societies (3), port terminal operator or other port services provider (3), energy producers and fuel supply. (2), academia research and innovation (2), short sea shipping (2), regional or local public authorities (2), national public authorities (2) and other (3). No respondents represented logistics suppliers, shippers and cargo owners, investment and financing or the inland waterways sector.</w:t>
      </w:r>
      <w:r>
        <w:rPr>
          <w:rStyle w:val="FootnoteReference"/>
          <w:rFonts w:ascii="Times New Roman" w:hAnsi="Times New Roman"/>
          <w:noProof/>
          <w:sz w:val="24"/>
          <w:szCs w:val="24"/>
        </w:rPr>
        <w:footnoteReference w:id="145"/>
      </w:r>
    </w:p>
    <w:p>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 xml:space="preserve">Stakeholder Interviews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 total of 18 interviews were conducted in the framework of the impact assessment support study,  covering a wide range of stakeholder categories, namely equipment providers (2), fuel suppliers (3), shipping companies (3), port (4), Member State (1 - NL), shipper and cargo owner (3), port state control authority (1), and trade union (1). </w:t>
      </w:r>
    </w:p>
    <w:p>
      <w:pPr>
        <w:pStyle w:val="Heading1"/>
        <w:numPr>
          <w:ilvl w:val="0"/>
          <w:numId w:val="4"/>
        </w:numPr>
        <w:spacing w:line="276" w:lineRule="auto"/>
        <w:rPr>
          <w:noProof/>
        </w:rPr>
      </w:pPr>
      <w:bookmarkStart w:id="418" w:name="_Toc59152661"/>
      <w:bookmarkStart w:id="419" w:name="_Toc63426175"/>
      <w:bookmarkStart w:id="420" w:name="_Toc63438521"/>
      <w:r>
        <w:rPr>
          <w:noProof/>
        </w:rPr>
        <w:t>Analysis of results of the stakeholder consultation</w:t>
      </w:r>
      <w:bookmarkEnd w:id="418"/>
      <w:bookmarkEnd w:id="419"/>
      <w:bookmarkEnd w:id="420"/>
    </w:p>
    <w:p>
      <w:pPr>
        <w:pStyle w:val="NoSpacing"/>
        <w:spacing w:line="276" w:lineRule="auto"/>
        <w:rPr>
          <w:rFonts w:ascii="Times New Roman" w:hAnsi="Times New Roman" w:cs="Times New Roman"/>
          <w:noProof/>
          <w:sz w:val="24"/>
          <w:szCs w:val="24"/>
          <w:lang w:val="en-US"/>
        </w:rPr>
      </w:pPr>
      <w:r>
        <w:rPr>
          <w:rFonts w:ascii="Times New Roman" w:hAnsi="Times New Roman" w:cs="Times New Roman"/>
          <w:noProof/>
          <w:sz w:val="24"/>
          <w:szCs w:val="24"/>
        </w:rPr>
        <w:t>The remainder of the report presents the main findings from the analysis of stakeholder contributions to the consultation process.</w:t>
      </w:r>
      <w:r>
        <w:rPr>
          <w:rFonts w:ascii="Times New Roman" w:hAnsi="Times New Roman" w:cs="Times New Roman"/>
          <w:noProof/>
        </w:rPr>
        <w:t xml:space="preserve"> </w:t>
      </w:r>
      <w:r>
        <w:rPr>
          <w:rFonts w:ascii="Times New Roman" w:hAnsi="Times New Roman" w:cs="Times New Roman"/>
          <w:noProof/>
          <w:sz w:val="24"/>
          <w:szCs w:val="24"/>
          <w:lang w:val="en-US"/>
        </w:rPr>
        <w:t xml:space="preserve"> They are presented in the following sections and structured around the main elements of the intervention logic (problems, drivers, objectives) as well as the key aspects of policy design. </w:t>
      </w:r>
    </w:p>
    <w:p>
      <w:pPr>
        <w:pStyle w:val="NoSpacing"/>
        <w:spacing w:line="276" w:lineRule="auto"/>
        <w:rPr>
          <w:noProof/>
        </w:rPr>
      </w:pPr>
    </w:p>
    <w:p>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Problems</w:t>
      </w:r>
    </w:p>
    <w:p>
      <w:pPr>
        <w:jc w:val="both"/>
        <w:rPr>
          <w:rFonts w:ascii="Times New Roman" w:hAnsi="Times New Roman" w:cs="Times New Roman"/>
          <w:noProof/>
          <w:sz w:val="24"/>
          <w:szCs w:val="24"/>
        </w:rPr>
      </w:pPr>
      <w:r>
        <w:rPr>
          <w:rFonts w:ascii="Times New Roman" w:hAnsi="Times New Roman" w:cs="Times New Roman"/>
          <w:noProof/>
          <w:sz w:val="24"/>
          <w:szCs w:val="24"/>
        </w:rPr>
        <w:t>80% of the OPC respondents confirmed that it is ‘very relevant’ to promote the uptake of sustainable alternative fuels and diversify the fuel mix of maritime transport to accelerate the decarbonisation of shipping</w:t>
      </w:r>
      <w:r>
        <w:rPr>
          <w:rStyle w:val="FootnoteReference"/>
          <w:noProof/>
          <w:szCs w:val="24"/>
        </w:rPr>
        <w:footnoteReference w:id="146"/>
      </w:r>
      <w:r>
        <w:rPr>
          <w:rFonts w:ascii="Times New Roman" w:hAnsi="Times New Roman" w:cs="Times New Roman"/>
          <w:noProof/>
          <w:sz w:val="24"/>
          <w:szCs w:val="24"/>
        </w:rPr>
        <w:t xml:space="preserve">. In addition, a majority of the OPC respondents also support a policy framework for ships at berth: 37% indicated that this is ‘very relevant’ and 30% indicated ‘relevant’. This conclusion is supported by the TC results: 34% of the TC respondents indicated that a policy for ships at berth is ‘very important’, and 47% indicated that this policy scope is ‘important’. </w:t>
      </w:r>
    </w:p>
    <w:p>
      <w:pPr>
        <w:jc w:val="both"/>
        <w:rPr>
          <w:rFonts w:ascii="Times New Roman" w:hAnsi="Times New Roman" w:cs="Times New Roman"/>
          <w:noProof/>
          <w:sz w:val="24"/>
          <w:szCs w:val="24"/>
        </w:rPr>
      </w:pPr>
      <w:r>
        <w:rPr>
          <w:rFonts w:ascii="Times New Roman" w:hAnsi="Times New Roman" w:cs="Times New Roman"/>
          <w:noProof/>
          <w:sz w:val="24"/>
          <w:szCs w:val="24"/>
        </w:rPr>
        <w:t>The results from the TC also confirmed that without policy intervention, the expected levels of RLF use in maritime transport will only increase moderately, if at all, by 2030 and 2050.</w:t>
      </w:r>
    </w:p>
    <w:p>
      <w:pPr>
        <w:pStyle w:val="Caption"/>
        <w:spacing w:line="276" w:lineRule="auto"/>
        <w:rPr>
          <w:noProof/>
        </w:rPr>
      </w:pPr>
      <w:r>
        <w:rPr>
          <w:noProof/>
        </w:rPr>
        <w:t xml:space="preserve">Figure </w:t>
      </w:r>
      <w:r>
        <w:rPr>
          <w:noProof/>
        </w:rPr>
        <w:fldChar w:fldCharType="begin"/>
      </w:r>
      <w:r>
        <w:rPr>
          <w:noProof/>
        </w:rPr>
        <w:instrText xml:space="preserve"> SEQ Figure \* ARABIC </w:instrText>
      </w:r>
      <w:r>
        <w:rPr>
          <w:noProof/>
        </w:rPr>
        <w:fldChar w:fldCharType="separate"/>
      </w:r>
      <w:r>
        <w:rPr>
          <w:noProof/>
        </w:rPr>
        <w:t>7</w:t>
      </w:r>
      <w:r>
        <w:rPr>
          <w:noProof/>
        </w:rPr>
        <w:fldChar w:fldCharType="end"/>
      </w:r>
      <w:r>
        <w:rPr>
          <w:noProof/>
        </w:rPr>
        <w:t xml:space="preserve"> Projections for the uptake of low-carbon fuels (TC) without policy intervention.</w:t>
      </w:r>
    </w:p>
    <w:p>
      <w:pPr>
        <w:pStyle w:val="DefaultText"/>
        <w:spacing w:line="276" w:lineRule="auto"/>
        <w:rPr>
          <w:noProof/>
        </w:rPr>
      </w:pPr>
      <w:r>
        <w:rPr>
          <w:noProof/>
          <w:lang w:eastAsia="en-GB"/>
        </w:rPr>
        <w:drawing>
          <wp:inline distT="0" distB="0" distL="0" distR="0">
            <wp:extent cx="5510530" cy="3494098"/>
            <wp:effectExtent l="0" t="0" r="13970" b="11430"/>
            <wp:docPr id="20" name="Chart 2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9D23757-B745-4F2D-A054-8205986FCA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pPr>
        <w:pStyle w:val="DefaultText"/>
        <w:spacing w:line="276" w:lineRule="auto"/>
        <w:rPr>
          <w:noProof/>
        </w:rPr>
      </w:pP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When adding the qualitative results from the stakeholder interviews, position papers submitted alongside the replies to the OPC, and the joint ESSF and EPF Roundtable discussions, the conclusion is that there is consensus among all stakeholder groups on the problems as identified by the initiative. They also support the underlying objective of the FuelEU Maritime initiative to promote the uptake of RLF in the maritime fuel mix. </w:t>
      </w:r>
    </w:p>
    <w:p>
      <w:pPr>
        <w:jc w:val="both"/>
        <w:rPr>
          <w:rFonts w:ascii="Times New Roman" w:hAnsi="Times New Roman" w:cs="Times New Roman"/>
          <w:noProof/>
          <w:sz w:val="24"/>
          <w:szCs w:val="24"/>
        </w:rPr>
      </w:pPr>
      <w:r>
        <w:rPr>
          <w:rFonts w:ascii="Times New Roman" w:hAnsi="Times New Roman" w:cs="Times New Roman"/>
          <w:noProof/>
          <w:sz w:val="24"/>
          <w:szCs w:val="24"/>
        </w:rPr>
        <w:t>In addition, the OPC responses indicate consensus about going beyond addressing only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from fuels used in navigation and at berth. In the OPC, only 16 out of the 136 participants considered that the approach should be based on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only. 35 respondents considered that other GHG should be addressed (in particular methane and nitrous oxides) and 74 respondents favoured an approach covering GHG emissions at large as well as air pollution. In the qualitative responses on how to</w:t>
      </w:r>
      <w:r>
        <w:rPr>
          <w:noProof/>
        </w:rPr>
        <w:t xml:space="preserve"> </w:t>
      </w:r>
      <w:r>
        <w:rPr>
          <w:rFonts w:ascii="Times New Roman" w:hAnsi="Times New Roman" w:cs="Times New Roman"/>
          <w:noProof/>
          <w:sz w:val="24"/>
          <w:szCs w:val="24"/>
        </w:rPr>
        <w:t xml:space="preserve">weigh the relative advantages and assess possible trade-offs of fuels between GHG and air pollutants, no real consensus emerged. Some participants pointed out to the fact that certain air pollutants are to be regulated beyond a fuel-specific initiative, others that a focus on GHG is still most relevant for achieving the climate goals or that the balance between air pollution and climate change needs to be kept. A few participants pointed out to needs to undertake a valuation exercise of the external costs of different emissions. </w:t>
      </w:r>
    </w:p>
    <w:p>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 xml:space="preserve">Problem drivers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TC results confirmed that all five drivers identified in the framework of the initiative are regarded as relevant. The most relevant barrier to tackle is considered to be ‘higher costs of alternative fuels compared to fossil fuels’. The least relevant of the five barriers is ‘the risk of bunkering outside of the EU’.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OPC results imply that none of the mentioned barriers are regarded irrelevant (the lowest average score of the options is 2.9/5). The barriers that received the highest sore are ‘higher price of sustainable alternative fuels’ and ‘high risk of investment in vessels technology and port infrastructure’. The lowest scoring measure is the ‘lack of communication between actors and lack of transparency on the environmental performance, including of the fuel performance’. </w:t>
      </w:r>
    </w:p>
    <w:p>
      <w:pPr>
        <w:jc w:val="both"/>
        <w:rPr>
          <w:rFonts w:ascii="Times New Roman" w:hAnsi="Times New Roman" w:cs="Times New Roman"/>
          <w:noProof/>
          <w:sz w:val="24"/>
          <w:szCs w:val="24"/>
        </w:rPr>
      </w:pPr>
      <w:r>
        <w:rPr>
          <w:rFonts w:ascii="Times New Roman" w:hAnsi="Times New Roman" w:cs="Times New Roman"/>
          <w:noProof/>
          <w:sz w:val="24"/>
          <w:szCs w:val="24"/>
        </w:rPr>
        <w:t>The barriers which were mentioned most often during the stakeholder interviews, the joint ESSF and EPF Roundtable meeting and in positions papers are related to the costs of adopting alternative fuels; both the ’higher fuel prices compared to the conventional bunker fuels’ and the ’high investment costs’. Another issue which was pointed out in multiple position papers and interviews was the ‘lack of predictability and high risk for investors’.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These findings are in line with the quantitative survey results as presented above. Both consultation results suggest that the different stakeholders agree that high fuel- and investment costs together with uncertainty for the investors are the most important barriers. </w:t>
      </w:r>
    </w:p>
    <w:p>
      <w:pPr>
        <w:pStyle w:val="Caption"/>
        <w:rPr>
          <w:noProof/>
        </w:rPr>
      </w:pPr>
      <w:r>
        <w:rPr>
          <w:noProof/>
        </w:rPr>
        <w:t xml:space="preserve">Figure </w:t>
      </w:r>
      <w:r>
        <w:rPr>
          <w:noProof/>
        </w:rPr>
        <w:fldChar w:fldCharType="begin"/>
      </w:r>
      <w:r>
        <w:rPr>
          <w:noProof/>
        </w:rPr>
        <w:instrText xml:space="preserve"> SEQ Figure \* ARABIC </w:instrText>
      </w:r>
      <w:r>
        <w:rPr>
          <w:noProof/>
        </w:rPr>
        <w:fldChar w:fldCharType="separate"/>
      </w:r>
      <w:r>
        <w:rPr>
          <w:noProof/>
        </w:rPr>
        <w:t>8</w:t>
      </w:r>
      <w:r>
        <w:rPr>
          <w:noProof/>
        </w:rPr>
        <w:fldChar w:fldCharType="end"/>
      </w:r>
      <w:r>
        <w:rPr>
          <w:noProof/>
        </w:rPr>
        <w:t xml:space="preserve"> OPC feedback on the importance of the different barriers preventing the uptake of RLF</w:t>
      </w:r>
    </w:p>
    <w:p>
      <w:pPr>
        <w:jc w:val="both"/>
        <w:rPr>
          <w:noProof/>
        </w:rPr>
      </w:pPr>
      <w:r>
        <w:rPr>
          <w:noProof/>
          <w:lang w:eastAsia="en-GB"/>
        </w:rPr>
        <w:drawing>
          <wp:inline distT="0" distB="0" distL="0" distR="0">
            <wp:extent cx="5760720" cy="3881658"/>
            <wp:effectExtent l="0" t="0" r="11430" b="50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pPr>
        <w:pStyle w:val="Caption"/>
        <w:spacing w:line="276" w:lineRule="auto"/>
        <w:jc w:val="center"/>
        <w:rPr>
          <w:noProof/>
        </w:rPr>
      </w:pPr>
      <w:bookmarkStart w:id="421" w:name="_Ref51841048"/>
      <w:r>
        <w:rPr>
          <w:noProof/>
        </w:rPr>
        <w:t xml:space="preserve">Table </w:t>
      </w:r>
      <w:r>
        <w:rPr>
          <w:noProof/>
        </w:rPr>
        <w:fldChar w:fldCharType="begin"/>
      </w:r>
      <w:r>
        <w:rPr>
          <w:noProof/>
        </w:rPr>
        <w:instrText xml:space="preserve"> SEQ Table \* ARABIC </w:instrText>
      </w:r>
      <w:r>
        <w:rPr>
          <w:noProof/>
        </w:rPr>
        <w:fldChar w:fldCharType="separate"/>
      </w:r>
      <w:r>
        <w:rPr>
          <w:noProof/>
        </w:rPr>
        <w:t>27</w:t>
      </w:r>
      <w:r>
        <w:rPr>
          <w:noProof/>
        </w:rPr>
        <w:fldChar w:fldCharType="end"/>
      </w:r>
      <w:bookmarkEnd w:id="421"/>
      <w:r>
        <w:rPr>
          <w:noProof/>
        </w:rPr>
        <w:t xml:space="preserve"> Comparison of the scores on relevance of barriers per stakeholder group (OPC)</w:t>
      </w:r>
      <w:r>
        <w:rPr>
          <w:rStyle w:val="FootnoteReference"/>
          <w:noProof/>
        </w:rPr>
        <w:footnoteReference w:id="147"/>
      </w:r>
      <w:r>
        <w:rPr>
          <w:noProof/>
          <w:lang w:eastAsia="en-GB"/>
        </w:rPr>
        <w:drawing>
          <wp:inline distT="0" distB="0" distL="0" distR="0">
            <wp:extent cx="4505019" cy="2973314"/>
            <wp:effectExtent l="0" t="0" r="0" b="0"/>
            <wp:docPr id="314" name="Afbeelding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45218" cy="2999845"/>
                    </a:xfrm>
                    <a:prstGeom prst="rect">
                      <a:avLst/>
                    </a:prstGeom>
                    <a:noFill/>
                    <a:ln>
                      <a:noFill/>
                    </a:ln>
                  </pic:spPr>
                </pic:pic>
              </a:graphicData>
            </a:graphic>
          </wp:inline>
        </w:drawing>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Even though there is some agreement, the quantitative results show that there are points on which the stakeholder groups disagree. The ‘lack of mature technology’ is generally regarded as an important barrier by national public authorities, ship owners and management and short sea shipping, while the same barrier is considered relatively unimportant by the inland waterways sector, shipbuilding and marine equipment manufacturers, energy producers and fuel suppliers and interest organisations. </w:t>
      </w:r>
    </w:p>
    <w:p>
      <w:pPr>
        <w:jc w:val="both"/>
        <w:rPr>
          <w:rFonts w:ascii="Times New Roman" w:hAnsi="Times New Roman" w:cs="Times New Roman"/>
          <w:noProof/>
          <w:sz w:val="24"/>
          <w:szCs w:val="24"/>
        </w:rPr>
      </w:pPr>
      <w:r>
        <w:rPr>
          <w:rFonts w:ascii="Times New Roman" w:hAnsi="Times New Roman" w:cs="Times New Roman"/>
          <w:noProof/>
          <w:sz w:val="24"/>
          <w:szCs w:val="24"/>
        </w:rPr>
        <w:t>Another barrier that receive divergent rating is the ‘insufficient demand of sustainable alternative fuels or OPS’. For this category, inland shipping and port management and administration give this barrier the highest score, whereas short sea shipping, interest organizations and academia, research and innovation give the same barrier a relatively low score.</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When comparing the barriers that should be addressed with priority by the EU according to different stakeholder groups, ‘higher fuel prices’, ‘high risk of investment’ and ‘lack of predictability for the regulatory framework’, are rated highly by most stakeholders. </w:t>
      </w:r>
    </w:p>
    <w:p>
      <w:pPr>
        <w:jc w:val="both"/>
        <w:rPr>
          <w:rFonts w:ascii="Times New Roman" w:hAnsi="Times New Roman" w:cs="Times New Roman"/>
          <w:b/>
          <w:i/>
          <w:noProof/>
          <w:sz w:val="24"/>
          <w:szCs w:val="24"/>
        </w:rPr>
      </w:pPr>
      <w:r>
        <w:rPr>
          <w:rFonts w:ascii="Times New Roman" w:hAnsi="Times New Roman" w:cs="Times New Roman"/>
          <w:b/>
          <w:i/>
          <w:noProof/>
          <w:sz w:val="24"/>
          <w:szCs w:val="24"/>
        </w:rPr>
        <w:t>Policy objectives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In the targeted questionnaire, respondents were asked about the importance of a list of policy objectives. </w:t>
      </w:r>
    </w:p>
    <w:p>
      <w:pPr>
        <w:pStyle w:val="Caption"/>
        <w:rPr>
          <w:noProof/>
        </w:rPr>
      </w:pPr>
      <w:bookmarkStart w:id="422" w:name="_Ref51841114"/>
      <w:r>
        <w:rPr>
          <w:noProof/>
        </w:rPr>
        <w:t xml:space="preserve">Figure </w:t>
      </w:r>
      <w:r>
        <w:rPr>
          <w:noProof/>
        </w:rPr>
        <w:fldChar w:fldCharType="begin"/>
      </w:r>
      <w:r>
        <w:rPr>
          <w:noProof/>
        </w:rPr>
        <w:instrText xml:space="preserve"> SEQ Figure \* ARABIC </w:instrText>
      </w:r>
      <w:r>
        <w:rPr>
          <w:noProof/>
        </w:rPr>
        <w:fldChar w:fldCharType="separate"/>
      </w:r>
      <w:r>
        <w:rPr>
          <w:noProof/>
        </w:rPr>
        <w:t>9</w:t>
      </w:r>
      <w:r>
        <w:rPr>
          <w:noProof/>
        </w:rPr>
        <w:fldChar w:fldCharType="end"/>
      </w:r>
      <w:r>
        <w:rPr>
          <w:noProof/>
        </w:rPr>
        <w:t xml:space="preserve"> Importance of the FuelEU Maritime Initiative (TC). </w:t>
      </w:r>
    </w:p>
    <w:bookmarkEnd w:id="422"/>
    <w:p>
      <w:pPr>
        <w:pStyle w:val="DefaultText"/>
        <w:spacing w:line="276" w:lineRule="auto"/>
        <w:rPr>
          <w:noProof/>
        </w:rPr>
      </w:pPr>
      <w:r>
        <w:rPr>
          <w:noProof/>
          <w:lang w:eastAsia="en-GB"/>
        </w:rPr>
        <w:drawing>
          <wp:inline distT="0" distB="0" distL="0" distR="0">
            <wp:extent cx="5770880" cy="3766601"/>
            <wp:effectExtent l="0" t="0" r="1270" b="5715"/>
            <wp:docPr id="22" name="Chart 2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D37A68F-C0FA-4F74-BC7F-07B02AB88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It is clear that all of the seven proposed policy objectives are considered relevant, with ‘providing more certainty on the climate and environmental requirements for ships in operation’ being the most important policy objective. </w:t>
      </w:r>
    </w:p>
    <w:p>
      <w:pPr>
        <w:rPr>
          <w:rFonts w:ascii="Times New Roman" w:hAnsi="Times New Roman" w:cs="Times New Roman"/>
          <w:b/>
          <w:i/>
          <w:noProof/>
          <w:sz w:val="24"/>
          <w:szCs w:val="24"/>
        </w:rPr>
      </w:pPr>
      <w:r>
        <w:rPr>
          <w:rFonts w:ascii="Times New Roman" w:hAnsi="Times New Roman" w:cs="Times New Roman"/>
          <w:b/>
          <w:i/>
          <w:noProof/>
          <w:sz w:val="24"/>
          <w:szCs w:val="24"/>
        </w:rPr>
        <w:t>Goal-based approach or prescriptive policy</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In the public consultation, participants were consulted on their preference for either setting requirements on the share of specific sustainable alternative fuels to be used in ship’s fuel mix while at berth (including use of onshore power) i.e. a prescriptive approach or setting performance requirements based on the carbon-intensity of energy used in marine operations i.e. a goal-based approach. </w:t>
      </w:r>
    </w:p>
    <w:p>
      <w:pPr>
        <w:jc w:val="both"/>
        <w:rPr>
          <w:rFonts w:ascii="Times New Roman" w:hAnsi="Times New Roman" w:cs="Times New Roman"/>
          <w:noProof/>
          <w:sz w:val="24"/>
          <w:szCs w:val="24"/>
        </w:rPr>
      </w:pPr>
      <w:r>
        <w:rPr>
          <w:rFonts w:ascii="Times New Roman" w:hAnsi="Times New Roman" w:cs="Times New Roman"/>
          <w:noProof/>
          <w:sz w:val="24"/>
          <w:szCs w:val="24"/>
        </w:rPr>
        <w:t>For ships in navigation, 52 % of respondents preferred a goal-based approach, while 15 % preferred a prescriptive approach. However, during the interviews and the roundtable it became clear that there are diverging views on what this performance-based requirement should be. Stakeholders in ship owning and ship management as well as interest organisations preferred a goal-based approach at the ship level, i.e. a requirement for the operational performance of a ship. Most other stakeholder groups argued for a performance-based requirement of the fuel, i.e. a standard for the embedded GHG emissions in the fuel per unit of energy.</w:t>
      </w:r>
    </w:p>
    <w:p>
      <w:pPr>
        <w:jc w:val="both"/>
        <w:rPr>
          <w:rFonts w:ascii="Times New Roman" w:hAnsi="Times New Roman" w:cs="Times New Roman"/>
          <w:noProof/>
          <w:sz w:val="24"/>
          <w:szCs w:val="24"/>
        </w:rPr>
      </w:pPr>
      <w:r>
        <w:rPr>
          <w:rFonts w:ascii="Times New Roman" w:hAnsi="Times New Roman" w:cs="Times New Roman"/>
          <w:noProof/>
          <w:sz w:val="24"/>
          <w:szCs w:val="24"/>
        </w:rPr>
        <w:t>For ships at berth, the preference for a prescriptive approach was slightly bigger than for ships in navigation with support from 23 % of the participants, while 42 % indicated a preference for a goal-based approach.</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results from the qualitative consultations show that all stakeholder groups expressed a preference for goal-based over prescriptive policy. Another, closely related, requirement for the policy, which was voiced by most stakeholders is technology neutrality. Multiple stakeholders explicitly indicated that prescriptive measures for a certain technology would be suboptimal, because of the high risk of technology lock in and stranded assets. However, there is less consensus about the form which such a goal-based approach should take. </w:t>
      </w:r>
    </w:p>
    <w:p>
      <w:pPr>
        <w:jc w:val="both"/>
        <w:rPr>
          <w:rFonts w:ascii="Times New Roman" w:hAnsi="Times New Roman" w:cs="Times New Roman"/>
          <w:noProof/>
          <w:sz w:val="24"/>
          <w:szCs w:val="24"/>
        </w:rPr>
      </w:pPr>
      <w:r>
        <w:rPr>
          <w:rFonts w:ascii="Times New Roman" w:hAnsi="Times New Roman" w:cs="Times New Roman"/>
          <w:noProof/>
          <w:sz w:val="24"/>
          <w:szCs w:val="24"/>
        </w:rPr>
        <w:t>On the one hand, there are proponents of the inclusion of carbon pricing, either through the inclusion of the maritime sector in the EU ETS or through establishing a new emissions trading scheme. An alternative option which was advocated for in the position papers and interviews is an emission cap for ships. In either case, as pointed out by several stakeholders, there should be some flexibility for the market to ensure that the efforts for decarbonisation can be done where this is most efficient. This suggests either a system in which carbon permits can be traded, or a fleet based approach.</w:t>
      </w:r>
    </w:p>
    <w:p>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 xml:space="preserve">Potential policy measures </w:t>
      </w:r>
    </w:p>
    <w:p>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According to the OPC results, all of the policy measures envisaged are regarded to be of importance at least to some extent. Of the participants who rated the options, the policy measures receiving the highest scores (i.e. scores above 4.00/5) were: </w:t>
      </w:r>
    </w:p>
    <w:p>
      <w:pPr>
        <w:pStyle w:val="ListParagraph"/>
        <w:numPr>
          <w:ilvl w:val="0"/>
          <w:numId w:val="44"/>
        </w:numPr>
        <w:jc w:val="both"/>
        <w:rPr>
          <w:rFonts w:ascii="Times New Roman" w:hAnsi="Times New Roman" w:cs="Times New Roman"/>
          <w:noProof/>
          <w:sz w:val="24"/>
          <w:szCs w:val="24"/>
        </w:rPr>
      </w:pPr>
      <w:r>
        <w:rPr>
          <w:rFonts w:ascii="Times New Roman" w:hAnsi="Times New Roman" w:cs="Times New Roman"/>
          <w:noProof/>
          <w:sz w:val="24"/>
          <w:szCs w:val="24"/>
        </w:rPr>
        <w:t>Set a clear regulatory pathway for decarbonising the current marine fuel mix (average score: 4.29/5, 123 responses)</w:t>
      </w:r>
    </w:p>
    <w:p>
      <w:pPr>
        <w:pStyle w:val="ListParagraph"/>
        <w:numPr>
          <w:ilvl w:val="0"/>
          <w:numId w:val="44"/>
        </w:numPr>
        <w:jc w:val="both"/>
        <w:rPr>
          <w:rFonts w:ascii="Times New Roman" w:hAnsi="Times New Roman" w:cs="Times New Roman"/>
          <w:noProof/>
          <w:sz w:val="24"/>
          <w:szCs w:val="24"/>
        </w:rPr>
      </w:pPr>
      <w:r>
        <w:rPr>
          <w:rFonts w:ascii="Times New Roman" w:hAnsi="Times New Roman" w:cs="Times New Roman"/>
          <w:noProof/>
          <w:sz w:val="24"/>
          <w:szCs w:val="24"/>
        </w:rPr>
        <w:t>Accelerate research and innovation enabling the use of sustainable alternative fuels and power (average score: 4.21/5, 123 responses)</w:t>
      </w:r>
    </w:p>
    <w:p>
      <w:pPr>
        <w:pStyle w:val="ListParagraph"/>
        <w:numPr>
          <w:ilvl w:val="0"/>
          <w:numId w:val="44"/>
        </w:numPr>
        <w:jc w:val="both"/>
        <w:rPr>
          <w:rFonts w:ascii="Times New Roman" w:hAnsi="Times New Roman" w:cs="Times New Roman"/>
          <w:noProof/>
          <w:sz w:val="24"/>
          <w:szCs w:val="24"/>
        </w:rPr>
      </w:pPr>
      <w:r>
        <w:rPr>
          <w:rFonts w:ascii="Times New Roman" w:hAnsi="Times New Roman" w:cs="Times New Roman"/>
          <w:noProof/>
          <w:sz w:val="24"/>
          <w:szCs w:val="24"/>
        </w:rPr>
        <w:t>Establish economic incentives to reduce the price differential between conventional and sustainable fuels (average score: 4.18/5, 125 responses)</w:t>
      </w:r>
    </w:p>
    <w:p>
      <w:pPr>
        <w:pStyle w:val="ListParagraph"/>
        <w:numPr>
          <w:ilvl w:val="0"/>
          <w:numId w:val="44"/>
        </w:numPr>
        <w:jc w:val="both"/>
        <w:rPr>
          <w:rFonts w:ascii="Times New Roman" w:hAnsi="Times New Roman" w:cs="Times New Roman"/>
          <w:noProof/>
          <w:sz w:val="24"/>
          <w:szCs w:val="24"/>
        </w:rPr>
      </w:pPr>
      <w:r>
        <w:rPr>
          <w:rFonts w:ascii="Times New Roman" w:hAnsi="Times New Roman" w:cs="Times New Roman"/>
          <w:noProof/>
          <w:sz w:val="24"/>
          <w:szCs w:val="24"/>
        </w:rPr>
        <w:t>Increase public funding and financial support to overcome the high investment risk in sustainable alternative fuel supply or OPS infrastructure (average score: 4.15/5, 123 responses)</w:t>
      </w:r>
    </w:p>
    <w:p>
      <w:pPr>
        <w:pStyle w:val="ListParagraph"/>
        <w:numPr>
          <w:ilvl w:val="0"/>
          <w:numId w:val="44"/>
        </w:numPr>
        <w:jc w:val="both"/>
        <w:rPr>
          <w:rFonts w:ascii="Times New Roman" w:hAnsi="Times New Roman" w:cs="Times New Roman"/>
          <w:noProof/>
          <w:sz w:val="24"/>
          <w:szCs w:val="24"/>
        </w:rPr>
      </w:pPr>
      <w:r>
        <w:rPr>
          <w:rFonts w:ascii="Times New Roman" w:hAnsi="Times New Roman" w:cs="Times New Roman"/>
          <w:noProof/>
          <w:sz w:val="24"/>
          <w:szCs w:val="24"/>
        </w:rPr>
        <w:t>Increase public funding and incentivise private investment to overcome the high investment risk in vessels powered by sustainable alternative fuels or propulsion systems (average score: 4.11/5, 124 responses)</w:t>
      </w:r>
    </w:p>
    <w:p>
      <w:pPr>
        <w:jc w:val="both"/>
        <w:rPr>
          <w:rFonts w:ascii="Times New Roman" w:hAnsi="Times New Roman" w:cs="Times New Roman"/>
          <w:noProof/>
          <w:sz w:val="24"/>
          <w:szCs w:val="24"/>
          <w:lang w:val="en-US"/>
        </w:rPr>
      </w:pPr>
      <w:r>
        <w:rPr>
          <w:rFonts w:ascii="Times New Roman" w:hAnsi="Times New Roman" w:cs="Times New Roman"/>
          <w:noProof/>
          <w:sz w:val="24"/>
          <w:szCs w:val="24"/>
        </w:rPr>
        <w:t>Several respondents added their own suggestions for measures, the most noteworthy being to pursue a policy within the IMO (6 responses).</w:t>
      </w:r>
    </w:p>
    <w:p>
      <w:pPr>
        <w:jc w:val="both"/>
        <w:rPr>
          <w:rFonts w:ascii="Times New Roman" w:hAnsi="Times New Roman" w:cs="Times New Roman"/>
          <w:noProof/>
          <w:sz w:val="24"/>
          <w:szCs w:val="24"/>
        </w:rPr>
      </w:pPr>
      <w:r>
        <w:rPr>
          <w:rFonts w:ascii="Times New Roman" w:hAnsi="Times New Roman" w:cs="Times New Roman"/>
          <w:noProof/>
          <w:sz w:val="24"/>
          <w:szCs w:val="24"/>
        </w:rPr>
        <w:t>Being asked specifically about support measures, the TC respondents are most positive about funding for R&amp;I (average score: 4.21/5, 32 responses), CEF funding for specific projects on the deployment of infrastructure (average score: 4.21/5, 32 responses) and technological developments and standardization aspects (average score: 4.29/5, 32 responses). All other options</w:t>
      </w:r>
      <w:r>
        <w:rPr>
          <w:rStyle w:val="FootnoteReference"/>
          <w:noProof/>
          <w:szCs w:val="24"/>
        </w:rPr>
        <w:footnoteReference w:id="148"/>
      </w:r>
      <w:r>
        <w:rPr>
          <w:rFonts w:ascii="Times New Roman" w:hAnsi="Times New Roman" w:cs="Times New Roman"/>
          <w:noProof/>
          <w:sz w:val="24"/>
          <w:szCs w:val="24"/>
        </w:rPr>
        <w:t xml:space="preserve"> scored well below (3.70 or less). These results are also in line with what was communicated by different stakeholders during the interviews.</w:t>
      </w:r>
    </w:p>
    <w:p>
      <w:pPr>
        <w:jc w:val="both"/>
        <w:rPr>
          <w:rFonts w:ascii="Times New Roman" w:hAnsi="Times New Roman" w:cs="Times New Roman"/>
          <w:i/>
          <w:noProof/>
          <w:sz w:val="24"/>
          <w:szCs w:val="24"/>
        </w:rPr>
      </w:pPr>
      <w:r>
        <w:rPr>
          <w:rFonts w:ascii="Times New Roman" w:hAnsi="Times New Roman" w:cs="Times New Roman"/>
          <w:i/>
          <w:noProof/>
          <w:sz w:val="24"/>
          <w:szCs w:val="24"/>
        </w:rPr>
        <w:t>Ship types and scope</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58 % to the OPC respondents indicated that the requirements should apply to all ship types, while 15 % thought they should apply to certain ship types only e.g. the highest emitters. </w:t>
      </w:r>
    </w:p>
    <w:p>
      <w:pPr>
        <w:jc w:val="both"/>
        <w:rPr>
          <w:rFonts w:ascii="Times New Roman" w:hAnsi="Times New Roman" w:cs="Times New Roman"/>
          <w:noProof/>
          <w:sz w:val="24"/>
          <w:szCs w:val="24"/>
        </w:rPr>
      </w:pPr>
      <w:r>
        <w:rPr>
          <w:rFonts w:ascii="Times New Roman" w:hAnsi="Times New Roman" w:cs="Times New Roman"/>
          <w:noProof/>
          <w:sz w:val="24"/>
          <w:szCs w:val="24"/>
        </w:rPr>
        <w:t>At the same time, there is no agreement on the right geographical scope for the measures: both the options ‘ships calling at ports of the EU’ and ‘ships sailing in the territorial waters and Exclusive Economic Zones of the EU Member States’ got approximately an equal amount of votes with 30 % and 24 % respectively. It is noteworthy that a negligible 2 % thought that the scope should be ships bunkering in ports of the European Union, so this option is extremely unpopular.</w:t>
      </w:r>
    </w:p>
    <w:p>
      <w:pPr>
        <w:jc w:val="both"/>
        <w:rPr>
          <w:rFonts w:ascii="Times New Roman" w:hAnsi="Times New Roman" w:cs="Times New Roman"/>
          <w:noProof/>
          <w:sz w:val="24"/>
          <w:szCs w:val="24"/>
        </w:rPr>
      </w:pPr>
      <w:r>
        <w:rPr>
          <w:rFonts w:ascii="Times New Roman" w:hAnsi="Times New Roman" w:cs="Times New Roman"/>
          <w:noProof/>
          <w:sz w:val="24"/>
          <w:szCs w:val="24"/>
        </w:rPr>
        <w:t>In addition to this, it was suggested in an interview that the right approach would be to start with policy for ships which regularly visit the same ports, since in those cases it is easier for the ships and ports to adapt.</w:t>
      </w:r>
    </w:p>
    <w:p>
      <w:pPr>
        <w:jc w:val="both"/>
        <w:rPr>
          <w:rFonts w:ascii="Times New Roman" w:hAnsi="Times New Roman" w:cs="Times New Roman"/>
          <w:i/>
          <w:noProof/>
          <w:sz w:val="24"/>
          <w:szCs w:val="24"/>
        </w:rPr>
      </w:pPr>
      <w:r>
        <w:rPr>
          <w:rFonts w:ascii="Times New Roman" w:hAnsi="Times New Roman" w:cs="Times New Roman"/>
          <w:i/>
          <w:noProof/>
          <w:sz w:val="24"/>
          <w:szCs w:val="24"/>
        </w:rPr>
        <w:t xml:space="preserve">Measuring environmental performance </w:t>
      </w:r>
    </w:p>
    <w:p>
      <w:pPr>
        <w:jc w:val="both"/>
        <w:rPr>
          <w:rFonts w:ascii="Times New Roman" w:hAnsi="Times New Roman" w:cs="Times New Roman"/>
          <w:noProof/>
          <w:sz w:val="24"/>
          <w:szCs w:val="24"/>
        </w:rPr>
      </w:pPr>
      <w:r>
        <w:rPr>
          <w:rFonts w:ascii="Times New Roman" w:hAnsi="Times New Roman" w:cs="Times New Roman"/>
          <w:noProof/>
          <w:sz w:val="24"/>
          <w:szCs w:val="24"/>
        </w:rPr>
        <w:t>There is relatively good agreement about how emissions should be included in the policy framework. 56 % of OPC respondents prefer a “well-to-wake” approach. It is furthermore preferred by 54 % of stakeholders that this takes both greenhouse-gas and air quality emissions into account.</w:t>
      </w:r>
    </w:p>
    <w:p>
      <w:pPr>
        <w:jc w:val="both"/>
        <w:rPr>
          <w:rFonts w:ascii="Times New Roman" w:hAnsi="Times New Roman" w:cs="Times New Roman"/>
          <w:noProof/>
          <w:sz w:val="24"/>
          <w:szCs w:val="24"/>
        </w:rPr>
      </w:pPr>
      <w:r>
        <w:rPr>
          <w:rFonts w:ascii="Times New Roman" w:hAnsi="Times New Roman" w:cs="Times New Roman"/>
          <w:noProof/>
          <w:sz w:val="24"/>
          <w:szCs w:val="24"/>
        </w:rPr>
        <w:t>During the stakeholder interviews, the joint ESSF and EPF Roundtable and in the position papers, there is also agreement between stakeholders on the fact that emissions should be measured on a well-to-wake basis. In the feedback to the IIA, 13 out of the 81 participants also mentioned their preference for a well-to-wake approach. However, one stakeholder argued that although all emissions should be considered, the shipping sector should only be responsible for the exhaust emissions i.e. the tank-to-wake emissions. Multiple stakeholders also pointed out the need for a certification system for sustainable alternative fuels as necessary to ensure the sustainability of alternative fuels on the market.</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All stakeholder groups thus generally agree that the emissions under this policy should be calculated on a “well-to-wake” basis. </w:t>
      </w:r>
    </w:p>
    <w:p>
      <w:pPr>
        <w:jc w:val="both"/>
        <w:rPr>
          <w:rFonts w:ascii="Times New Roman" w:hAnsi="Times New Roman" w:cs="Times New Roman"/>
          <w:i/>
          <w:noProof/>
          <w:sz w:val="24"/>
          <w:szCs w:val="24"/>
        </w:rPr>
      </w:pPr>
      <w:r>
        <w:rPr>
          <w:rFonts w:ascii="Times New Roman" w:hAnsi="Times New Roman" w:cs="Times New Roman"/>
          <w:i/>
          <w:noProof/>
          <w:sz w:val="24"/>
          <w:szCs w:val="24"/>
        </w:rPr>
        <w:t>Policy framework for ships at berth</w:t>
      </w:r>
    </w:p>
    <w:p>
      <w:pPr>
        <w:jc w:val="both"/>
        <w:rPr>
          <w:rFonts w:ascii="Times New Roman" w:hAnsi="Times New Roman" w:cs="Times New Roman"/>
          <w:noProof/>
          <w:sz w:val="24"/>
          <w:szCs w:val="24"/>
        </w:rPr>
      </w:pPr>
      <w:r>
        <w:rPr>
          <w:rFonts w:ascii="Times New Roman" w:hAnsi="Times New Roman" w:cs="Times New Roman"/>
          <w:noProof/>
          <w:sz w:val="24"/>
          <w:szCs w:val="24"/>
        </w:rPr>
        <w:t>Most of the OPC respondents think that it is either very relevant (37 %) or relevant (29 %) that emissions at berth are included in the scope of a policy framework. This is supported by the TC results. However, there is less agreement about how such requirements should apply. Both the option to make the policy apply to all ships at berth (22 %) and the option to prioritize the highest emitters (30 %) gained a substantial amount of votes. 12 % indicated that action should only be taken once critical infrastructure is made available in majority of EU ports, while 8 % preferred prioritising the ships and the ports already equipped with zero-emissions technologies (including OPS).</w:t>
      </w:r>
    </w:p>
    <w:p>
      <w:pPr>
        <w:jc w:val="both"/>
        <w:rPr>
          <w:rFonts w:ascii="Times New Roman" w:hAnsi="Times New Roman" w:cs="Times New Roman"/>
          <w:noProof/>
          <w:sz w:val="24"/>
          <w:szCs w:val="24"/>
        </w:rPr>
      </w:pPr>
      <w:r>
        <w:rPr>
          <w:rFonts w:ascii="Times New Roman" w:hAnsi="Times New Roman" w:cs="Times New Roman"/>
          <w:noProof/>
          <w:sz w:val="24"/>
          <w:szCs w:val="24"/>
        </w:rPr>
        <w:t>During the interviews, the joint ESSF and EPF roundtable and in the position papers there seems to be an agreement that OPS requirements for ships at berth is relevant and necessary for achieving the decarbonisation objectives. Also, most stakeholders agree that there will be an important role for OPS in reaching the targets. However, mandating the use of OPS in ports is a very unpopular option. All the interviewed ports stressed that mandating OPS is not a good option because the viability varies greatly from port to port. Even ports who already invested in OPS infrastructure were against such a policy. A goal-based policy at berth would therefore have more support from the stakeholders.</w:t>
      </w:r>
    </w:p>
    <w:p>
      <w:pPr>
        <w:pStyle w:val="Heading1"/>
        <w:numPr>
          <w:ilvl w:val="0"/>
          <w:numId w:val="4"/>
        </w:numPr>
        <w:spacing w:line="276" w:lineRule="auto"/>
        <w:rPr>
          <w:noProof/>
          <w:szCs w:val="24"/>
        </w:rPr>
      </w:pPr>
      <w:bookmarkStart w:id="423" w:name="_Toc59152662"/>
      <w:bookmarkStart w:id="424" w:name="_Toc63426176"/>
      <w:bookmarkStart w:id="425" w:name="_Toc63438522"/>
      <w:r>
        <w:rPr>
          <w:noProof/>
        </w:rPr>
        <w:t>Conclusion</w:t>
      </w:r>
      <w:bookmarkEnd w:id="423"/>
      <w:bookmarkEnd w:id="424"/>
      <w:bookmarkEnd w:id="425"/>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objectives of the consultation activities have been largely achieved: all relevant stakeholders groups have been consulted and most provided their views on current barriers hindering the uptake of sustainable alternative fuels and the policy measures under consideration. Where available, respondents also provided additional quantitative and qualitative information.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consultations showed that there is consensus among all stakeholder groups on the problems as identified by the initiative. They also support the underlying objective to promote the uptake of RLF in the maritime fuel mix.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consultations confirmed that all five drivers identified in the framework of the initiative are regarded as relevant. The results suggest that the different stakeholders agree that high fuel and investment costs together with uncertainty for investors are the most important barriers. In terms of policy objectives, ‘providing more certainty on the climate and environmental requirements for ships in operation’ appears to be the most important policy objective in view of stakeholders. All stakeholder groups also expressed a preference for goal-based over prescriptive policy, which also concurs with another requirement for the policy voiced by most stakeholders, the technology neutrality. As regards the policy measures, setting a clear regulatory pathway for decarbonising the current marine fuel received the highest scores from the stakeholders. On geographical scope, there was no obvious preference on the right geographical scope for the measures. In terms of measuring environmental performance and how emissions should be included in the policy framework,  majority of stakeholders prefers a “well-to-wake” approach as that it takes into account not only emissions from the combustion of fuel on board the ship, but also upstream emissions from production, transport, and distribution of fuels. As regards ships at berth, OPS requirements are found to be relevant and necessary for achieving the decarbonisation objectives by most stakeholders. The information collected corresponded in general to the objectives and expectations of the consultation activities defined for each stakeholder. The results have helped shape the assessment of impacts and the choice of policy options and policy measures. </w:t>
      </w:r>
    </w:p>
    <w:p>
      <w:pPr>
        <w:rPr>
          <w:rFonts w:ascii="Times New Roman" w:hAnsi="Times New Roman" w:cs="Times New Roman"/>
          <w:noProof/>
        </w:rPr>
      </w:pPr>
    </w:p>
    <w:p>
      <w:pPr>
        <w:rPr>
          <w:rFonts w:ascii="Times New Roman" w:hAnsi="Times New Roman" w:cs="Times New Roman"/>
          <w:noProof/>
        </w:rPr>
      </w:pPr>
      <w:r>
        <w:rPr>
          <w:rFonts w:ascii="Times New Roman" w:hAnsi="Times New Roman" w:cs="Times New Roman"/>
          <w:noProof/>
        </w:rPr>
        <w:br w:type="page"/>
      </w:r>
    </w:p>
    <w:p>
      <w:pPr>
        <w:pStyle w:val="AnnexTitle"/>
        <w:rPr>
          <w:noProof/>
        </w:rPr>
      </w:pPr>
      <w:bookmarkStart w:id="426" w:name="_Toc49520314"/>
      <w:bookmarkStart w:id="427" w:name="_Toc57907322"/>
      <w:bookmarkStart w:id="428" w:name="_Toc59152663"/>
      <w:bookmarkStart w:id="429" w:name="_Toc63426177"/>
      <w:bookmarkStart w:id="430" w:name="_Toc63438523"/>
      <w:r>
        <w:rPr>
          <w:noProof/>
        </w:rPr>
        <w:t>Annex 3: Who is affected and how?</w:t>
      </w:r>
      <w:bookmarkEnd w:id="426"/>
      <w:bookmarkEnd w:id="427"/>
      <w:bookmarkEnd w:id="428"/>
      <w:bookmarkEnd w:id="429"/>
      <w:bookmarkEnd w:id="430"/>
    </w:p>
    <w:p>
      <w:pPr>
        <w:pStyle w:val="Heading1"/>
        <w:numPr>
          <w:ilvl w:val="0"/>
          <w:numId w:val="48"/>
        </w:numPr>
        <w:rPr>
          <w:noProof/>
        </w:rPr>
      </w:pPr>
      <w:bookmarkStart w:id="431" w:name="_Toc49520315"/>
      <w:bookmarkStart w:id="432" w:name="_Toc57907323"/>
      <w:bookmarkStart w:id="433" w:name="_Toc59152664"/>
      <w:bookmarkStart w:id="434" w:name="_Toc63426178"/>
      <w:bookmarkStart w:id="435" w:name="_Toc63438524"/>
      <w:r>
        <w:rPr>
          <w:noProof/>
        </w:rPr>
        <w:t>Practical implications of the initiative</w:t>
      </w:r>
      <w:bookmarkEnd w:id="431"/>
      <w:bookmarkEnd w:id="432"/>
      <w:bookmarkEnd w:id="433"/>
      <w:bookmarkEnd w:id="434"/>
      <w:bookmarkEnd w:id="435"/>
    </w:p>
    <w:p>
      <w:pPr>
        <w:pStyle w:val="Heading2"/>
        <w:numPr>
          <w:ilvl w:val="1"/>
          <w:numId w:val="4"/>
        </w:numPr>
        <w:rPr>
          <w:noProof/>
        </w:rPr>
      </w:pPr>
      <w:bookmarkStart w:id="436" w:name="_Toc57907324"/>
      <w:bookmarkStart w:id="437" w:name="_Toc59152665"/>
      <w:bookmarkStart w:id="438" w:name="_Toc63426179"/>
      <w:bookmarkStart w:id="439" w:name="_Toc63438525"/>
      <w:r>
        <w:rPr>
          <w:noProof/>
        </w:rPr>
        <w:t>Outlook of the preferred option implementation</w:t>
      </w:r>
      <w:bookmarkEnd w:id="436"/>
      <w:bookmarkEnd w:id="437"/>
      <w:bookmarkEnd w:id="438"/>
      <w:bookmarkEnd w:id="439"/>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FuelEU Maritime initiative aims at increasing the uptake of RLF in EU maritime transport with a view to reducing emissions from the sector in navigation and at berth. </w:t>
      </w:r>
      <w:r>
        <w:rPr>
          <w:rFonts w:ascii="Times New Roman" w:hAnsi="Times New Roman" w:cs="Times New Roman"/>
          <w:noProof/>
          <w:sz w:val="24"/>
          <w:szCs w:val="24"/>
          <w:lang w:val="en-IE"/>
        </w:rPr>
        <w:t>Ensuring a more diverse fuel mix and a higher penetration of RLF is critical to ensure the sector’s contribution to the European ambition of climate-neutrality by 2050. Reducing emissions from ships at berth is also particularly important to control air pollution in ports and port cities.</w:t>
      </w:r>
    </w:p>
    <w:p>
      <w:pPr>
        <w:jc w:val="both"/>
        <w:rPr>
          <w:rFonts w:ascii="Times New Roman" w:hAnsi="Times New Roman" w:cs="Times New Roman"/>
          <w:noProof/>
          <w:sz w:val="24"/>
          <w:szCs w:val="24"/>
        </w:rPr>
      </w:pPr>
      <w:r>
        <w:rPr>
          <w:rFonts w:ascii="Times New Roman" w:hAnsi="Times New Roman" w:cs="Times New Roman"/>
          <w:noProof/>
          <w:sz w:val="24"/>
          <w:szCs w:val="24"/>
        </w:rPr>
        <w:t>The preferred policy option identified in the context of the impact assessment, policy option 3, is defined as a goal-based approach with a mechanism to reward overachievers. It envisages a compliance and enforcement regime, based on reporting and verification of GHG intensity of on-board energy usage (metric expressed in CO</w:t>
      </w:r>
      <w:r>
        <w:rPr>
          <w:rFonts w:ascii="Times New Roman" w:hAnsi="Times New Roman" w:cs="Times New Roman"/>
          <w:noProof/>
          <w:sz w:val="24"/>
          <w:szCs w:val="24"/>
          <w:vertAlign w:val="subscript"/>
        </w:rPr>
        <w:t>2</w:t>
      </w:r>
      <w:r>
        <w:rPr>
          <w:rFonts w:ascii="Times New Roman" w:hAnsi="Times New Roman" w:cs="Times New Roman"/>
          <w:noProof/>
          <w:sz w:val="24"/>
          <w:szCs w:val="24"/>
        </w:rPr>
        <w:t>e/kWh). It will rely, to the extent possible, on the reporting requirements already included in the EU MRV scheme as well as the corresponding IT tool, THETIS-MRV. However, the amount of data required for checking compliance with this initiative will be different as it will cover additional energy sources (not currently covered in EU MRV, such as electric propulsion) as well as additional emissions (well-to-tank emission factors and non-CO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such as CH</w:t>
      </w:r>
      <w:r>
        <w:rPr>
          <w:rFonts w:ascii="Times New Roman" w:hAnsi="Times New Roman" w:cs="Times New Roman"/>
          <w:noProof/>
          <w:sz w:val="24"/>
          <w:szCs w:val="24"/>
          <w:vertAlign w:val="subscript"/>
        </w:rPr>
        <w:t>4</w:t>
      </w:r>
      <w:r>
        <w:rPr>
          <w:rFonts w:ascii="Times New Roman" w:hAnsi="Times New Roman" w:cs="Times New Roman"/>
          <w:noProof/>
          <w:sz w:val="24"/>
          <w:szCs w:val="24"/>
        </w:rPr>
        <w:t xml:space="preserve"> and N</w:t>
      </w:r>
      <w:r>
        <w:rPr>
          <w:rFonts w:ascii="Times New Roman" w:hAnsi="Times New Roman" w:cs="Times New Roman"/>
          <w:noProof/>
          <w:sz w:val="24"/>
          <w:szCs w:val="24"/>
          <w:vertAlign w:val="subscript"/>
        </w:rPr>
        <w:t>2</w:t>
      </w:r>
      <w:r>
        <w:rPr>
          <w:rFonts w:ascii="Times New Roman" w:hAnsi="Times New Roman" w:cs="Times New Roman"/>
          <w:noProof/>
          <w:sz w:val="24"/>
          <w:szCs w:val="24"/>
        </w:rPr>
        <w:t>O). The regulation will apply equally to all ships above 5000 gross tonnes, regardless of the flag they are flying, during the voyages involving EU ports: intra-EU, extra-EU inbound and outbound.</w:t>
      </w:r>
    </w:p>
    <w:p>
      <w:pPr>
        <w:pStyle w:val="Heading2"/>
        <w:numPr>
          <w:ilvl w:val="1"/>
          <w:numId w:val="4"/>
        </w:numPr>
        <w:rPr>
          <w:noProof/>
        </w:rPr>
      </w:pPr>
      <w:bookmarkStart w:id="440" w:name="_Toc57907325"/>
      <w:bookmarkStart w:id="441" w:name="_Toc59152666"/>
      <w:bookmarkStart w:id="442" w:name="_Toc63426180"/>
      <w:bookmarkStart w:id="443" w:name="_Toc63438526"/>
      <w:r>
        <w:rPr>
          <w:noProof/>
        </w:rPr>
        <w:t>Implications on market operators and public authorities</w:t>
      </w:r>
      <w:bookmarkEnd w:id="440"/>
      <w:bookmarkEnd w:id="441"/>
      <w:bookmarkEnd w:id="442"/>
      <w:bookmarkEnd w:id="443"/>
      <w:r>
        <w:rPr>
          <w:noProof/>
        </w:rPr>
        <w:t xml:space="preserve"> </w:t>
      </w:r>
    </w:p>
    <w:p>
      <w:pPr>
        <w:jc w:val="both"/>
        <w:rPr>
          <w:rFonts w:ascii="Times New Roman" w:hAnsi="Times New Roman" w:cs="Times New Roman"/>
          <w:noProof/>
          <w:sz w:val="24"/>
          <w:szCs w:val="24"/>
        </w:rPr>
      </w:pPr>
      <w:r>
        <w:rPr>
          <w:rFonts w:ascii="Times New Roman" w:hAnsi="Times New Roman" w:cs="Times New Roman"/>
          <w:b/>
          <w:noProof/>
          <w:sz w:val="24"/>
          <w:szCs w:val="24"/>
        </w:rPr>
        <w:t>Ship operators</w:t>
      </w:r>
      <w:r>
        <w:rPr>
          <w:rFonts w:ascii="Times New Roman" w:hAnsi="Times New Roman" w:cs="Times New Roman"/>
          <w:noProof/>
          <w:sz w:val="24"/>
          <w:szCs w:val="24"/>
        </w:rPr>
        <w:t xml:space="preserve"> are the stakeholder category mostly impacted by the proposed intervention as they are in practice the regulated entities. They will have to comply with the maximum GHG intensity limits for the energy used on board which will be set by the regulation and are expected to apply as of 2025 and be gradually strengthen in 5-year intervals. Compliance will be determined for the voyages involving EU ports: intra-EU, extra-EU inbound and outbound. Compliance will not be checked on voyage-per-voyage basis but on an annual basis, allowing ship operators to average results between the regulated voyages. They will also have the possibility to acquire excess compliance points generated by other ships or roll-over negative points for the next reporting period. Should that prove not possible, operators will have to pay a compensation amount to acquire their document of compliance. </w:t>
      </w:r>
    </w:p>
    <w:p>
      <w:pPr>
        <w:jc w:val="both"/>
        <w:rPr>
          <w:rFonts w:ascii="Times New Roman" w:hAnsi="Times New Roman" w:cs="Times New Roman"/>
          <w:noProof/>
          <w:sz w:val="24"/>
          <w:szCs w:val="24"/>
        </w:rPr>
      </w:pPr>
      <w:r>
        <w:rPr>
          <w:rFonts w:ascii="Times New Roman" w:hAnsi="Times New Roman" w:cs="Times New Roman"/>
          <w:noProof/>
          <w:sz w:val="24"/>
          <w:szCs w:val="24"/>
        </w:rPr>
        <w:t>As the approach under the preferred policy options will be goal-based, market operators will enjoy full flexibility as regard the type of RLF they wish to use to meet the regulatory targets. They would also be free to bunker the compliance fuels outside the EU provided that its GHG performance can be certified in accordance with the applicable criteria. The compliance costs will therefore result in a gradual increase of fuel costs as well as an increase in capital costs (resulting from the deployment of new, innovative, propulsion systems) compared to the baseline. The compliance costs are distributed over time and are expected to gradually increase in line with the further penetration of RLF in the fuel mix. This has also as consequence that the compliance costs are more limited in the early phases of the intervention; the overall costs increase for ship operators are estimated to be around 2.7% by 2030 and up to 17.4% by 2050 in PO3.</w:t>
      </w:r>
    </w:p>
    <w:p>
      <w:pPr>
        <w:jc w:val="both"/>
        <w:rPr>
          <w:rFonts w:ascii="Times New Roman" w:hAnsi="Times New Roman" w:cs="Times New Roman"/>
          <w:noProof/>
          <w:sz w:val="24"/>
          <w:szCs w:val="24"/>
        </w:rPr>
      </w:pPr>
      <w:r>
        <w:rPr>
          <w:rFonts w:ascii="Times New Roman" w:hAnsi="Times New Roman" w:cs="Times New Roman"/>
          <w:b/>
          <w:noProof/>
          <w:sz w:val="24"/>
          <w:szCs w:val="24"/>
        </w:rPr>
        <w:t>Ports</w:t>
      </w:r>
      <w:r>
        <w:rPr>
          <w:rFonts w:ascii="Times New Roman" w:hAnsi="Times New Roman" w:cs="Times New Roman"/>
          <w:noProof/>
          <w:sz w:val="24"/>
          <w:szCs w:val="24"/>
        </w:rPr>
        <w:t xml:space="preserve"> will be indirectly impacted by the proposed regulatory requirements as they will have to ensure access to bunkering infrastructure for marine RLF. However, policy intervention under FuelEU Maritime will not directly require ports to install specific infrastructure (such requirements are set by the EU Alternative Fuel Infrastructure Directive, which also is currently being reviewed). </w:t>
      </w:r>
      <w:r>
        <w:rPr>
          <w:rFonts w:ascii="Times New Roman" w:hAnsi="Times New Roman" w:cs="Times New Roman"/>
          <w:noProof/>
          <w:sz w:val="24"/>
          <w:szCs w:val="24"/>
          <w:lang w:val="en-IE"/>
        </w:rPr>
        <w:t>It is also worth noting here that the bunkering offer can be an element of competition among ports. In practice, most of the investments for ports are likely to result in the provision of OPS connection for ships at berth, focussing initially on container ships, passenger ships and ro-pax vessels, as well as, in the longer-term, the provision of specific infrastructure dedicated to hydrogen or ammonia. In order to guarantee the safe handling of fuels and bunkering operations, ports are expected to develop relevant provisions into their port rules and port bye-laws, accounting for the different dimensions of alternative fuels/OPS deployment. This will be a role of the port authorities in close cooperation with port administrations. Whilst doing so, port authorities are expected to follow existing regulations and best-practice guidance, at EU or international level. Considering the existence of such instruments, and the fact that mainly port authorities will develop national level regulatory framework, the administrative cost is not expected to impact significantly on the ports/port administrations/port operators.</w:t>
      </w:r>
    </w:p>
    <w:p>
      <w:pPr>
        <w:jc w:val="both"/>
        <w:rPr>
          <w:rFonts w:ascii="Times New Roman" w:hAnsi="Times New Roman" w:cs="Times New Roman"/>
          <w:noProof/>
          <w:sz w:val="24"/>
          <w:szCs w:val="24"/>
        </w:rPr>
      </w:pPr>
      <w:r>
        <w:rPr>
          <w:rFonts w:ascii="Times New Roman" w:hAnsi="Times New Roman" w:cs="Times New Roman"/>
          <w:noProof/>
          <w:sz w:val="24"/>
          <w:szCs w:val="24"/>
        </w:rPr>
        <w:t>In terms of</w:t>
      </w:r>
      <w:r>
        <w:rPr>
          <w:rFonts w:ascii="Times New Roman" w:hAnsi="Times New Roman" w:cs="Times New Roman"/>
          <w:b/>
          <w:noProof/>
          <w:sz w:val="24"/>
          <w:szCs w:val="24"/>
        </w:rPr>
        <w:t xml:space="preserve"> administrative requirements</w:t>
      </w:r>
      <w:r>
        <w:rPr>
          <w:rFonts w:ascii="Times New Roman" w:hAnsi="Times New Roman" w:cs="Times New Roman"/>
          <w:noProof/>
          <w:sz w:val="24"/>
          <w:szCs w:val="24"/>
        </w:rPr>
        <w:t xml:space="preserve">, compliance will be demonstrated by operators through the submissions of additional information obligations in parallel to the ones already existing for the EU MRV.  These concern in particular: </w:t>
      </w:r>
    </w:p>
    <w:p>
      <w:pPr>
        <w:pStyle w:val="ListParagraph"/>
        <w:numPr>
          <w:ilvl w:val="0"/>
          <w:numId w:val="10"/>
        </w:numPr>
        <w:jc w:val="both"/>
        <w:rPr>
          <w:rFonts w:ascii="Times New Roman" w:hAnsi="Times New Roman" w:cs="Times New Roman"/>
          <w:noProof/>
          <w:sz w:val="24"/>
          <w:szCs w:val="24"/>
        </w:rPr>
      </w:pPr>
      <w:r>
        <w:rPr>
          <w:rFonts w:ascii="Times New Roman" w:hAnsi="Times New Roman" w:cs="Times New Roman"/>
          <w:i/>
          <w:noProof/>
          <w:sz w:val="24"/>
          <w:szCs w:val="24"/>
        </w:rPr>
        <w:t>Annual energy compliance plan</w:t>
      </w:r>
      <w:r>
        <w:rPr>
          <w:rFonts w:ascii="Times New Roman" w:hAnsi="Times New Roman" w:cs="Times New Roman"/>
          <w:noProof/>
          <w:sz w:val="24"/>
          <w:szCs w:val="24"/>
        </w:rPr>
        <w:t xml:space="preserve">: Each vessel will have to prepare an annual compliance plan, which describes which fuels and technologies the ship is planning to use. This plan builds on the EU MRV Monitoring plan. </w:t>
      </w:r>
    </w:p>
    <w:p>
      <w:pPr>
        <w:pStyle w:val="ListParagraph"/>
        <w:numPr>
          <w:ilvl w:val="0"/>
          <w:numId w:val="10"/>
        </w:numPr>
        <w:jc w:val="both"/>
        <w:rPr>
          <w:rFonts w:ascii="Times New Roman" w:hAnsi="Times New Roman" w:cs="Times New Roman"/>
          <w:noProof/>
          <w:sz w:val="24"/>
          <w:szCs w:val="24"/>
        </w:rPr>
      </w:pPr>
      <w:r>
        <w:rPr>
          <w:rFonts w:ascii="Times New Roman" w:hAnsi="Times New Roman" w:cs="Times New Roman"/>
          <w:i/>
          <w:noProof/>
          <w:sz w:val="24"/>
          <w:szCs w:val="24"/>
        </w:rPr>
        <w:t>Annual energy report</w:t>
      </w:r>
      <w:r>
        <w:rPr>
          <w:rFonts w:ascii="Times New Roman" w:hAnsi="Times New Roman" w:cs="Times New Roman"/>
          <w:noProof/>
          <w:sz w:val="24"/>
          <w:szCs w:val="24"/>
        </w:rPr>
        <w:t>: The annual energy report is the calculation of the annual GHG performance of the vessel’s energy production. It should be broken down to different energy sources/types of fuel. In practice this report builds upon the EU MRV Emission report (incl. type of fuel, fuel consumption figures) and adds specific emission factors covering all regulated emissions on a well-to-wake basis.</w:t>
      </w:r>
    </w:p>
    <w:p>
      <w:pPr>
        <w:pStyle w:val="ListParagraph"/>
        <w:numPr>
          <w:ilvl w:val="0"/>
          <w:numId w:val="10"/>
        </w:numPr>
        <w:jc w:val="both"/>
        <w:rPr>
          <w:rFonts w:ascii="Times New Roman" w:hAnsi="Times New Roman" w:cs="Times New Roman"/>
          <w:noProof/>
          <w:sz w:val="24"/>
          <w:szCs w:val="24"/>
        </w:rPr>
      </w:pPr>
      <w:r>
        <w:rPr>
          <w:rFonts w:ascii="Times New Roman" w:hAnsi="Times New Roman" w:cs="Times New Roman"/>
          <w:i/>
          <w:noProof/>
          <w:sz w:val="24"/>
          <w:szCs w:val="24"/>
        </w:rPr>
        <w:t>OPS consumption:</w:t>
      </w:r>
      <w:r>
        <w:rPr>
          <w:rFonts w:ascii="Times New Roman" w:hAnsi="Times New Roman" w:cs="Times New Roman"/>
          <w:noProof/>
          <w:sz w:val="24"/>
          <w:szCs w:val="24"/>
        </w:rPr>
        <w:t xml:space="preserve"> As part of the annual energy report, all ships have to register the exact amount of electricity consumed while at berth (i.e. replacing the fuel used at berth currently reported under EU MRV), or demonstrate the use of </w:t>
      </w:r>
      <w:r>
        <w:rPr>
          <w:rFonts w:ascii="Times New Roman" w:hAnsi="Times New Roman"/>
          <w:noProof/>
          <w:sz w:val="24"/>
          <w:szCs w:val="24"/>
          <w:lang w:val="en-IE"/>
        </w:rPr>
        <w:t>of equally performant alternative (e.g. batteries, hydrogen etc.)</w:t>
      </w:r>
      <w:r>
        <w:rPr>
          <w:rFonts w:ascii="Times New Roman" w:hAnsi="Times New Roman" w:cs="Times New Roman"/>
          <w:noProof/>
          <w:sz w:val="24"/>
          <w:szCs w:val="24"/>
        </w:rPr>
        <w:t xml:space="preserve">. This will impact mainly the containerships, passenger ships and ro-pax vessels, who will be subject to specific OPS requirements at berth.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following actions result from the above mentioned additional information requirements: </w:t>
      </w:r>
    </w:p>
    <w:p>
      <w:pPr>
        <w:pStyle w:val="ListParagraph"/>
        <w:numPr>
          <w:ilvl w:val="0"/>
          <w:numId w:val="11"/>
        </w:numPr>
        <w:jc w:val="both"/>
        <w:rPr>
          <w:rFonts w:ascii="Times New Roman" w:hAnsi="Times New Roman" w:cs="Times New Roman"/>
          <w:noProof/>
          <w:sz w:val="24"/>
          <w:szCs w:val="24"/>
        </w:rPr>
      </w:pPr>
      <w:r>
        <w:rPr>
          <w:rFonts w:ascii="Times New Roman" w:hAnsi="Times New Roman" w:cs="Times New Roman"/>
          <w:noProof/>
          <w:sz w:val="24"/>
          <w:szCs w:val="24"/>
        </w:rPr>
        <w:t xml:space="preserve">Prepare and submit annual energy compliance plan (for the next year); </w:t>
      </w:r>
    </w:p>
    <w:p>
      <w:pPr>
        <w:pStyle w:val="ListParagraph"/>
        <w:numPr>
          <w:ilvl w:val="0"/>
          <w:numId w:val="11"/>
        </w:numPr>
        <w:jc w:val="both"/>
        <w:rPr>
          <w:rFonts w:ascii="Times New Roman" w:hAnsi="Times New Roman" w:cs="Times New Roman"/>
          <w:noProof/>
          <w:sz w:val="24"/>
          <w:szCs w:val="24"/>
        </w:rPr>
      </w:pPr>
      <w:r>
        <w:rPr>
          <w:rFonts w:ascii="Times New Roman" w:hAnsi="Times New Roman" w:cs="Times New Roman"/>
          <w:noProof/>
          <w:sz w:val="24"/>
          <w:szCs w:val="24"/>
        </w:rPr>
        <w:t xml:space="preserve">Prepare and submit annual energy report, including the OPS consumption (for the previous year); </w:t>
      </w:r>
    </w:p>
    <w:p>
      <w:pPr>
        <w:pStyle w:val="ListParagraph"/>
        <w:numPr>
          <w:ilvl w:val="0"/>
          <w:numId w:val="11"/>
        </w:numPr>
        <w:jc w:val="both"/>
        <w:rPr>
          <w:rFonts w:ascii="Times New Roman" w:hAnsi="Times New Roman" w:cs="Times New Roman"/>
          <w:noProof/>
          <w:sz w:val="24"/>
          <w:szCs w:val="24"/>
        </w:rPr>
      </w:pPr>
      <w:r>
        <w:rPr>
          <w:rFonts w:ascii="Times New Roman" w:hAnsi="Times New Roman" w:cs="Times New Roman"/>
          <w:noProof/>
          <w:sz w:val="24"/>
          <w:szCs w:val="24"/>
        </w:rPr>
        <w:t xml:space="preserve">Transfer excess or negative compliance points or pay compensation amount if needed; </w:t>
      </w:r>
    </w:p>
    <w:p>
      <w:pPr>
        <w:pStyle w:val="ListParagraph"/>
        <w:numPr>
          <w:ilvl w:val="0"/>
          <w:numId w:val="11"/>
        </w:numPr>
        <w:jc w:val="both"/>
        <w:rPr>
          <w:rFonts w:ascii="Times New Roman" w:hAnsi="Times New Roman" w:cs="Times New Roman"/>
          <w:noProof/>
          <w:sz w:val="24"/>
          <w:szCs w:val="24"/>
        </w:rPr>
      </w:pPr>
      <w:r>
        <w:rPr>
          <w:rFonts w:ascii="Times New Roman" w:hAnsi="Times New Roman" w:cs="Times New Roman"/>
          <w:noProof/>
          <w:sz w:val="24"/>
          <w:szCs w:val="24"/>
        </w:rPr>
        <w:t xml:space="preserve">Carry document of compliance with the regulatory requirements; </w:t>
      </w:r>
    </w:p>
    <w:p>
      <w:pPr>
        <w:pStyle w:val="ListParagraph"/>
        <w:numPr>
          <w:ilvl w:val="0"/>
          <w:numId w:val="11"/>
        </w:numPr>
        <w:jc w:val="both"/>
        <w:rPr>
          <w:rFonts w:ascii="Times New Roman" w:hAnsi="Times New Roman" w:cs="Times New Roman"/>
          <w:noProof/>
          <w:sz w:val="24"/>
          <w:szCs w:val="24"/>
        </w:rPr>
      </w:pPr>
      <w:r>
        <w:rPr>
          <w:rFonts w:ascii="Times New Roman" w:hAnsi="Times New Roman" w:cs="Times New Roman"/>
          <w:noProof/>
          <w:sz w:val="24"/>
          <w:szCs w:val="24"/>
        </w:rPr>
        <w:t xml:space="preserve">Cooperate during audits/inspections. </w:t>
      </w:r>
    </w:p>
    <w:p>
      <w:pPr>
        <w:jc w:val="both"/>
        <w:rPr>
          <w:rFonts w:ascii="Times New Roman" w:hAnsi="Times New Roman" w:cs="Times New Roman"/>
          <w:noProof/>
          <w:sz w:val="24"/>
          <w:szCs w:val="24"/>
        </w:rPr>
      </w:pPr>
      <w:r>
        <w:rPr>
          <w:rFonts w:ascii="Times New Roman" w:hAnsi="Times New Roman" w:cs="Times New Roman"/>
          <w:noProof/>
          <w:sz w:val="24"/>
          <w:szCs w:val="24"/>
        </w:rPr>
        <w:t>Similarly to the verification cycle established for the MRV Regulation, compliance checks will have to be made by an accredited verifier, which will issue, on that basis, a document of compliance. In terms of compliance cycle, ships will have up to 6 months following the reported year to receive their document of compliance. Within the deadlines specified in the EU MRV Regulation, they will have to submit all relevant information to the verifier (e.g. proof of fuel consumption during the regulated journeys, type of fuel used, fuel certificates, etc.) so that it can check performance against the target.</w:t>
      </w:r>
    </w:p>
    <w:p>
      <w:pPr>
        <w:jc w:val="both"/>
        <w:rPr>
          <w:rFonts w:ascii="Times New Roman" w:hAnsi="Times New Roman" w:cs="Times New Roman"/>
          <w:noProof/>
          <w:sz w:val="24"/>
          <w:szCs w:val="24"/>
        </w:rPr>
      </w:pPr>
      <w:r>
        <w:rPr>
          <w:rFonts w:ascii="Times New Roman" w:hAnsi="Times New Roman" w:cs="Times New Roman"/>
          <w:noProof/>
          <w:sz w:val="24"/>
          <w:szCs w:val="24"/>
        </w:rPr>
        <w:t>Indirectly,</w:t>
      </w:r>
      <w:r>
        <w:rPr>
          <w:rFonts w:ascii="Times New Roman" w:hAnsi="Times New Roman" w:cs="Times New Roman"/>
          <w:b/>
          <w:noProof/>
          <w:sz w:val="24"/>
          <w:szCs w:val="24"/>
        </w:rPr>
        <w:t xml:space="preserve"> marine equipment providers</w:t>
      </w:r>
      <w:r>
        <w:rPr>
          <w:rFonts w:ascii="Times New Roman" w:hAnsi="Times New Roman" w:cs="Times New Roman"/>
          <w:noProof/>
          <w:sz w:val="24"/>
          <w:szCs w:val="24"/>
        </w:rPr>
        <w:t xml:space="preserve"> will be able to further strengthen their strong competitive position as they, together with European yards, are developing techniques needed to use alternative fuels. Especially the engine and propulsion systems needed for alternative fuels are currently developed by leading EU companies. As a result, the legal initiative is expected be a stimulus for research and development in such technologies.</w:t>
      </w:r>
    </w:p>
    <w:p>
      <w:pPr>
        <w:jc w:val="both"/>
        <w:rPr>
          <w:rFonts w:ascii="Times New Roman" w:hAnsi="Times New Roman" w:cs="Times New Roman"/>
          <w:noProof/>
          <w:sz w:val="24"/>
          <w:szCs w:val="24"/>
        </w:rPr>
      </w:pPr>
      <w:r>
        <w:rPr>
          <w:rFonts w:ascii="Times New Roman" w:hAnsi="Times New Roman" w:cs="Times New Roman"/>
          <w:b/>
          <w:noProof/>
          <w:sz w:val="24"/>
          <w:szCs w:val="24"/>
        </w:rPr>
        <w:t>Fuel suppliers</w:t>
      </w:r>
      <w:r>
        <w:rPr>
          <w:rFonts w:ascii="Times New Roman" w:hAnsi="Times New Roman" w:cs="Times New Roman"/>
          <w:noProof/>
          <w:sz w:val="24"/>
          <w:szCs w:val="24"/>
        </w:rPr>
        <w:t xml:space="preserve"> will also be indirect impacted by the regulatory requirements as they will have to certify marine RLF reflecting upstream emissions and sustainability criteria. The certification requirements will build on existing provisions and sustainability criteria in the RED, as well as the existing certification scheme such as the International Sustainability &amp; Carbon Certification (ISCC) Scheme</w:t>
      </w:r>
      <w:r>
        <w:rPr>
          <w:rStyle w:val="FootnoteReference"/>
          <w:rFonts w:ascii="Times New Roman" w:hAnsi="Times New Roman" w:cs="Times New Roman"/>
          <w:noProof/>
          <w:sz w:val="24"/>
          <w:szCs w:val="24"/>
        </w:rPr>
        <w:footnoteReference w:id="149"/>
      </w:r>
      <w:r>
        <w:rPr>
          <w:rFonts w:ascii="Times New Roman" w:hAnsi="Times New Roman" w:cs="Times New Roman"/>
          <w:noProof/>
          <w:sz w:val="24"/>
          <w:szCs w:val="24"/>
        </w:rPr>
        <w:t>. As bunkering may not be limited to the EU, it is difficult to assess to which degree EU fuel suppliers will be impacted. However, based on existing literature and already existing comparable systems, these are anticipated not to have significant impact on the price of RLF and illustrative cost estimates have been provided in Section 6.1.2.</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impact of </w:t>
      </w:r>
      <w:r>
        <w:rPr>
          <w:rFonts w:ascii="Times New Roman" w:hAnsi="Times New Roman" w:cs="Times New Roman"/>
          <w:b/>
          <w:noProof/>
          <w:sz w:val="24"/>
          <w:szCs w:val="24"/>
        </w:rPr>
        <w:t>national administrations</w:t>
      </w:r>
      <w:r>
        <w:rPr>
          <w:rFonts w:ascii="Times New Roman" w:hAnsi="Times New Roman" w:cs="Times New Roman"/>
          <w:noProof/>
          <w:sz w:val="24"/>
          <w:szCs w:val="24"/>
        </w:rPr>
        <w:t xml:space="preserve"> is expected to remain very limited. As the system is building on the existing MRV one, it is also expected to rely on the existing IT tool, THETIS-MRV, which should be enhanced to handle the new information / data streams. This will be done at EU-level. Most of the compliance check will in practice be done by third-party verifiers which will be audited / controlled on a regular basis. The document of compliance will be registered electronically and the system will allow a rapid identification of  non-compliant ships.  The need for additional Port State Control inspections is therefore considered limited. </w:t>
      </w:r>
    </w:p>
    <w:p>
      <w:pPr>
        <w:pStyle w:val="Heading1"/>
        <w:numPr>
          <w:ilvl w:val="0"/>
          <w:numId w:val="4"/>
        </w:numPr>
        <w:rPr>
          <w:noProof/>
        </w:rPr>
      </w:pPr>
      <w:bookmarkStart w:id="444" w:name="_Toc49520316"/>
      <w:bookmarkStart w:id="445" w:name="_Toc57907326"/>
      <w:bookmarkStart w:id="446" w:name="_Toc59152667"/>
      <w:bookmarkStart w:id="447" w:name="_Toc63426181"/>
      <w:bookmarkStart w:id="448" w:name="_Toc63438527"/>
      <w:r>
        <w:rPr>
          <w:noProof/>
        </w:rPr>
        <w:t>Summary of costs and benefits</w:t>
      </w:r>
      <w:bookmarkEnd w:id="444"/>
      <w:bookmarkEnd w:id="445"/>
      <w:bookmarkEnd w:id="446"/>
      <w:bookmarkEnd w:id="447"/>
      <w:bookmarkEnd w:id="448"/>
    </w:p>
    <w:p>
      <w:pPr>
        <w:pStyle w:val="Caption"/>
        <w:keepNext/>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28</w:t>
      </w:r>
      <w:r>
        <w:rPr>
          <w:noProof/>
        </w:rPr>
        <w:fldChar w:fldCharType="end"/>
      </w:r>
      <w:r>
        <w:rPr>
          <w:noProof/>
        </w:rPr>
        <w:t xml:space="preserve"> Overview of benefits</w:t>
      </w:r>
    </w:p>
    <w:tbl>
      <w:tblPr>
        <w:tblStyle w:val="CV12"/>
        <w:tblW w:w="10377" w:type="dxa"/>
        <w:tblInd w:w="-459"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52"/>
        <w:gridCol w:w="2410"/>
        <w:gridCol w:w="5415"/>
      </w:tblGrid>
      <w:tr>
        <w:tc>
          <w:tcPr>
            <w:tcW w:w="10377" w:type="dxa"/>
            <w:gridSpan w:val="3"/>
            <w:tcBorders>
              <w:top w:val="double" w:sz="4" w:space="0" w:color="auto"/>
              <w:bottom w:val="single" w:sz="4" w:space="0" w:color="auto"/>
            </w:tcBorders>
            <w:shd w:val="clear" w:color="auto" w:fill="C6D9F1" w:themeFill="text2" w:themeFillTint="33"/>
          </w:tcPr>
          <w:p>
            <w:pPr>
              <w:tabs>
                <w:tab w:val="num" w:pos="425"/>
              </w:tabs>
              <w:jc w:val="center"/>
              <w:rPr>
                <w:b/>
                <w:bCs/>
                <w:i/>
                <w:iCs/>
                <w:noProof/>
              </w:rPr>
            </w:pPr>
            <w:r>
              <w:rPr>
                <w:b/>
                <w:bCs/>
                <w:i/>
                <w:iCs/>
                <w:noProof/>
              </w:rPr>
              <w:t>I. Overview of Benefits (total for all provisions) – Preferred Option – PO3 (relative to the baseline, expressed as present value over 2021-2050)</w:t>
            </w:r>
          </w:p>
        </w:tc>
      </w:tr>
      <w:tr>
        <w:tc>
          <w:tcPr>
            <w:tcW w:w="2552" w:type="dxa"/>
            <w:tcBorders>
              <w:top w:val="single" w:sz="4" w:space="0" w:color="auto"/>
            </w:tcBorders>
            <w:shd w:val="clear" w:color="auto" w:fill="C6D9F1" w:themeFill="text2" w:themeFillTint="33"/>
          </w:tcPr>
          <w:p>
            <w:pPr>
              <w:tabs>
                <w:tab w:val="num" w:pos="425"/>
              </w:tabs>
              <w:jc w:val="center"/>
              <w:rPr>
                <w:b/>
                <w:bCs/>
                <w:i/>
                <w:iCs/>
                <w:noProof/>
              </w:rPr>
            </w:pPr>
            <w:r>
              <w:rPr>
                <w:b/>
                <w:bCs/>
                <w:i/>
                <w:iCs/>
                <w:noProof/>
              </w:rPr>
              <w:t>Description</w:t>
            </w:r>
          </w:p>
        </w:tc>
        <w:tc>
          <w:tcPr>
            <w:tcW w:w="2410" w:type="dxa"/>
            <w:tcBorders>
              <w:top w:val="single" w:sz="4" w:space="0" w:color="auto"/>
            </w:tcBorders>
            <w:shd w:val="clear" w:color="auto" w:fill="C6D9F1" w:themeFill="text2" w:themeFillTint="33"/>
          </w:tcPr>
          <w:p>
            <w:pPr>
              <w:tabs>
                <w:tab w:val="num" w:pos="425"/>
              </w:tabs>
              <w:jc w:val="center"/>
              <w:rPr>
                <w:b/>
                <w:bCs/>
                <w:i/>
                <w:iCs/>
                <w:noProof/>
              </w:rPr>
            </w:pPr>
            <w:r>
              <w:rPr>
                <w:b/>
                <w:bCs/>
                <w:i/>
                <w:iCs/>
                <w:noProof/>
              </w:rPr>
              <w:t>Amount</w:t>
            </w:r>
          </w:p>
        </w:tc>
        <w:tc>
          <w:tcPr>
            <w:tcW w:w="5415" w:type="dxa"/>
            <w:tcBorders>
              <w:top w:val="single" w:sz="4" w:space="0" w:color="auto"/>
            </w:tcBorders>
            <w:shd w:val="clear" w:color="auto" w:fill="C6D9F1" w:themeFill="text2" w:themeFillTint="33"/>
            <w:tcMar>
              <w:top w:w="57" w:type="dxa"/>
              <w:left w:w="57" w:type="dxa"/>
              <w:bottom w:w="57" w:type="dxa"/>
              <w:right w:w="57" w:type="dxa"/>
            </w:tcMar>
          </w:tcPr>
          <w:p>
            <w:pPr>
              <w:tabs>
                <w:tab w:val="num" w:pos="425"/>
              </w:tabs>
              <w:jc w:val="center"/>
              <w:rPr>
                <w:b/>
                <w:bCs/>
                <w:i/>
                <w:iCs/>
                <w:noProof/>
              </w:rPr>
            </w:pPr>
            <w:r>
              <w:rPr>
                <w:b/>
                <w:bCs/>
                <w:i/>
                <w:iCs/>
                <w:noProof/>
              </w:rPr>
              <w:t>Comments</w:t>
            </w:r>
          </w:p>
        </w:tc>
      </w:tr>
      <w:tr>
        <w:tc>
          <w:tcPr>
            <w:tcW w:w="10377" w:type="dxa"/>
            <w:gridSpan w:val="3"/>
            <w:tcBorders>
              <w:top w:val="double" w:sz="4" w:space="0" w:color="auto"/>
            </w:tcBorders>
            <w:shd w:val="clear" w:color="auto" w:fill="F2F2F2" w:themeFill="background1" w:themeFillShade="F2"/>
          </w:tcPr>
          <w:p>
            <w:pPr>
              <w:tabs>
                <w:tab w:val="num" w:pos="425"/>
              </w:tabs>
              <w:jc w:val="center"/>
              <w:rPr>
                <w:b/>
                <w:bCs/>
                <w:i/>
                <w:iCs/>
                <w:noProof/>
              </w:rPr>
            </w:pPr>
            <w:r>
              <w:rPr>
                <w:b/>
                <w:bCs/>
                <w:i/>
                <w:iCs/>
                <w:noProof/>
              </w:rPr>
              <w:t>Direct benefits</w:t>
            </w:r>
          </w:p>
        </w:tc>
      </w:tr>
      <w:tr>
        <w:tc>
          <w:tcPr>
            <w:tcW w:w="2552" w:type="dxa"/>
            <w:tcBorders>
              <w:top w:val="double" w:sz="4" w:space="0" w:color="auto"/>
              <w:bottom w:val="single" w:sz="4" w:space="0" w:color="auto"/>
            </w:tcBorders>
          </w:tcPr>
          <w:p>
            <w:pPr>
              <w:tabs>
                <w:tab w:val="num" w:pos="425"/>
              </w:tabs>
              <w:rPr>
                <w:noProof/>
              </w:rPr>
            </w:pPr>
            <w:r>
              <w:rPr>
                <w:noProof/>
              </w:rPr>
              <w:t>Reduction of external costs related to air pollution relative to the baseline</w:t>
            </w:r>
          </w:p>
          <w:p>
            <w:pPr>
              <w:pStyle w:val="Default"/>
              <w:rPr>
                <w:noProof/>
                <w:sz w:val="20"/>
                <w:szCs w:val="20"/>
              </w:rPr>
            </w:pPr>
            <w:r>
              <w:rPr>
                <w:noProof/>
                <w:sz w:val="20"/>
                <w:szCs w:val="20"/>
              </w:rPr>
              <w:t xml:space="preserve">(i.e. present value over 2021-2050) </w:t>
            </w:r>
          </w:p>
          <w:p>
            <w:pPr>
              <w:tabs>
                <w:tab w:val="num" w:pos="425"/>
              </w:tabs>
              <w:rPr>
                <w:noProof/>
                <w:lang w:val="en-IE"/>
              </w:rPr>
            </w:pPr>
          </w:p>
        </w:tc>
        <w:tc>
          <w:tcPr>
            <w:tcW w:w="2410" w:type="dxa"/>
            <w:tcBorders>
              <w:top w:val="double" w:sz="4" w:space="0" w:color="auto"/>
              <w:bottom w:val="single" w:sz="4" w:space="0" w:color="auto"/>
            </w:tcBorders>
            <w:tcMar>
              <w:top w:w="57" w:type="dxa"/>
              <w:left w:w="57" w:type="dxa"/>
              <w:bottom w:w="57" w:type="dxa"/>
              <w:right w:w="57" w:type="dxa"/>
            </w:tcMar>
          </w:tcPr>
          <w:p>
            <w:pPr>
              <w:tabs>
                <w:tab w:val="num" w:pos="425"/>
              </w:tabs>
              <w:jc w:val="center"/>
              <w:rPr>
                <w:noProof/>
              </w:rPr>
            </w:pPr>
            <w:r>
              <w:rPr>
                <w:noProof/>
              </w:rPr>
              <w:t>EUR 10.0 billion</w:t>
            </w:r>
          </w:p>
        </w:tc>
        <w:tc>
          <w:tcPr>
            <w:tcW w:w="5415" w:type="dxa"/>
            <w:tcBorders>
              <w:top w:val="double" w:sz="4" w:space="0" w:color="auto"/>
              <w:bottom w:val="single" w:sz="4" w:space="0" w:color="auto"/>
            </w:tcBorders>
            <w:tcMar>
              <w:top w:w="57" w:type="dxa"/>
              <w:left w:w="57" w:type="dxa"/>
              <w:bottom w:w="57" w:type="dxa"/>
              <w:right w:w="57" w:type="dxa"/>
            </w:tcMar>
          </w:tcPr>
          <w:p>
            <w:pPr>
              <w:tabs>
                <w:tab w:val="num" w:pos="425"/>
              </w:tabs>
              <w:rPr>
                <w:noProof/>
              </w:rPr>
            </w:pPr>
            <w:r>
              <w:rPr>
                <w:noProof/>
              </w:rPr>
              <w:t xml:space="preserve">Direct benefit to society at large. It is the effect of the reduction of air pollution from ships resulting from the use of cleaner fuels and propulsion solutions. For instance, NOx and PM10 emissions associated to maritime transport are projected to decrease by 27% by 2050 relative to the baseline. These also include savings related to air pollution resulting from the use of OPS (or equally performant alternative) by the most polluting ships at berth (container ships, passenger ships and ro-pax vessels). </w:t>
            </w:r>
          </w:p>
        </w:tc>
      </w:tr>
      <w:tr>
        <w:tc>
          <w:tcPr>
            <w:tcW w:w="2552" w:type="dxa"/>
            <w:tcBorders>
              <w:top w:val="single" w:sz="4" w:space="0" w:color="auto"/>
              <w:bottom w:val="single" w:sz="4" w:space="0" w:color="auto"/>
            </w:tcBorders>
          </w:tcPr>
          <w:p>
            <w:pPr>
              <w:tabs>
                <w:tab w:val="num" w:pos="425"/>
              </w:tabs>
              <w:rPr>
                <w:noProof/>
              </w:rPr>
            </w:pPr>
            <w:r>
              <w:rPr>
                <w:noProof/>
              </w:rPr>
              <w:t>Reduction of external costs related to GHG emissions relative to the baseline</w:t>
            </w:r>
          </w:p>
          <w:p>
            <w:pPr>
              <w:pStyle w:val="Default"/>
              <w:rPr>
                <w:noProof/>
                <w:sz w:val="20"/>
                <w:szCs w:val="20"/>
              </w:rPr>
            </w:pPr>
            <w:r>
              <w:rPr>
                <w:noProof/>
                <w:sz w:val="20"/>
                <w:szCs w:val="20"/>
              </w:rPr>
              <w:t xml:space="preserve">(i.e. present value over 2021-2050) </w:t>
            </w:r>
          </w:p>
          <w:p>
            <w:pPr>
              <w:tabs>
                <w:tab w:val="num" w:pos="425"/>
              </w:tabs>
              <w:rPr>
                <w:noProof/>
              </w:rPr>
            </w:pPr>
          </w:p>
        </w:tc>
        <w:tc>
          <w:tcPr>
            <w:tcW w:w="2410" w:type="dxa"/>
            <w:tcBorders>
              <w:top w:val="single" w:sz="4" w:space="0" w:color="auto"/>
              <w:bottom w:val="single" w:sz="4" w:space="0" w:color="auto"/>
            </w:tcBorders>
            <w:tcMar>
              <w:top w:w="57" w:type="dxa"/>
              <w:left w:w="57" w:type="dxa"/>
              <w:bottom w:w="57" w:type="dxa"/>
              <w:right w:w="57" w:type="dxa"/>
            </w:tcMar>
          </w:tcPr>
          <w:p>
            <w:pPr>
              <w:tabs>
                <w:tab w:val="num" w:pos="425"/>
              </w:tabs>
              <w:jc w:val="center"/>
              <w:rPr>
                <w:noProof/>
              </w:rPr>
            </w:pPr>
            <w:r>
              <w:rPr>
                <w:noProof/>
              </w:rPr>
              <w:t>EUR 138.6 billion</w:t>
            </w:r>
          </w:p>
        </w:tc>
        <w:tc>
          <w:tcPr>
            <w:tcW w:w="5415" w:type="dxa"/>
            <w:tcBorders>
              <w:top w:val="single" w:sz="4" w:space="0" w:color="auto"/>
              <w:bottom w:val="single" w:sz="4" w:space="0" w:color="auto"/>
            </w:tcBorders>
            <w:tcMar>
              <w:top w:w="57" w:type="dxa"/>
              <w:left w:w="57" w:type="dxa"/>
              <w:bottom w:w="57" w:type="dxa"/>
              <w:right w:w="57" w:type="dxa"/>
            </w:tcMar>
          </w:tcPr>
          <w:p>
            <w:pPr>
              <w:tabs>
                <w:tab w:val="num" w:pos="425"/>
              </w:tabs>
              <w:rPr>
                <w:noProof/>
              </w:rPr>
            </w:pPr>
            <w:r>
              <w:rPr>
                <w:noProof/>
              </w:rPr>
              <w:t>Direct benefit to society at large. These savings result directly from the gradual decrease of the GHG intensity of fuels used on-board as well as to a modest reduction in the transport activity (-2.7% by 2050 compared to the baseline).</w:t>
            </w:r>
          </w:p>
        </w:tc>
      </w:tr>
      <w:tr>
        <w:tc>
          <w:tcPr>
            <w:tcW w:w="2552" w:type="dxa"/>
            <w:tcBorders>
              <w:top w:val="single" w:sz="4" w:space="0" w:color="auto"/>
            </w:tcBorders>
          </w:tcPr>
          <w:p>
            <w:pPr>
              <w:tabs>
                <w:tab w:val="num" w:pos="425"/>
              </w:tabs>
              <w:rPr>
                <w:noProof/>
              </w:rPr>
            </w:pPr>
            <w:r>
              <w:rPr>
                <w:noProof/>
              </w:rPr>
              <w:t>Increased use of innovative fuels and propulsion technologies</w:t>
            </w:r>
          </w:p>
        </w:tc>
        <w:tc>
          <w:tcPr>
            <w:tcW w:w="2410" w:type="dxa"/>
            <w:tcBorders>
              <w:top w:val="single" w:sz="4" w:space="0" w:color="auto"/>
            </w:tcBorders>
            <w:tcMar>
              <w:top w:w="57" w:type="dxa"/>
              <w:left w:w="57" w:type="dxa"/>
              <w:bottom w:w="57" w:type="dxa"/>
              <w:right w:w="57" w:type="dxa"/>
            </w:tcMar>
          </w:tcPr>
          <w:p>
            <w:pPr>
              <w:tabs>
                <w:tab w:val="num" w:pos="425"/>
              </w:tabs>
              <w:jc w:val="center"/>
              <w:rPr>
                <w:noProof/>
              </w:rPr>
            </w:pPr>
          </w:p>
        </w:tc>
        <w:tc>
          <w:tcPr>
            <w:tcW w:w="5415" w:type="dxa"/>
            <w:tcBorders>
              <w:top w:val="single" w:sz="4" w:space="0" w:color="auto"/>
            </w:tcBorders>
            <w:tcMar>
              <w:top w:w="57" w:type="dxa"/>
              <w:left w:w="57" w:type="dxa"/>
              <w:bottom w:w="57" w:type="dxa"/>
              <w:right w:w="57" w:type="dxa"/>
            </w:tcMar>
          </w:tcPr>
          <w:p>
            <w:pPr>
              <w:tabs>
                <w:tab w:val="num" w:pos="425"/>
              </w:tabs>
              <w:rPr>
                <w:noProof/>
              </w:rPr>
            </w:pPr>
            <w:r>
              <w:rPr>
                <w:noProof/>
              </w:rPr>
              <w:t xml:space="preserve">Significant increase of innovative propulsion in the fleet reaching 18.9% of fuel cell-powered vessels and 5.4% of electric propulsion by 2050 (compared to no penetration of these technologies in the baseline). </w:t>
            </w:r>
          </w:p>
        </w:tc>
      </w:tr>
      <w:tr>
        <w:tc>
          <w:tcPr>
            <w:tcW w:w="10377" w:type="dxa"/>
            <w:gridSpan w:val="3"/>
            <w:shd w:val="clear" w:color="auto" w:fill="F2F2F2" w:themeFill="background1" w:themeFillShade="F2"/>
          </w:tcPr>
          <w:p>
            <w:pPr>
              <w:tabs>
                <w:tab w:val="num" w:pos="425"/>
              </w:tabs>
              <w:jc w:val="center"/>
              <w:rPr>
                <w:b/>
                <w:bCs/>
                <w:i/>
                <w:iCs/>
                <w:noProof/>
              </w:rPr>
            </w:pPr>
            <w:r>
              <w:rPr>
                <w:b/>
                <w:bCs/>
                <w:i/>
                <w:iCs/>
                <w:noProof/>
              </w:rPr>
              <w:t>Indirect benefits</w:t>
            </w:r>
          </w:p>
        </w:tc>
      </w:tr>
      <w:tr>
        <w:tc>
          <w:tcPr>
            <w:tcW w:w="2552" w:type="dxa"/>
            <w:tcBorders>
              <w:top w:val="double" w:sz="4" w:space="0" w:color="auto"/>
            </w:tcBorders>
          </w:tcPr>
          <w:p>
            <w:pPr>
              <w:tabs>
                <w:tab w:val="num" w:pos="425"/>
              </w:tabs>
              <w:rPr>
                <w:noProof/>
              </w:rPr>
            </w:pPr>
            <w:r>
              <w:rPr>
                <w:noProof/>
              </w:rPr>
              <w:t>Reduced operation costs for ship operators relative to the baseline (i.e. present value over 2021-2050)</w:t>
            </w:r>
          </w:p>
        </w:tc>
        <w:tc>
          <w:tcPr>
            <w:tcW w:w="2410" w:type="dxa"/>
            <w:tcBorders>
              <w:top w:val="double" w:sz="4" w:space="0" w:color="auto"/>
            </w:tcBorders>
            <w:tcMar>
              <w:top w:w="57" w:type="dxa"/>
              <w:left w:w="57" w:type="dxa"/>
              <w:bottom w:w="57" w:type="dxa"/>
              <w:right w:w="57" w:type="dxa"/>
            </w:tcMar>
          </w:tcPr>
          <w:p>
            <w:pPr>
              <w:tabs>
                <w:tab w:val="num" w:pos="425"/>
              </w:tabs>
              <w:jc w:val="center"/>
              <w:rPr>
                <w:noProof/>
              </w:rPr>
            </w:pPr>
            <w:r>
              <w:rPr>
                <w:noProof/>
              </w:rPr>
              <w:t>EUR 2.3 billion</w:t>
            </w:r>
          </w:p>
        </w:tc>
        <w:tc>
          <w:tcPr>
            <w:tcW w:w="5415" w:type="dxa"/>
            <w:tcBorders>
              <w:top w:val="double" w:sz="4" w:space="0" w:color="auto"/>
            </w:tcBorders>
            <w:tcMar>
              <w:top w:w="57" w:type="dxa"/>
              <w:left w:w="57" w:type="dxa"/>
              <w:bottom w:w="57" w:type="dxa"/>
              <w:right w:w="57" w:type="dxa"/>
            </w:tcMar>
          </w:tcPr>
          <w:p>
            <w:pPr>
              <w:tabs>
                <w:tab w:val="num" w:pos="425"/>
              </w:tabs>
              <w:rPr>
                <w:noProof/>
              </w:rPr>
            </w:pPr>
            <w:r>
              <w:rPr>
                <w:noProof/>
              </w:rPr>
              <w:t>The main beneficiary group will be the ship operators. The reduction in operation costs result from lower maintenance and crew costs. Some of this reduction will also be partly driven by lower transport activity relative to the baseline.</w:t>
            </w:r>
          </w:p>
        </w:tc>
      </w:tr>
    </w:tbl>
    <w:p>
      <w:pPr>
        <w:rPr>
          <w:rFonts w:ascii="Times New Roman" w:hAnsi="Times New Roman" w:cs="Times New Roman"/>
          <w:noProof/>
          <w:sz w:val="8"/>
        </w:rPr>
      </w:pPr>
    </w:p>
    <w:p>
      <w:pPr>
        <w:pStyle w:val="Caption"/>
        <w:keepNext/>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29</w:t>
      </w:r>
      <w:r>
        <w:rPr>
          <w:noProof/>
        </w:rPr>
        <w:fldChar w:fldCharType="end"/>
      </w:r>
      <w:r>
        <w:rPr>
          <w:noProof/>
        </w:rPr>
        <w:t xml:space="preserve"> Overview of costs</w:t>
      </w:r>
    </w:p>
    <w:tbl>
      <w:tblPr>
        <w:tblStyle w:val="CV11"/>
        <w:tblW w:w="10428" w:type="dxa"/>
        <w:tblInd w:w="-51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418"/>
        <w:gridCol w:w="1185"/>
        <w:gridCol w:w="1083"/>
        <w:gridCol w:w="1525"/>
        <w:gridCol w:w="1026"/>
        <w:gridCol w:w="1582"/>
        <w:gridCol w:w="1304"/>
        <w:gridCol w:w="1305"/>
      </w:tblGrid>
      <w:tr>
        <w:tc>
          <w:tcPr>
            <w:tcW w:w="10428" w:type="dxa"/>
            <w:gridSpan w:val="8"/>
            <w:shd w:val="clear" w:color="auto" w:fill="C6D9F1" w:themeFill="text2" w:themeFillTint="33"/>
            <w:tcMar>
              <w:top w:w="57" w:type="dxa"/>
              <w:left w:w="57" w:type="dxa"/>
              <w:bottom w:w="57" w:type="dxa"/>
              <w:right w:w="57" w:type="dxa"/>
            </w:tcMar>
          </w:tcPr>
          <w:p>
            <w:pPr>
              <w:tabs>
                <w:tab w:val="num" w:pos="425"/>
              </w:tabs>
              <w:jc w:val="center"/>
              <w:rPr>
                <w:b/>
                <w:bCs/>
                <w:i/>
                <w:iCs/>
                <w:noProof/>
              </w:rPr>
            </w:pPr>
            <w:r>
              <w:rPr>
                <w:b/>
                <w:bCs/>
                <w:i/>
                <w:iCs/>
                <w:noProof/>
              </w:rPr>
              <w:t>II. Overview of costs – Preferred option – PO3 (relative to the baseline, expressed as present value over 2021-2050)</w:t>
            </w:r>
          </w:p>
        </w:tc>
      </w:tr>
      <w:tr>
        <w:tc>
          <w:tcPr>
            <w:tcW w:w="2603" w:type="dxa"/>
            <w:gridSpan w:val="2"/>
            <w:vMerge w:val="restart"/>
            <w:tcBorders>
              <w:top w:val="double" w:sz="4" w:space="0" w:color="auto"/>
              <w:right w:val="double" w:sz="4" w:space="0" w:color="auto"/>
              <w:tl2br w:val="double" w:sz="4" w:space="0" w:color="auto"/>
            </w:tcBorders>
            <w:tcMar>
              <w:top w:w="57" w:type="dxa"/>
              <w:left w:w="57" w:type="dxa"/>
              <w:bottom w:w="57" w:type="dxa"/>
              <w:right w:w="57" w:type="dxa"/>
            </w:tcMar>
          </w:tcPr>
          <w:p>
            <w:pPr>
              <w:tabs>
                <w:tab w:val="num" w:pos="425"/>
              </w:tabs>
              <w:rPr>
                <w:noProof/>
              </w:rPr>
            </w:pPr>
          </w:p>
        </w:tc>
        <w:tc>
          <w:tcPr>
            <w:tcW w:w="2608" w:type="dxa"/>
            <w:gridSpan w:val="2"/>
            <w:tcBorders>
              <w:left w:val="double" w:sz="4" w:space="0" w:color="auto"/>
            </w:tcBorders>
            <w:tcMar>
              <w:top w:w="57" w:type="dxa"/>
              <w:left w:w="57" w:type="dxa"/>
              <w:bottom w:w="57" w:type="dxa"/>
              <w:right w:w="57" w:type="dxa"/>
            </w:tcMar>
          </w:tcPr>
          <w:p>
            <w:pPr>
              <w:tabs>
                <w:tab w:val="num" w:pos="425"/>
              </w:tabs>
              <w:jc w:val="center"/>
              <w:rPr>
                <w:noProof/>
              </w:rPr>
            </w:pPr>
            <w:r>
              <w:rPr>
                <w:noProof/>
              </w:rPr>
              <w:t xml:space="preserve">Citizens/Consumers </w:t>
            </w:r>
          </w:p>
        </w:tc>
        <w:tc>
          <w:tcPr>
            <w:tcW w:w="2608" w:type="dxa"/>
            <w:gridSpan w:val="2"/>
            <w:tcMar>
              <w:top w:w="57" w:type="dxa"/>
              <w:left w:w="57" w:type="dxa"/>
              <w:bottom w:w="57" w:type="dxa"/>
              <w:right w:w="57" w:type="dxa"/>
            </w:tcMar>
          </w:tcPr>
          <w:p>
            <w:pPr>
              <w:tabs>
                <w:tab w:val="num" w:pos="425"/>
              </w:tabs>
              <w:jc w:val="center"/>
              <w:rPr>
                <w:noProof/>
              </w:rPr>
            </w:pPr>
            <w:r>
              <w:rPr>
                <w:noProof/>
              </w:rPr>
              <w:t>Businesses</w:t>
            </w:r>
          </w:p>
        </w:tc>
        <w:tc>
          <w:tcPr>
            <w:tcW w:w="2609" w:type="dxa"/>
            <w:gridSpan w:val="2"/>
            <w:tcMar>
              <w:top w:w="57" w:type="dxa"/>
              <w:left w:w="57" w:type="dxa"/>
              <w:bottom w:w="57" w:type="dxa"/>
              <w:right w:w="57" w:type="dxa"/>
            </w:tcMar>
          </w:tcPr>
          <w:p>
            <w:pPr>
              <w:tabs>
                <w:tab w:val="num" w:pos="425"/>
              </w:tabs>
              <w:jc w:val="center"/>
              <w:rPr>
                <w:noProof/>
              </w:rPr>
            </w:pPr>
            <w:r>
              <w:rPr>
                <w:noProof/>
              </w:rPr>
              <w:t>Administrations</w:t>
            </w:r>
          </w:p>
        </w:tc>
      </w:tr>
      <w:tr>
        <w:tc>
          <w:tcPr>
            <w:tcW w:w="2603" w:type="dxa"/>
            <w:gridSpan w:val="2"/>
            <w:vMerge/>
            <w:tcBorders>
              <w:bottom w:val="double" w:sz="4" w:space="0" w:color="auto"/>
              <w:right w:val="double" w:sz="4" w:space="0" w:color="auto"/>
              <w:tl2br w:val="double" w:sz="4" w:space="0" w:color="auto"/>
            </w:tcBorders>
            <w:tcMar>
              <w:top w:w="57" w:type="dxa"/>
              <w:left w:w="57" w:type="dxa"/>
              <w:bottom w:w="57" w:type="dxa"/>
              <w:right w:w="57" w:type="dxa"/>
            </w:tcMar>
          </w:tcPr>
          <w:p>
            <w:pPr>
              <w:tabs>
                <w:tab w:val="num" w:pos="425"/>
              </w:tabs>
              <w:jc w:val="center"/>
              <w:rPr>
                <w:noProof/>
              </w:rPr>
            </w:pPr>
          </w:p>
        </w:tc>
        <w:tc>
          <w:tcPr>
            <w:tcW w:w="1083" w:type="dxa"/>
            <w:tcBorders>
              <w:left w:val="double" w:sz="4" w:space="0" w:color="auto"/>
              <w:bottom w:val="double" w:sz="4" w:space="0" w:color="auto"/>
            </w:tcBorders>
            <w:tcMar>
              <w:top w:w="57" w:type="dxa"/>
              <w:left w:w="57" w:type="dxa"/>
              <w:bottom w:w="57" w:type="dxa"/>
              <w:right w:w="57" w:type="dxa"/>
            </w:tcMar>
          </w:tcPr>
          <w:p>
            <w:pPr>
              <w:tabs>
                <w:tab w:val="num" w:pos="425"/>
              </w:tabs>
              <w:jc w:val="center"/>
              <w:rPr>
                <w:noProof/>
              </w:rPr>
            </w:pPr>
            <w:r>
              <w:rPr>
                <w:noProof/>
              </w:rPr>
              <w:t>One-off</w:t>
            </w:r>
          </w:p>
        </w:tc>
        <w:tc>
          <w:tcPr>
            <w:tcW w:w="1525" w:type="dxa"/>
            <w:tcBorders>
              <w:bottom w:val="double" w:sz="4" w:space="0" w:color="auto"/>
            </w:tcBorders>
            <w:tcMar>
              <w:top w:w="57" w:type="dxa"/>
              <w:left w:w="57" w:type="dxa"/>
              <w:bottom w:w="57" w:type="dxa"/>
              <w:right w:w="57" w:type="dxa"/>
            </w:tcMar>
          </w:tcPr>
          <w:p>
            <w:pPr>
              <w:tabs>
                <w:tab w:val="num" w:pos="425"/>
              </w:tabs>
              <w:jc w:val="center"/>
              <w:rPr>
                <w:noProof/>
              </w:rPr>
            </w:pPr>
            <w:r>
              <w:rPr>
                <w:noProof/>
              </w:rPr>
              <w:t>Recurrent</w:t>
            </w:r>
          </w:p>
        </w:tc>
        <w:tc>
          <w:tcPr>
            <w:tcW w:w="1026" w:type="dxa"/>
            <w:tcBorders>
              <w:bottom w:val="double" w:sz="4" w:space="0" w:color="auto"/>
            </w:tcBorders>
            <w:tcMar>
              <w:top w:w="57" w:type="dxa"/>
              <w:left w:w="57" w:type="dxa"/>
              <w:bottom w:w="57" w:type="dxa"/>
              <w:right w:w="57" w:type="dxa"/>
            </w:tcMar>
          </w:tcPr>
          <w:p>
            <w:pPr>
              <w:tabs>
                <w:tab w:val="num" w:pos="425"/>
              </w:tabs>
              <w:jc w:val="center"/>
              <w:rPr>
                <w:noProof/>
              </w:rPr>
            </w:pPr>
            <w:r>
              <w:rPr>
                <w:noProof/>
              </w:rPr>
              <w:t>One-off</w:t>
            </w:r>
          </w:p>
        </w:tc>
        <w:tc>
          <w:tcPr>
            <w:tcW w:w="1582" w:type="dxa"/>
            <w:tcBorders>
              <w:bottom w:val="double" w:sz="4" w:space="0" w:color="auto"/>
            </w:tcBorders>
            <w:tcMar>
              <w:top w:w="57" w:type="dxa"/>
              <w:left w:w="57" w:type="dxa"/>
              <w:bottom w:w="57" w:type="dxa"/>
              <w:right w:w="57" w:type="dxa"/>
            </w:tcMar>
          </w:tcPr>
          <w:p>
            <w:pPr>
              <w:tabs>
                <w:tab w:val="num" w:pos="425"/>
              </w:tabs>
              <w:jc w:val="center"/>
              <w:rPr>
                <w:noProof/>
              </w:rPr>
            </w:pPr>
            <w:r>
              <w:rPr>
                <w:noProof/>
              </w:rPr>
              <w:t>Recurrent</w:t>
            </w:r>
          </w:p>
        </w:tc>
        <w:tc>
          <w:tcPr>
            <w:tcW w:w="1304" w:type="dxa"/>
            <w:tcBorders>
              <w:bottom w:val="double" w:sz="4" w:space="0" w:color="auto"/>
            </w:tcBorders>
            <w:tcMar>
              <w:top w:w="57" w:type="dxa"/>
              <w:left w:w="57" w:type="dxa"/>
              <w:bottom w:w="57" w:type="dxa"/>
              <w:right w:w="57" w:type="dxa"/>
            </w:tcMar>
          </w:tcPr>
          <w:p>
            <w:pPr>
              <w:tabs>
                <w:tab w:val="num" w:pos="425"/>
              </w:tabs>
              <w:jc w:val="center"/>
              <w:rPr>
                <w:noProof/>
              </w:rPr>
            </w:pPr>
            <w:r>
              <w:rPr>
                <w:noProof/>
              </w:rPr>
              <w:t>One-off</w:t>
            </w:r>
          </w:p>
        </w:tc>
        <w:tc>
          <w:tcPr>
            <w:tcW w:w="1305" w:type="dxa"/>
            <w:tcBorders>
              <w:bottom w:val="double" w:sz="4" w:space="0" w:color="auto"/>
            </w:tcBorders>
            <w:tcMar>
              <w:top w:w="57" w:type="dxa"/>
              <w:left w:w="57" w:type="dxa"/>
              <w:bottom w:w="57" w:type="dxa"/>
              <w:right w:w="57" w:type="dxa"/>
            </w:tcMar>
          </w:tcPr>
          <w:p>
            <w:pPr>
              <w:tabs>
                <w:tab w:val="num" w:pos="425"/>
              </w:tabs>
              <w:jc w:val="center"/>
              <w:rPr>
                <w:noProof/>
              </w:rPr>
            </w:pPr>
            <w:r>
              <w:rPr>
                <w:noProof/>
              </w:rPr>
              <w:t>Recurrent</w:t>
            </w:r>
          </w:p>
        </w:tc>
      </w:tr>
      <w:tr>
        <w:trPr>
          <w:trHeight w:val="307"/>
        </w:trPr>
        <w:tc>
          <w:tcPr>
            <w:tcW w:w="1418" w:type="dxa"/>
            <w:vMerge w:val="restart"/>
            <w:tcMar>
              <w:top w:w="57" w:type="dxa"/>
              <w:left w:w="57" w:type="dxa"/>
              <w:bottom w:w="57" w:type="dxa"/>
              <w:right w:w="57" w:type="dxa"/>
            </w:tcMar>
            <w:vAlign w:val="center"/>
          </w:tcPr>
          <w:p>
            <w:pPr>
              <w:tabs>
                <w:tab w:val="num" w:pos="425"/>
              </w:tabs>
              <w:rPr>
                <w:noProof/>
              </w:rPr>
            </w:pPr>
            <w:r>
              <w:rPr>
                <w:b/>
                <w:bCs/>
                <w:noProof/>
              </w:rPr>
              <w:t>Compliance costs resulting from the introduction of the GHG intensity targets of on-board energy usage</w:t>
            </w:r>
          </w:p>
        </w:tc>
        <w:tc>
          <w:tcPr>
            <w:tcW w:w="1185" w:type="dxa"/>
            <w:tcBorders>
              <w:right w:val="double" w:sz="4" w:space="0" w:color="auto"/>
            </w:tcBorders>
            <w:tcMar>
              <w:top w:w="57" w:type="dxa"/>
              <w:left w:w="57" w:type="dxa"/>
              <w:bottom w:w="57" w:type="dxa"/>
              <w:right w:w="57" w:type="dxa"/>
            </w:tcMar>
            <w:vAlign w:val="center"/>
          </w:tcPr>
          <w:p>
            <w:pPr>
              <w:tabs>
                <w:tab w:val="num" w:pos="425"/>
              </w:tabs>
              <w:rPr>
                <w:noProof/>
              </w:rPr>
            </w:pPr>
            <w:r>
              <w:rPr>
                <w:noProof/>
              </w:rPr>
              <w:t>Direct costs</w:t>
            </w:r>
          </w:p>
          <w:p>
            <w:pPr>
              <w:pStyle w:val="Default"/>
              <w:rPr>
                <w:noProof/>
                <w:sz w:val="20"/>
                <w:szCs w:val="20"/>
              </w:rPr>
            </w:pPr>
            <w:r>
              <w:rPr>
                <w:noProof/>
                <w:sz w:val="20"/>
                <w:szCs w:val="20"/>
              </w:rPr>
              <w:t xml:space="preserve">(relative to the baseline in present value over 2021-2050) </w:t>
            </w:r>
          </w:p>
          <w:p>
            <w:pPr>
              <w:tabs>
                <w:tab w:val="num" w:pos="425"/>
              </w:tabs>
              <w:rPr>
                <w:noProof/>
                <w:lang w:val="en-IE"/>
              </w:rPr>
            </w:pPr>
          </w:p>
        </w:tc>
        <w:tc>
          <w:tcPr>
            <w:tcW w:w="1083" w:type="dxa"/>
            <w:tcBorders>
              <w:left w:val="double" w:sz="4" w:space="0" w:color="auto"/>
            </w:tcBorders>
            <w:tcMar>
              <w:top w:w="57" w:type="dxa"/>
              <w:left w:w="57" w:type="dxa"/>
              <w:bottom w:w="57" w:type="dxa"/>
              <w:right w:w="57" w:type="dxa"/>
            </w:tcMar>
          </w:tcPr>
          <w:p>
            <w:pPr>
              <w:tabs>
                <w:tab w:val="num" w:pos="425"/>
              </w:tabs>
              <w:rPr>
                <w:noProof/>
              </w:rPr>
            </w:pPr>
          </w:p>
        </w:tc>
        <w:tc>
          <w:tcPr>
            <w:tcW w:w="1525" w:type="dxa"/>
            <w:tcMar>
              <w:top w:w="57" w:type="dxa"/>
              <w:left w:w="57" w:type="dxa"/>
              <w:bottom w:w="57" w:type="dxa"/>
              <w:right w:w="57" w:type="dxa"/>
            </w:tcMar>
          </w:tcPr>
          <w:p>
            <w:pPr>
              <w:tabs>
                <w:tab w:val="num" w:pos="425"/>
              </w:tabs>
              <w:rPr>
                <w:noProof/>
              </w:rPr>
            </w:pPr>
            <w:r>
              <w:rPr>
                <w:noProof/>
              </w:rPr>
              <w:t xml:space="preserve">Impact on consumer prices expected to be limited (as freight rates increase remain contained) </w:t>
            </w:r>
          </w:p>
        </w:tc>
        <w:tc>
          <w:tcPr>
            <w:tcW w:w="1026" w:type="dxa"/>
            <w:tcMar>
              <w:top w:w="57" w:type="dxa"/>
              <w:left w:w="57" w:type="dxa"/>
              <w:bottom w:w="57" w:type="dxa"/>
              <w:right w:w="57" w:type="dxa"/>
            </w:tcMar>
          </w:tcPr>
          <w:p>
            <w:pPr>
              <w:tabs>
                <w:tab w:val="num" w:pos="425"/>
              </w:tabs>
              <w:rPr>
                <w:noProof/>
              </w:rPr>
            </w:pPr>
          </w:p>
        </w:tc>
        <w:tc>
          <w:tcPr>
            <w:tcW w:w="1582" w:type="dxa"/>
            <w:tcMar>
              <w:top w:w="57" w:type="dxa"/>
              <w:left w:w="57" w:type="dxa"/>
              <w:bottom w:w="57" w:type="dxa"/>
              <w:right w:w="57" w:type="dxa"/>
            </w:tcMar>
          </w:tcPr>
          <w:p>
            <w:pPr>
              <w:tabs>
                <w:tab w:val="num" w:pos="425"/>
              </w:tabs>
              <w:rPr>
                <w:noProof/>
              </w:rPr>
            </w:pPr>
            <w:r>
              <w:rPr>
                <w:noProof/>
              </w:rPr>
              <w:t>EUR 89.7 billion for ship operators covering capital costs (EUR 25.8bn) and fuel costs (EUR 63.9bn)</w:t>
            </w:r>
          </w:p>
        </w:tc>
        <w:tc>
          <w:tcPr>
            <w:tcW w:w="1304" w:type="dxa"/>
            <w:tcMar>
              <w:top w:w="57" w:type="dxa"/>
              <w:left w:w="57" w:type="dxa"/>
              <w:bottom w:w="57" w:type="dxa"/>
              <w:right w:w="57" w:type="dxa"/>
            </w:tcMar>
          </w:tcPr>
          <w:p>
            <w:pPr>
              <w:tabs>
                <w:tab w:val="num" w:pos="425"/>
              </w:tabs>
              <w:rPr>
                <w:noProof/>
              </w:rPr>
            </w:pPr>
          </w:p>
        </w:tc>
        <w:tc>
          <w:tcPr>
            <w:tcW w:w="1305" w:type="dxa"/>
            <w:tcMar>
              <w:top w:w="57" w:type="dxa"/>
              <w:left w:w="57" w:type="dxa"/>
              <w:bottom w:w="57" w:type="dxa"/>
              <w:right w:w="57" w:type="dxa"/>
            </w:tcMar>
          </w:tcPr>
          <w:p>
            <w:pPr>
              <w:tabs>
                <w:tab w:val="num" w:pos="425"/>
              </w:tabs>
              <w:rPr>
                <w:noProof/>
              </w:rPr>
            </w:pPr>
          </w:p>
        </w:tc>
      </w:tr>
      <w:tr>
        <w:tc>
          <w:tcPr>
            <w:tcW w:w="1418" w:type="dxa"/>
            <w:vMerge/>
            <w:tcMar>
              <w:top w:w="57" w:type="dxa"/>
              <w:left w:w="57" w:type="dxa"/>
              <w:bottom w:w="57" w:type="dxa"/>
              <w:right w:w="57" w:type="dxa"/>
            </w:tcMar>
          </w:tcPr>
          <w:p>
            <w:pPr>
              <w:tabs>
                <w:tab w:val="num" w:pos="425"/>
              </w:tabs>
              <w:rPr>
                <w:noProof/>
              </w:rPr>
            </w:pPr>
          </w:p>
        </w:tc>
        <w:tc>
          <w:tcPr>
            <w:tcW w:w="1185" w:type="dxa"/>
            <w:tcBorders>
              <w:right w:val="double" w:sz="4" w:space="0" w:color="auto"/>
            </w:tcBorders>
            <w:tcMar>
              <w:top w:w="57" w:type="dxa"/>
              <w:left w:w="57" w:type="dxa"/>
              <w:bottom w:w="57" w:type="dxa"/>
              <w:right w:w="57" w:type="dxa"/>
            </w:tcMar>
          </w:tcPr>
          <w:p>
            <w:pPr>
              <w:tabs>
                <w:tab w:val="num" w:pos="425"/>
              </w:tabs>
              <w:rPr>
                <w:noProof/>
              </w:rPr>
            </w:pPr>
            <w:r>
              <w:rPr>
                <w:noProof/>
              </w:rPr>
              <w:t>Indirect costs</w:t>
            </w:r>
          </w:p>
          <w:p>
            <w:pPr>
              <w:tabs>
                <w:tab w:val="num" w:pos="425"/>
              </w:tabs>
              <w:rPr>
                <w:noProof/>
              </w:rPr>
            </w:pPr>
            <w:r>
              <w:rPr>
                <w:noProof/>
              </w:rPr>
              <w:t>(relative to the baseline in present value over 2021-2050)</w:t>
            </w:r>
          </w:p>
        </w:tc>
        <w:tc>
          <w:tcPr>
            <w:tcW w:w="1083" w:type="dxa"/>
            <w:tcBorders>
              <w:left w:val="double" w:sz="4" w:space="0" w:color="auto"/>
            </w:tcBorders>
            <w:tcMar>
              <w:top w:w="57" w:type="dxa"/>
              <w:left w:w="57" w:type="dxa"/>
              <w:bottom w:w="57" w:type="dxa"/>
              <w:right w:w="57" w:type="dxa"/>
            </w:tcMar>
          </w:tcPr>
          <w:p>
            <w:pPr>
              <w:tabs>
                <w:tab w:val="num" w:pos="425"/>
              </w:tabs>
              <w:rPr>
                <w:noProof/>
              </w:rPr>
            </w:pPr>
          </w:p>
        </w:tc>
        <w:tc>
          <w:tcPr>
            <w:tcW w:w="1525" w:type="dxa"/>
            <w:tcMar>
              <w:top w:w="57" w:type="dxa"/>
              <w:left w:w="57" w:type="dxa"/>
              <w:bottom w:w="57" w:type="dxa"/>
              <w:right w:w="57" w:type="dxa"/>
            </w:tcMar>
          </w:tcPr>
          <w:p>
            <w:pPr>
              <w:tabs>
                <w:tab w:val="num" w:pos="425"/>
              </w:tabs>
              <w:rPr>
                <w:noProof/>
              </w:rPr>
            </w:pPr>
          </w:p>
        </w:tc>
        <w:tc>
          <w:tcPr>
            <w:tcW w:w="1026" w:type="dxa"/>
            <w:tcMar>
              <w:top w:w="57" w:type="dxa"/>
              <w:left w:w="57" w:type="dxa"/>
              <w:bottom w:w="57" w:type="dxa"/>
              <w:right w:w="57" w:type="dxa"/>
            </w:tcMar>
          </w:tcPr>
          <w:p>
            <w:pPr>
              <w:tabs>
                <w:tab w:val="num" w:pos="425"/>
              </w:tabs>
              <w:rPr>
                <w:noProof/>
              </w:rPr>
            </w:pPr>
          </w:p>
        </w:tc>
        <w:tc>
          <w:tcPr>
            <w:tcW w:w="1582" w:type="dxa"/>
            <w:tcMar>
              <w:top w:w="57" w:type="dxa"/>
              <w:left w:w="57" w:type="dxa"/>
              <w:bottom w:w="57" w:type="dxa"/>
              <w:right w:w="57" w:type="dxa"/>
            </w:tcMar>
          </w:tcPr>
          <w:p>
            <w:pPr>
              <w:tabs>
                <w:tab w:val="num" w:pos="425"/>
              </w:tabs>
              <w:rPr>
                <w:noProof/>
              </w:rPr>
            </w:pPr>
            <w:r>
              <w:rPr>
                <w:noProof/>
              </w:rPr>
              <w:t>EUR 5.7 billion for ports to provide the necessary infrastructure (OPS and hydrogen-related)</w:t>
            </w:r>
          </w:p>
        </w:tc>
        <w:tc>
          <w:tcPr>
            <w:tcW w:w="1304" w:type="dxa"/>
            <w:tcMar>
              <w:top w:w="57" w:type="dxa"/>
              <w:left w:w="57" w:type="dxa"/>
              <w:bottom w:w="57" w:type="dxa"/>
              <w:right w:w="57" w:type="dxa"/>
            </w:tcMar>
          </w:tcPr>
          <w:p>
            <w:pPr>
              <w:tabs>
                <w:tab w:val="num" w:pos="425"/>
              </w:tabs>
              <w:rPr>
                <w:noProof/>
              </w:rPr>
            </w:pPr>
          </w:p>
        </w:tc>
        <w:tc>
          <w:tcPr>
            <w:tcW w:w="1305" w:type="dxa"/>
            <w:tcMar>
              <w:top w:w="57" w:type="dxa"/>
              <w:left w:w="57" w:type="dxa"/>
              <w:bottom w:w="57" w:type="dxa"/>
              <w:right w:w="57" w:type="dxa"/>
            </w:tcMar>
          </w:tcPr>
          <w:p>
            <w:pPr>
              <w:tabs>
                <w:tab w:val="num" w:pos="425"/>
              </w:tabs>
              <w:rPr>
                <w:noProof/>
              </w:rPr>
            </w:pPr>
          </w:p>
        </w:tc>
      </w:tr>
      <w:tr>
        <w:tc>
          <w:tcPr>
            <w:tcW w:w="1418" w:type="dxa"/>
            <w:vMerge w:val="restart"/>
            <w:tcBorders>
              <w:top w:val="double" w:sz="4" w:space="0" w:color="auto"/>
            </w:tcBorders>
            <w:tcMar>
              <w:top w:w="57" w:type="dxa"/>
              <w:left w:w="57" w:type="dxa"/>
              <w:bottom w:w="57" w:type="dxa"/>
              <w:right w:w="57" w:type="dxa"/>
            </w:tcMar>
          </w:tcPr>
          <w:p>
            <w:pPr>
              <w:tabs>
                <w:tab w:val="num" w:pos="425"/>
              </w:tabs>
              <w:rPr>
                <w:b/>
                <w:bCs/>
                <w:noProof/>
              </w:rPr>
            </w:pPr>
            <w:r>
              <w:rPr>
                <w:b/>
                <w:bCs/>
                <w:noProof/>
              </w:rPr>
              <w:t>Administrative and enforcement costs</w:t>
            </w:r>
          </w:p>
        </w:tc>
        <w:tc>
          <w:tcPr>
            <w:tcW w:w="1185" w:type="dxa"/>
            <w:tcBorders>
              <w:top w:val="double" w:sz="4" w:space="0" w:color="auto"/>
              <w:right w:val="double" w:sz="4" w:space="0" w:color="auto"/>
            </w:tcBorders>
            <w:tcMar>
              <w:top w:w="57" w:type="dxa"/>
              <w:left w:w="57" w:type="dxa"/>
              <w:bottom w:w="57" w:type="dxa"/>
              <w:right w:w="57" w:type="dxa"/>
            </w:tcMar>
          </w:tcPr>
          <w:p>
            <w:pPr>
              <w:tabs>
                <w:tab w:val="num" w:pos="425"/>
              </w:tabs>
              <w:rPr>
                <w:noProof/>
              </w:rPr>
            </w:pPr>
            <w:r>
              <w:rPr>
                <w:noProof/>
              </w:rPr>
              <w:t>Direct costs</w:t>
            </w:r>
          </w:p>
          <w:p>
            <w:pPr>
              <w:tabs>
                <w:tab w:val="num" w:pos="425"/>
              </w:tabs>
              <w:rPr>
                <w:noProof/>
              </w:rPr>
            </w:pPr>
            <w:r>
              <w:rPr>
                <w:noProof/>
              </w:rPr>
              <w:t>(relative to the baseline in present value over 2021-2050)</w:t>
            </w:r>
          </w:p>
        </w:tc>
        <w:tc>
          <w:tcPr>
            <w:tcW w:w="1083" w:type="dxa"/>
            <w:tcBorders>
              <w:top w:val="double" w:sz="4" w:space="0" w:color="auto"/>
              <w:left w:val="double" w:sz="4" w:space="0" w:color="auto"/>
            </w:tcBorders>
            <w:tcMar>
              <w:top w:w="57" w:type="dxa"/>
              <w:left w:w="57" w:type="dxa"/>
              <w:bottom w:w="57" w:type="dxa"/>
              <w:right w:w="57" w:type="dxa"/>
            </w:tcMar>
          </w:tcPr>
          <w:p>
            <w:pPr>
              <w:tabs>
                <w:tab w:val="num" w:pos="425"/>
              </w:tabs>
              <w:rPr>
                <w:noProof/>
              </w:rPr>
            </w:pPr>
          </w:p>
        </w:tc>
        <w:tc>
          <w:tcPr>
            <w:tcW w:w="1525" w:type="dxa"/>
            <w:tcBorders>
              <w:top w:val="double" w:sz="4" w:space="0" w:color="auto"/>
            </w:tcBorders>
            <w:tcMar>
              <w:top w:w="57" w:type="dxa"/>
              <w:left w:w="57" w:type="dxa"/>
              <w:bottom w:w="57" w:type="dxa"/>
              <w:right w:w="57" w:type="dxa"/>
            </w:tcMar>
          </w:tcPr>
          <w:p>
            <w:pPr>
              <w:tabs>
                <w:tab w:val="num" w:pos="425"/>
              </w:tabs>
              <w:rPr>
                <w:noProof/>
              </w:rPr>
            </w:pPr>
          </w:p>
        </w:tc>
        <w:tc>
          <w:tcPr>
            <w:tcW w:w="1026" w:type="dxa"/>
            <w:tcBorders>
              <w:top w:val="double" w:sz="4" w:space="0" w:color="auto"/>
            </w:tcBorders>
            <w:tcMar>
              <w:top w:w="57" w:type="dxa"/>
              <w:left w:w="57" w:type="dxa"/>
              <w:bottom w:w="57" w:type="dxa"/>
              <w:right w:w="57" w:type="dxa"/>
            </w:tcMar>
          </w:tcPr>
          <w:p>
            <w:pPr>
              <w:tabs>
                <w:tab w:val="num" w:pos="425"/>
              </w:tabs>
              <w:rPr>
                <w:noProof/>
              </w:rPr>
            </w:pPr>
          </w:p>
        </w:tc>
        <w:tc>
          <w:tcPr>
            <w:tcW w:w="1582" w:type="dxa"/>
            <w:tcBorders>
              <w:top w:val="double" w:sz="4" w:space="0" w:color="auto"/>
            </w:tcBorders>
            <w:tcMar>
              <w:top w:w="57" w:type="dxa"/>
              <w:left w:w="57" w:type="dxa"/>
              <w:bottom w:w="57" w:type="dxa"/>
              <w:right w:w="57" w:type="dxa"/>
            </w:tcMar>
          </w:tcPr>
          <w:p>
            <w:pPr>
              <w:tabs>
                <w:tab w:val="num" w:pos="425"/>
              </w:tabs>
              <w:rPr>
                <w:noProof/>
              </w:rPr>
            </w:pPr>
            <w:r>
              <w:rPr>
                <w:noProof/>
              </w:rPr>
              <w:t>EUR 439.7 million resulting from additional information obligations, cooperation during audits and inspections and crew training.</w:t>
            </w:r>
          </w:p>
          <w:p>
            <w:pPr>
              <w:tabs>
                <w:tab w:val="num" w:pos="425"/>
              </w:tabs>
              <w:rPr>
                <w:noProof/>
              </w:rPr>
            </w:pPr>
          </w:p>
          <w:p>
            <w:pPr>
              <w:tabs>
                <w:tab w:val="num" w:pos="425"/>
              </w:tabs>
              <w:rPr>
                <w:noProof/>
              </w:rPr>
            </w:pPr>
            <w:r>
              <w:rPr>
                <w:noProof/>
              </w:rPr>
              <w:t>EUR 82 million for verification and approval</w:t>
            </w:r>
          </w:p>
        </w:tc>
        <w:tc>
          <w:tcPr>
            <w:tcW w:w="1304" w:type="dxa"/>
            <w:tcBorders>
              <w:top w:val="double" w:sz="4" w:space="0" w:color="auto"/>
            </w:tcBorders>
            <w:tcMar>
              <w:top w:w="57" w:type="dxa"/>
              <w:left w:w="57" w:type="dxa"/>
              <w:bottom w:w="57" w:type="dxa"/>
              <w:right w:w="57" w:type="dxa"/>
            </w:tcMar>
          </w:tcPr>
          <w:p>
            <w:pPr>
              <w:tabs>
                <w:tab w:val="num" w:pos="425"/>
              </w:tabs>
              <w:rPr>
                <w:noProof/>
              </w:rPr>
            </w:pPr>
            <w:r>
              <w:rPr>
                <w:noProof/>
              </w:rPr>
              <w:t>EUR 0.5 million to adapt the IT system for reporting and compliance checks (EU budget)</w:t>
            </w:r>
          </w:p>
        </w:tc>
        <w:tc>
          <w:tcPr>
            <w:tcW w:w="1305" w:type="dxa"/>
            <w:tcBorders>
              <w:top w:val="double" w:sz="4" w:space="0" w:color="auto"/>
            </w:tcBorders>
            <w:tcMar>
              <w:top w:w="57" w:type="dxa"/>
              <w:left w:w="57" w:type="dxa"/>
              <w:bottom w:w="57" w:type="dxa"/>
              <w:right w:w="57" w:type="dxa"/>
            </w:tcMar>
          </w:tcPr>
          <w:p>
            <w:pPr>
              <w:tabs>
                <w:tab w:val="num" w:pos="425"/>
              </w:tabs>
              <w:rPr>
                <w:noProof/>
              </w:rPr>
            </w:pPr>
            <w:r>
              <w:rPr>
                <w:noProof/>
              </w:rPr>
              <w:t>EUR 1 million for additional time during audits/inspections</w:t>
            </w:r>
          </w:p>
        </w:tc>
      </w:tr>
      <w:tr>
        <w:tc>
          <w:tcPr>
            <w:tcW w:w="1418" w:type="dxa"/>
            <w:vMerge/>
            <w:tcMar>
              <w:top w:w="57" w:type="dxa"/>
              <w:left w:w="57" w:type="dxa"/>
              <w:bottom w:w="57" w:type="dxa"/>
              <w:right w:w="57" w:type="dxa"/>
            </w:tcMar>
          </w:tcPr>
          <w:p>
            <w:pPr>
              <w:tabs>
                <w:tab w:val="num" w:pos="425"/>
              </w:tabs>
              <w:rPr>
                <w:noProof/>
              </w:rPr>
            </w:pPr>
          </w:p>
        </w:tc>
        <w:tc>
          <w:tcPr>
            <w:tcW w:w="1185" w:type="dxa"/>
            <w:tcBorders>
              <w:right w:val="double" w:sz="4" w:space="0" w:color="auto"/>
            </w:tcBorders>
            <w:tcMar>
              <w:top w:w="57" w:type="dxa"/>
              <w:left w:w="57" w:type="dxa"/>
              <w:bottom w:w="57" w:type="dxa"/>
              <w:right w:w="57" w:type="dxa"/>
            </w:tcMar>
          </w:tcPr>
          <w:p>
            <w:pPr>
              <w:tabs>
                <w:tab w:val="num" w:pos="425"/>
              </w:tabs>
              <w:rPr>
                <w:noProof/>
              </w:rPr>
            </w:pPr>
            <w:r>
              <w:rPr>
                <w:noProof/>
              </w:rPr>
              <w:t>Indirect costs</w:t>
            </w:r>
          </w:p>
          <w:p>
            <w:pPr>
              <w:tabs>
                <w:tab w:val="num" w:pos="425"/>
              </w:tabs>
              <w:rPr>
                <w:noProof/>
              </w:rPr>
            </w:pPr>
            <w:r>
              <w:rPr>
                <w:noProof/>
              </w:rPr>
              <w:t>(relative to the baseline in present value over 2021-2050)</w:t>
            </w:r>
          </w:p>
        </w:tc>
        <w:tc>
          <w:tcPr>
            <w:tcW w:w="1083" w:type="dxa"/>
            <w:tcBorders>
              <w:left w:val="double" w:sz="4" w:space="0" w:color="auto"/>
            </w:tcBorders>
            <w:tcMar>
              <w:top w:w="57" w:type="dxa"/>
              <w:left w:w="57" w:type="dxa"/>
              <w:bottom w:w="57" w:type="dxa"/>
              <w:right w:w="57" w:type="dxa"/>
            </w:tcMar>
          </w:tcPr>
          <w:p>
            <w:pPr>
              <w:tabs>
                <w:tab w:val="num" w:pos="425"/>
              </w:tabs>
              <w:rPr>
                <w:noProof/>
              </w:rPr>
            </w:pPr>
          </w:p>
        </w:tc>
        <w:tc>
          <w:tcPr>
            <w:tcW w:w="1525" w:type="dxa"/>
            <w:tcMar>
              <w:top w:w="57" w:type="dxa"/>
              <w:left w:w="57" w:type="dxa"/>
              <w:bottom w:w="57" w:type="dxa"/>
              <w:right w:w="57" w:type="dxa"/>
            </w:tcMar>
          </w:tcPr>
          <w:p>
            <w:pPr>
              <w:tabs>
                <w:tab w:val="num" w:pos="425"/>
              </w:tabs>
              <w:rPr>
                <w:noProof/>
              </w:rPr>
            </w:pPr>
          </w:p>
        </w:tc>
        <w:tc>
          <w:tcPr>
            <w:tcW w:w="1026" w:type="dxa"/>
            <w:tcMar>
              <w:top w:w="57" w:type="dxa"/>
              <w:left w:w="57" w:type="dxa"/>
              <w:bottom w:w="57" w:type="dxa"/>
              <w:right w:w="57" w:type="dxa"/>
            </w:tcMar>
          </w:tcPr>
          <w:p>
            <w:pPr>
              <w:tabs>
                <w:tab w:val="num" w:pos="425"/>
              </w:tabs>
              <w:rPr>
                <w:noProof/>
              </w:rPr>
            </w:pPr>
          </w:p>
        </w:tc>
        <w:tc>
          <w:tcPr>
            <w:tcW w:w="1582" w:type="dxa"/>
            <w:tcMar>
              <w:top w:w="57" w:type="dxa"/>
              <w:left w:w="57" w:type="dxa"/>
              <w:bottom w:w="57" w:type="dxa"/>
              <w:right w:w="57" w:type="dxa"/>
            </w:tcMar>
          </w:tcPr>
          <w:p>
            <w:pPr>
              <w:tabs>
                <w:tab w:val="num" w:pos="425"/>
              </w:tabs>
              <w:rPr>
                <w:noProof/>
              </w:rPr>
            </w:pPr>
            <w:r>
              <w:rPr>
                <w:noProof/>
              </w:rPr>
              <w:t>EUR 1.8 million resulting from the establishment of guidelines by ports to guarantee safe handling of RLF.</w:t>
            </w:r>
          </w:p>
          <w:p>
            <w:pPr>
              <w:tabs>
                <w:tab w:val="num" w:pos="425"/>
              </w:tabs>
              <w:rPr>
                <w:noProof/>
              </w:rPr>
            </w:pPr>
          </w:p>
          <w:p>
            <w:pPr>
              <w:tabs>
                <w:tab w:val="num" w:pos="425"/>
              </w:tabs>
              <w:rPr>
                <w:noProof/>
              </w:rPr>
            </w:pPr>
            <w:r>
              <w:rPr>
                <w:noProof/>
              </w:rPr>
              <w:t>Fuel certification costs could not be quantified but based on existing literature and similar systems are expected   not to have significant impact on the price of RLF</w:t>
            </w:r>
          </w:p>
        </w:tc>
        <w:tc>
          <w:tcPr>
            <w:tcW w:w="1304" w:type="dxa"/>
            <w:tcMar>
              <w:top w:w="57" w:type="dxa"/>
              <w:left w:w="57" w:type="dxa"/>
              <w:bottom w:w="57" w:type="dxa"/>
              <w:right w:w="57" w:type="dxa"/>
            </w:tcMar>
          </w:tcPr>
          <w:p>
            <w:pPr>
              <w:tabs>
                <w:tab w:val="num" w:pos="425"/>
              </w:tabs>
              <w:rPr>
                <w:noProof/>
              </w:rPr>
            </w:pPr>
          </w:p>
        </w:tc>
        <w:tc>
          <w:tcPr>
            <w:tcW w:w="1305" w:type="dxa"/>
            <w:tcMar>
              <w:top w:w="57" w:type="dxa"/>
              <w:left w:w="57" w:type="dxa"/>
              <w:bottom w:w="57" w:type="dxa"/>
              <w:right w:w="57" w:type="dxa"/>
            </w:tcMar>
          </w:tcPr>
          <w:p>
            <w:pPr>
              <w:tabs>
                <w:tab w:val="num" w:pos="425"/>
              </w:tabs>
              <w:rPr>
                <w:noProof/>
              </w:rPr>
            </w:pPr>
          </w:p>
        </w:tc>
      </w:tr>
    </w:tbl>
    <w:p>
      <w:pPr>
        <w:rPr>
          <w:rFonts w:ascii="Times New Roman" w:hAnsi="Times New Roman" w:cs="Times New Roman"/>
          <w:noProof/>
        </w:rPr>
      </w:pPr>
    </w:p>
    <w:p>
      <w:pPr>
        <w:rPr>
          <w:rFonts w:ascii="Times New Roman" w:hAnsi="Times New Roman" w:cs="Times New Roman"/>
          <w:noProof/>
        </w:rPr>
      </w:pPr>
      <w:r>
        <w:rPr>
          <w:rFonts w:ascii="Times New Roman" w:hAnsi="Times New Roman" w:cs="Times New Roman"/>
          <w:noProof/>
        </w:rPr>
        <w:br w:type="page"/>
      </w:r>
    </w:p>
    <w:p>
      <w:pPr>
        <w:pStyle w:val="AnnexTitle"/>
        <w:rPr>
          <w:noProof/>
        </w:rPr>
      </w:pPr>
      <w:bookmarkStart w:id="449" w:name="_Toc49520317"/>
      <w:bookmarkStart w:id="450" w:name="_Toc57907327"/>
      <w:bookmarkStart w:id="451" w:name="_Toc59152668"/>
      <w:bookmarkStart w:id="452" w:name="_Toc63426182"/>
      <w:bookmarkStart w:id="453" w:name="_Toc63438528"/>
      <w:r>
        <w:rPr>
          <w:noProof/>
        </w:rPr>
        <w:t>Annex 4: Analytical methods</w:t>
      </w:r>
      <w:bookmarkEnd w:id="449"/>
      <w:bookmarkEnd w:id="450"/>
      <w:bookmarkEnd w:id="451"/>
      <w:bookmarkEnd w:id="452"/>
      <w:bookmarkEnd w:id="453"/>
    </w:p>
    <w:p>
      <w:pPr>
        <w:pStyle w:val="Heading1"/>
        <w:numPr>
          <w:ilvl w:val="0"/>
          <w:numId w:val="14"/>
        </w:numPr>
        <w:rPr>
          <w:noProof/>
        </w:rPr>
      </w:pPr>
      <w:bookmarkStart w:id="454" w:name="_Toc38314797"/>
      <w:bookmarkStart w:id="455" w:name="_Toc41432386"/>
      <w:bookmarkStart w:id="456" w:name="_Toc41471940"/>
      <w:bookmarkStart w:id="457" w:name="_Toc41473375"/>
      <w:bookmarkStart w:id="458" w:name="_Toc41675995"/>
      <w:bookmarkStart w:id="459" w:name="_Toc42064493"/>
      <w:bookmarkStart w:id="460" w:name="_Ref42803844"/>
      <w:bookmarkStart w:id="461" w:name="_Toc43114836"/>
      <w:bookmarkStart w:id="462" w:name="_Toc45119785"/>
      <w:bookmarkStart w:id="463" w:name="_Toc45147523"/>
      <w:bookmarkStart w:id="464" w:name="_Toc49346545"/>
      <w:bookmarkStart w:id="465" w:name="_Toc49437864"/>
      <w:bookmarkStart w:id="466" w:name="_Toc49441684"/>
      <w:bookmarkStart w:id="467" w:name="_Toc49516662"/>
      <w:bookmarkStart w:id="468" w:name="_Toc49518582"/>
      <w:bookmarkStart w:id="469" w:name="_Toc49525196"/>
      <w:bookmarkStart w:id="470" w:name="_Toc49530690"/>
      <w:bookmarkStart w:id="471" w:name="_Toc49530959"/>
      <w:bookmarkStart w:id="472" w:name="_Toc49531791"/>
      <w:bookmarkStart w:id="473" w:name="_Toc49532950"/>
      <w:bookmarkStart w:id="474" w:name="_Toc49775499"/>
      <w:bookmarkStart w:id="475" w:name="_Toc49774701"/>
      <w:bookmarkStart w:id="476" w:name="_Toc50396620"/>
      <w:bookmarkStart w:id="477" w:name="_Toc50406111"/>
      <w:bookmarkStart w:id="478" w:name="_Toc50995809"/>
      <w:bookmarkStart w:id="479" w:name="_Toc56849986"/>
      <w:bookmarkStart w:id="480" w:name="_Toc59152669"/>
      <w:bookmarkStart w:id="481" w:name="_Toc63426183"/>
      <w:bookmarkStart w:id="482" w:name="_Toc63438529"/>
      <w:r>
        <w:rPr>
          <w:noProof/>
        </w:rPr>
        <w:t>Description of the modelling tools used</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Pr>
          <w:noProof/>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The main models used for developing the baseline scenario for this initiative are the PRIMES and PRIMES-TREMOVE models (including their PRIMES-Maritime module). These models have a successful record of use in the Commission's energy, transport and climate policy assessments. In particular, they have been used for the impact assessment accompanying the 2030 Climate Target Plan</w:t>
      </w:r>
      <w:r>
        <w:rPr>
          <w:rStyle w:val="FootnoteReference"/>
          <w:rFonts w:ascii="Times New Roman" w:hAnsi="Times New Roman" w:cs="Times New Roman"/>
          <w:noProof/>
          <w:sz w:val="24"/>
          <w:szCs w:val="24"/>
        </w:rPr>
        <w:footnoteReference w:id="150"/>
      </w:r>
      <w:r>
        <w:rPr>
          <w:rFonts w:ascii="Times New Roman" w:hAnsi="Times New Roman" w:cs="Times New Roman"/>
          <w:noProof/>
          <w:sz w:val="24"/>
          <w:szCs w:val="24"/>
        </w:rPr>
        <w:t>, the Staff Working Document accompanying the Sustainable and Smart Mobility Strategy, the Commission’s proposal for a Long Term Strategy</w:t>
      </w:r>
      <w:r>
        <w:rPr>
          <w:rStyle w:val="FootnoteReference"/>
          <w:rFonts w:ascii="Times New Roman" w:hAnsi="Times New Roman" w:cs="Times New Roman"/>
          <w:noProof/>
          <w:sz w:val="24"/>
          <w:szCs w:val="24"/>
        </w:rPr>
        <w:footnoteReference w:id="151"/>
      </w:r>
      <w:r>
        <w:rPr>
          <w:rFonts w:ascii="Times New Roman" w:hAnsi="Times New Roman" w:cs="Times New Roman"/>
          <w:noProof/>
          <w:sz w:val="24"/>
          <w:szCs w:val="24"/>
          <w:vertAlign w:val="superscript"/>
        </w:rPr>
        <w:t xml:space="preserve"> </w:t>
      </w:r>
      <w:r>
        <w:rPr>
          <w:rFonts w:ascii="Times New Roman" w:hAnsi="Times New Roman" w:cs="Times New Roman"/>
          <w:noProof/>
          <w:sz w:val="24"/>
          <w:szCs w:val="24"/>
        </w:rPr>
        <w:t>as well as for the 2020 and 2030 EU’s climate and energy policy framework. In addition, the POLES-JRC</w:t>
      </w:r>
      <w:r>
        <w:rPr>
          <w:rStyle w:val="FootnoteReference"/>
          <w:rFonts w:ascii="Times New Roman" w:hAnsi="Times New Roman" w:cs="Times New Roman"/>
          <w:noProof/>
          <w:sz w:val="24"/>
          <w:szCs w:val="24"/>
        </w:rPr>
        <w:footnoteReference w:id="152"/>
      </w:r>
      <w:r>
        <w:rPr>
          <w:rFonts w:ascii="Times New Roman" w:hAnsi="Times New Roman" w:cs="Times New Roman"/>
          <w:noProof/>
          <w:sz w:val="24"/>
          <w:szCs w:val="24"/>
        </w:rPr>
        <w:t xml:space="preserve"> model has been used for the world energy price projections and the GEM-E3 model</w:t>
      </w:r>
      <w:r>
        <w:rPr>
          <w:rStyle w:val="FootnoteReference"/>
          <w:rFonts w:ascii="Times New Roman" w:hAnsi="Times New Roman" w:cs="Times New Roman"/>
          <w:noProof/>
          <w:sz w:val="24"/>
          <w:szCs w:val="24"/>
        </w:rPr>
        <w:footnoteReference w:id="153"/>
      </w:r>
      <w:r>
        <w:rPr>
          <w:rFonts w:ascii="Times New Roman" w:hAnsi="Times New Roman" w:cs="Times New Roman"/>
          <w:noProof/>
          <w:sz w:val="24"/>
          <w:szCs w:val="24"/>
        </w:rPr>
        <w:t xml:space="preserve"> for the macro-economic developments by sector of activity, used in the baseline scenario.</w:t>
      </w:r>
    </w:p>
    <w:p>
      <w:pPr>
        <w:jc w:val="both"/>
        <w:rPr>
          <w:rFonts w:ascii="Times New Roman" w:hAnsi="Times New Roman" w:cs="Times New Roman"/>
          <w:noProof/>
          <w:sz w:val="24"/>
          <w:szCs w:val="24"/>
        </w:rPr>
      </w:pPr>
      <w:r>
        <w:rPr>
          <w:rFonts w:ascii="Times New Roman" w:hAnsi="Times New Roman" w:cs="Times New Roman"/>
          <w:noProof/>
          <w:sz w:val="24"/>
          <w:szCs w:val="24"/>
        </w:rPr>
        <w:t>Modelling of the policy options, in a consistent way with the scenarios prepared in support of the impact assessment accompanying the 2030 Climate Target Plan and the Staff Working Document accompanying the Sustainable and Smart Mobility Strategy, has been performed by E3Modelling with the PRIMES-Maritime transport module of PRIMES and PRIMES-TREMOVE. Specific analysis on the risk of carbon leakage in the introduction of extra-EU journeys in the scope of the policy options has been carried out by TRT with the TRUST model. The administrative costs for businesses and the costs for authorities draw on the impact assessment support study.</w:t>
      </w:r>
      <w:r>
        <w:rPr>
          <w:rStyle w:val="FootnoteReference"/>
          <w:rFonts w:ascii="Times New Roman" w:hAnsi="Times New Roman" w:cs="Times New Roman"/>
          <w:noProof/>
          <w:sz w:val="24"/>
          <w:szCs w:val="24"/>
        </w:rPr>
        <w:footnoteReference w:id="154"/>
      </w:r>
    </w:p>
    <w:p>
      <w:pPr>
        <w:pStyle w:val="Date"/>
        <w:numPr>
          <w:ilvl w:val="0"/>
          <w:numId w:val="16"/>
        </w:numPr>
        <w:spacing w:after="120" w:line="276" w:lineRule="auto"/>
        <w:ind w:left="357" w:right="0" w:hanging="357"/>
        <w:rPr>
          <w:noProof/>
          <w:sz w:val="24"/>
          <w:szCs w:val="24"/>
        </w:rPr>
      </w:pPr>
      <w:r>
        <w:rPr>
          <w:b/>
          <w:bCs/>
          <w:noProof/>
          <w:sz w:val="24"/>
          <w:szCs w:val="24"/>
        </w:rPr>
        <w:t xml:space="preserve">The entire energy </w:t>
      </w:r>
      <w:r>
        <w:rPr>
          <w:noProof/>
          <w:sz w:val="24"/>
          <w:szCs w:val="24"/>
        </w:rPr>
        <w:t xml:space="preserve">(energy demand, supply, prices and investments to the future) and </w:t>
      </w:r>
      <w:r>
        <w:rPr>
          <w:b/>
          <w:noProof/>
          <w:sz w:val="24"/>
          <w:szCs w:val="24"/>
        </w:rPr>
        <w:t>transport systems</w:t>
      </w:r>
      <w:r>
        <w:rPr>
          <w:noProof/>
          <w:sz w:val="24"/>
          <w:szCs w:val="24"/>
        </w:rPr>
        <w:t xml:space="preserve">, and </w:t>
      </w:r>
      <w:r>
        <w:rPr>
          <w:b/>
          <w:bCs/>
          <w:noProof/>
          <w:sz w:val="24"/>
          <w:szCs w:val="24"/>
        </w:rPr>
        <w:t>all GHG emissions and removals</w:t>
      </w:r>
      <w:r>
        <w:rPr>
          <w:noProof/>
          <w:sz w:val="24"/>
          <w:szCs w:val="24"/>
        </w:rPr>
        <w:t xml:space="preserve"> from the EU economy</w:t>
      </w:r>
    </w:p>
    <w:p>
      <w:pPr>
        <w:numPr>
          <w:ilvl w:val="0"/>
          <w:numId w:val="15"/>
        </w:numPr>
        <w:spacing w:after="120"/>
        <w:ind w:left="357" w:hanging="357"/>
        <w:jc w:val="both"/>
        <w:rPr>
          <w:rFonts w:ascii="Times New Roman" w:hAnsi="Times New Roman" w:cs="Times New Roman"/>
          <w:noProof/>
          <w:sz w:val="24"/>
          <w:szCs w:val="24"/>
        </w:rPr>
      </w:pPr>
      <w:r>
        <w:rPr>
          <w:rFonts w:ascii="Times New Roman" w:hAnsi="Times New Roman" w:cs="Times New Roman"/>
          <w:b/>
          <w:bCs/>
          <w:noProof/>
          <w:sz w:val="24"/>
          <w:szCs w:val="24"/>
        </w:rPr>
        <w:t>Time horizon:</w:t>
      </w:r>
      <w:r>
        <w:rPr>
          <w:rFonts w:ascii="Times New Roman" w:hAnsi="Times New Roman" w:cs="Times New Roman"/>
          <w:noProof/>
          <w:sz w:val="24"/>
          <w:szCs w:val="24"/>
        </w:rPr>
        <w:t xml:space="preserve"> 1990 to 2070 (5-year time steps)</w:t>
      </w:r>
    </w:p>
    <w:p>
      <w:pPr>
        <w:numPr>
          <w:ilvl w:val="0"/>
          <w:numId w:val="15"/>
        </w:numPr>
        <w:spacing w:after="120"/>
        <w:ind w:left="357" w:hanging="357"/>
        <w:jc w:val="both"/>
        <w:rPr>
          <w:rFonts w:ascii="Times New Roman" w:hAnsi="Times New Roman" w:cs="Times New Roman"/>
          <w:noProof/>
          <w:sz w:val="24"/>
          <w:szCs w:val="24"/>
        </w:rPr>
      </w:pPr>
      <w:r>
        <w:rPr>
          <w:rFonts w:ascii="Times New Roman" w:hAnsi="Times New Roman" w:cs="Times New Roman"/>
          <w:b/>
          <w:bCs/>
          <w:noProof/>
          <w:sz w:val="24"/>
          <w:szCs w:val="24"/>
        </w:rPr>
        <w:t>Geography:</w:t>
      </w:r>
      <w:r>
        <w:rPr>
          <w:rFonts w:ascii="Times New Roman" w:hAnsi="Times New Roman" w:cs="Times New Roman"/>
          <w:noProof/>
          <w:sz w:val="24"/>
          <w:szCs w:val="24"/>
        </w:rPr>
        <w:t xml:space="preserve"> individually all EU Member States</w:t>
      </w:r>
    </w:p>
    <w:p>
      <w:pPr>
        <w:numPr>
          <w:ilvl w:val="0"/>
          <w:numId w:val="15"/>
        </w:numPr>
        <w:jc w:val="both"/>
        <w:rPr>
          <w:rFonts w:ascii="Times New Roman" w:hAnsi="Times New Roman" w:cs="Times New Roman"/>
          <w:noProof/>
          <w:sz w:val="24"/>
          <w:szCs w:val="24"/>
        </w:rPr>
      </w:pPr>
      <w:r>
        <w:rPr>
          <w:rFonts w:ascii="Times New Roman" w:hAnsi="Times New Roman" w:cs="Times New Roman"/>
          <w:b/>
          <w:bCs/>
          <w:noProof/>
          <w:sz w:val="24"/>
          <w:szCs w:val="24"/>
        </w:rPr>
        <w:t>Impacts:</w:t>
      </w:r>
      <w:r>
        <w:rPr>
          <w:rFonts w:ascii="Times New Roman" w:hAnsi="Times New Roman" w:cs="Times New Roman"/>
          <w:noProof/>
          <w:sz w:val="24"/>
          <w:szCs w:val="24"/>
        </w:rPr>
        <w:t xml:space="preserve"> on the energy system (PRIMES and its satellite model on biomass), transport (PRIMES-TREMOVE and PRIMES-Maritime).</w:t>
      </w:r>
    </w:p>
    <w:p>
      <w:pPr>
        <w:jc w:val="both"/>
        <w:rPr>
          <w:rFonts w:ascii="Times New Roman" w:hAnsi="Times New Roman" w:cs="Times New Roman"/>
          <w:noProof/>
          <w:sz w:val="24"/>
          <w:szCs w:val="24"/>
        </w:rPr>
      </w:pPr>
      <w:r>
        <w:rPr>
          <w:rFonts w:ascii="Times New Roman" w:hAnsi="Times New Roman" w:cs="Times New Roman"/>
          <w:noProof/>
          <w:sz w:val="24"/>
          <w:szCs w:val="24"/>
        </w:rPr>
        <w:t>The modelling suite has been continuously updated over the past decade. Updates include the addition of a new buildings module in PRIMES, improved representation of the electricity sector, more granular representation of hydrogen (including cross-border trade</w:t>
      </w:r>
      <w:r>
        <w:rPr>
          <w:noProof/>
          <w:sz w:val="24"/>
          <w:szCs w:val="24"/>
        </w:rPr>
        <w:footnoteReference w:id="155"/>
      </w:r>
      <w:r>
        <w:rPr>
          <w:rFonts w:ascii="Times New Roman" w:hAnsi="Times New Roman" w:cs="Times New Roman"/>
          <w:noProof/>
          <w:sz w:val="24"/>
          <w:szCs w:val="24"/>
        </w:rPr>
        <w:t>) and other innovative fuels, improved representation of the maritime transport sector, as well updated interlinkages of the models to improve land use and non-CO2 modelling. Most recently a major update was done of the policy assumptions, technology costs and macro-economic assumptions.</w:t>
      </w:r>
    </w:p>
    <w:p>
      <w:pPr>
        <w:widowControl w:val="0"/>
        <w:spacing w:before="240"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PRIMES model</w:t>
      </w:r>
    </w:p>
    <w:p>
      <w:pPr>
        <w:widowControl w:val="0"/>
        <w:jc w:val="both"/>
        <w:rPr>
          <w:rFonts w:ascii="Times New Roman" w:hAnsi="Times New Roman" w:cs="Times New Roman"/>
          <w:noProof/>
          <w:sz w:val="24"/>
          <w:szCs w:val="24"/>
        </w:rPr>
      </w:pPr>
      <w:r>
        <w:rPr>
          <w:rFonts w:ascii="Times New Roman" w:hAnsi="Times New Roman" w:cs="Times New Roman"/>
          <w:noProof/>
          <w:sz w:val="24"/>
          <w:szCs w:val="24"/>
        </w:rPr>
        <w:t>The PRIMES model (Price-Induced Market Equilibrium System)</w:t>
      </w:r>
      <w:r>
        <w:rPr>
          <w:rStyle w:val="FootnoteReference"/>
          <w:rFonts w:ascii="Times New Roman" w:hAnsi="Times New Roman" w:cs="Times New Roman"/>
          <w:noProof/>
          <w:sz w:val="24"/>
          <w:szCs w:val="24"/>
        </w:rPr>
        <w:footnoteReference w:id="156"/>
      </w:r>
      <w:r>
        <w:rPr>
          <w:rFonts w:ascii="Times New Roman" w:hAnsi="Times New Roman" w:cs="Times New Roman"/>
          <w:noProof/>
          <w:sz w:val="24"/>
          <w:szCs w:val="24"/>
        </w:rPr>
        <w:t xml:space="preserve"> is a large scale applied energy system model that provides detailed projections of energy demand, supply, prices and investment to the future, covering the entire energy system including emissions. The distinctive feature of PRIMES is the combination of behavioural modelling (following a micro-economic foundation) with engineering aspects, covering all energy sectors and markets. The model has a detailed representation of policy instruments related to energy markets and climate, including market drivers, standards, and targets by sector or overall. It simulates the EU Emissions Trading System in its current form. It handles multiple policy objectives, such as GHG emissions reductions, energy efficiency, and renewable energy targets, and provides pan-European simulation of internal markets for electricity and gas. </w:t>
      </w:r>
    </w:p>
    <w:p>
      <w:pPr>
        <w:widowControl w:val="0"/>
        <w:jc w:val="both"/>
        <w:rPr>
          <w:rFonts w:ascii="Times New Roman" w:hAnsi="Times New Roman" w:cs="Times New Roman"/>
          <w:noProof/>
          <w:sz w:val="24"/>
          <w:szCs w:val="24"/>
        </w:rPr>
      </w:pPr>
      <w:r>
        <w:rPr>
          <w:rFonts w:ascii="Times New Roman" w:hAnsi="Times New Roman" w:cs="Times New Roman"/>
          <w:noProof/>
          <w:sz w:val="24"/>
          <w:szCs w:val="24"/>
        </w:rPr>
        <w:t xml:space="preserve">PRIMES offers the possibility of handling market distortions, barriers to rational decisions, behaviours and market coordination issues and it has full accounting of costs (CAPEX and OPEX) and investment on infrastructure needs. The model covers the horizon up to 2070 in 5-year interval periods and includes all Member States of the EU individually, as well as neighbouring and candidate countries. PRIMES is designed to analyse complex interactions within the energy system in a multiple agent – multiple markets framework. </w:t>
      </w:r>
    </w:p>
    <w:p>
      <w:pPr>
        <w:jc w:val="both"/>
        <w:rPr>
          <w:rFonts w:ascii="Times New Roman" w:hAnsi="Times New Roman" w:cs="Times New Roman"/>
          <w:noProof/>
          <w:sz w:val="24"/>
          <w:szCs w:val="24"/>
        </w:rPr>
      </w:pPr>
      <w:r>
        <w:rPr>
          <w:rFonts w:ascii="Times New Roman" w:hAnsi="Times New Roman" w:cs="Times New Roman"/>
          <w:noProof/>
          <w:sz w:val="24"/>
          <w:szCs w:val="24"/>
        </w:rPr>
        <w:t>Decisions by agents are formulated based on microeconomic foundation (utility maximization, cost minimization and market equilibrium) embedding engineering constraints and explicit representation of technologies and vintages; optionally perfect or imperfect foresight for the modelling of investment in all sectors.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PRIMES allows simulating long-term transformations/transitions and includes non-linear formulation of potentials by type (resources, sites, acceptability etc.) and technology learning.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_Ref54044817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10</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shows a schematic representation of the PRIMES model.</w:t>
      </w:r>
    </w:p>
    <w:p>
      <w:pPr>
        <w:jc w:val="both"/>
        <w:rPr>
          <w:rFonts w:ascii="Times New Roman" w:hAnsi="Times New Roman" w:cs="Times New Roman"/>
          <w:noProof/>
          <w:sz w:val="24"/>
          <w:szCs w:val="24"/>
        </w:rPr>
      </w:pPr>
    </w:p>
    <w:p>
      <w:pPr>
        <w:pStyle w:val="Caption"/>
        <w:keepNext/>
        <w:rPr>
          <w:noProof/>
        </w:rPr>
      </w:pPr>
      <w:bookmarkStart w:id="483" w:name="_Ref54044817"/>
      <w:bookmarkStart w:id="484" w:name="_Toc49271907"/>
      <w:bookmarkStart w:id="485" w:name="_Toc49441327"/>
      <w:bookmarkStart w:id="486" w:name="_Toc49530537"/>
      <w:bookmarkStart w:id="487" w:name="_Toc49529977"/>
      <w:bookmarkStart w:id="488" w:name="_Toc49531638"/>
      <w:bookmarkStart w:id="489" w:name="_Toc49262631"/>
      <w:bookmarkStart w:id="490" w:name="_Toc49269594"/>
      <w:bookmarkStart w:id="491" w:name="_Toc49272482"/>
      <w:bookmarkStart w:id="492" w:name="_Toc49437683"/>
      <w:bookmarkStart w:id="493" w:name="_Toc49525049"/>
      <w:bookmarkStart w:id="494" w:name="_Toc49532803"/>
      <w:bookmarkStart w:id="495" w:name="_Toc49775352"/>
      <w:bookmarkStart w:id="496" w:name="_Toc49774554"/>
      <w:bookmarkStart w:id="497" w:name="_Toc50396473"/>
      <w:bookmarkStart w:id="498" w:name="_Toc50406176"/>
      <w:bookmarkStart w:id="499" w:name="_Toc50995854"/>
      <w:bookmarkStart w:id="500" w:name="_Toc56848767"/>
      <w:r>
        <w:rPr>
          <w:noProof/>
        </w:rPr>
        <w:t xml:space="preserve">Figure </w:t>
      </w:r>
      <w:r>
        <w:rPr>
          <w:noProof/>
        </w:rPr>
        <w:fldChar w:fldCharType="begin"/>
      </w:r>
      <w:r>
        <w:rPr>
          <w:noProof/>
        </w:rPr>
        <w:instrText xml:space="preserve"> SEQ Figure \* ARABIC </w:instrText>
      </w:r>
      <w:r>
        <w:rPr>
          <w:noProof/>
        </w:rPr>
        <w:fldChar w:fldCharType="separate"/>
      </w:r>
      <w:r>
        <w:rPr>
          <w:noProof/>
        </w:rPr>
        <w:t>10</w:t>
      </w:r>
      <w:r>
        <w:rPr>
          <w:noProof/>
        </w:rPr>
        <w:fldChar w:fldCharType="end"/>
      </w:r>
      <w:bookmarkEnd w:id="483"/>
      <w:r>
        <w:rPr>
          <w:noProof/>
        </w:rPr>
        <w:t>: Schematic representation of the PRIMES model</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spacing w:before="120"/>
        <w:jc w:val="center"/>
        <w:rPr>
          <w:rFonts w:ascii="Times New Roman" w:hAnsi="Times New Roman" w:cs="Times New Roman"/>
          <w:noProof/>
          <w:sz w:val="24"/>
          <w:szCs w:val="24"/>
        </w:rPr>
      </w:pPr>
      <w:r>
        <w:rPr>
          <w:rFonts w:ascii="Times New Roman" w:hAnsi="Times New Roman" w:cs="Times New Roman"/>
          <w:noProof/>
          <w:sz w:val="24"/>
          <w:szCs w:val="24"/>
          <w:lang w:eastAsia="en-GB"/>
        </w:rPr>
        <w:drawing>
          <wp:inline distT="0" distB="0" distL="0" distR="0">
            <wp:extent cx="4648200" cy="4533900"/>
            <wp:effectExtent l="0" t="0" r="0" b="0"/>
            <wp:docPr id="1657890227" name="Picture 1657890227" descr="\\NET1.cec.eu.int\homes\115\sulyoge\My Documents\White Paper\SWD\Figures\Picture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T1.cec.eu.int\homes\115\sulyoge\My Documents\White Paper\SWD\Figures\Picture20.jpg"/>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4648200" cy="4533900"/>
                    </a:xfrm>
                    <a:prstGeom prst="rect">
                      <a:avLst/>
                    </a:prstGeom>
                    <a:noFill/>
                    <a:ln>
                      <a:noFill/>
                    </a:ln>
                  </pic:spPr>
                </pic:pic>
              </a:graphicData>
            </a:graphic>
          </wp:inline>
        </w:drawing>
      </w:r>
    </w:p>
    <w:p>
      <w:pPr>
        <w:jc w:val="both"/>
        <w:rPr>
          <w:rFonts w:ascii="Times New Roman" w:hAnsi="Times New Roman" w:cs="Times New Roman"/>
          <w:noProof/>
          <w:sz w:val="24"/>
          <w:szCs w:val="24"/>
        </w:rPr>
      </w:pPr>
      <w:r>
        <w:rPr>
          <w:rFonts w:ascii="Times New Roman" w:hAnsi="Times New Roman" w:cs="Times New Roman"/>
          <w:noProof/>
          <w:sz w:val="24"/>
          <w:szCs w:val="24"/>
        </w:rPr>
        <w:t>It includes a detailed numerical model on biomass supply, namely PRIMES-Biomass, which simulates the economics of supply of biomass and waste for energy purposes through a network of current and future processes. The model transforms biomass (or waste) feedstock, thus primary feedstock or residues, into bio-energy commodities which undergo further transformation in the energy system e.g. as input into power plants, heating boilers or fuels for transportation. The model calculates the inputs in terms of primary feedstock of biomass and waste to satisfy a given demand for bio-energy commodities and provides quantification of the required production capacity (for plants transforming feedstock into bioenergy commodities). Furthermore, all the costs resulting from the production of bioenergy commodities and the resulting prices are quantified. The PRIMES-Biomass model is a key link of communication between the energy system projections obtained by the core PRIMES energy system model and the projections on agriculture, forestry and non-CO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provided by other modelling tools (CAPRI, GLOBIOM/G4M, GAINS). </w:t>
      </w:r>
    </w:p>
    <w:p>
      <w:pPr>
        <w:spacing w:after="120"/>
        <w:jc w:val="both"/>
        <w:rPr>
          <w:rFonts w:ascii="Times New Roman" w:hAnsi="Times New Roman" w:cs="Times New Roman"/>
          <w:noProof/>
          <w:sz w:val="24"/>
          <w:szCs w:val="24"/>
          <w:u w:val="single"/>
        </w:rPr>
      </w:pPr>
      <w:r>
        <w:rPr>
          <w:rFonts w:ascii="Times New Roman" w:hAnsi="Times New Roman" w:cs="Times New Roman"/>
          <w:noProof/>
          <w:sz w:val="24"/>
          <w:szCs w:val="24"/>
        </w:rPr>
        <w:t>PRIMES is a private model maintained by E3Modelling</w:t>
      </w:r>
      <w:r>
        <w:rPr>
          <w:rStyle w:val="FootnoteReference"/>
          <w:rFonts w:ascii="Times New Roman" w:hAnsi="Times New Roman" w:cs="Times New Roman"/>
          <w:noProof/>
          <w:sz w:val="24"/>
          <w:szCs w:val="24"/>
        </w:rPr>
        <w:footnoteReference w:id="157"/>
      </w:r>
      <w:r>
        <w:rPr>
          <w:rFonts w:ascii="Times New Roman" w:hAnsi="Times New Roman" w:cs="Times New Roman"/>
          <w:noProof/>
          <w:sz w:val="24"/>
          <w:szCs w:val="24"/>
        </w:rPr>
        <w:t>, originally developed in the context of a series of research programmes co-financed by the European Commission. The model has been successfully peer-reviewed, most recently in 2011</w:t>
      </w:r>
      <w:r>
        <w:rPr>
          <w:rStyle w:val="FootnoteReference"/>
          <w:rFonts w:ascii="Times New Roman" w:hAnsi="Times New Roman" w:cs="Times New Roman"/>
          <w:noProof/>
          <w:sz w:val="24"/>
          <w:szCs w:val="24"/>
        </w:rPr>
        <w:footnoteReference w:id="158"/>
      </w:r>
      <w:r>
        <w:rPr>
          <w:rFonts w:ascii="Times New Roman" w:hAnsi="Times New Roman" w:cs="Times New Roman"/>
          <w:noProof/>
          <w:sz w:val="24"/>
          <w:szCs w:val="24"/>
        </w:rPr>
        <w:t>; team members regularly participate in international conferences and publish in scientific peer-reviewed journals.</w:t>
      </w:r>
    </w:p>
    <w:p>
      <w:pPr>
        <w:spacing w:after="120"/>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Sources for data inputs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A summary of database sources, in the current version of PRIMES, is provided below:</w:t>
      </w:r>
    </w:p>
    <w:p>
      <w:pPr>
        <w:pStyle w:val="ListParagraph"/>
        <w:numPr>
          <w:ilvl w:val="0"/>
          <w:numId w:val="17"/>
        </w:numPr>
        <w:spacing w:after="160"/>
        <w:ind w:left="426" w:hanging="426"/>
        <w:jc w:val="both"/>
        <w:rPr>
          <w:rFonts w:ascii="Times New Roman" w:hAnsi="Times New Roman" w:cs="Times New Roman"/>
          <w:noProof/>
          <w:sz w:val="24"/>
          <w:szCs w:val="24"/>
        </w:rPr>
      </w:pPr>
      <w:r>
        <w:rPr>
          <w:rFonts w:ascii="Times New Roman" w:hAnsi="Times New Roman" w:cs="Times New Roman"/>
          <w:noProof/>
          <w:sz w:val="24"/>
          <w:szCs w:val="24"/>
        </w:rPr>
        <w:t>Eurostat and EEA: Energy Balance sheets, Energy prices (complemented by other sources, such IEA), macroeconomic and sectoral activity data (PRIMES sectors correspond to NACE 3-digit classification), population data and projections, physical activity data (complemented by other sources), CHP surveys,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 factors (sectoral and reference approaches) and EU ETS registry for allocating emissions between ETS and non ETS</w:t>
      </w:r>
    </w:p>
    <w:p>
      <w:pPr>
        <w:pStyle w:val="ListParagraph"/>
        <w:numPr>
          <w:ilvl w:val="0"/>
          <w:numId w:val="17"/>
        </w:numPr>
        <w:spacing w:after="160"/>
        <w:ind w:left="426" w:hanging="426"/>
        <w:jc w:val="both"/>
        <w:rPr>
          <w:rFonts w:ascii="Times New Roman" w:hAnsi="Times New Roman" w:cs="Times New Roman"/>
          <w:noProof/>
          <w:sz w:val="24"/>
          <w:szCs w:val="24"/>
        </w:rPr>
      </w:pPr>
      <w:r>
        <w:rPr>
          <w:rFonts w:ascii="Times New Roman" w:hAnsi="Times New Roman" w:cs="Times New Roman"/>
          <w:noProof/>
          <w:sz w:val="24"/>
          <w:szCs w:val="24"/>
        </w:rPr>
        <w:t>Technology databases: ODYSSEE-MURE</w:t>
      </w:r>
      <w:r>
        <w:rPr>
          <w:rStyle w:val="FootnoteReference"/>
          <w:rFonts w:ascii="Times New Roman" w:hAnsi="Times New Roman" w:cs="Times New Roman"/>
          <w:noProof/>
          <w:sz w:val="24"/>
          <w:szCs w:val="24"/>
        </w:rPr>
        <w:footnoteReference w:id="159"/>
      </w:r>
      <w:r>
        <w:rPr>
          <w:rFonts w:ascii="Times New Roman" w:hAnsi="Times New Roman" w:cs="Times New Roman"/>
          <w:noProof/>
          <w:sz w:val="24"/>
          <w:szCs w:val="24"/>
        </w:rPr>
        <w:t>, ICARUS, Eco-design, VGB (power technology costs), TECHPOL – supply sector technologies, NEMS model database</w:t>
      </w:r>
      <w:r>
        <w:rPr>
          <w:rStyle w:val="FootnoteReference"/>
          <w:rFonts w:ascii="Times New Roman" w:hAnsi="Times New Roman" w:cs="Times New Roman"/>
          <w:noProof/>
          <w:sz w:val="24"/>
          <w:szCs w:val="24"/>
        </w:rPr>
        <w:footnoteReference w:id="160"/>
      </w:r>
      <w:r>
        <w:rPr>
          <w:rFonts w:ascii="Times New Roman" w:hAnsi="Times New Roman" w:cs="Times New Roman"/>
          <w:noProof/>
          <w:sz w:val="24"/>
          <w:szCs w:val="24"/>
        </w:rPr>
        <w:t>, IPPC BAT Technologies</w:t>
      </w:r>
      <w:r>
        <w:rPr>
          <w:rStyle w:val="FootnoteReference"/>
          <w:rFonts w:ascii="Times New Roman" w:hAnsi="Times New Roman" w:cs="Times New Roman"/>
          <w:noProof/>
          <w:sz w:val="24"/>
          <w:szCs w:val="24"/>
        </w:rPr>
        <w:footnoteReference w:id="161"/>
      </w:r>
    </w:p>
    <w:p>
      <w:pPr>
        <w:pStyle w:val="ListParagraph"/>
        <w:numPr>
          <w:ilvl w:val="0"/>
          <w:numId w:val="17"/>
        </w:numPr>
        <w:spacing w:after="160"/>
        <w:ind w:left="426" w:hanging="426"/>
        <w:jc w:val="both"/>
        <w:rPr>
          <w:rFonts w:ascii="Times New Roman" w:hAnsi="Times New Roman" w:cs="Times New Roman"/>
          <w:noProof/>
          <w:sz w:val="24"/>
          <w:szCs w:val="24"/>
        </w:rPr>
      </w:pPr>
      <w:r>
        <w:rPr>
          <w:rFonts w:ascii="Times New Roman" w:hAnsi="Times New Roman" w:cs="Times New Roman"/>
          <w:noProof/>
          <w:sz w:val="24"/>
          <w:szCs w:val="24"/>
        </w:rPr>
        <w:t>Power Plant Inventory: ESAP SA and PLATTS</w:t>
      </w:r>
    </w:p>
    <w:p>
      <w:pPr>
        <w:pStyle w:val="ListParagraph"/>
        <w:numPr>
          <w:ilvl w:val="0"/>
          <w:numId w:val="17"/>
        </w:numPr>
        <w:spacing w:after="160"/>
        <w:ind w:left="426" w:hanging="426"/>
        <w:jc w:val="both"/>
        <w:rPr>
          <w:rFonts w:ascii="Times New Roman" w:hAnsi="Times New Roman" w:cs="Times New Roman"/>
          <w:noProof/>
          <w:sz w:val="24"/>
          <w:szCs w:val="24"/>
        </w:rPr>
      </w:pPr>
      <w:r>
        <w:rPr>
          <w:rFonts w:ascii="Times New Roman" w:hAnsi="Times New Roman" w:cs="Times New Roman"/>
          <w:noProof/>
          <w:sz w:val="24"/>
          <w:szCs w:val="24"/>
        </w:rPr>
        <w:t>RES capacities, potential and availability: JRC ENSPRESO</w:t>
      </w:r>
      <w:r>
        <w:rPr>
          <w:rStyle w:val="FootnoteReference"/>
          <w:rFonts w:ascii="Times New Roman" w:hAnsi="Times New Roman" w:cs="Times New Roman"/>
          <w:noProof/>
          <w:sz w:val="24"/>
          <w:szCs w:val="24"/>
        </w:rPr>
        <w:footnoteReference w:id="162"/>
      </w:r>
      <w:r>
        <w:rPr>
          <w:rFonts w:ascii="Times New Roman" w:hAnsi="Times New Roman" w:cs="Times New Roman"/>
          <w:noProof/>
          <w:sz w:val="24"/>
          <w:szCs w:val="24"/>
        </w:rPr>
        <w:t>, JRC EMHIRES</w:t>
      </w:r>
      <w:r>
        <w:rPr>
          <w:rStyle w:val="FootnoteReference"/>
          <w:rFonts w:ascii="Times New Roman" w:hAnsi="Times New Roman" w:cs="Times New Roman"/>
          <w:noProof/>
          <w:sz w:val="24"/>
          <w:szCs w:val="24"/>
        </w:rPr>
        <w:footnoteReference w:id="163"/>
      </w:r>
      <w:r>
        <w:rPr>
          <w:rFonts w:ascii="Times New Roman" w:hAnsi="Times New Roman" w:cs="Times New Roman"/>
          <w:noProof/>
          <w:sz w:val="24"/>
          <w:szCs w:val="24"/>
        </w:rPr>
        <w:t>, RES ninja</w:t>
      </w:r>
      <w:r>
        <w:rPr>
          <w:rStyle w:val="FootnoteReference"/>
          <w:rFonts w:ascii="Times New Roman" w:hAnsi="Times New Roman" w:cs="Times New Roman"/>
          <w:noProof/>
          <w:sz w:val="24"/>
          <w:szCs w:val="24"/>
        </w:rPr>
        <w:footnoteReference w:id="164"/>
      </w:r>
      <w:r>
        <w:rPr>
          <w:rFonts w:ascii="Times New Roman" w:hAnsi="Times New Roman" w:cs="Times New Roman"/>
          <w:noProof/>
          <w:sz w:val="24"/>
          <w:szCs w:val="24"/>
        </w:rPr>
        <w:t>, ECN, DLR and Observer, IRENA</w:t>
      </w:r>
    </w:p>
    <w:p>
      <w:pPr>
        <w:pStyle w:val="ListParagraph"/>
        <w:numPr>
          <w:ilvl w:val="0"/>
          <w:numId w:val="17"/>
        </w:numPr>
        <w:spacing w:before="120" w:after="120"/>
        <w:ind w:left="426" w:hanging="426"/>
        <w:jc w:val="both"/>
        <w:rPr>
          <w:rFonts w:ascii="Times New Roman" w:hAnsi="Times New Roman" w:cs="Times New Roman"/>
          <w:noProof/>
          <w:sz w:val="24"/>
          <w:szCs w:val="24"/>
        </w:rPr>
      </w:pPr>
      <w:r>
        <w:rPr>
          <w:rFonts w:ascii="Times New Roman" w:hAnsi="Times New Roman" w:cs="Times New Roman"/>
          <w:noProof/>
          <w:sz w:val="24"/>
          <w:szCs w:val="24"/>
        </w:rPr>
        <w:t>Network infrastructure: ENTSOE, GIE, other operators</w:t>
      </w:r>
    </w:p>
    <w:p>
      <w:pPr>
        <w:pStyle w:val="ListParagraph"/>
        <w:numPr>
          <w:ilvl w:val="0"/>
          <w:numId w:val="17"/>
        </w:numPr>
        <w:spacing w:before="120" w:after="120"/>
        <w:ind w:left="426" w:hanging="426"/>
        <w:jc w:val="both"/>
        <w:rPr>
          <w:rFonts w:ascii="Times New Roman" w:hAnsi="Times New Roman" w:cs="Times New Roman"/>
          <w:noProof/>
          <w:sz w:val="24"/>
          <w:szCs w:val="24"/>
        </w:rPr>
      </w:pPr>
      <w:r>
        <w:rPr>
          <w:rFonts w:ascii="Times New Roman" w:hAnsi="Times New Roman" w:cs="Times New Roman"/>
          <w:noProof/>
          <w:sz w:val="24"/>
          <w:szCs w:val="24"/>
        </w:rPr>
        <w:t>Other databases: District heating surveys (e.g. from COGEN), buildings and houses statistics and surveys (various sources, including ENTRANZE project</w:t>
      </w:r>
      <w:r>
        <w:rPr>
          <w:rStyle w:val="FootnoteReference"/>
          <w:rFonts w:ascii="Times New Roman" w:hAnsi="Times New Roman" w:cs="Times New Roman"/>
          <w:noProof/>
          <w:sz w:val="24"/>
          <w:szCs w:val="24"/>
        </w:rPr>
        <w:footnoteReference w:id="165"/>
      </w:r>
      <w:r>
        <w:rPr>
          <w:rFonts w:ascii="Times New Roman" w:hAnsi="Times New Roman" w:cs="Times New Roman"/>
          <w:noProof/>
          <w:sz w:val="24"/>
          <w:szCs w:val="24"/>
        </w:rPr>
        <w:t>, INSPIRE archive, BPIE</w:t>
      </w:r>
      <w:r>
        <w:rPr>
          <w:rStyle w:val="FootnoteReference"/>
          <w:rFonts w:ascii="Times New Roman" w:hAnsi="Times New Roman" w:cs="Times New Roman"/>
          <w:noProof/>
          <w:sz w:val="24"/>
          <w:szCs w:val="24"/>
        </w:rPr>
        <w:footnoteReference w:id="166"/>
      </w:r>
      <w:r>
        <w:rPr>
          <w:rFonts w:ascii="Times New Roman" w:hAnsi="Times New Roman" w:cs="Times New Roman"/>
          <w:noProof/>
          <w:sz w:val="24"/>
          <w:szCs w:val="24"/>
        </w:rPr>
        <w:t>), JRC-IDEES</w:t>
      </w:r>
      <w:r>
        <w:rPr>
          <w:rStyle w:val="FootnoteReference"/>
          <w:rFonts w:ascii="Times New Roman" w:hAnsi="Times New Roman" w:cs="Times New Roman"/>
          <w:noProof/>
          <w:sz w:val="24"/>
          <w:szCs w:val="24"/>
        </w:rPr>
        <w:footnoteReference w:id="167"/>
      </w:r>
      <w:r>
        <w:rPr>
          <w:rFonts w:ascii="Times New Roman" w:hAnsi="Times New Roman" w:cs="Times New Roman"/>
          <w:noProof/>
          <w:sz w:val="24"/>
          <w:szCs w:val="24"/>
        </w:rPr>
        <w:t>, update to the EU Building stock Observatory</w:t>
      </w:r>
      <w:r>
        <w:rPr>
          <w:rStyle w:val="FootnoteReference"/>
          <w:rFonts w:ascii="Times New Roman" w:hAnsi="Times New Roman" w:cs="Times New Roman"/>
          <w:noProof/>
          <w:sz w:val="24"/>
          <w:szCs w:val="24"/>
        </w:rPr>
        <w:footnoteReference w:id="168"/>
      </w:r>
    </w:p>
    <w:p>
      <w:pPr>
        <w:widowControl w:val="0"/>
        <w:spacing w:before="240"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 xml:space="preserve">PRIMES-TREMOVE model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PRIMES-TREMOVE transport model projects the evolution of demand for passengers and freight transport, by transport mode, and transport vehicle/technology, following a formulation based on microeconomic foundation of decisions of multiple actors. Operation, investment and emission costs, various policy measures, utility factors and congestion are among the drivers that influence the projections of the model. The projections of activity, equipment (fleet), usage of equipment, energy consumption and emissions (and other externalities) constitute the set of model outputs. </w:t>
      </w:r>
    </w:p>
    <w:p>
      <w:pPr>
        <w:jc w:val="both"/>
        <w:rPr>
          <w:rFonts w:ascii="Times New Roman" w:hAnsi="Times New Roman" w:cs="Times New Roman"/>
          <w:noProof/>
          <w:sz w:val="24"/>
          <w:szCs w:val="24"/>
        </w:rPr>
      </w:pPr>
      <w:r>
        <w:rPr>
          <w:rFonts w:ascii="Times New Roman" w:hAnsi="Times New Roman" w:cs="Times New Roman"/>
          <w:noProof/>
          <w:sz w:val="24"/>
          <w:szCs w:val="24"/>
        </w:rPr>
        <w:t>The PRIMES-TREMOVE transport model can therefore provide the quantitative analysis for the transport sector in the EU, candidate and neighbouring countries covering activity, equipment, energy and emissions. The model accounts for each country separately which means that the detailed long-term outlooks are available both for each country and in aggregate forms (e.g. EU level).</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In the transport field, PRIMES-TREMOVE is suitable for modelling </w:t>
      </w:r>
      <w:r>
        <w:rPr>
          <w:rFonts w:ascii="Times New Roman" w:hAnsi="Times New Roman" w:cs="Times New Roman"/>
          <w:i/>
          <w:iCs/>
          <w:noProof/>
          <w:sz w:val="24"/>
          <w:szCs w:val="24"/>
        </w:rPr>
        <w:t>soft measures</w:t>
      </w:r>
      <w:r>
        <w:rPr>
          <w:rFonts w:ascii="Times New Roman" w:hAnsi="Times New Roman" w:cs="Times New Roman"/>
          <w:noProof/>
          <w:sz w:val="24"/>
          <w:szCs w:val="24"/>
        </w:rPr>
        <w:t xml:space="preserve"> (e.g. eco-driving, labelling); </w:t>
      </w:r>
      <w:r>
        <w:rPr>
          <w:rFonts w:ascii="Times New Roman" w:hAnsi="Times New Roman" w:cs="Times New Roman"/>
          <w:i/>
          <w:iCs/>
          <w:noProof/>
          <w:sz w:val="24"/>
          <w:szCs w:val="24"/>
        </w:rPr>
        <w:t>economic measures</w:t>
      </w:r>
      <w:r>
        <w:rPr>
          <w:rFonts w:ascii="Times New Roman" w:hAnsi="Times New Roman" w:cs="Times New Roman"/>
          <w:noProof/>
          <w:sz w:val="24"/>
          <w:szCs w:val="24"/>
        </w:rPr>
        <w:t xml:space="preserve"> (e.g. subsidies and taxes on fuels, vehicles, emissions; ETS for transport when linked with PRIMES; pricing of congestion and other externalities such as air pollution, accidents and noise; measures supporting R&amp;D); </w:t>
      </w:r>
      <w:r>
        <w:rPr>
          <w:rFonts w:ascii="Times New Roman" w:hAnsi="Times New Roman" w:cs="Times New Roman"/>
          <w:i/>
          <w:iCs/>
          <w:noProof/>
          <w:sz w:val="24"/>
          <w:szCs w:val="24"/>
        </w:rPr>
        <w:t>regulatory measures</w:t>
      </w:r>
      <w:r>
        <w:rPr>
          <w:rFonts w:ascii="Times New Roman" w:hAnsi="Times New Roman" w:cs="Times New Roman"/>
          <w:noProof/>
          <w:sz w:val="24"/>
          <w:szCs w:val="24"/>
        </w:rPr>
        <w:t xml:space="preserve"> (e.g.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 performance standards for new light duty and heavy duty vehicles; EURO standards on road transport vehicles; technology standards for non-road transport technologies, deployment of Intelligent Transport Systems) and </w:t>
      </w:r>
      <w:r>
        <w:rPr>
          <w:rFonts w:ascii="Times New Roman" w:hAnsi="Times New Roman" w:cs="Times New Roman"/>
          <w:i/>
          <w:iCs/>
          <w:noProof/>
          <w:sz w:val="24"/>
          <w:szCs w:val="24"/>
        </w:rPr>
        <w:t>infrastructure policies for alternative fuels</w:t>
      </w:r>
      <w:r>
        <w:rPr>
          <w:rFonts w:ascii="Times New Roman" w:hAnsi="Times New Roman" w:cs="Times New Roman"/>
          <w:noProof/>
          <w:sz w:val="24"/>
          <w:szCs w:val="24"/>
        </w:rPr>
        <w:t xml:space="preserve"> (e.g. deployment of refuelling/recharging infrastructure for electricity, hydrogen, LNG, CNG). Used as a module that contributes to the PRIMES model energy system model, PRIMES-TREMOVE can show how policies and trends in the field of transport contribute to economy-wide trends in energy use and emissions. Using data disaggregated per Member State, the model can show differentiated trends across Member States. </w:t>
      </w:r>
    </w:p>
    <w:p>
      <w:pPr>
        <w:jc w:val="both"/>
        <w:rPr>
          <w:rFonts w:ascii="Times New Roman" w:hAnsi="Times New Roman" w:cs="Times New Roman"/>
          <w:noProof/>
          <w:color w:val="000000"/>
          <w:sz w:val="24"/>
          <w:szCs w:val="24"/>
        </w:rPr>
      </w:pPr>
      <w:r>
        <w:rPr>
          <w:rFonts w:ascii="Times New Roman" w:hAnsi="Times New Roman" w:cs="Times New Roman"/>
          <w:noProof/>
          <w:sz w:val="24"/>
          <w:szCs w:val="24"/>
        </w:rPr>
        <w:t>The PRIMES-TREMOVE has been developed and is maintained by E3Modelling, based on, but extending features of, the open source TREMOVE model developed by the TREMOVE</w:t>
      </w:r>
      <w:r>
        <w:rPr>
          <w:rStyle w:val="FootnoteReference"/>
          <w:rFonts w:ascii="Times New Roman" w:hAnsi="Times New Roman" w:cs="Times New Roman"/>
          <w:noProof/>
          <w:sz w:val="24"/>
          <w:szCs w:val="24"/>
        </w:rPr>
        <w:footnoteReference w:id="169"/>
      </w:r>
      <w:r>
        <w:rPr>
          <w:rFonts w:ascii="Times New Roman" w:hAnsi="Times New Roman" w:cs="Times New Roman"/>
          <w:noProof/>
          <w:sz w:val="24"/>
          <w:szCs w:val="24"/>
        </w:rPr>
        <w:t xml:space="preserve"> modelling community. </w:t>
      </w:r>
      <w:r>
        <w:rPr>
          <w:rFonts w:ascii="Times New Roman" w:hAnsi="Times New Roman" w:cs="Times New Roman"/>
          <w:noProof/>
          <w:color w:val="000000"/>
          <w:sz w:val="24"/>
          <w:szCs w:val="24"/>
        </w:rPr>
        <w:t>Part of the model (e.g. the utility nested tree) was built following the TREMOVE model.</w:t>
      </w:r>
      <w:r>
        <w:rPr>
          <w:rStyle w:val="FootnoteReference"/>
          <w:rFonts w:ascii="Times New Roman" w:hAnsi="Times New Roman" w:cs="Times New Roman"/>
          <w:noProof/>
          <w:color w:val="000000"/>
          <w:sz w:val="24"/>
          <w:szCs w:val="24"/>
        </w:rPr>
        <w:footnoteReference w:id="170"/>
      </w:r>
      <w:r>
        <w:rPr>
          <w:rFonts w:ascii="Times New Roman" w:hAnsi="Times New Roman" w:cs="Times New Roman"/>
          <w:noProof/>
          <w:color w:val="000000"/>
          <w:sz w:val="24"/>
          <w:szCs w:val="24"/>
        </w:rPr>
        <w:t xml:space="preserve"> Other parts, like the component on fuel consumption and emissions, follow the COPERT model.</w:t>
      </w:r>
    </w:p>
    <w:p>
      <w:pPr>
        <w:widowControl w:val="0"/>
        <w:spacing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 xml:space="preserve">PRIMES-Maritime model </w:t>
      </w:r>
    </w:p>
    <w:p>
      <w:pPr>
        <w:pStyle w:val="Body"/>
        <w:spacing w:after="200" w:line="276" w:lineRule="auto"/>
        <w:rPr>
          <w:rFonts w:ascii="Times New Roman" w:hAnsi="Times New Roman"/>
          <w:noProof/>
          <w:sz w:val="24"/>
          <w:szCs w:val="24"/>
        </w:rPr>
      </w:pPr>
      <w:r>
        <w:rPr>
          <w:rFonts w:ascii="Times New Roman" w:hAnsi="Times New Roman"/>
          <w:noProof/>
          <w:sz w:val="24"/>
          <w:szCs w:val="24"/>
        </w:rPr>
        <w:t>The maritime transport model is a specific sub-module of the PRIMES and PRIMES-TREMOVE models and aiming to enhance the representation of the maritime sector within the energy-economy-environment modelling nexus. The model, which can run in stand-alone and/ or linked mode with PRIMES and PRIMES-TREMOVE, produces long-term energy and emission projections, until 2070, separately for each EU Member-State.</w:t>
      </w:r>
    </w:p>
    <w:p>
      <w:pPr>
        <w:pStyle w:val="Body"/>
        <w:spacing w:after="200" w:line="276" w:lineRule="auto"/>
        <w:rPr>
          <w:rFonts w:ascii="Times New Roman" w:hAnsi="Times New Roman"/>
          <w:noProof/>
          <w:sz w:val="24"/>
          <w:szCs w:val="24"/>
        </w:rPr>
      </w:pPr>
      <w:r>
        <w:rPr>
          <w:rFonts w:ascii="Times New Roman" w:hAnsi="Times New Roman"/>
          <w:noProof/>
          <w:sz w:val="24"/>
          <w:szCs w:val="24"/>
        </w:rPr>
        <w:t>The coverage of the model includes the European intra-EU maritime sector as well as the extra-EU maritime shipping. The model covers both freight and passenger international maritime. PRIMES-Maritime focuses only on the EU Member State, therefore trade activity between non-EU countries is outside the scope of the model. The model considers the transactions (bilateral trade by product type) of the EU-Member States with non-EU countries and aggregates these countries in regions. Several types and sizes of vessels are considered.</w:t>
      </w:r>
    </w:p>
    <w:p>
      <w:pPr>
        <w:pStyle w:val="Body"/>
        <w:spacing w:after="200" w:line="276" w:lineRule="auto"/>
        <w:rPr>
          <w:rFonts w:ascii="Times New Roman" w:hAnsi="Times New Roman"/>
          <w:noProof/>
          <w:sz w:val="24"/>
          <w:szCs w:val="24"/>
        </w:rPr>
      </w:pPr>
      <w:r>
        <w:rPr>
          <w:rFonts w:ascii="Times New Roman" w:hAnsi="Times New Roman"/>
          <w:noProof/>
          <w:sz w:val="24"/>
          <w:szCs w:val="24"/>
        </w:rPr>
        <w:t>PRIMES-Maritime features a modular approach based on the demand and the supply modules. The demand module projects maritime activity for each EU Member State by type of cargo and by corresponding partner. Econometric functions correlate demand for maritime transport services with economic indicators considered as demand drivers, including GDP, trade of energy commodities (oil, coal, LNG), trade of non-energy commodities, international fuel prices, etc. The supply module simulates a representative operator controlling the EU fleet, who offers the requested maritime transport services. The operator of the fleet decides the allocation of the vessels activity to the various markets (representing the different EU MS) where different regulatory regimes may apply (e.g. environmental zones). The fleet of vessels disaggregated into several categories is specific to cargo types. PRIMES-Maritime utilises a stock-flow relationship to simulate the evolution of the fleet of vessels throughout the projection period and the purchasing of new vessels.</w:t>
      </w:r>
    </w:p>
    <w:p>
      <w:pPr>
        <w:pStyle w:val="Body"/>
        <w:spacing w:after="200" w:line="276" w:lineRule="auto"/>
        <w:rPr>
          <w:rFonts w:ascii="Times New Roman" w:hAnsi="Times New Roman"/>
          <w:noProof/>
          <w:sz w:val="24"/>
          <w:szCs w:val="24"/>
        </w:rPr>
      </w:pPr>
      <w:r>
        <w:rPr>
          <w:rFonts w:ascii="Times New Roman" w:hAnsi="Times New Roman"/>
          <w:noProof/>
          <w:sz w:val="24"/>
          <w:szCs w:val="24"/>
        </w:rPr>
        <w:t>PRIMES-Maritime solves a virtual market equilibrium problem, where demand and supply interact dynamically in each consecutive time period, influenced by a variety of exogenous policy variables, notably fuel standards, pricing signals (e.g. ETS), environmental and efficiency/operational regulations and others. The PRIMES-Maritime model projects energy consumption by fuel type and purpose as well as CO</w:t>
      </w:r>
      <w:r>
        <w:rPr>
          <w:rFonts w:ascii="Times New Roman" w:hAnsi="Times New Roman"/>
          <w:noProof/>
          <w:sz w:val="24"/>
          <w:szCs w:val="24"/>
          <w:vertAlign w:val="subscript"/>
        </w:rPr>
        <w:t>2</w:t>
      </w:r>
      <w:r>
        <w:rPr>
          <w:rFonts w:ascii="Times New Roman" w:hAnsi="Times New Roman"/>
          <w:noProof/>
          <w:sz w:val="24"/>
          <w:szCs w:val="24"/>
        </w:rPr>
        <w:t>, methane and N</w:t>
      </w:r>
      <w:r>
        <w:rPr>
          <w:rFonts w:ascii="Times New Roman" w:hAnsi="Times New Roman"/>
          <w:noProof/>
          <w:sz w:val="24"/>
          <w:szCs w:val="24"/>
          <w:vertAlign w:val="subscript"/>
        </w:rPr>
        <w:t>2</w:t>
      </w:r>
      <w:r>
        <w:rPr>
          <w:rFonts w:ascii="Times New Roman" w:hAnsi="Times New Roman"/>
          <w:noProof/>
          <w:sz w:val="24"/>
          <w:szCs w:val="24"/>
        </w:rPr>
        <w:t>O and other pollutant emissions. The model includes projections of costs, such as capital, fuel, operation costs, projections of investment expenditures in new vessels and negative externalities from air pollution.</w:t>
      </w:r>
    </w:p>
    <w:p>
      <w:pPr>
        <w:pStyle w:val="Body"/>
        <w:spacing w:after="200" w:line="276" w:lineRule="auto"/>
        <w:rPr>
          <w:rFonts w:ascii="Times New Roman" w:hAnsi="Times New Roman"/>
          <w:noProof/>
          <w:sz w:val="24"/>
          <w:szCs w:val="24"/>
        </w:rPr>
      </w:pPr>
      <w:r>
        <w:rPr>
          <w:rFonts w:ascii="Times New Roman" w:hAnsi="Times New Roman"/>
          <w:noProof/>
          <w:sz w:val="24"/>
          <w:szCs w:val="24"/>
        </w:rPr>
        <w:t>The model serves to quantify policy scenarios supporting the transition towards carbon neutrality. It considers the handling of a variety of fuels such as fossil fuels, biofuels (bioheavy</w:t>
      </w:r>
      <w:r>
        <w:rPr>
          <w:rStyle w:val="FootnoteReference"/>
          <w:rFonts w:ascii="Times New Roman" w:hAnsi="Times New Roman"/>
          <w:noProof/>
          <w:sz w:val="24"/>
          <w:szCs w:val="24"/>
        </w:rPr>
        <w:footnoteReference w:id="171"/>
      </w:r>
      <w:r>
        <w:rPr>
          <w:rFonts w:ascii="Times New Roman" w:hAnsi="Times New Roman"/>
          <w:noProof/>
          <w:sz w:val="24"/>
          <w:szCs w:val="24"/>
        </w:rPr>
        <w:t xml:space="preserve">, biodiesel, bio-LNG), synthetic fuels (synthetic diesel, fuel oil and gas, e-ammonia and e-methanol) produced from renewable electricity, hydrogen produced from renewable electricity (for direct use and for use in fuel cell vessels) and electricity for electric vessels. Well-To-Wake emissions are calculated thanks to the linkage with the PRIMES energy systems model which derives ways of producing such fuels. The model also allows to explore synergies with Onshore Power Supply systems. Environmental regulation, fuel blending mandates, GHG emission reduction targets, pricing signals and policies increasing the availability of fuel supply and supporting the alternative fuel infrastructure are identified as drivers, along fuel costs, for the penetration of new fuels. As the model is dynamic and handles vessel vintages, capital turnover is explicit in the model influencing the pace of fuel and vessel substitution. </w:t>
      </w:r>
    </w:p>
    <w:p>
      <w:pPr>
        <w:jc w:val="both"/>
        <w:rPr>
          <w:rFonts w:ascii="Times New Roman" w:hAnsi="Times New Roman" w:cs="Times New Roman"/>
          <w:noProof/>
          <w:sz w:val="24"/>
          <w:szCs w:val="24"/>
          <w:u w:val="single"/>
        </w:rPr>
      </w:pPr>
      <w:bookmarkStart w:id="501" w:name="section_3"/>
      <w:bookmarkEnd w:id="501"/>
      <w:r>
        <w:rPr>
          <w:rFonts w:ascii="Times New Roman" w:hAnsi="Times New Roman" w:cs="Times New Roman"/>
          <w:noProof/>
          <w:sz w:val="24"/>
          <w:szCs w:val="24"/>
          <w:u w:val="single"/>
        </w:rPr>
        <w:t>Data inputs</w:t>
      </w:r>
    </w:p>
    <w:p>
      <w:pPr>
        <w:jc w:val="both"/>
        <w:rPr>
          <w:rFonts w:ascii="Times New Roman" w:hAnsi="Times New Roman" w:cs="Times New Roman"/>
          <w:noProof/>
          <w:sz w:val="24"/>
          <w:szCs w:val="24"/>
        </w:rPr>
      </w:pPr>
      <w:r>
        <w:rPr>
          <w:rFonts w:ascii="Times New Roman" w:hAnsi="Times New Roman" w:cs="Times New Roman"/>
          <w:noProof/>
          <w:sz w:val="24"/>
          <w:szCs w:val="24"/>
        </w:rPr>
        <w:t>The main data sources for inputs to the PRIMES-Maritime model, such as for activity and energy consumption, comes from EUROSTAT database and from the Statistical Pocketbook "EU transport in figures</w:t>
      </w:r>
      <w:r>
        <w:rPr>
          <w:rStyle w:val="FootnoteReference"/>
          <w:rFonts w:ascii="Times New Roman" w:hAnsi="Times New Roman" w:cs="Times New Roman"/>
          <w:noProof/>
          <w:sz w:val="24"/>
          <w:szCs w:val="24"/>
        </w:rPr>
        <w:footnoteReference w:id="172"/>
      </w:r>
      <w:r>
        <w:rPr>
          <w:rFonts w:ascii="Times New Roman" w:hAnsi="Times New Roman" w:cs="Times New Roman"/>
          <w:noProof/>
          <w:sz w:val="24"/>
          <w:szCs w:val="24"/>
        </w:rPr>
        <w:t>. Other data comes from different sources such as research projects (e.g. TRACCS project) and reports. PRIMES-Maritime being part of the overall PRIMES and PRIMES-TREMOVE transport model is calibrated to the EUROSTAT energy balances and transport activity; hence the associated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are assumed to derive from the combustion of these fuel quantities. The model has been adapted to reflect allocation of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into intra-EU, extra-EU and berth, in line with data from the MRV database.</w:t>
      </w:r>
      <w:r>
        <w:rPr>
          <w:rStyle w:val="FootnoteReference"/>
          <w:rFonts w:ascii="Times New Roman" w:hAnsi="Times New Roman" w:cs="Times New Roman"/>
          <w:noProof/>
          <w:sz w:val="24"/>
          <w:szCs w:val="24"/>
        </w:rPr>
        <w:footnoteReference w:id="173"/>
      </w:r>
      <w:r>
        <w:rPr>
          <w:rFonts w:ascii="Times New Roman" w:hAnsi="Times New Roman" w:cs="Times New Roman"/>
          <w:noProof/>
          <w:sz w:val="24"/>
          <w:szCs w:val="24"/>
        </w:rPr>
        <w:t xml:space="preserve"> For air pollutants, the model draws on the EEA database.</w:t>
      </w:r>
    </w:p>
    <w:p>
      <w:pPr>
        <w:jc w:val="both"/>
        <w:rPr>
          <w:rFonts w:ascii="Times New Roman" w:hAnsi="Times New Roman" w:cs="Times New Roman"/>
          <w:noProof/>
          <w:sz w:val="24"/>
          <w:szCs w:val="24"/>
        </w:rPr>
      </w:pPr>
      <w:r>
        <w:rPr>
          <w:rFonts w:ascii="Times New Roman" w:hAnsi="Times New Roman" w:cs="Times New Roman"/>
          <w:noProof/>
          <w:sz w:val="24"/>
          <w:szCs w:val="24"/>
        </w:rPr>
        <w:t>In the context of this exercise, the PRIMES-Maritime model is calibrated to 2005, 2010 and 2015 historical data.</w:t>
      </w:r>
    </w:p>
    <w:p>
      <w:pPr>
        <w:widowControl w:val="0"/>
        <w:spacing w:before="240" w:line="240" w:lineRule="auto"/>
        <w:jc w:val="both"/>
        <w:rPr>
          <w:rFonts w:ascii="Times New Roman" w:hAnsi="Times New Roman" w:cs="Times New Roman"/>
          <w:b/>
          <w:bCs/>
          <w:noProof/>
          <w:sz w:val="24"/>
          <w:szCs w:val="24"/>
        </w:rPr>
      </w:pPr>
      <w:bookmarkStart w:id="502" w:name="_Toc57796821"/>
      <w:r>
        <w:rPr>
          <w:rFonts w:ascii="Times New Roman" w:hAnsi="Times New Roman" w:cs="Times New Roman"/>
          <w:b/>
          <w:bCs/>
          <w:noProof/>
          <w:sz w:val="24"/>
          <w:szCs w:val="24"/>
        </w:rPr>
        <w:t>TRUST maritime network model</w:t>
      </w:r>
      <w:bookmarkEnd w:id="502"/>
    </w:p>
    <w:p>
      <w:pPr>
        <w:pStyle w:val="Body"/>
        <w:spacing w:after="200" w:line="276" w:lineRule="auto"/>
        <w:rPr>
          <w:rFonts w:ascii="Times New Roman" w:hAnsi="Times New Roman"/>
          <w:noProof/>
          <w:sz w:val="24"/>
          <w:szCs w:val="24"/>
        </w:rPr>
      </w:pPr>
      <w:r>
        <w:rPr>
          <w:rFonts w:ascii="Times New Roman" w:hAnsi="Times New Roman"/>
          <w:i/>
          <w:noProof/>
          <w:sz w:val="24"/>
          <w:szCs w:val="24"/>
        </w:rPr>
        <w:t>Maritime transport supply:</w:t>
      </w:r>
      <w:r>
        <w:rPr>
          <w:rFonts w:ascii="Times New Roman" w:hAnsi="Times New Roman"/>
          <w:noProof/>
          <w:sz w:val="24"/>
          <w:szCs w:val="24"/>
        </w:rPr>
        <w:t xml:space="preserve"> TRUST maritime network includes the main ports throughout Europe, including all ports belonging to the TEN-T core network. Notional maritime links provide sea routes to link ports and allows the model to compute travel distances of maritime connections. Using these links each port is at least in principle linked to each other. </w:t>
      </w:r>
    </w:p>
    <w:p>
      <w:pPr>
        <w:pStyle w:val="Body"/>
        <w:spacing w:after="200" w:line="276" w:lineRule="auto"/>
        <w:rPr>
          <w:rFonts w:ascii="Times New Roman" w:hAnsi="Times New Roman"/>
          <w:noProof/>
          <w:sz w:val="24"/>
          <w:szCs w:val="24"/>
        </w:rPr>
      </w:pPr>
      <w:r>
        <w:rPr>
          <w:rFonts w:ascii="Times New Roman" w:hAnsi="Times New Roman"/>
          <w:noProof/>
          <w:sz w:val="24"/>
          <w:szCs w:val="24"/>
        </w:rPr>
        <w:t>Maritime ports are classified into three categories: bulk (BLK) ports, container (UNT) ports and general cargo (GCG) ports. Most of the ports belong to more than one category but some ports have only one or two specialisations. These ports can host only demand for those freight segments (e.g. if one port is classified only as a bulk port, routes for general cargo and container demand cannot go through that port).</w:t>
      </w:r>
    </w:p>
    <w:p>
      <w:pPr>
        <w:pStyle w:val="Caption"/>
        <w:keepNext/>
        <w:rPr>
          <w:noProof/>
        </w:rPr>
      </w:pPr>
      <w:bookmarkStart w:id="503" w:name="_Toc57796925"/>
      <w:r>
        <w:rPr>
          <w:noProof/>
        </w:rPr>
        <w:t xml:space="preserve">Figure </w:t>
      </w:r>
      <w:r>
        <w:rPr>
          <w:noProof/>
        </w:rPr>
        <w:fldChar w:fldCharType="begin"/>
      </w:r>
      <w:r>
        <w:rPr>
          <w:noProof/>
        </w:rPr>
        <w:instrText xml:space="preserve"> SEQ Figure \* ARABIC </w:instrText>
      </w:r>
      <w:r>
        <w:rPr>
          <w:noProof/>
        </w:rPr>
        <w:fldChar w:fldCharType="separate"/>
      </w:r>
      <w:r>
        <w:rPr>
          <w:noProof/>
        </w:rPr>
        <w:t>11</w:t>
      </w:r>
      <w:r>
        <w:rPr>
          <w:noProof/>
        </w:rPr>
        <w:fldChar w:fldCharType="end"/>
      </w:r>
      <w:r>
        <w:rPr>
          <w:noProof/>
        </w:rPr>
        <w:t>: Seaports and sea routes in the TRUST maritime network</w:t>
      </w:r>
      <w:bookmarkEnd w:id="503"/>
      <w:r>
        <w:rPr>
          <w:noProof/>
        </w:rPr>
        <w:t xml:space="preserve"> model</w:t>
      </w:r>
    </w:p>
    <w:p>
      <w:pPr>
        <w:pStyle w:val="Body"/>
        <w:rPr>
          <w:rFonts w:ascii="Times New Roman" w:hAnsi="Times New Roman"/>
          <w:noProof/>
          <w:sz w:val="24"/>
          <w:szCs w:val="24"/>
        </w:rPr>
      </w:pPr>
      <w:r>
        <w:rPr>
          <w:rFonts w:ascii="Times New Roman" w:hAnsi="Times New Roman"/>
          <w:noProof/>
          <w:sz w:val="24"/>
          <w:szCs w:val="24"/>
          <w:lang w:eastAsia="en-GB"/>
        </w:rPr>
        <w:drawing>
          <wp:inline distT="0" distB="0" distL="0" distR="0">
            <wp:extent cx="3752490" cy="3722628"/>
            <wp:effectExtent l="19050" t="19050" r="19685" b="11430"/>
            <wp:docPr id="6" name="Immagine 1" descr="\\NAS1-QNAP\strumenti\TRUST\NETWORK\_NETWORK_MAPS\2016-09-22 seaports trust\seap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S1-QNAP\strumenti\TRUST\NETWORK\_NETWORK_MAPS\2016-09-22 seaports trust\seaports.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1309" t="2095"/>
                    <a:stretch/>
                  </pic:blipFill>
                  <pic:spPr bwMode="auto">
                    <a:xfrm>
                      <a:off x="0" y="0"/>
                      <a:ext cx="3773483" cy="3743453"/>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pPr>
        <w:pStyle w:val="Body"/>
        <w:spacing w:after="120" w:line="276" w:lineRule="auto"/>
        <w:rPr>
          <w:rFonts w:ascii="Times New Roman" w:hAnsi="Times New Roman"/>
          <w:noProof/>
          <w:sz w:val="24"/>
          <w:szCs w:val="24"/>
        </w:rPr>
      </w:pPr>
      <w:r>
        <w:rPr>
          <w:rFonts w:ascii="Times New Roman" w:hAnsi="Times New Roman"/>
          <w:noProof/>
          <w:sz w:val="24"/>
          <w:szCs w:val="24"/>
        </w:rPr>
        <w:t>The ship mode has to be accessed through feeder modes (road, rail or inland waterway according to existing infrastructures). As a consequence, rail and road networks are also used in the TRUST maritime model as well as inland waterways because trains, barges and trucks are used as feeder modes to connect internal zones with ports and allow the definition of full path between origin and final destination of freight. Connections between ports and inland networks are also part of the network.</w:t>
      </w:r>
    </w:p>
    <w:p>
      <w:pPr>
        <w:pStyle w:val="Body"/>
        <w:spacing w:after="200" w:line="276" w:lineRule="auto"/>
        <w:rPr>
          <w:rFonts w:ascii="Times New Roman" w:hAnsi="Times New Roman"/>
          <w:noProof/>
          <w:sz w:val="24"/>
          <w:szCs w:val="24"/>
        </w:rPr>
      </w:pPr>
      <w:r>
        <w:rPr>
          <w:rFonts w:ascii="Times New Roman" w:hAnsi="Times New Roman"/>
          <w:i/>
          <w:noProof/>
          <w:sz w:val="24"/>
          <w:szCs w:val="24"/>
        </w:rPr>
        <w:t>Maritime transport demand:</w:t>
      </w:r>
      <w:r>
        <w:rPr>
          <w:rFonts w:ascii="Times New Roman" w:hAnsi="Times New Roman"/>
          <w:noProof/>
          <w:sz w:val="24"/>
          <w:szCs w:val="24"/>
        </w:rPr>
        <w:t xml:space="preserve"> maritime demand consists of Origin-Destination matrices segmented according to the three freight categories of bulk, container and general cargo. Matrices are in terms of thousand tonnes per year. Each segment of demand has its autonomous matrix that is assigned independently to the network.</w:t>
      </w:r>
    </w:p>
    <w:p>
      <w:pPr>
        <w:pStyle w:val="Body"/>
        <w:spacing w:after="200" w:line="276" w:lineRule="auto"/>
        <w:rPr>
          <w:rFonts w:ascii="Times New Roman" w:hAnsi="Times New Roman"/>
          <w:noProof/>
          <w:sz w:val="24"/>
          <w:szCs w:val="24"/>
        </w:rPr>
      </w:pPr>
      <w:r>
        <w:rPr>
          <w:rFonts w:ascii="Times New Roman" w:hAnsi="Times New Roman"/>
          <w:noProof/>
          <w:sz w:val="24"/>
          <w:szCs w:val="24"/>
        </w:rPr>
        <w:t>TRUST maritime network model is a private model developed and maintained by TRT</w:t>
      </w:r>
      <w:r>
        <w:rPr>
          <w:rStyle w:val="FootnoteReference"/>
          <w:rFonts w:ascii="Times New Roman" w:hAnsi="Times New Roman"/>
          <w:noProof/>
          <w:sz w:val="24"/>
          <w:szCs w:val="24"/>
        </w:rPr>
        <w:footnoteReference w:id="174"/>
      </w:r>
      <w:r>
        <w:rPr>
          <w:rFonts w:ascii="Times New Roman" w:hAnsi="Times New Roman"/>
          <w:noProof/>
          <w:sz w:val="24"/>
          <w:szCs w:val="24"/>
        </w:rPr>
        <w:t>. It is part of the TRUST transport network model for the assignment of Origin-Destination matrices at the NUTS3 level for passenger and freight demand for the whole Europe and neighbouring countries.</w:t>
      </w:r>
      <w:r>
        <w:rPr>
          <w:rStyle w:val="FootnoteReference"/>
          <w:rFonts w:ascii="Times New Roman" w:hAnsi="Times New Roman"/>
          <w:noProof/>
          <w:sz w:val="24"/>
          <w:szCs w:val="24"/>
        </w:rPr>
        <w:footnoteReference w:id="175"/>
      </w:r>
    </w:p>
    <w:p>
      <w:pPr>
        <w:pStyle w:val="Caption"/>
        <w:keepNext/>
        <w:rPr>
          <w:noProof/>
        </w:rPr>
      </w:pPr>
      <w:bookmarkStart w:id="504" w:name="_Toc57796926"/>
      <w:r>
        <w:rPr>
          <w:noProof/>
        </w:rPr>
        <w:t xml:space="preserve">Figure </w:t>
      </w:r>
      <w:r>
        <w:rPr>
          <w:noProof/>
        </w:rPr>
        <w:fldChar w:fldCharType="begin"/>
      </w:r>
      <w:r>
        <w:rPr>
          <w:noProof/>
        </w:rPr>
        <w:instrText xml:space="preserve"> SEQ Figure \* ARABIC </w:instrText>
      </w:r>
      <w:r>
        <w:rPr>
          <w:noProof/>
        </w:rPr>
        <w:fldChar w:fldCharType="separate"/>
      </w:r>
      <w:r>
        <w:rPr>
          <w:noProof/>
        </w:rPr>
        <w:t>12</w:t>
      </w:r>
      <w:r>
        <w:rPr>
          <w:noProof/>
        </w:rPr>
        <w:fldChar w:fldCharType="end"/>
      </w:r>
      <w:r>
        <w:rPr>
          <w:noProof/>
        </w:rPr>
        <w:t>: Intermodal connection at ports in the TRUST maritime network</w:t>
      </w:r>
      <w:bookmarkEnd w:id="504"/>
      <w:r>
        <w:rPr>
          <w:noProof/>
        </w:rPr>
        <w:t xml:space="preserve"> model</w:t>
      </w:r>
    </w:p>
    <w:p>
      <w:pPr>
        <w:pStyle w:val="Body"/>
        <w:rPr>
          <w:rFonts w:ascii="Times New Roman" w:hAnsi="Times New Roman"/>
          <w:noProof/>
          <w:sz w:val="24"/>
          <w:szCs w:val="24"/>
        </w:rPr>
      </w:pPr>
      <w:r>
        <w:rPr>
          <w:rFonts w:ascii="Times New Roman" w:hAnsi="Times New Roman"/>
          <w:noProof/>
          <w:sz w:val="24"/>
          <w:szCs w:val="24"/>
        </w:rPr>
        <w:t xml:space="preserve"> </w:t>
      </w:r>
      <w:r>
        <w:rPr>
          <w:rFonts w:ascii="Times New Roman" w:hAnsi="Times New Roman"/>
          <w:noProof/>
          <w:sz w:val="24"/>
          <w:szCs w:val="24"/>
          <w:lang w:eastAsia="en-GB"/>
        </w:rPr>
        <w:drawing>
          <wp:inline distT="0" distB="0" distL="0" distR="0">
            <wp:extent cx="3638550" cy="2715632"/>
            <wp:effectExtent l="19050" t="19050" r="19050" b="27940"/>
            <wp:docPr id="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661256" cy="2732578"/>
                    </a:xfrm>
                    <a:prstGeom prst="rect">
                      <a:avLst/>
                    </a:prstGeom>
                    <a:noFill/>
                    <a:ln w="6350" cmpd="sng">
                      <a:solidFill>
                        <a:schemeClr val="bg1">
                          <a:lumMod val="50000"/>
                        </a:schemeClr>
                      </a:solidFill>
                      <a:miter lim="800000"/>
                      <a:headEnd/>
                      <a:tailEnd/>
                    </a:ln>
                    <a:effectLst/>
                  </pic:spPr>
                </pic:pic>
              </a:graphicData>
            </a:graphic>
          </wp:inline>
        </w:drawing>
      </w:r>
    </w:p>
    <w:p>
      <w:pPr>
        <w:jc w:val="both"/>
        <w:rPr>
          <w:rFonts w:ascii="Times New Roman" w:hAnsi="Times New Roman" w:cs="Times New Roman"/>
          <w:noProof/>
          <w:sz w:val="24"/>
          <w:szCs w:val="24"/>
          <w:u w:val="single"/>
        </w:rPr>
      </w:pPr>
      <w:r>
        <w:rPr>
          <w:rFonts w:ascii="Times New Roman" w:hAnsi="Times New Roman" w:cs="Times New Roman"/>
          <w:noProof/>
          <w:sz w:val="24"/>
          <w:szCs w:val="24"/>
          <w:u w:val="single"/>
        </w:rPr>
        <w:t>Data inputs</w:t>
      </w:r>
    </w:p>
    <w:p>
      <w:pPr>
        <w:pStyle w:val="Body"/>
        <w:spacing w:after="200" w:line="276" w:lineRule="auto"/>
        <w:rPr>
          <w:rFonts w:ascii="Times New Roman" w:hAnsi="Times New Roman"/>
          <w:noProof/>
          <w:sz w:val="24"/>
          <w:szCs w:val="24"/>
        </w:rPr>
      </w:pPr>
      <w:r>
        <w:rPr>
          <w:rFonts w:ascii="Times New Roman" w:hAnsi="Times New Roman"/>
          <w:noProof/>
          <w:sz w:val="24"/>
          <w:szCs w:val="24"/>
        </w:rPr>
        <w:t>The main data sources for inputs to the TRUST model are the EUROSTAT database and the Statistical Pocketbook "EU transport in figures</w:t>
      </w:r>
      <w:r>
        <w:rPr>
          <w:rFonts w:ascii="Times New Roman" w:hAnsi="Times New Roman"/>
          <w:noProof/>
          <w:sz w:val="24"/>
          <w:szCs w:val="24"/>
          <w:vertAlign w:val="superscript"/>
        </w:rPr>
        <w:footnoteReference w:id="176"/>
      </w:r>
      <w:r>
        <w:rPr>
          <w:rFonts w:ascii="Times New Roman" w:hAnsi="Times New Roman"/>
          <w:noProof/>
          <w:sz w:val="24"/>
          <w:szCs w:val="24"/>
        </w:rPr>
        <w:t>, TENtec Information system</w:t>
      </w:r>
      <w:r>
        <w:rPr>
          <w:rFonts w:ascii="Times New Roman" w:hAnsi="Times New Roman"/>
          <w:noProof/>
          <w:sz w:val="24"/>
          <w:szCs w:val="24"/>
          <w:vertAlign w:val="superscript"/>
        </w:rPr>
        <w:footnoteReference w:id="177"/>
      </w:r>
      <w:r>
        <w:rPr>
          <w:rFonts w:ascii="Times New Roman" w:hAnsi="Times New Roman"/>
          <w:noProof/>
          <w:sz w:val="24"/>
          <w:szCs w:val="24"/>
        </w:rPr>
        <w:t xml:space="preserve"> and ETISplus database.</w:t>
      </w:r>
    </w:p>
    <w:p>
      <w:pPr>
        <w:pStyle w:val="Heading1"/>
        <w:numPr>
          <w:ilvl w:val="0"/>
          <w:numId w:val="14"/>
        </w:numPr>
        <w:rPr>
          <w:noProof/>
        </w:rPr>
      </w:pPr>
      <w:bookmarkStart w:id="505" w:name="_Toc59152670"/>
      <w:bookmarkStart w:id="506" w:name="_Toc63426184"/>
      <w:bookmarkStart w:id="507" w:name="_Toc63438530"/>
      <w:bookmarkStart w:id="508" w:name="_Toc49441687"/>
      <w:bookmarkStart w:id="509" w:name="_Toc49530691"/>
      <w:bookmarkStart w:id="510" w:name="_Toc49531792"/>
      <w:bookmarkStart w:id="511" w:name="_Ref44947183"/>
      <w:bookmarkStart w:id="512" w:name="_Toc45119788"/>
      <w:bookmarkStart w:id="513" w:name="_Toc45147526"/>
      <w:bookmarkStart w:id="514" w:name="_Toc49346548"/>
      <w:bookmarkStart w:id="515" w:name="_Toc49437867"/>
      <w:bookmarkStart w:id="516" w:name="_Toc49516663"/>
      <w:bookmarkStart w:id="517" w:name="_Toc49518583"/>
      <w:bookmarkStart w:id="518" w:name="_Toc49525197"/>
      <w:bookmarkStart w:id="519" w:name="_Toc49530960"/>
      <w:bookmarkStart w:id="520" w:name="_Toc49532951"/>
      <w:bookmarkStart w:id="521" w:name="_Ref36767102"/>
      <w:bookmarkStart w:id="522" w:name="_Toc38314798"/>
      <w:bookmarkStart w:id="523" w:name="_Toc41432389"/>
      <w:bookmarkStart w:id="524" w:name="_Toc41471941"/>
      <w:bookmarkStart w:id="525" w:name="_Toc41473378"/>
      <w:bookmarkStart w:id="526" w:name="_Toc41675998"/>
      <w:bookmarkStart w:id="527" w:name="_Toc42064494"/>
      <w:bookmarkStart w:id="528" w:name="_Toc43114837"/>
      <w:bookmarkStart w:id="529" w:name="_Toc49775500"/>
      <w:bookmarkStart w:id="530" w:name="_Toc49774702"/>
      <w:bookmarkStart w:id="531" w:name="_Toc50396621"/>
      <w:bookmarkStart w:id="532" w:name="_Toc50406112"/>
      <w:bookmarkStart w:id="533" w:name="_Toc50995810"/>
      <w:bookmarkStart w:id="534" w:name="_Toc56849988"/>
      <w:r>
        <w:rPr>
          <w:noProof/>
        </w:rPr>
        <w:t>Baseline scenario</w:t>
      </w:r>
      <w:bookmarkEnd w:id="505"/>
      <w:bookmarkEnd w:id="506"/>
      <w:bookmarkEnd w:id="507"/>
    </w:p>
    <w:p>
      <w:pPr>
        <w:spacing w:line="240" w:lineRule="auto"/>
        <w:jc w:val="both"/>
        <w:rPr>
          <w:rFonts w:ascii="Times New Roman" w:hAnsi="Times New Roman" w:cs="Times New Roman"/>
          <w:b/>
          <w:bCs/>
          <w:i/>
          <w:iCs/>
          <w:noProof/>
          <w:sz w:val="24"/>
          <w:szCs w:val="24"/>
        </w:rPr>
      </w:pPr>
      <w:bookmarkStart w:id="535" w:name="_Toc482873182"/>
      <w:bookmarkStart w:id="536" w:name="_Toc506397622"/>
      <w:bookmarkStart w:id="537" w:name="_Toc506398557"/>
      <w:bookmarkStart w:id="538" w:name="_Toc506408323"/>
      <w:bookmarkStart w:id="539" w:name="_Toc512589658"/>
      <w:bookmarkStart w:id="540" w:name="_Toc512854963"/>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Pr>
          <w:rFonts w:ascii="Times New Roman" w:hAnsi="Times New Roman" w:cs="Times New Roman"/>
          <w:b/>
          <w:bCs/>
          <w:i/>
          <w:iCs/>
          <w:noProof/>
          <w:sz w:val="24"/>
          <w:szCs w:val="24"/>
        </w:rPr>
        <w:t>Main assumptions of the Baseline scenario</w:t>
      </w:r>
      <w:bookmarkEnd w:id="535"/>
      <w:bookmarkEnd w:id="536"/>
      <w:bookmarkEnd w:id="537"/>
      <w:bookmarkEnd w:id="538"/>
      <w:bookmarkEnd w:id="539"/>
      <w:bookmarkEnd w:id="540"/>
    </w:p>
    <w:p>
      <w:pPr>
        <w:pStyle w:val="Body"/>
        <w:spacing w:after="200" w:line="276" w:lineRule="auto"/>
        <w:rPr>
          <w:rFonts w:ascii="Times New Roman" w:hAnsi="Times New Roman"/>
          <w:noProof/>
          <w:sz w:val="24"/>
          <w:szCs w:val="24"/>
        </w:rPr>
      </w:pPr>
      <w:r>
        <w:rPr>
          <w:rFonts w:ascii="Times New Roman" w:hAnsi="Times New Roman"/>
          <w:noProof/>
          <w:sz w:val="24"/>
          <w:szCs w:val="24"/>
        </w:rPr>
        <w:t xml:space="preserve">The baseline scenario used in this impact assessment builds on the baseline scenario underpinning the impact assessment accompanying the 2030 Climate Target Plan and the staff working document accompanying the Sustainable and Smart Mobility Strategy, but it additionally considers the impacts of the COVID-19 pandemic and the National Energy and Climate Plans.  </w:t>
      </w:r>
    </w:p>
    <w:p>
      <w:pPr>
        <w:jc w:val="both"/>
        <w:rPr>
          <w:rFonts w:ascii="Times New Roman" w:hAnsi="Times New Roman" w:cs="Times New Roman"/>
          <w:noProof/>
          <w:sz w:val="24"/>
          <w:szCs w:val="24"/>
        </w:rPr>
      </w:pPr>
      <w:r>
        <w:rPr>
          <w:rFonts w:ascii="Times New Roman" w:hAnsi="Times New Roman" w:cs="Times New Roman"/>
          <w:b/>
          <w:bCs/>
          <w:noProof/>
          <w:sz w:val="24"/>
          <w:szCs w:val="24"/>
        </w:rPr>
        <w:t xml:space="preserve">Economic assumptions: </w:t>
      </w:r>
      <w:r>
        <w:rPr>
          <w:rFonts w:ascii="Times New Roman" w:hAnsi="Times New Roman" w:cs="Times New Roman"/>
          <w:noProof/>
          <w:sz w:val="24"/>
          <w:szCs w:val="24"/>
        </w:rPr>
        <w:t>The modelling work is based on socio-economic assumptions describing the expected evolution of the European society. Long-term projections on population dynamics and economic activity form part of the input to the energy and transport model and are used to estimate transport activity and energy demand in transport. Population projections from Eurostat</w:t>
      </w:r>
      <w:r>
        <w:rPr>
          <w:rStyle w:val="FootnoteReference"/>
          <w:rFonts w:ascii="Times New Roman" w:hAnsi="Times New Roman" w:cs="Times New Roman"/>
          <w:noProof/>
          <w:sz w:val="24"/>
          <w:szCs w:val="24"/>
        </w:rPr>
        <w:footnoteReference w:id="178"/>
      </w:r>
      <w:r>
        <w:rPr>
          <w:rFonts w:ascii="Times New Roman" w:hAnsi="Times New Roman" w:cs="Times New Roman"/>
          <w:noProof/>
          <w:sz w:val="24"/>
          <w:szCs w:val="24"/>
        </w:rPr>
        <w:t xml:space="preserve"> are used to estimate the evolution of the European population that is projected to change very little in total number in the coming decades. Macro-economic projections draw on DG ECFIN.</w:t>
      </w:r>
      <w:r>
        <w:rPr>
          <w:rStyle w:val="FootnoteReference"/>
          <w:rFonts w:ascii="Times New Roman" w:hAnsi="Times New Roman" w:cs="Times New Roman"/>
          <w:noProof/>
          <w:sz w:val="24"/>
          <w:szCs w:val="24"/>
        </w:rPr>
        <w:footnoteReference w:id="179"/>
      </w:r>
      <w:r>
        <w:rPr>
          <w:rFonts w:ascii="Times New Roman" w:hAnsi="Times New Roman" w:cs="Times New Roman"/>
          <w:noProof/>
          <w:sz w:val="24"/>
          <w:szCs w:val="24"/>
        </w:rPr>
        <w:t xml:space="preserve"> In particular, the Commission’s Spring Economic Forecast 2020 projected that the EU economy would contract by 7.4% in 2020 and pick up in 2021 with growth of 6.1%. By 2030, real GDP in 2030 could be approximately 2.3% lower compared to the pre-COVID estimates, based on the Autumn Forecast 2019.</w:t>
      </w:r>
    </w:p>
    <w:p>
      <w:pPr>
        <w:pStyle w:val="Body"/>
        <w:spacing w:after="200" w:line="276" w:lineRule="auto"/>
        <w:rPr>
          <w:rFonts w:ascii="Times New Roman" w:hAnsi="Times New Roman"/>
          <w:noProof/>
          <w:sz w:val="24"/>
          <w:szCs w:val="24"/>
        </w:rPr>
      </w:pPr>
      <w:bookmarkStart w:id="541" w:name="_Toc45119790"/>
      <w:bookmarkStart w:id="542" w:name="_Toc45147528"/>
      <w:bookmarkStart w:id="543" w:name="_Ref47623442"/>
      <w:bookmarkStart w:id="544" w:name="_Ref48044254"/>
      <w:bookmarkStart w:id="545" w:name="_Ref48251457"/>
      <w:bookmarkStart w:id="546" w:name="_Toc49346550"/>
      <w:bookmarkStart w:id="547" w:name="_Toc49437869"/>
      <w:bookmarkStart w:id="548" w:name="_Toc49441689"/>
      <w:bookmarkStart w:id="549" w:name="_Toc56849990"/>
      <w:r>
        <w:rPr>
          <w:rFonts w:ascii="Times New Roman" w:hAnsi="Times New Roman"/>
          <w:b/>
          <w:bCs/>
          <w:noProof/>
          <w:sz w:val="24"/>
          <w:szCs w:val="24"/>
        </w:rPr>
        <w:t>Energy prices assumptions</w:t>
      </w:r>
      <w:bookmarkEnd w:id="541"/>
      <w:bookmarkEnd w:id="542"/>
      <w:bookmarkEnd w:id="543"/>
      <w:bookmarkEnd w:id="544"/>
      <w:bookmarkEnd w:id="545"/>
      <w:bookmarkEnd w:id="546"/>
      <w:bookmarkEnd w:id="547"/>
      <w:bookmarkEnd w:id="548"/>
      <w:bookmarkEnd w:id="549"/>
      <w:r>
        <w:rPr>
          <w:rFonts w:ascii="Times New Roman" w:hAnsi="Times New Roman"/>
          <w:b/>
          <w:bCs/>
          <w:noProof/>
          <w:sz w:val="24"/>
          <w:szCs w:val="24"/>
        </w:rPr>
        <w:t xml:space="preserve">: </w:t>
      </w:r>
      <w:r>
        <w:rPr>
          <w:rFonts w:ascii="Times New Roman" w:hAnsi="Times New Roman"/>
          <w:noProof/>
          <w:sz w:val="24"/>
          <w:szCs w:val="24"/>
        </w:rPr>
        <w:t>The COVID pandemics has had a major impact on international fuel prices. As a large part of the world went into lockdown, fossil fuel prices collapsed with crude oil spot prices halved compared to last year levels. The oil price is projected to gradually recover over time, reaching 80USD/bbl in 2030 and 118USD/bbl in 2050. It is however projected to remain below the projected pre-COVID-19 pandemic levels.</w:t>
      </w:r>
      <w:r>
        <w:rPr>
          <w:rStyle w:val="FootnoteReference"/>
          <w:rFonts w:ascii="Times New Roman" w:hAnsi="Times New Roman"/>
          <w:noProof/>
          <w:sz w:val="24"/>
          <w:szCs w:val="24"/>
        </w:rPr>
        <w:footnoteReference w:id="180"/>
      </w:r>
      <w:r>
        <w:rPr>
          <w:rFonts w:ascii="Times New Roman" w:hAnsi="Times New Roman"/>
          <w:noProof/>
          <w:sz w:val="24"/>
          <w:szCs w:val="24"/>
        </w:rPr>
        <w:t xml:space="preserve"> </w:t>
      </w:r>
      <w:r>
        <w:rPr>
          <w:rFonts w:ascii="Times New Roman" w:hAnsi="Times New Roman"/>
          <w:noProof/>
          <w:sz w:val="24"/>
          <w:szCs w:val="24"/>
        </w:rPr>
        <w:fldChar w:fldCharType="begin"/>
      </w:r>
      <w:r>
        <w:rPr>
          <w:rFonts w:ascii="Times New Roman" w:hAnsi="Times New Roman"/>
          <w:noProof/>
          <w:sz w:val="24"/>
          <w:szCs w:val="24"/>
        </w:rPr>
        <w:instrText xml:space="preserve"> REF _Ref54046416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Figure 13</w:t>
      </w:r>
      <w:r>
        <w:rPr>
          <w:rFonts w:ascii="Times New Roman" w:hAnsi="Times New Roman"/>
          <w:noProof/>
          <w:sz w:val="24"/>
          <w:szCs w:val="24"/>
        </w:rPr>
        <w:fldChar w:fldCharType="end"/>
      </w:r>
      <w:r>
        <w:rPr>
          <w:rFonts w:ascii="Times New Roman" w:hAnsi="Times New Roman"/>
          <w:noProof/>
          <w:sz w:val="24"/>
          <w:szCs w:val="24"/>
        </w:rPr>
        <w:t xml:space="preserve"> shows the fuel prices projections used in the baseline scenario.</w:t>
      </w:r>
    </w:p>
    <w:p>
      <w:pPr>
        <w:pStyle w:val="Caption"/>
        <w:rPr>
          <w:noProof/>
        </w:rPr>
      </w:pPr>
      <w:bookmarkStart w:id="550" w:name="_Ref54046416"/>
      <w:bookmarkStart w:id="551" w:name="_Toc49269551"/>
      <w:bookmarkStart w:id="552" w:name="_Toc49271864"/>
      <w:bookmarkStart w:id="553" w:name="_Toc49272439"/>
      <w:bookmarkStart w:id="554" w:name="_Toc49437643"/>
      <w:bookmarkStart w:id="555" w:name="_Toc49441287"/>
      <w:bookmarkStart w:id="556" w:name="_Toc49525008"/>
      <w:bookmarkStart w:id="557" w:name="_Toc49530496"/>
      <w:bookmarkStart w:id="558" w:name="_Toc49529936"/>
      <w:bookmarkStart w:id="559" w:name="_Toc49531597"/>
      <w:bookmarkStart w:id="560" w:name="_Toc49532762"/>
      <w:bookmarkStart w:id="561" w:name="_Toc49775311"/>
      <w:bookmarkStart w:id="562" w:name="_Toc49774513"/>
      <w:bookmarkStart w:id="563" w:name="_Toc50396431"/>
      <w:bookmarkStart w:id="564" w:name="_Toc50406292"/>
      <w:bookmarkStart w:id="565" w:name="_Toc50995942"/>
      <w:bookmarkStart w:id="566" w:name="_Toc56848772"/>
      <w:r>
        <w:rPr>
          <w:noProof/>
        </w:rPr>
        <w:t xml:space="preserve">Figure </w:t>
      </w:r>
      <w:r>
        <w:rPr>
          <w:noProof/>
        </w:rPr>
        <w:fldChar w:fldCharType="begin"/>
      </w:r>
      <w:r>
        <w:rPr>
          <w:noProof/>
        </w:rPr>
        <w:instrText xml:space="preserve"> SEQ Figure \* ARABIC </w:instrText>
      </w:r>
      <w:r>
        <w:rPr>
          <w:noProof/>
        </w:rPr>
        <w:fldChar w:fldCharType="separate"/>
      </w:r>
      <w:r>
        <w:rPr>
          <w:noProof/>
        </w:rPr>
        <w:t>13</w:t>
      </w:r>
      <w:r>
        <w:rPr>
          <w:noProof/>
        </w:rPr>
        <w:fldChar w:fldCharType="end"/>
      </w:r>
      <w:bookmarkEnd w:id="550"/>
      <w:r>
        <w:rPr>
          <w:noProof/>
        </w:rPr>
        <w:t xml:space="preserve">: International fuel prices assumptions </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tbl>
      <w:tblPr>
        <w:tblW w:w="3578" w:type="pct"/>
        <w:tblLook w:val="04A0" w:firstRow="1" w:lastRow="0" w:firstColumn="1" w:lastColumn="0" w:noHBand="0" w:noVBand="1"/>
      </w:tblPr>
      <w:tblGrid>
        <w:gridCol w:w="1907"/>
        <w:gridCol w:w="1134"/>
        <w:gridCol w:w="1134"/>
        <w:gridCol w:w="1134"/>
        <w:gridCol w:w="1134"/>
      </w:tblGrid>
      <w:tr>
        <w:trPr>
          <w:trHeight w:val="234"/>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bottom"/>
          </w:tcPr>
          <w:p>
            <w:pPr>
              <w:rPr>
                <w:rFonts w:ascii="Tahoma" w:hAnsi="Tahoma" w:cs="Tahoma"/>
                <w:b/>
                <w:i/>
                <w:noProof/>
                <w:color w:val="000080"/>
                <w:sz w:val="14"/>
                <w:szCs w:val="16"/>
              </w:rPr>
            </w:pPr>
            <w:r>
              <w:rPr>
                <w:rFonts w:ascii="Tahoma" w:hAnsi="Tahoma" w:cs="Tahoma"/>
                <w:b/>
                <w:i/>
                <w:noProof/>
                <w:color w:val="000080"/>
                <w:sz w:val="14"/>
                <w:szCs w:val="16"/>
              </w:rPr>
              <w:t>in USD'15 per boe</w:t>
            </w:r>
          </w:p>
        </w:tc>
        <w:tc>
          <w:tcPr>
            <w:tcW w:w="1134" w:type="dxa"/>
            <w:tcBorders>
              <w:top w:val="single" w:sz="4" w:space="0" w:color="auto"/>
              <w:left w:val="nil"/>
              <w:bottom w:val="single" w:sz="4" w:space="0" w:color="auto"/>
              <w:right w:val="single" w:sz="4" w:space="0" w:color="auto"/>
            </w:tcBorders>
            <w:shd w:val="clear" w:color="auto" w:fill="auto"/>
            <w:noWrap/>
            <w:vAlign w:val="bottom"/>
          </w:tcPr>
          <w:p>
            <w:pPr>
              <w:jc w:val="center"/>
              <w:rPr>
                <w:rFonts w:ascii="Tahoma" w:hAnsi="Tahoma" w:cs="Tahoma"/>
                <w:b/>
                <w:noProof/>
                <w:color w:val="000080"/>
                <w:sz w:val="14"/>
                <w:szCs w:val="16"/>
              </w:rPr>
            </w:pPr>
            <w:r>
              <w:rPr>
                <w:rFonts w:ascii="Tahoma" w:hAnsi="Tahoma" w:cs="Tahoma"/>
                <w:b/>
                <w:noProof/>
                <w:color w:val="000080"/>
                <w:sz w:val="14"/>
                <w:szCs w:val="16"/>
              </w:rPr>
              <w:t>‘15</w:t>
            </w:r>
          </w:p>
        </w:tc>
        <w:tc>
          <w:tcPr>
            <w:tcW w:w="1134" w:type="dxa"/>
            <w:tcBorders>
              <w:top w:val="single" w:sz="4" w:space="0" w:color="auto"/>
              <w:left w:val="nil"/>
              <w:bottom w:val="single" w:sz="4" w:space="0" w:color="auto"/>
              <w:right w:val="single" w:sz="4" w:space="0" w:color="auto"/>
            </w:tcBorders>
            <w:shd w:val="clear" w:color="auto" w:fill="auto"/>
            <w:noWrap/>
            <w:vAlign w:val="bottom"/>
          </w:tcPr>
          <w:p>
            <w:pPr>
              <w:jc w:val="center"/>
              <w:rPr>
                <w:rFonts w:ascii="Tahoma" w:hAnsi="Tahoma" w:cs="Tahoma"/>
                <w:b/>
                <w:noProof/>
                <w:color w:val="000080"/>
                <w:sz w:val="14"/>
                <w:szCs w:val="16"/>
              </w:rPr>
            </w:pPr>
            <w:r>
              <w:rPr>
                <w:rFonts w:ascii="Tahoma" w:hAnsi="Tahoma" w:cs="Tahoma"/>
                <w:b/>
                <w:noProof/>
                <w:color w:val="000080"/>
                <w:sz w:val="14"/>
                <w:szCs w:val="16"/>
              </w:rPr>
              <w:t>‘30</w:t>
            </w:r>
          </w:p>
        </w:tc>
        <w:tc>
          <w:tcPr>
            <w:tcW w:w="1134" w:type="dxa"/>
            <w:tcBorders>
              <w:top w:val="single" w:sz="4" w:space="0" w:color="auto"/>
              <w:left w:val="nil"/>
              <w:bottom w:val="single" w:sz="4" w:space="0" w:color="auto"/>
              <w:right w:val="single" w:sz="4" w:space="0" w:color="auto"/>
            </w:tcBorders>
            <w:shd w:val="clear" w:color="auto" w:fill="auto"/>
            <w:noWrap/>
            <w:vAlign w:val="bottom"/>
          </w:tcPr>
          <w:p>
            <w:pPr>
              <w:jc w:val="center"/>
              <w:rPr>
                <w:rFonts w:ascii="Tahoma" w:hAnsi="Tahoma" w:cs="Tahoma"/>
                <w:b/>
                <w:noProof/>
                <w:color w:val="000080"/>
                <w:sz w:val="14"/>
                <w:szCs w:val="16"/>
              </w:rPr>
            </w:pPr>
            <w:r>
              <w:rPr>
                <w:rFonts w:ascii="Tahoma" w:hAnsi="Tahoma" w:cs="Tahoma"/>
                <w:b/>
                <w:noProof/>
                <w:color w:val="000080"/>
                <w:sz w:val="14"/>
                <w:szCs w:val="16"/>
              </w:rPr>
              <w:t>‘40</w:t>
            </w:r>
          </w:p>
        </w:tc>
        <w:tc>
          <w:tcPr>
            <w:tcW w:w="1134" w:type="dxa"/>
            <w:tcBorders>
              <w:top w:val="single" w:sz="4" w:space="0" w:color="auto"/>
              <w:left w:val="nil"/>
              <w:bottom w:val="single" w:sz="4" w:space="0" w:color="auto"/>
              <w:right w:val="single" w:sz="4" w:space="0" w:color="auto"/>
            </w:tcBorders>
            <w:shd w:val="clear" w:color="auto" w:fill="auto"/>
            <w:noWrap/>
            <w:vAlign w:val="bottom"/>
          </w:tcPr>
          <w:p>
            <w:pPr>
              <w:jc w:val="center"/>
              <w:rPr>
                <w:rFonts w:ascii="Tahoma" w:hAnsi="Tahoma" w:cs="Tahoma"/>
                <w:b/>
                <w:noProof/>
                <w:color w:val="000080"/>
                <w:sz w:val="14"/>
                <w:szCs w:val="16"/>
              </w:rPr>
            </w:pPr>
            <w:r>
              <w:rPr>
                <w:rFonts w:ascii="Tahoma" w:hAnsi="Tahoma" w:cs="Tahoma"/>
                <w:b/>
                <w:noProof/>
                <w:color w:val="000080"/>
                <w:sz w:val="14"/>
                <w:szCs w:val="16"/>
              </w:rPr>
              <w:t>‘50</w:t>
            </w:r>
          </w:p>
        </w:tc>
      </w:tr>
      <w:tr>
        <w:trPr>
          <w:trHeight w:val="234"/>
        </w:trPr>
        <w:tc>
          <w:tcPr>
            <w:tcW w:w="1906" w:type="dxa"/>
            <w:tcBorders>
              <w:top w:val="nil"/>
              <w:left w:val="single" w:sz="4" w:space="0" w:color="auto"/>
              <w:bottom w:val="single" w:sz="4" w:space="0" w:color="auto"/>
              <w:right w:val="single" w:sz="4" w:space="0" w:color="auto"/>
            </w:tcBorders>
            <w:shd w:val="clear" w:color="auto" w:fill="auto"/>
            <w:noWrap/>
            <w:vAlign w:val="bottom"/>
          </w:tcPr>
          <w:p>
            <w:pPr>
              <w:ind w:firstLineChars="100" w:firstLine="140"/>
              <w:rPr>
                <w:rFonts w:ascii="Tahoma" w:hAnsi="Tahoma" w:cs="Tahoma"/>
                <w:noProof/>
                <w:sz w:val="14"/>
                <w:szCs w:val="16"/>
              </w:rPr>
            </w:pPr>
            <w:r>
              <w:rPr>
                <w:rFonts w:ascii="Tahoma" w:hAnsi="Tahoma" w:cs="Tahoma"/>
                <w:noProof/>
                <w:sz w:val="14"/>
                <w:szCs w:val="16"/>
              </w:rPr>
              <w:t>Oil</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52.3</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80.1</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97.4</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117.9</w:t>
            </w:r>
          </w:p>
        </w:tc>
      </w:tr>
      <w:tr>
        <w:trPr>
          <w:trHeight w:val="234"/>
        </w:trPr>
        <w:tc>
          <w:tcPr>
            <w:tcW w:w="1906" w:type="dxa"/>
            <w:tcBorders>
              <w:top w:val="nil"/>
              <w:left w:val="single" w:sz="4" w:space="0" w:color="auto"/>
              <w:bottom w:val="single" w:sz="4" w:space="0" w:color="auto"/>
              <w:right w:val="single" w:sz="4" w:space="0" w:color="auto"/>
            </w:tcBorders>
            <w:shd w:val="clear" w:color="auto" w:fill="auto"/>
            <w:noWrap/>
            <w:vAlign w:val="bottom"/>
          </w:tcPr>
          <w:p>
            <w:pPr>
              <w:ind w:firstLineChars="100" w:firstLine="140"/>
              <w:rPr>
                <w:rFonts w:ascii="Tahoma" w:hAnsi="Tahoma" w:cs="Tahoma"/>
                <w:noProof/>
                <w:sz w:val="14"/>
                <w:szCs w:val="16"/>
              </w:rPr>
            </w:pPr>
            <w:r>
              <w:rPr>
                <w:rFonts w:ascii="Tahoma" w:hAnsi="Tahoma" w:cs="Tahoma"/>
                <w:noProof/>
                <w:sz w:val="14"/>
                <w:szCs w:val="16"/>
              </w:rPr>
              <w:t>Gas (NCV)</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43.7</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40.9</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52.6</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57.8</w:t>
            </w:r>
          </w:p>
        </w:tc>
      </w:tr>
      <w:tr>
        <w:trPr>
          <w:trHeight w:val="246"/>
        </w:trPr>
        <w:tc>
          <w:tcPr>
            <w:tcW w:w="1906" w:type="dxa"/>
            <w:tcBorders>
              <w:top w:val="nil"/>
              <w:left w:val="single" w:sz="4" w:space="0" w:color="auto"/>
              <w:bottom w:val="single" w:sz="4" w:space="0" w:color="auto"/>
              <w:right w:val="single" w:sz="4" w:space="0" w:color="auto"/>
            </w:tcBorders>
            <w:shd w:val="clear" w:color="auto" w:fill="auto"/>
            <w:noWrap/>
            <w:vAlign w:val="bottom"/>
          </w:tcPr>
          <w:p>
            <w:pPr>
              <w:rPr>
                <w:rFonts w:ascii="Tahoma" w:hAnsi="Tahoma" w:cs="Tahoma"/>
                <w:b/>
                <w:i/>
                <w:noProof/>
                <w:color w:val="000080"/>
                <w:sz w:val="14"/>
                <w:szCs w:val="16"/>
              </w:rPr>
            </w:pPr>
            <w:r>
              <w:rPr>
                <w:rFonts w:ascii="Tahoma" w:hAnsi="Tahoma" w:cs="Tahoma"/>
                <w:b/>
                <w:i/>
                <w:noProof/>
                <w:color w:val="000080"/>
                <w:sz w:val="14"/>
                <w:szCs w:val="16"/>
              </w:rPr>
              <w:t xml:space="preserve">in </w:t>
            </w:r>
            <w:r>
              <w:rPr>
                <w:rFonts w:ascii="Calibri" w:hAnsi="Calibri" w:cs="Calibri"/>
                <w:b/>
                <w:noProof/>
                <w:color w:val="000080"/>
                <w:sz w:val="14"/>
                <w:szCs w:val="16"/>
              </w:rPr>
              <w:t>€</w:t>
            </w:r>
            <w:r>
              <w:rPr>
                <w:rFonts w:ascii="Tahoma" w:hAnsi="Tahoma" w:cs="Tahoma"/>
                <w:b/>
                <w:i/>
                <w:noProof/>
                <w:color w:val="000080"/>
                <w:sz w:val="14"/>
                <w:szCs w:val="16"/>
              </w:rPr>
              <w:t>'15 per boe</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b/>
                <w:noProof/>
                <w:color w:val="000080"/>
                <w:sz w:val="14"/>
                <w:szCs w:val="16"/>
              </w:rPr>
            </w:pPr>
            <w:r>
              <w:rPr>
                <w:rFonts w:ascii="Tahoma" w:hAnsi="Tahoma" w:cs="Tahoma"/>
                <w:b/>
                <w:noProof/>
                <w:color w:val="000080"/>
                <w:sz w:val="14"/>
                <w:szCs w:val="16"/>
              </w:rPr>
              <w:t>‘15</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b/>
                <w:noProof/>
                <w:color w:val="000080"/>
                <w:sz w:val="14"/>
                <w:szCs w:val="16"/>
              </w:rPr>
            </w:pPr>
            <w:r>
              <w:rPr>
                <w:rFonts w:ascii="Tahoma" w:hAnsi="Tahoma" w:cs="Tahoma"/>
                <w:b/>
                <w:noProof/>
                <w:color w:val="000080"/>
                <w:sz w:val="14"/>
                <w:szCs w:val="16"/>
              </w:rPr>
              <w:t>‘30</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b/>
                <w:noProof/>
                <w:color w:val="000080"/>
                <w:sz w:val="14"/>
                <w:szCs w:val="16"/>
              </w:rPr>
            </w:pPr>
            <w:r>
              <w:rPr>
                <w:rFonts w:ascii="Tahoma" w:hAnsi="Tahoma" w:cs="Tahoma"/>
                <w:b/>
                <w:noProof/>
                <w:color w:val="000080"/>
                <w:sz w:val="14"/>
                <w:szCs w:val="16"/>
              </w:rPr>
              <w:t>‘40</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b/>
                <w:noProof/>
                <w:color w:val="000080"/>
                <w:sz w:val="14"/>
                <w:szCs w:val="16"/>
              </w:rPr>
            </w:pPr>
            <w:r>
              <w:rPr>
                <w:rFonts w:ascii="Tahoma" w:hAnsi="Tahoma" w:cs="Tahoma"/>
                <w:b/>
                <w:noProof/>
                <w:color w:val="000080"/>
                <w:sz w:val="14"/>
                <w:szCs w:val="16"/>
              </w:rPr>
              <w:t>‘50</w:t>
            </w:r>
          </w:p>
        </w:tc>
      </w:tr>
      <w:tr>
        <w:trPr>
          <w:trHeight w:val="234"/>
        </w:trPr>
        <w:tc>
          <w:tcPr>
            <w:tcW w:w="1906" w:type="dxa"/>
            <w:tcBorders>
              <w:top w:val="nil"/>
              <w:left w:val="single" w:sz="4" w:space="0" w:color="auto"/>
              <w:bottom w:val="single" w:sz="4" w:space="0" w:color="auto"/>
              <w:right w:val="single" w:sz="4" w:space="0" w:color="auto"/>
            </w:tcBorders>
            <w:shd w:val="clear" w:color="auto" w:fill="auto"/>
            <w:noWrap/>
            <w:vAlign w:val="bottom"/>
          </w:tcPr>
          <w:p>
            <w:pPr>
              <w:ind w:firstLineChars="100" w:firstLine="140"/>
              <w:rPr>
                <w:rFonts w:ascii="Tahoma" w:hAnsi="Tahoma" w:cs="Tahoma"/>
                <w:noProof/>
                <w:sz w:val="14"/>
                <w:szCs w:val="16"/>
              </w:rPr>
            </w:pPr>
            <w:r>
              <w:rPr>
                <w:rFonts w:ascii="Tahoma" w:hAnsi="Tahoma" w:cs="Tahoma"/>
                <w:noProof/>
                <w:sz w:val="14"/>
                <w:szCs w:val="16"/>
              </w:rPr>
              <w:t>Oil</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47.2</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72.2</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87.8</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106.3</w:t>
            </w:r>
          </w:p>
        </w:tc>
      </w:tr>
      <w:tr>
        <w:trPr>
          <w:trHeight w:val="234"/>
        </w:trPr>
        <w:tc>
          <w:tcPr>
            <w:tcW w:w="1906" w:type="dxa"/>
            <w:tcBorders>
              <w:top w:val="nil"/>
              <w:left w:val="single" w:sz="4" w:space="0" w:color="auto"/>
              <w:bottom w:val="single" w:sz="4" w:space="0" w:color="auto"/>
              <w:right w:val="single" w:sz="4" w:space="0" w:color="auto"/>
            </w:tcBorders>
            <w:shd w:val="clear" w:color="auto" w:fill="auto"/>
            <w:noWrap/>
            <w:vAlign w:val="bottom"/>
          </w:tcPr>
          <w:p>
            <w:pPr>
              <w:ind w:firstLineChars="100" w:firstLine="140"/>
              <w:rPr>
                <w:rFonts w:ascii="Tahoma" w:hAnsi="Tahoma" w:cs="Tahoma"/>
                <w:noProof/>
                <w:sz w:val="14"/>
                <w:szCs w:val="16"/>
              </w:rPr>
            </w:pPr>
            <w:r>
              <w:rPr>
                <w:rFonts w:ascii="Tahoma" w:hAnsi="Tahoma" w:cs="Tahoma"/>
                <w:noProof/>
                <w:sz w:val="14"/>
                <w:szCs w:val="16"/>
              </w:rPr>
              <w:t>Gas (NCV)</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38.7</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36.2</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46.6</w:t>
            </w:r>
          </w:p>
        </w:tc>
        <w:tc>
          <w:tcPr>
            <w:tcW w:w="1134" w:type="dxa"/>
            <w:tcBorders>
              <w:top w:val="nil"/>
              <w:left w:val="nil"/>
              <w:bottom w:val="single" w:sz="4" w:space="0" w:color="auto"/>
              <w:right w:val="single" w:sz="4" w:space="0" w:color="auto"/>
            </w:tcBorders>
            <w:shd w:val="clear" w:color="auto" w:fill="auto"/>
            <w:noWrap/>
            <w:vAlign w:val="bottom"/>
          </w:tcPr>
          <w:p>
            <w:pPr>
              <w:jc w:val="center"/>
              <w:rPr>
                <w:rFonts w:ascii="Tahoma" w:hAnsi="Tahoma" w:cs="Tahoma"/>
                <w:noProof/>
                <w:sz w:val="14"/>
                <w:szCs w:val="16"/>
              </w:rPr>
            </w:pPr>
            <w:r>
              <w:rPr>
                <w:rFonts w:ascii="Tahoma" w:hAnsi="Tahoma" w:cs="Tahoma"/>
                <w:noProof/>
                <w:sz w:val="14"/>
                <w:szCs w:val="16"/>
              </w:rPr>
              <w:t>51.2</w:t>
            </w:r>
          </w:p>
        </w:tc>
      </w:tr>
    </w:tbl>
    <w:p>
      <w:pPr>
        <w:rPr>
          <w:rFonts w:ascii="Times New Roman" w:hAnsi="Times New Roman" w:cs="Times New Roman"/>
          <w:i/>
          <w:noProof/>
          <w:sz w:val="18"/>
          <w:szCs w:val="18"/>
          <w:lang w:eastAsia="en-GB"/>
        </w:rPr>
      </w:pPr>
      <w:r>
        <w:rPr>
          <w:rFonts w:ascii="Times New Roman" w:hAnsi="Times New Roman" w:cs="Times New Roman"/>
          <w:i/>
          <w:noProof/>
          <w:sz w:val="18"/>
          <w:szCs w:val="18"/>
        </w:rPr>
        <w:t>Source: Derived from JRC, POLES-JRC model, Global Energy and Climate Outlook (GECO)</w:t>
      </w:r>
    </w:p>
    <w:p>
      <w:pPr>
        <w:pStyle w:val="Body"/>
        <w:spacing w:after="200" w:line="276" w:lineRule="auto"/>
        <w:rPr>
          <w:rFonts w:ascii="Times New Roman" w:hAnsi="Times New Roman"/>
          <w:noProof/>
          <w:sz w:val="24"/>
          <w:szCs w:val="24"/>
        </w:rPr>
      </w:pPr>
      <w:bookmarkStart w:id="567" w:name="_Toc49436716"/>
      <w:bookmarkStart w:id="568" w:name="_Toc49441690"/>
      <w:bookmarkStart w:id="569" w:name="_Toc49447293"/>
      <w:bookmarkStart w:id="570" w:name="_Toc45119791"/>
      <w:bookmarkStart w:id="571" w:name="_Toc45147529"/>
      <w:bookmarkStart w:id="572" w:name="_Toc49346551"/>
      <w:bookmarkStart w:id="573" w:name="_Toc49437870"/>
      <w:bookmarkStart w:id="574" w:name="_Toc49441691"/>
      <w:bookmarkStart w:id="575" w:name="_Toc56849991"/>
      <w:bookmarkEnd w:id="567"/>
      <w:bookmarkEnd w:id="568"/>
      <w:bookmarkEnd w:id="569"/>
      <w:r>
        <w:rPr>
          <w:rFonts w:ascii="Times New Roman" w:hAnsi="Times New Roman"/>
          <w:b/>
          <w:bCs/>
          <w:noProof/>
          <w:sz w:val="24"/>
          <w:szCs w:val="24"/>
        </w:rPr>
        <w:t>Technology assumptions</w:t>
      </w:r>
      <w:bookmarkEnd w:id="570"/>
      <w:bookmarkEnd w:id="571"/>
      <w:bookmarkEnd w:id="572"/>
      <w:bookmarkEnd w:id="573"/>
      <w:bookmarkEnd w:id="574"/>
      <w:bookmarkEnd w:id="575"/>
      <w:r>
        <w:rPr>
          <w:rFonts w:ascii="Times New Roman" w:hAnsi="Times New Roman"/>
          <w:b/>
          <w:bCs/>
          <w:noProof/>
          <w:sz w:val="24"/>
          <w:szCs w:val="24"/>
        </w:rPr>
        <w:t>:</w:t>
      </w:r>
      <w:r>
        <w:rPr>
          <w:rFonts w:ascii="Times New Roman" w:hAnsi="Times New Roman"/>
          <w:noProof/>
          <w:sz w:val="24"/>
          <w:szCs w:val="24"/>
        </w:rPr>
        <w:t xml:space="preserve"> Modelling scenarios on the evolution of the energy and transport system is highly dependent on the assumptions on the development of technologies - both in terms of performance and costs. </w:t>
      </w:r>
      <w:r>
        <w:rPr>
          <w:rFonts w:ascii="Times New Roman" w:hAnsi="Times New Roman"/>
          <w:noProof/>
          <w:sz w:val="24"/>
          <w:szCs w:val="24"/>
          <w:lang w:val="en-IE"/>
        </w:rPr>
        <w:t>For the purpose of the impact assessments related to the “Climate Target Plan” and the “Fit for 55” policy package, these assumptions have been updated based on a rigorous literature review carried out by external consultants in collaboration with the JRC.</w:t>
      </w:r>
      <w:r>
        <w:rPr>
          <w:rFonts w:ascii="Times New Roman" w:hAnsi="Times New Roman"/>
          <w:noProof/>
          <w:sz w:val="24"/>
          <w:szCs w:val="24"/>
        </w:rPr>
        <w:t xml:space="preserve"> </w:t>
      </w:r>
    </w:p>
    <w:p>
      <w:pPr>
        <w:pStyle w:val="Body"/>
        <w:spacing w:after="200" w:line="276" w:lineRule="auto"/>
        <w:rPr>
          <w:rFonts w:ascii="Times New Roman" w:hAnsi="Times New Roman"/>
          <w:noProof/>
          <w:sz w:val="24"/>
          <w:szCs w:val="24"/>
        </w:rPr>
      </w:pPr>
      <w:r>
        <w:rPr>
          <w:rFonts w:ascii="Times New Roman" w:hAnsi="Times New Roman"/>
          <w:noProof/>
          <w:sz w:val="24"/>
          <w:szCs w:val="24"/>
        </w:rPr>
        <w:t>Continuing the approach adopted in the long-term strategy in 2018, the Commission consulted technology assumption with stakeholders in 2019. In particular, the technology database of the main model suite (PRIMES, PRIMES-TREMOVE, GAINS, GLOBIOM, and CAPRI) benefited from a dedicated consultation workshop held on 11</w:t>
      </w:r>
      <w:r>
        <w:rPr>
          <w:rFonts w:ascii="Times New Roman" w:hAnsi="Times New Roman"/>
          <w:noProof/>
          <w:sz w:val="24"/>
          <w:szCs w:val="24"/>
          <w:vertAlign w:val="superscript"/>
        </w:rPr>
        <w:t>th</w:t>
      </w:r>
      <w:r>
        <w:rPr>
          <w:rFonts w:ascii="Times New Roman" w:hAnsi="Times New Roman"/>
          <w:noProof/>
          <w:sz w:val="24"/>
          <w:szCs w:val="24"/>
        </w:rPr>
        <w:t xml:space="preserve"> November 2019. EU Member States representatives had also the opportunity to comment on the costs elements during a workshop held on 25</w:t>
      </w:r>
      <w:r>
        <w:rPr>
          <w:rFonts w:ascii="Times New Roman" w:hAnsi="Times New Roman"/>
          <w:noProof/>
          <w:sz w:val="24"/>
          <w:szCs w:val="24"/>
          <w:vertAlign w:val="superscript"/>
        </w:rPr>
        <w:t>th</w:t>
      </w:r>
      <w:r>
        <w:rPr>
          <w:rFonts w:ascii="Times New Roman" w:hAnsi="Times New Roman"/>
          <w:noProof/>
          <w:sz w:val="24"/>
          <w:szCs w:val="24"/>
        </w:rPr>
        <w:t xml:space="preserve"> November 2019. The updated technology assumptions are published together with the EU Reference Scenario 2020.</w:t>
      </w:r>
    </w:p>
    <w:p>
      <w:pPr>
        <w:spacing w:line="240" w:lineRule="auto"/>
        <w:jc w:val="both"/>
        <w:rPr>
          <w:rFonts w:ascii="Times New Roman" w:hAnsi="Times New Roman" w:cs="Times New Roman"/>
          <w:b/>
          <w:bCs/>
          <w:i/>
          <w:iCs/>
          <w:noProof/>
          <w:sz w:val="24"/>
          <w:szCs w:val="24"/>
        </w:rPr>
      </w:pPr>
      <w:bookmarkStart w:id="576" w:name="_Toc41675999"/>
      <w:bookmarkStart w:id="577" w:name="_Ref42064215"/>
      <w:bookmarkStart w:id="578" w:name="_Toc42064495"/>
      <w:bookmarkStart w:id="579" w:name="_Toc43114838"/>
      <w:bookmarkStart w:id="580" w:name="_Ref43323707"/>
      <w:bookmarkStart w:id="581" w:name="_Ref43325550"/>
      <w:bookmarkStart w:id="582" w:name="_Ref43410261"/>
      <w:bookmarkStart w:id="583" w:name="_Ref43412710"/>
      <w:bookmarkStart w:id="584" w:name="_Toc56849992"/>
      <w:bookmarkStart w:id="585" w:name="_Toc45119793"/>
      <w:bookmarkStart w:id="586" w:name="_Ref45147126"/>
      <w:bookmarkStart w:id="587" w:name="_Toc45147530"/>
      <w:bookmarkStart w:id="588" w:name="_Toc49346552"/>
      <w:bookmarkStart w:id="589" w:name="_Toc49437871"/>
      <w:bookmarkStart w:id="590" w:name="_Toc49441692"/>
      <w:bookmarkStart w:id="591" w:name="_Toc49516664"/>
      <w:bookmarkStart w:id="592" w:name="_Toc49518584"/>
      <w:bookmarkStart w:id="593" w:name="_Toc49525198"/>
      <w:bookmarkStart w:id="594" w:name="_Toc49530692"/>
      <w:bookmarkStart w:id="595" w:name="_Toc49530961"/>
      <w:bookmarkStart w:id="596" w:name="_Toc49531793"/>
      <w:bookmarkStart w:id="597" w:name="_Toc49532952"/>
      <w:bookmarkStart w:id="598" w:name="_Ref49772719"/>
      <w:bookmarkStart w:id="599" w:name="_Toc49775501"/>
      <w:bookmarkStart w:id="600" w:name="_Toc49774703"/>
      <w:bookmarkStart w:id="601" w:name="_Toc50396622"/>
      <w:bookmarkStart w:id="602" w:name="_Toc50406113"/>
      <w:bookmarkStart w:id="603" w:name="_Toc50995811"/>
      <w:bookmarkEnd w:id="576"/>
      <w:bookmarkEnd w:id="577"/>
      <w:bookmarkEnd w:id="578"/>
      <w:bookmarkEnd w:id="579"/>
      <w:bookmarkEnd w:id="580"/>
      <w:bookmarkEnd w:id="581"/>
      <w:bookmarkEnd w:id="582"/>
      <w:bookmarkEnd w:id="583"/>
      <w:r>
        <w:rPr>
          <w:rFonts w:ascii="Times New Roman" w:hAnsi="Times New Roman" w:cs="Times New Roman"/>
          <w:b/>
          <w:bCs/>
          <w:i/>
          <w:iCs/>
          <w:noProof/>
          <w:sz w:val="24"/>
          <w:szCs w:val="24"/>
        </w:rPr>
        <w:t>Policies included in the Baseline scenario</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Baseline scenario projects developments under the current EU and national policy framework. It embeds in particular the EU legislation in place to reach the 2030 climate target of at least 40% compared to 1990, as well as national contributions to reaching the EU 2030 energy targets on Energy efficiency and Renewables under the Governance of the Energy Union. It thus gives a detailed picture of where the EU economy and energy system in particular would stand in terms of GHG emission if the policy framework were not updated to enable reaching the revised 2030 climate target to at least -55% compared to 1990 proposed under the Climate Target Plan</w:t>
      </w:r>
      <w:r>
        <w:rPr>
          <w:rStyle w:val="FootnoteReference"/>
          <w:rFonts w:ascii="Times New Roman" w:hAnsi="Times New Roman" w:cs="Times New Roman"/>
          <w:noProof/>
          <w:sz w:val="24"/>
          <w:szCs w:val="24"/>
        </w:rPr>
        <w:footnoteReference w:id="181"/>
      </w:r>
      <w:r>
        <w:rPr>
          <w:rFonts w:ascii="Times New Roman" w:hAnsi="Times New Roman" w:cs="Times New Roman"/>
          <w:noProof/>
          <w:sz w:val="24"/>
          <w:szCs w:val="24"/>
        </w:rPr>
        <w:t>.</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In addition to the headline targets, some of the policies included in the baseline scenario are:</w:t>
      </w:r>
    </w:p>
    <w:p>
      <w:pPr>
        <w:pStyle w:val="ListParagraph"/>
        <w:numPr>
          <w:ilvl w:val="0"/>
          <w:numId w:val="18"/>
        </w:numPr>
        <w:spacing w:after="60"/>
        <w:ind w:left="284" w:hanging="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For maritime shipping, in addition to emissions being monitored under the Regulation on Monitoring, Reporting and Verification of Maritime Emissions</w:t>
      </w:r>
      <w:r>
        <w:rPr>
          <w:rStyle w:val="FootnoteReference"/>
          <w:rFonts w:ascii="Times New Roman" w:hAnsi="Times New Roman" w:cs="Times New Roman"/>
          <w:noProof/>
          <w:sz w:val="24"/>
          <w:szCs w:val="24"/>
        </w:rPr>
        <w:footnoteReference w:id="182"/>
      </w:r>
      <w:r>
        <w:rPr>
          <w:rFonts w:ascii="Times New Roman" w:hAnsi="Times New Roman" w:cs="Times New Roman"/>
          <w:noProof/>
          <w:sz w:val="24"/>
          <w:szCs w:val="24"/>
        </w:rPr>
        <w:t xml:space="preserve">, the Baseline scenario reflects the Energy Efficiency Design Index (EEDI) and the Ship Energy Efficiency Management Plan (SEEMP) adopted by the International Maritime Organisation, as well as the Sulphur Directive. </w:t>
      </w:r>
    </w:p>
    <w:p>
      <w:pPr>
        <w:pStyle w:val="ListParagraph"/>
        <w:numPr>
          <w:ilvl w:val="0"/>
          <w:numId w:val="18"/>
        </w:numPr>
        <w:spacing w:after="60"/>
        <w:ind w:left="284" w:hanging="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The EU Emissions Trading System</w:t>
      </w:r>
      <w:r>
        <w:rPr>
          <w:rStyle w:val="FootnoteReference"/>
          <w:rFonts w:ascii="Times New Roman" w:hAnsi="Times New Roman" w:cs="Times New Roman"/>
          <w:noProof/>
          <w:sz w:val="24"/>
          <w:szCs w:val="24"/>
        </w:rPr>
        <w:footnoteReference w:id="183"/>
      </w:r>
      <w:r>
        <w:rPr>
          <w:rFonts w:ascii="Times New Roman" w:hAnsi="Times New Roman" w:cs="Times New Roman"/>
          <w:noProof/>
          <w:sz w:val="24"/>
          <w:szCs w:val="24"/>
        </w:rPr>
        <w:t xml:space="preserve"> (EU ETS) covers 45% of EU GHG emissions, notably from industry, the power sector and aviation. Emissions for the sectors under the system are capped to reduce by 43% by 2030 compared to 2005. The baseline scenario additionally assumes that the Market Stability Reserve (MSR) will ensure that the ETS contributes to the achievement of the overall target cost-effectively. MSR functioning is set to be reviewed</w:t>
      </w:r>
      <w:r>
        <w:rPr>
          <w:rStyle w:val="FootnoteReference"/>
          <w:rFonts w:ascii="Times New Roman" w:hAnsi="Times New Roman" w:cs="Times New Roman"/>
          <w:noProof/>
          <w:sz w:val="24"/>
          <w:szCs w:val="24"/>
        </w:rPr>
        <w:footnoteReference w:id="184"/>
      </w:r>
      <w:r>
        <w:rPr>
          <w:rFonts w:ascii="Times New Roman" w:hAnsi="Times New Roman" w:cs="Times New Roman"/>
          <w:noProof/>
          <w:sz w:val="24"/>
          <w:szCs w:val="24"/>
        </w:rPr>
        <w:t xml:space="preserve"> in 2021 and every five years after to ensure its aim of tackling structural supply-demand imbalances.</w:t>
      </w:r>
    </w:p>
    <w:p>
      <w:pPr>
        <w:pStyle w:val="ListParagraph"/>
        <w:numPr>
          <w:ilvl w:val="0"/>
          <w:numId w:val="18"/>
        </w:numPr>
        <w:spacing w:after="60"/>
        <w:ind w:left="284" w:hanging="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Aviation emissions are also covered by the EU ETS. The EU, however, decided in 2014 to limit the scope of the EU ETS to flights within the EEA until 2016 to support the development of a global measure by the International Civil Aviation Organization (ICAO).</w:t>
      </w:r>
      <w:r>
        <w:rPr>
          <w:rStyle w:val="FootnoteReference"/>
          <w:rFonts w:ascii="Times New Roman" w:hAnsi="Times New Roman" w:cs="Times New Roman"/>
          <w:noProof/>
          <w:sz w:val="24"/>
          <w:szCs w:val="24"/>
        </w:rPr>
        <w:footnoteReference w:id="185"/>
      </w:r>
      <w:r>
        <w:rPr>
          <w:rFonts w:ascii="Times New Roman" w:hAnsi="Times New Roman" w:cs="Times New Roman"/>
          <w:noProof/>
          <w:sz w:val="24"/>
          <w:szCs w:val="24"/>
        </w:rPr>
        <w:t xml:space="preserve"> In light of the adoption of a Resolution by the 2016 ICAO Assembly on the global measure, the EU has decided to maintain the geographic scope of the EU ETS limited to intra-EEA flights from 2017 until the end of 2023.</w:t>
      </w:r>
      <w:r>
        <w:rPr>
          <w:rStyle w:val="FootnoteReference"/>
          <w:rFonts w:ascii="Times New Roman" w:hAnsi="Times New Roman" w:cs="Times New Roman"/>
          <w:noProof/>
          <w:sz w:val="24"/>
          <w:szCs w:val="24"/>
        </w:rPr>
        <w:footnoteReference w:id="186"/>
      </w:r>
      <w:r>
        <w:rPr>
          <w:rFonts w:ascii="Times New Roman" w:hAnsi="Times New Roman" w:cs="Times New Roman"/>
          <w:noProof/>
          <w:sz w:val="24"/>
          <w:szCs w:val="24"/>
        </w:rPr>
        <w:t xml:space="preserve"> The EU ETS for aviation is subject to a new review in the light of the international developments related to the operationalisation of CORSIA. This review considers how to implement the global measure in Union law through a revision of the EU ETS legislation. In the absence of a new amendment, the EU ETS would revert back to its original full scope from 2024. </w:t>
      </w:r>
    </w:p>
    <w:p>
      <w:pPr>
        <w:pStyle w:val="ListParagraph"/>
        <w:numPr>
          <w:ilvl w:val="0"/>
          <w:numId w:val="18"/>
        </w:numPr>
        <w:spacing w:after="60"/>
        <w:ind w:left="284" w:hanging="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For aviation, in addition to implementation of the EU Emission Trading Scheme, the Baseline reflects the Union-wide air transport performance targets for the key performance area of environment, Clean Sky, Single European Sky and SESAR, and aircraft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standards, as part of the so-called “basket of measures” that aim to reduce emissions from the sector. </w:t>
      </w:r>
    </w:p>
    <w:p>
      <w:pPr>
        <w:pStyle w:val="ListParagraph"/>
        <w:numPr>
          <w:ilvl w:val="0"/>
          <w:numId w:val="18"/>
        </w:numPr>
        <w:spacing w:after="60"/>
        <w:ind w:left="284" w:hanging="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The revised Renewable Energy Directive</w:t>
      </w:r>
      <w:r>
        <w:rPr>
          <w:rStyle w:val="FootnoteReference"/>
          <w:rFonts w:ascii="Times New Roman" w:hAnsi="Times New Roman" w:cs="Times New Roman"/>
          <w:noProof/>
          <w:sz w:val="24"/>
          <w:szCs w:val="24"/>
        </w:rPr>
        <w:footnoteReference w:id="187"/>
      </w:r>
      <w:r>
        <w:rPr>
          <w:rFonts w:ascii="Times New Roman" w:hAnsi="Times New Roman" w:cs="Times New Roman"/>
          <w:noProof/>
          <w:sz w:val="24"/>
          <w:szCs w:val="24"/>
        </w:rPr>
        <w:t xml:space="preserve"> entered into force in 2018. It establishes a new binding renewable energy target for the EU for 2030 of at least 32%, with a clause for a possible upwards revision by 2023.</w:t>
      </w:r>
    </w:p>
    <w:p>
      <w:pPr>
        <w:pStyle w:val="ListParagraph"/>
        <w:numPr>
          <w:ilvl w:val="0"/>
          <w:numId w:val="18"/>
        </w:numPr>
        <w:spacing w:after="60"/>
        <w:ind w:left="284" w:hanging="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The Fuel Quality Directive</w:t>
      </w:r>
      <w:r>
        <w:rPr>
          <w:rStyle w:val="FootnoteReference"/>
          <w:rFonts w:ascii="Times New Roman" w:hAnsi="Times New Roman" w:cs="Times New Roman"/>
          <w:noProof/>
          <w:sz w:val="24"/>
          <w:szCs w:val="24"/>
        </w:rPr>
        <w:footnoteReference w:id="188"/>
      </w:r>
      <w:r>
        <w:rPr>
          <w:rFonts w:ascii="Times New Roman" w:hAnsi="Times New Roman" w:cs="Times New Roman"/>
          <w:noProof/>
          <w:sz w:val="24"/>
          <w:szCs w:val="24"/>
        </w:rPr>
        <w:t xml:space="preserve"> requires a reduction of the GHG intensity of transport fuels by a minimum of 6% to be achieved by 2020.</w:t>
      </w:r>
    </w:p>
    <w:p>
      <w:pPr>
        <w:pStyle w:val="ListParagraph"/>
        <w:numPr>
          <w:ilvl w:val="0"/>
          <w:numId w:val="18"/>
        </w:numPr>
        <w:spacing w:after="60"/>
        <w:ind w:left="284" w:hanging="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 standards for new cars and vans</w:t>
      </w:r>
      <w:r>
        <w:rPr>
          <w:rStyle w:val="FootnoteReference"/>
          <w:rFonts w:ascii="Times New Roman" w:hAnsi="Times New Roman" w:cs="Times New Roman"/>
          <w:noProof/>
          <w:sz w:val="24"/>
          <w:szCs w:val="24"/>
        </w:rPr>
        <w:footnoteReference w:id="189"/>
      </w:r>
      <w:r>
        <w:rPr>
          <w:rFonts w:ascii="Times New Roman" w:hAnsi="Times New Roman" w:cs="Times New Roman"/>
          <w:noProof/>
          <w:sz w:val="24"/>
          <w:szCs w:val="24"/>
        </w:rPr>
        <w:t xml:space="preserve"> and for new trucks</w:t>
      </w:r>
      <w:r>
        <w:rPr>
          <w:rStyle w:val="FootnoteReference"/>
          <w:rFonts w:ascii="Times New Roman" w:hAnsi="Times New Roman" w:cs="Times New Roman"/>
          <w:noProof/>
          <w:sz w:val="24"/>
          <w:szCs w:val="24"/>
        </w:rPr>
        <w:footnoteReference w:id="190"/>
      </w:r>
      <w:r>
        <w:rPr>
          <w:rFonts w:ascii="Times New Roman" w:hAnsi="Times New Roman" w:cs="Times New Roman"/>
          <w:noProof/>
          <w:sz w:val="24"/>
          <w:szCs w:val="24"/>
        </w:rPr>
        <w:t xml:space="preserve"> have been defined, and will contribute towards reducing emissions from the road transport sector. Besides the post-2020 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standards for new light duty and heavy duty vehicles, the Clean Vehicles Directive and the Directive on the deployment of alternative fuels infrastructure contribute to the roll-out of recharging infrastructure. Furthermore, the uptake of sustainable alternative fuels is supported by the Renewables Energy Directive and Fuel Quality Directive. Improvements in transport system efficiency (by making the most of digital technologies and smart pricing and further encouraging multi-modal integration and shifts towards more sustainable transport modes) are facilitated by e.g. the TEN-T Regulation supported by CEF funding, the fourth Railway Package, the Directive on Intelligent Transport Systems, the European Rail Traffic Management System European deployment plan, the Regulation establishing a framework for the provision of port services, and others. The Baseline also accounts for other initiatives addressing air pollution from inland waterways vessels, as well as road safety, and thus reducing the external costs of transport.</w:t>
      </w:r>
    </w:p>
    <w:p>
      <w:pPr>
        <w:pStyle w:val="ListParagraph"/>
        <w:numPr>
          <w:ilvl w:val="0"/>
          <w:numId w:val="18"/>
        </w:numPr>
        <w:spacing w:after="120"/>
        <w:ind w:left="284" w:hanging="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The Effort Sharing Regulation</w:t>
      </w:r>
      <w:r>
        <w:rPr>
          <w:rStyle w:val="FootnoteReference"/>
          <w:rFonts w:ascii="Times New Roman" w:hAnsi="Times New Roman" w:cs="Times New Roman"/>
          <w:noProof/>
          <w:sz w:val="24"/>
          <w:szCs w:val="24"/>
        </w:rPr>
        <w:footnoteReference w:id="191"/>
      </w:r>
      <w:r>
        <w:rPr>
          <w:rFonts w:ascii="Times New Roman" w:hAnsi="Times New Roman" w:cs="Times New Roman"/>
          <w:noProof/>
          <w:sz w:val="24"/>
          <w:szCs w:val="24"/>
        </w:rPr>
        <w:t xml:space="preserve"> (ESR) sets binding annual reduction targets for member states, with an aim to reduce emissions by 30% compared to 2005 by 2030. The ESR targets are set according to national wealth and cost-effectiveness. The ESR allows for flexibilities such as transfers between member states.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In addition, these policies will continue pushing further GHG emissions reduction, and increasing energy savings and renewable energies deployment after 2030, either because they do not have a "sunset clause" (notably ETS, and since recently, Article 7 in revised EED), or because of the technological learning and cost reductions that they are expected to induce. Moreover, most actions in the energy and transport system have long-term impacts. The baseline captures these dynamics, but it needs to be emphasised that no intensification of policies post-2030 was assumed and no target for GHG emissions reduction in 2050 was set concerning climate neutrality. </w:t>
      </w:r>
    </w:p>
    <w:p>
      <w:pPr>
        <w:spacing w:after="120"/>
        <w:jc w:val="both"/>
        <w:rPr>
          <w:rFonts w:ascii="Times New Roman" w:hAnsi="Times New Roman" w:cs="Times New Roman"/>
          <w:noProof/>
          <w:sz w:val="24"/>
          <w:szCs w:val="24"/>
        </w:rPr>
      </w:pPr>
      <w:bookmarkStart w:id="604" w:name="_Ref45147125"/>
      <w:r>
        <w:rPr>
          <w:rFonts w:ascii="Times New Roman" w:hAnsi="Times New Roman" w:cs="Times New Roman"/>
          <w:noProof/>
          <w:sz w:val="24"/>
          <w:szCs w:val="24"/>
        </w:rPr>
        <w:t>The Baseline scenario considers existing national policies and those reflected in the National Energy and Climate Plans.</w:t>
      </w:r>
      <w:bookmarkEnd w:id="604"/>
      <w:r>
        <w:rPr>
          <w:rFonts w:ascii="Times New Roman" w:hAnsi="Times New Roman" w:cs="Times New Roman"/>
          <w:noProof/>
          <w:sz w:val="24"/>
          <w:szCs w:val="24"/>
        </w:rPr>
        <w:t xml:space="preserve">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Baseline scenario models the policies already adopted, but not the target of net-zero emissions by 2050. As a result, there are no additional policies introduced driving decarbonisation after 2030. However, climate and energy policies are not rolled back after 2030 and several of the measures in place today continue to deliver emissions reduction in the long term.  </w:t>
      </w:r>
    </w:p>
    <w:p>
      <w:pPr>
        <w:spacing w:line="240" w:lineRule="auto"/>
        <w:jc w:val="both"/>
        <w:rPr>
          <w:rFonts w:ascii="Times New Roman" w:hAnsi="Times New Roman" w:cs="Times New Roman"/>
          <w:b/>
          <w:bCs/>
          <w:i/>
          <w:iCs/>
          <w:noProof/>
          <w:sz w:val="24"/>
          <w:szCs w:val="24"/>
        </w:rPr>
      </w:pPr>
      <w:r>
        <w:rPr>
          <w:rFonts w:ascii="Times New Roman" w:hAnsi="Times New Roman" w:cs="Times New Roman"/>
          <w:b/>
          <w:bCs/>
          <w:i/>
          <w:iCs/>
          <w:noProof/>
          <w:sz w:val="24"/>
          <w:szCs w:val="24"/>
        </w:rPr>
        <w:t>Main results of the Baseline scenario</w:t>
      </w:r>
    </w:p>
    <w:p>
      <w:pPr>
        <w:spacing w:after="120"/>
        <w:jc w:val="both"/>
        <w:rPr>
          <w:rFonts w:ascii="Times New Roman" w:hAnsi="Times New Roman" w:cs="Times New Roman"/>
          <w:noProof/>
          <w:sz w:val="24"/>
          <w:szCs w:val="24"/>
        </w:rPr>
      </w:pPr>
      <w:r>
        <w:rPr>
          <w:rFonts w:ascii="Times New Roman" w:hAnsi="Times New Roman" w:cs="Times New Roman"/>
          <w:bCs/>
          <w:i/>
          <w:noProof/>
          <w:sz w:val="24"/>
          <w:szCs w:val="24"/>
        </w:rPr>
        <w:t>EU freight transport activity for inland modes</w:t>
      </w:r>
      <w:r>
        <w:rPr>
          <w:rFonts w:ascii="Times New Roman" w:hAnsi="Times New Roman" w:cs="Times New Roman"/>
          <w:noProof/>
          <w:sz w:val="24"/>
          <w:szCs w:val="24"/>
        </w:rPr>
        <w:t xml:space="preserve"> is projected to grow at a rate of 1.2% per year on average between 2015 and 2050, despite the significant impact of the COVID-19 pandemic. Growth rates per mode of transport would however be different. The highest growth is projected in the rail freight transport, driven by the assumed completion of the TEN-T core network by 2030 and of the comprehensive network by 2050, supported by the CEF, Cohesion Fund and ERDF funding. Road freight transport would grow by 1.2% per year followed by inland navigation transport that is projected to grow by around 0.9% per year.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COVID-19 pandemic had a major impact on global shipping, affecting all its segments from passenger ships to container ships and oil tankers. About 30% of all goods in the EU are transported by ships. </w:t>
      </w:r>
      <w:r>
        <w:rPr>
          <w:rFonts w:ascii="Times New Roman" w:hAnsi="Times New Roman" w:cs="Times New Roman"/>
          <w:i/>
          <w:noProof/>
          <w:sz w:val="24"/>
          <w:szCs w:val="24"/>
        </w:rPr>
        <w:t>International maritime transport activity</w:t>
      </w:r>
      <w:r>
        <w:rPr>
          <w:rFonts w:ascii="Times New Roman" w:hAnsi="Times New Roman" w:cs="Times New Roman"/>
          <w:noProof/>
          <w:sz w:val="24"/>
          <w:szCs w:val="24"/>
        </w:rPr>
        <w:t xml:space="preserve"> (intra and extra-EU) is projected to be 21% lower in 2020 relative to 2015. From 2021 onwards however it is projected to start recovering and grow strongly by 2025 and beyond (i.e. 20% growth for 2015-2030 and 50% for 2015-2050), due to the rising demand for primary resources and container shipping. Passsenger shipping activity (i.e. passenger cruise and Ro-Pax) has been affected more strongly than the freight shipping due to the travel restrictions linked to the COVID-19 pandemic. Its activity is projected to be around 40% lower in 2020 relative to 2015 but to strongly recover from 2021 onwards. </w:t>
      </w:r>
      <w:r>
        <w:rPr>
          <w:rFonts w:ascii="Times New Roman" w:hAnsi="Times New Roman" w:cs="Times New Roman"/>
          <w:i/>
          <w:noProof/>
          <w:sz w:val="24"/>
          <w:szCs w:val="24"/>
        </w:rPr>
        <w:t>Passenger shipping activity</w:t>
      </w:r>
      <w:r>
        <w:rPr>
          <w:rFonts w:ascii="Times New Roman" w:hAnsi="Times New Roman" w:cs="Times New Roman"/>
          <w:noProof/>
          <w:sz w:val="24"/>
          <w:szCs w:val="24"/>
        </w:rPr>
        <w:t xml:space="preserve"> is projected to grow by 24% during 2015-2030 and by 54% for 2015-2050 despite the significant impact of the COVID-19 pandemic on the sector.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baseline scenario projects a limited uptake of biofuels in international maritime by 2050 (0.1% in 2030 and 1.3% in 2050). No other type of renewable and low carbon fuels is foreseen to enter the international maritime fuel mix by 2050 without further EU level intervention. Only a very small uptake of electricity (0.1% of the fuel mix) is projected by 2030 and 2050 due to the on-shore power supply at berth.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existing provisions of EU legislation (in particular the Sulphur Directive or the AFID), which could have encouraged the uptake of alternative fuels, in particular LNG, have not produced yet any significant uptake of new sources of energy in maritime transport. However, by 2050 LNG is projected to represent around 19% of the international maritime fuel mix, mainly as a result of more stringent requirements on air pollution control (in particular SOx and NOx emissions). Even though the GHG benefits of LNG remain modest (in particular due to possible methane slip) the technology provides a good solution to air pollution issues, allowing reductions in SOx and NOx emissions and, as a result, it represented an attractive compliance option to the Sulphur Directive. In the longer term, LNG can pave the way to the use of bio-LNG or e-gas, which would also offer climate-related benefits. In the Baseline scenario, the LNG-fuelled fleet is projected to be around 5,100 by 2050.</w:t>
      </w:r>
    </w:p>
    <w:p>
      <w:pPr>
        <w:pStyle w:val="Caption"/>
        <w:spacing w:after="120"/>
        <w:rPr>
          <w:noProof/>
        </w:rPr>
      </w:pPr>
      <w:bookmarkStart w:id="605" w:name="_Ref57127617"/>
      <w:r>
        <w:rPr>
          <w:noProof/>
        </w:rPr>
        <w:t xml:space="preserve">Figure </w:t>
      </w:r>
      <w:r>
        <w:rPr>
          <w:noProof/>
        </w:rPr>
        <w:fldChar w:fldCharType="begin"/>
      </w:r>
      <w:r>
        <w:rPr>
          <w:noProof/>
        </w:rPr>
        <w:instrText xml:space="preserve"> SEQ Figure \* ARABIC </w:instrText>
      </w:r>
      <w:r>
        <w:rPr>
          <w:noProof/>
        </w:rPr>
        <w:fldChar w:fldCharType="separate"/>
      </w:r>
      <w:r>
        <w:rPr>
          <w:noProof/>
        </w:rPr>
        <w:t>14</w:t>
      </w:r>
      <w:r>
        <w:rPr>
          <w:noProof/>
        </w:rPr>
        <w:fldChar w:fldCharType="end"/>
      </w:r>
      <w:bookmarkEnd w:id="605"/>
      <w:r>
        <w:rPr>
          <w:noProof/>
        </w:rPr>
        <w:t xml:space="preserve"> Projected evolution of EU27 international maritime transport activity in the Baseline scenario</w:t>
      </w:r>
    </w:p>
    <w:p>
      <w:pPr>
        <w:spacing w:after="0"/>
        <w:rPr>
          <w:noProof/>
        </w:rPr>
      </w:pPr>
      <w:r>
        <w:rPr>
          <w:noProof/>
          <w:lang w:eastAsia="en-GB"/>
        </w:rPr>
        <w:drawing>
          <wp:inline distT="0" distB="0" distL="0" distR="0">
            <wp:extent cx="4350007" cy="24413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61222" cy="2447654"/>
                    </a:xfrm>
                    <a:prstGeom prst="rect">
                      <a:avLst/>
                    </a:prstGeom>
                    <a:noFill/>
                    <a:ln>
                      <a:noFill/>
                    </a:ln>
                  </pic:spPr>
                </pic:pic>
              </a:graphicData>
            </a:graphic>
          </wp:inline>
        </w:drawing>
      </w:r>
    </w:p>
    <w:p>
      <w:pPr>
        <w:rPr>
          <w:rFonts w:ascii="Times New Roman" w:eastAsia="Calibri" w:hAnsi="Times New Roman" w:cs="Times New Roman"/>
          <w:i/>
          <w:iCs/>
          <w:noProof/>
          <w:sz w:val="18"/>
          <w:szCs w:val="18"/>
        </w:rPr>
      </w:pPr>
      <w:r>
        <w:rPr>
          <w:rFonts w:ascii="Times New Roman" w:eastAsia="Calibri" w:hAnsi="Times New Roman" w:cs="Times New Roman"/>
          <w:i/>
          <w:iCs/>
          <w:noProof/>
          <w:sz w:val="18"/>
          <w:szCs w:val="18"/>
        </w:rPr>
        <w:t xml:space="preserve">Source: PRIMES-Maritime model, E3Modelling </w:t>
      </w:r>
    </w:p>
    <w:p>
      <w:pPr>
        <w:spacing w:after="120"/>
        <w:jc w:val="both"/>
        <w:rPr>
          <w:rFonts w:ascii="Times New Roman" w:eastAsiaTheme="minorEastAsia" w:hAnsi="Times New Roman" w:cs="Times New Roman"/>
          <w:i/>
          <w:noProof/>
          <w:sz w:val="24"/>
          <w:szCs w:val="24"/>
          <w:lang w:eastAsia="en-GB"/>
        </w:rPr>
      </w:pPr>
      <w:r>
        <w:rPr>
          <w:rFonts w:ascii="Times New Roman" w:eastAsiaTheme="minorEastAsia" w:hAnsi="Times New Roman" w:cs="Times New Roman"/>
          <w:i/>
          <w:noProof/>
          <w:sz w:val="24"/>
          <w:szCs w:val="24"/>
          <w:lang w:eastAsia="en-GB"/>
        </w:rPr>
        <w:t xml:space="preserve">Tank-to-wake </w:t>
      </w:r>
      <w:r>
        <w:rPr>
          <w:rFonts w:ascii="Times New Roman" w:hAnsi="Times New Roman" w:cs="Times New Roman"/>
          <w:i/>
          <w:noProof/>
          <w:sz w:val="24"/>
          <w:szCs w:val="24"/>
        </w:rPr>
        <w:t xml:space="preserve">GHG emissions from international shipping (including CH4 and N2O emissions from slippage) </w:t>
      </w:r>
      <w:r>
        <w:rPr>
          <w:rFonts w:ascii="Times New Roman" w:hAnsi="Times New Roman" w:cs="Times New Roman"/>
          <w:noProof/>
          <w:sz w:val="24"/>
          <w:szCs w:val="24"/>
        </w:rPr>
        <w:t xml:space="preserve">are projected to increase by 14% by 2030 and by 34% by 2050 relative to 2015. This is driven by the </w:t>
      </w:r>
      <w:r>
        <w:rPr>
          <w:rFonts w:ascii="Times New Roman" w:hAnsi="Times New Roman" w:cs="Times New Roman"/>
          <w:noProof/>
          <w:sz w:val="24"/>
          <w:szCs w:val="24"/>
          <w:lang w:val="en-US"/>
        </w:rPr>
        <w:t>sustained growth projected for transport activity</w:t>
      </w:r>
      <w:r>
        <w:rPr>
          <w:rFonts w:ascii="Times New Roman" w:hAnsi="Times New Roman" w:cs="Times New Roman"/>
          <w:bCs/>
          <w:noProof/>
          <w:sz w:val="24"/>
          <w:szCs w:val="24"/>
          <w:lang w:val="en-US"/>
        </w:rPr>
        <w:t>,</w:t>
      </w:r>
      <w:r>
        <w:rPr>
          <w:rFonts w:ascii="Times New Roman" w:hAnsi="Times New Roman" w:cs="Times New Roman"/>
          <w:b/>
          <w:bCs/>
          <w:noProof/>
          <w:sz w:val="24"/>
          <w:szCs w:val="24"/>
          <w:lang w:val="en-US"/>
        </w:rPr>
        <w:t xml:space="preserve"> </w:t>
      </w:r>
      <w:r>
        <w:rPr>
          <w:rFonts w:ascii="Times New Roman" w:hAnsi="Times New Roman" w:cs="Times New Roman"/>
          <w:noProof/>
          <w:sz w:val="24"/>
          <w:szCs w:val="24"/>
          <w:lang w:val="en-US"/>
        </w:rPr>
        <w:t xml:space="preserve">even when accounting for the impact of the COVID-19 pandemic, and despite the significant improvements in energy efficiency taking place over time. </w:t>
      </w:r>
      <w:r>
        <w:rPr>
          <w:rFonts w:ascii="Times New Roman" w:hAnsi="Times New Roman" w:cs="Times New Roman"/>
          <w:noProof/>
          <w:sz w:val="24"/>
          <w:szCs w:val="24"/>
        </w:rPr>
        <w:t>On a well-to-wake basis, this is equivalent to 15% increase during 2015-2030 and 38% for 2015-2050.</w:t>
      </w:r>
    </w:p>
    <w:p>
      <w:pPr>
        <w:spacing w:after="120"/>
        <w:jc w:val="both"/>
        <w:rPr>
          <w:rFonts w:ascii="Times New Roman" w:eastAsiaTheme="minorEastAsia" w:hAnsi="Times New Roman" w:cs="Times New Roman"/>
          <w:noProof/>
          <w:sz w:val="24"/>
          <w:szCs w:val="24"/>
          <w:lang w:eastAsia="en-GB"/>
        </w:rPr>
      </w:pPr>
      <w:r>
        <w:rPr>
          <w:rFonts w:ascii="Times New Roman" w:eastAsiaTheme="minorEastAsia" w:hAnsi="Times New Roman" w:cs="Times New Roman"/>
          <w:i/>
          <w:noProof/>
          <w:sz w:val="24"/>
          <w:szCs w:val="24"/>
          <w:lang w:eastAsia="en-GB"/>
        </w:rPr>
        <w:t>Total transport Tank-to-Wheel CO</w:t>
      </w:r>
      <w:r>
        <w:rPr>
          <w:rFonts w:ascii="Times New Roman" w:eastAsiaTheme="minorEastAsia" w:hAnsi="Times New Roman" w:cs="Times New Roman"/>
          <w:i/>
          <w:noProof/>
          <w:sz w:val="24"/>
          <w:szCs w:val="24"/>
          <w:vertAlign w:val="subscript"/>
          <w:lang w:eastAsia="en-GB"/>
        </w:rPr>
        <w:t>2</w:t>
      </w:r>
      <w:r>
        <w:rPr>
          <w:rFonts w:ascii="Times New Roman" w:eastAsiaTheme="minorEastAsia" w:hAnsi="Times New Roman" w:cs="Times New Roman"/>
          <w:i/>
          <w:noProof/>
          <w:sz w:val="24"/>
          <w:szCs w:val="24"/>
          <w:lang w:eastAsia="en-GB"/>
        </w:rPr>
        <w:t xml:space="preserve"> emissions</w:t>
      </w:r>
      <w:r>
        <w:rPr>
          <w:rFonts w:ascii="Times New Roman" w:eastAsiaTheme="minorEastAsia" w:hAnsi="Times New Roman" w:cs="Times New Roman"/>
          <w:noProof/>
          <w:sz w:val="24"/>
          <w:szCs w:val="24"/>
          <w:lang w:eastAsia="en-GB"/>
        </w:rPr>
        <w:t xml:space="preserve"> (including international shipping) are projected to decrease from approximately 994 Mtons in 2015 to about 888 Mtons in 2030 and 713 Mtons in 2050, or by 11% and 28%, respectively. The reduction in CO</w:t>
      </w:r>
      <w:r>
        <w:rPr>
          <w:rFonts w:ascii="Times New Roman" w:eastAsiaTheme="minorEastAsia" w:hAnsi="Times New Roman" w:cs="Times New Roman"/>
          <w:noProof/>
          <w:sz w:val="24"/>
          <w:szCs w:val="24"/>
          <w:vertAlign w:val="subscript"/>
          <w:lang w:eastAsia="en-GB"/>
        </w:rPr>
        <w:t>2</w:t>
      </w:r>
      <w:r>
        <w:rPr>
          <w:rFonts w:ascii="Times New Roman" w:eastAsiaTheme="minorEastAsia" w:hAnsi="Times New Roman" w:cs="Times New Roman"/>
          <w:noProof/>
          <w:sz w:val="24"/>
          <w:szCs w:val="24"/>
          <w:lang w:eastAsia="en-GB"/>
        </w:rPr>
        <w:t xml:space="preserve"> emissions is primarily achieved in road transport due to the roll-out of efficient internal combustion engine vehicles and the uptake of electric vehicles, especially in the period after 2030, but also due to the shift to rail. Specifically, the emissions of road transport are projected to decrease from 732 Mtons in 2015, to 588 Mtons in 2030 (or 20% compared to 2015) and to 386 Mtons in 2050 (or 47% compared to 2015). Emissions from rail transport also decrease, by 3 Mtons in 2050 (or 65% compared 2015). The reduction in these segments compensates for the increase of CO</w:t>
      </w:r>
      <w:r>
        <w:rPr>
          <w:rFonts w:ascii="Times New Roman" w:eastAsiaTheme="minorEastAsia" w:hAnsi="Times New Roman" w:cs="Times New Roman"/>
          <w:noProof/>
          <w:sz w:val="24"/>
          <w:szCs w:val="24"/>
          <w:vertAlign w:val="subscript"/>
          <w:lang w:eastAsia="en-GB"/>
        </w:rPr>
        <w:t>2</w:t>
      </w:r>
      <w:r>
        <w:rPr>
          <w:rFonts w:ascii="Times New Roman" w:eastAsiaTheme="minorEastAsia" w:hAnsi="Times New Roman" w:cs="Times New Roman"/>
          <w:noProof/>
          <w:sz w:val="24"/>
          <w:szCs w:val="24"/>
          <w:lang w:eastAsia="en-GB"/>
        </w:rPr>
        <w:t xml:space="preserve"> emissions in aviation, which from 120 Mtons in 2015, increases to 140 Mtons in 2030 (by 17%) and 144 Mtons in 2050 (by 21%), and international shipping that increases its emissions by around 42 Mtons between 2015 and 2050. </w:t>
      </w:r>
    </w:p>
    <w:p>
      <w:pPr>
        <w:spacing w:after="120"/>
        <w:jc w:val="both"/>
        <w:rPr>
          <w:rFonts w:ascii="Times New Roman" w:eastAsiaTheme="minorEastAsia" w:hAnsi="Times New Roman" w:cs="Times New Roman"/>
          <w:noProof/>
          <w:sz w:val="24"/>
          <w:szCs w:val="24"/>
          <w:lang w:eastAsia="en-GB"/>
        </w:rPr>
      </w:pPr>
      <w:r>
        <w:rPr>
          <w:rFonts w:ascii="Times New Roman" w:eastAsiaTheme="minorEastAsia" w:hAnsi="Times New Roman" w:cs="Times New Roman"/>
          <w:noProof/>
          <w:sz w:val="24"/>
          <w:szCs w:val="24"/>
          <w:lang w:eastAsia="en-GB"/>
        </w:rPr>
        <w:t>Well-to-Wheel (WTW) emissions (including those from international maritime) are projected to follow a similar declining trend. In the Baseline scenario they decrease from 1,118 Mtons CO</w:t>
      </w:r>
      <w:r>
        <w:rPr>
          <w:rFonts w:ascii="Times New Roman" w:eastAsiaTheme="minorEastAsia" w:hAnsi="Times New Roman" w:cs="Times New Roman"/>
          <w:noProof/>
          <w:sz w:val="24"/>
          <w:szCs w:val="24"/>
          <w:vertAlign w:val="subscript"/>
          <w:lang w:eastAsia="en-GB"/>
        </w:rPr>
        <w:t>2eq</w:t>
      </w:r>
      <w:r>
        <w:rPr>
          <w:rFonts w:ascii="Times New Roman" w:eastAsiaTheme="minorEastAsia" w:hAnsi="Times New Roman" w:cs="Times New Roman"/>
          <w:noProof/>
          <w:sz w:val="24"/>
          <w:szCs w:val="24"/>
          <w:lang w:eastAsia="en-GB"/>
        </w:rPr>
        <w:t xml:space="preserve"> in 2015, to 1,019 Mtons CO</w:t>
      </w:r>
      <w:r>
        <w:rPr>
          <w:rFonts w:ascii="Times New Roman" w:eastAsiaTheme="minorEastAsia" w:hAnsi="Times New Roman" w:cs="Times New Roman"/>
          <w:noProof/>
          <w:sz w:val="24"/>
          <w:szCs w:val="24"/>
          <w:vertAlign w:val="subscript"/>
          <w:lang w:eastAsia="en-GB"/>
        </w:rPr>
        <w:t>2eq</w:t>
      </w:r>
      <w:r>
        <w:rPr>
          <w:rFonts w:ascii="Times New Roman" w:eastAsiaTheme="minorEastAsia" w:hAnsi="Times New Roman" w:cs="Times New Roman"/>
          <w:noProof/>
          <w:sz w:val="24"/>
          <w:szCs w:val="24"/>
          <w:lang w:eastAsia="en-GB"/>
        </w:rPr>
        <w:t xml:space="preserve"> in 2030 and 838 Mtons CO</w:t>
      </w:r>
      <w:r>
        <w:rPr>
          <w:rFonts w:ascii="Times New Roman" w:eastAsiaTheme="minorEastAsia" w:hAnsi="Times New Roman" w:cs="Times New Roman"/>
          <w:noProof/>
          <w:sz w:val="24"/>
          <w:szCs w:val="24"/>
          <w:vertAlign w:val="subscript"/>
          <w:lang w:eastAsia="en-GB"/>
        </w:rPr>
        <w:t>2eq</w:t>
      </w:r>
      <w:r>
        <w:rPr>
          <w:rFonts w:ascii="Times New Roman" w:eastAsiaTheme="minorEastAsia" w:hAnsi="Times New Roman" w:cs="Times New Roman"/>
          <w:noProof/>
          <w:sz w:val="24"/>
          <w:szCs w:val="24"/>
          <w:lang w:eastAsia="en-GB"/>
        </w:rPr>
        <w:t xml:space="preserve"> in 2050. </w:t>
      </w:r>
    </w:p>
    <w:p>
      <w:pPr>
        <w:spacing w:after="120"/>
        <w:jc w:val="both"/>
        <w:rPr>
          <w:rFonts w:ascii="Times New Roman" w:eastAsiaTheme="minorEastAsia" w:hAnsi="Times New Roman" w:cs="Times New Roman"/>
          <w:noProof/>
          <w:sz w:val="24"/>
          <w:szCs w:val="24"/>
          <w:lang w:eastAsia="en-GB"/>
        </w:rPr>
      </w:pPr>
      <w:r>
        <w:rPr>
          <w:rFonts w:ascii="Times New Roman" w:eastAsiaTheme="minorEastAsia" w:hAnsi="Times New Roman" w:cs="Times New Roman"/>
          <w:noProof/>
          <w:sz w:val="24"/>
          <w:szCs w:val="24"/>
          <w:lang w:eastAsia="en-GB"/>
        </w:rPr>
        <w:t>The Baseline scenario results are closely aligned to those of the EU Reference scenario 2020.</w:t>
      </w:r>
    </w:p>
    <w:p>
      <w:pPr>
        <w:pStyle w:val="Caption"/>
        <w:spacing w:after="120"/>
        <w:rPr>
          <w:noProof/>
        </w:rPr>
      </w:pPr>
      <w:bookmarkStart w:id="606" w:name="_Ref57128054"/>
      <w:r>
        <w:rPr>
          <w:noProof/>
        </w:rPr>
        <w:t xml:space="preserve">Figure </w:t>
      </w:r>
      <w:r>
        <w:rPr>
          <w:noProof/>
        </w:rPr>
        <w:fldChar w:fldCharType="begin"/>
      </w:r>
      <w:r>
        <w:rPr>
          <w:noProof/>
        </w:rPr>
        <w:instrText xml:space="preserve"> SEQ Figure \* ARABIC </w:instrText>
      </w:r>
      <w:r>
        <w:rPr>
          <w:noProof/>
        </w:rPr>
        <w:fldChar w:fldCharType="separate"/>
      </w:r>
      <w:r>
        <w:rPr>
          <w:noProof/>
        </w:rPr>
        <w:t>15</w:t>
      </w:r>
      <w:r>
        <w:rPr>
          <w:noProof/>
        </w:rPr>
        <w:fldChar w:fldCharType="end"/>
      </w:r>
      <w:bookmarkEnd w:id="606"/>
      <w:r>
        <w:rPr>
          <w:noProof/>
        </w:rPr>
        <w:t xml:space="preserve"> Reduction of Tank-to-Wheel CO2 emissions by transport segment in the EU27 between 2015 and 2050 in the Baseline scenario</w:t>
      </w:r>
    </w:p>
    <w:p>
      <w:pPr>
        <w:spacing w:after="0"/>
        <w:rPr>
          <w:noProof/>
        </w:rPr>
      </w:pPr>
      <w:r>
        <w:rPr>
          <w:noProof/>
        </w:rPr>
        <w:t xml:space="preserve"> </w:t>
      </w:r>
      <w:r>
        <w:rPr>
          <w:noProof/>
          <w:lang w:eastAsia="en-GB"/>
        </w:rPr>
        <w:drawing>
          <wp:inline distT="0" distB="0" distL="0" distR="0">
            <wp:extent cx="4978987" cy="257342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84343" cy="2576188"/>
                    </a:xfrm>
                    <a:prstGeom prst="rect">
                      <a:avLst/>
                    </a:prstGeom>
                    <a:noFill/>
                    <a:ln>
                      <a:noFill/>
                    </a:ln>
                  </pic:spPr>
                </pic:pic>
              </a:graphicData>
            </a:graphic>
          </wp:inline>
        </w:drawing>
      </w:r>
    </w:p>
    <w:p>
      <w:pPr>
        <w:rPr>
          <w:rFonts w:ascii="Times New Roman" w:eastAsia="Calibri" w:hAnsi="Times New Roman" w:cs="Times New Roman"/>
          <w:i/>
          <w:iCs/>
          <w:noProof/>
          <w:sz w:val="18"/>
          <w:szCs w:val="18"/>
        </w:rPr>
      </w:pPr>
      <w:r>
        <w:rPr>
          <w:rFonts w:ascii="Times New Roman" w:eastAsia="Calibri" w:hAnsi="Times New Roman" w:cs="Times New Roman"/>
          <w:i/>
          <w:iCs/>
          <w:noProof/>
          <w:sz w:val="18"/>
          <w:szCs w:val="18"/>
        </w:rPr>
        <w:t xml:space="preserve">Source: PRIMES model, E3Modelling </w:t>
      </w:r>
    </w:p>
    <w:p>
      <w:pPr>
        <w:pStyle w:val="Heading1"/>
        <w:numPr>
          <w:ilvl w:val="0"/>
          <w:numId w:val="14"/>
        </w:numPr>
        <w:rPr>
          <w:noProof/>
        </w:rPr>
      </w:pPr>
      <w:bookmarkStart w:id="607" w:name="_Toc59152671"/>
      <w:bookmarkStart w:id="608" w:name="_Toc63426185"/>
      <w:bookmarkStart w:id="609" w:name="_Toc63438531"/>
      <w:r>
        <w:rPr>
          <w:noProof/>
        </w:rPr>
        <w:t>Methodological approach for modelling Policy Options</w:t>
      </w:r>
      <w:bookmarkEnd w:id="607"/>
      <w:bookmarkEnd w:id="608"/>
      <w:bookmarkEnd w:id="609"/>
      <w:r>
        <w:rPr>
          <w:noProof/>
        </w:rPr>
        <w:t xml:space="preserve"> </w:t>
      </w:r>
    </w:p>
    <w:p>
      <w:pPr>
        <w:spacing w:after="120"/>
        <w:jc w:val="both"/>
        <w:rPr>
          <w:rFonts w:ascii="Times New Roman" w:eastAsiaTheme="minorEastAsia" w:hAnsi="Times New Roman" w:cs="Times New Roman"/>
          <w:noProof/>
          <w:sz w:val="24"/>
          <w:szCs w:val="24"/>
          <w:lang w:eastAsia="en-GB"/>
        </w:rPr>
      </w:pPr>
      <w:r>
        <w:rPr>
          <w:rFonts w:ascii="Times New Roman" w:eastAsiaTheme="minorEastAsia" w:hAnsi="Times New Roman" w:cs="Times New Roman"/>
          <w:noProof/>
          <w:sz w:val="24"/>
          <w:szCs w:val="24"/>
          <w:lang w:eastAsia="en-GB"/>
        </w:rPr>
        <w:t xml:space="preserve">In Policy Option 1 the shares of renewable and low carbon fuels ‘in navigation’ by 2030 and 2050 have been set in a consistent way with the analysis underpinning the MIX scenario of the 2030 Climate Target Plan and the Sustainable and Smart Mobility Strategy. This </w:t>
      </w:r>
      <w:r>
        <w:rPr>
          <w:rFonts w:ascii="Times New Roman" w:eastAsiaTheme="minorEastAsia" w:hAnsi="Times New Roman" w:cs="Times New Roman"/>
          <w:noProof/>
          <w:sz w:val="24"/>
          <w:szCs w:val="24"/>
          <w:lang w:val="en-IE" w:eastAsia="en-GB"/>
        </w:rPr>
        <w:t xml:space="preserve">ensures </w:t>
      </w:r>
      <w:r>
        <w:rPr>
          <w:rFonts w:ascii="Times New Roman" w:eastAsiaTheme="minorEastAsia" w:hAnsi="Times New Roman" w:cs="Times New Roman"/>
          <w:bCs/>
          <w:noProof/>
          <w:sz w:val="24"/>
          <w:szCs w:val="24"/>
          <w:lang w:val="en-IE" w:eastAsia="en-GB"/>
        </w:rPr>
        <w:t>consistency with the available fuel production capacity</w:t>
      </w:r>
      <w:r>
        <w:rPr>
          <w:rFonts w:ascii="Times New Roman" w:eastAsiaTheme="minorEastAsia" w:hAnsi="Times New Roman" w:cs="Times New Roman"/>
          <w:b/>
          <w:bCs/>
          <w:noProof/>
          <w:sz w:val="24"/>
          <w:szCs w:val="24"/>
          <w:lang w:val="en-IE" w:eastAsia="en-GB"/>
        </w:rPr>
        <w:t xml:space="preserve"> </w:t>
      </w:r>
      <w:r>
        <w:rPr>
          <w:rFonts w:ascii="Times New Roman" w:eastAsiaTheme="minorEastAsia" w:hAnsi="Times New Roman" w:cs="Times New Roman"/>
          <w:noProof/>
          <w:sz w:val="24"/>
          <w:szCs w:val="24"/>
          <w:lang w:val="en-IE" w:eastAsia="en-GB"/>
        </w:rPr>
        <w:t xml:space="preserve">in the EU and </w:t>
      </w:r>
      <w:r>
        <w:rPr>
          <w:rFonts w:ascii="Times New Roman" w:eastAsiaTheme="minorEastAsia" w:hAnsi="Times New Roman" w:cs="Times New Roman"/>
          <w:bCs/>
          <w:noProof/>
          <w:sz w:val="24"/>
          <w:szCs w:val="24"/>
          <w:lang w:val="en-IE" w:eastAsia="en-GB"/>
        </w:rPr>
        <w:t>reflects the expected levels of demand</w:t>
      </w:r>
      <w:r>
        <w:rPr>
          <w:rFonts w:ascii="Times New Roman" w:eastAsiaTheme="minorEastAsia" w:hAnsi="Times New Roman" w:cs="Times New Roman"/>
          <w:b/>
          <w:bCs/>
          <w:noProof/>
          <w:sz w:val="24"/>
          <w:szCs w:val="24"/>
          <w:lang w:val="en-IE" w:eastAsia="en-GB"/>
        </w:rPr>
        <w:t xml:space="preserve"> </w:t>
      </w:r>
      <w:r>
        <w:rPr>
          <w:rFonts w:ascii="Times New Roman" w:eastAsiaTheme="minorEastAsia" w:hAnsi="Times New Roman" w:cs="Times New Roman"/>
          <w:noProof/>
          <w:sz w:val="24"/>
          <w:szCs w:val="24"/>
          <w:lang w:val="en-IE" w:eastAsia="en-GB"/>
        </w:rPr>
        <w:t>from other energy and transport sectors.</w:t>
      </w:r>
      <w:r>
        <w:rPr>
          <w:rFonts w:ascii="Times New Roman" w:eastAsiaTheme="minorEastAsia" w:hAnsi="Times New Roman" w:cs="Times New Roman"/>
          <w:noProof/>
          <w:sz w:val="24"/>
          <w:szCs w:val="24"/>
          <w:lang w:eastAsia="en-GB"/>
        </w:rPr>
        <w:t xml:space="preserve"> It ensures that the feedstock for the production of biofuels and bio-LNG is sufficient for satisfying the demand from all sectors, including the maritime sector, by 2030 and 2050. It also ensures that sufficient production capacities are in place for ensuring the demand for e-fuels. </w:t>
      </w:r>
    </w:p>
    <w:p>
      <w:pPr>
        <w:spacing w:after="120"/>
        <w:jc w:val="both"/>
        <w:rPr>
          <w:rFonts w:ascii="Times New Roman" w:hAnsi="Times New Roman" w:cs="Times New Roman"/>
          <w:noProof/>
          <w:sz w:val="24"/>
          <w:szCs w:val="24"/>
          <w:lang w:val="en-IE"/>
        </w:rPr>
      </w:pPr>
      <w:r>
        <w:rPr>
          <w:rFonts w:ascii="Times New Roman" w:eastAsiaTheme="minorEastAsia" w:hAnsi="Times New Roman" w:cs="Times New Roman"/>
          <w:noProof/>
          <w:sz w:val="24"/>
          <w:szCs w:val="24"/>
          <w:lang w:eastAsia="en-GB"/>
        </w:rPr>
        <w:t xml:space="preserve">The evolution of the overall share of renewable and low carbon fuels additionally takes into account the </w:t>
      </w:r>
      <w:r>
        <w:rPr>
          <w:rFonts w:ascii="Times New Roman" w:hAnsi="Times New Roman" w:cs="Times New Roman"/>
          <w:noProof/>
          <w:sz w:val="24"/>
          <w:szCs w:val="24"/>
          <w:lang w:val="en-IE"/>
        </w:rPr>
        <w:t xml:space="preserve">analysis of the on shore power requirements at berth, which was not available at the time of the modelling exercise performed for the impact assessment underpinning the 2030 Climate Target Plan. Electricity used at berth is projected to represent around 1.2% of the total energy mix in 2030 and 1% by 2050 in all policy options, driven by the requirements for on-shore power supply at berth. </w:t>
      </w:r>
    </w:p>
    <w:p>
      <w:pPr>
        <w:spacing w:after="120"/>
        <w:jc w:val="both"/>
        <w:rPr>
          <w:rFonts w:ascii="Times New Roman" w:eastAsiaTheme="minorEastAsia" w:hAnsi="Times New Roman" w:cs="Times New Roman"/>
          <w:noProof/>
          <w:sz w:val="24"/>
          <w:szCs w:val="24"/>
          <w:lang w:val="en-IE" w:eastAsia="en-GB"/>
        </w:rPr>
      </w:pPr>
      <w:r>
        <w:rPr>
          <w:rFonts w:ascii="Times New Roman" w:eastAsiaTheme="minorEastAsia" w:hAnsi="Times New Roman" w:cs="Times New Roman"/>
          <w:noProof/>
          <w:sz w:val="24"/>
          <w:szCs w:val="24"/>
          <w:lang w:val="en-IE" w:eastAsia="en-GB"/>
        </w:rPr>
        <w:t xml:space="preserve">Policy Options 2 and 3 have been designed to achieve comparable well-to-wake GHG emissions reductions over time with Policy Option 1, to allow the comparability of costs and benefits. </w:t>
      </w:r>
      <w:r>
        <w:rPr>
          <w:rFonts w:ascii="Times New Roman" w:eastAsiaTheme="minorEastAsia" w:hAnsi="Times New Roman" w:cs="Times New Roman"/>
          <w:bCs/>
          <w:noProof/>
          <w:sz w:val="24"/>
          <w:szCs w:val="24"/>
          <w:lang w:val="en-IE" w:eastAsia="en-GB"/>
        </w:rPr>
        <w:t xml:space="preserve">GHG performance </w:t>
      </w:r>
      <w:r>
        <w:rPr>
          <w:rFonts w:ascii="Times New Roman" w:eastAsiaTheme="minorEastAsia" w:hAnsi="Times New Roman" w:cs="Times New Roman"/>
          <w:noProof/>
          <w:sz w:val="24"/>
          <w:szCs w:val="24"/>
          <w:lang w:val="en-IE" w:eastAsia="en-GB"/>
        </w:rPr>
        <w:t xml:space="preserve">of fuels/technologies is assessed on a </w:t>
      </w:r>
      <w:r>
        <w:rPr>
          <w:rFonts w:ascii="Times New Roman" w:eastAsiaTheme="minorEastAsia" w:hAnsi="Times New Roman" w:cs="Times New Roman"/>
          <w:bCs/>
          <w:noProof/>
          <w:sz w:val="24"/>
          <w:szCs w:val="24"/>
          <w:lang w:val="en-IE" w:eastAsia="en-GB"/>
        </w:rPr>
        <w:t>well-to-wake basis</w:t>
      </w:r>
      <w:r>
        <w:rPr>
          <w:rFonts w:ascii="Times New Roman" w:eastAsiaTheme="minorEastAsia" w:hAnsi="Times New Roman" w:cs="Times New Roman"/>
          <w:noProof/>
          <w:sz w:val="24"/>
          <w:szCs w:val="24"/>
          <w:lang w:val="en-IE" w:eastAsia="en-GB"/>
        </w:rPr>
        <w:t>, and is not limited to CO</w:t>
      </w:r>
      <w:r>
        <w:rPr>
          <w:rFonts w:ascii="Times New Roman" w:eastAsiaTheme="minorEastAsia" w:hAnsi="Times New Roman" w:cs="Times New Roman"/>
          <w:noProof/>
          <w:sz w:val="24"/>
          <w:szCs w:val="24"/>
          <w:vertAlign w:val="subscript"/>
          <w:lang w:val="en-IE" w:eastAsia="en-GB"/>
        </w:rPr>
        <w:t>2</w:t>
      </w:r>
      <w:r>
        <w:rPr>
          <w:rFonts w:ascii="Times New Roman" w:eastAsiaTheme="minorEastAsia" w:hAnsi="Times New Roman" w:cs="Times New Roman"/>
          <w:noProof/>
          <w:sz w:val="24"/>
          <w:szCs w:val="24"/>
          <w:lang w:val="en-IE" w:eastAsia="en-GB"/>
        </w:rPr>
        <w:t xml:space="preserve">, but also includes other GHG such as </w:t>
      </w:r>
      <w:r>
        <w:rPr>
          <w:rFonts w:ascii="Times New Roman" w:eastAsiaTheme="minorEastAsia" w:hAnsi="Times New Roman" w:cs="Times New Roman"/>
          <w:bCs/>
          <w:noProof/>
          <w:sz w:val="24"/>
          <w:szCs w:val="24"/>
          <w:lang w:val="en-IE" w:eastAsia="en-GB"/>
        </w:rPr>
        <w:t>CH</w:t>
      </w:r>
      <w:r>
        <w:rPr>
          <w:rFonts w:ascii="Times New Roman" w:eastAsiaTheme="minorEastAsia" w:hAnsi="Times New Roman" w:cs="Times New Roman"/>
          <w:bCs/>
          <w:noProof/>
          <w:sz w:val="24"/>
          <w:szCs w:val="24"/>
          <w:vertAlign w:val="subscript"/>
          <w:lang w:val="en-IE" w:eastAsia="en-GB"/>
        </w:rPr>
        <w:t>4</w:t>
      </w:r>
      <w:r>
        <w:rPr>
          <w:rFonts w:ascii="Times New Roman" w:eastAsiaTheme="minorEastAsia" w:hAnsi="Times New Roman" w:cs="Times New Roman"/>
          <w:bCs/>
          <w:noProof/>
          <w:sz w:val="24"/>
          <w:szCs w:val="24"/>
          <w:lang w:val="en-IE" w:eastAsia="en-GB"/>
        </w:rPr>
        <w:t xml:space="preserve"> and N</w:t>
      </w:r>
      <w:r>
        <w:rPr>
          <w:rFonts w:ascii="Times New Roman" w:eastAsiaTheme="minorEastAsia" w:hAnsi="Times New Roman" w:cs="Times New Roman"/>
          <w:bCs/>
          <w:noProof/>
          <w:sz w:val="24"/>
          <w:szCs w:val="24"/>
          <w:vertAlign w:val="subscript"/>
          <w:lang w:val="en-IE" w:eastAsia="en-GB"/>
        </w:rPr>
        <w:t>2</w:t>
      </w:r>
      <w:r>
        <w:rPr>
          <w:rFonts w:ascii="Times New Roman" w:eastAsiaTheme="minorEastAsia" w:hAnsi="Times New Roman" w:cs="Times New Roman"/>
          <w:bCs/>
          <w:noProof/>
          <w:sz w:val="24"/>
          <w:szCs w:val="24"/>
          <w:lang w:val="en-IE" w:eastAsia="en-GB"/>
        </w:rPr>
        <w:t>O emissions</w:t>
      </w:r>
      <w:r>
        <w:rPr>
          <w:rFonts w:ascii="Times New Roman" w:eastAsiaTheme="minorEastAsia" w:hAnsi="Times New Roman" w:cs="Times New Roman"/>
          <w:noProof/>
          <w:sz w:val="24"/>
          <w:szCs w:val="24"/>
          <w:lang w:val="en-IE" w:eastAsia="en-GB"/>
        </w:rPr>
        <w:t>. In addition, the well-to-tank emission factors take into account the context of the analysis underpinning the 2030 Climate Target Plan, where the power generation sector is set to achieve decarbonisation by 2050. The fuel mix in Policy Options 2 and 3 have been derived to achieve comparable emissions reductions with those in Policy Option 1. This also ensures consistency with the analysis underpinning the 2030 Climate Target Plan.</w:t>
      </w:r>
    </w:p>
    <w:p>
      <w:pPr>
        <w:spacing w:after="120"/>
        <w:jc w:val="both"/>
        <w:rPr>
          <w:rFonts w:ascii="Times New Roman" w:eastAsiaTheme="minorEastAsia" w:hAnsi="Times New Roman" w:cs="Times New Roman"/>
          <w:noProof/>
          <w:sz w:val="24"/>
          <w:szCs w:val="24"/>
          <w:lang w:val="en-IE" w:eastAsia="en-GB"/>
        </w:rPr>
      </w:pPr>
      <w:r>
        <w:rPr>
          <w:rFonts w:ascii="Times New Roman" w:eastAsiaTheme="minorEastAsia" w:hAnsi="Times New Roman" w:cs="Times New Roman"/>
          <w:noProof/>
          <w:sz w:val="24"/>
          <w:szCs w:val="24"/>
          <w:lang w:val="en-IE" w:eastAsia="en-GB"/>
        </w:rPr>
        <w:t>In addition, in Policy Option 3</w:t>
      </w:r>
      <w:r>
        <w:rPr>
          <w:rFonts w:ascii="Times New Roman" w:eastAsiaTheme="minorEastAsia" w:hAnsi="Times New Roman"/>
          <w:noProof/>
          <w:sz w:val="24"/>
          <w:szCs w:val="24"/>
        </w:rPr>
        <w:t xml:space="preserve"> when establishing the ships performance in achieving the yearly target, higher weight is attributed to zero-emission technologies. More specifically, </w:t>
      </w:r>
      <w:r>
        <w:rPr>
          <w:rFonts w:ascii="Times New Roman" w:eastAsiaTheme="minorEastAsia" w:hAnsi="Times New Roman" w:cs="Times New Roman"/>
          <w:noProof/>
          <w:sz w:val="24"/>
          <w:szCs w:val="24"/>
          <w:lang w:val="en-IE" w:eastAsia="en-GB"/>
        </w:rPr>
        <w:t>GHG intensity of fuels is derived as the ratio between the GHG emissions and the energy use by type of fuel:</w:t>
      </w:r>
    </w:p>
    <w:p>
      <w:pPr>
        <w:jc w:val="center"/>
        <w:rPr>
          <w:rFonts w:ascii="Times New Roman" w:eastAsiaTheme="minorEastAsia" w:hAnsi="Times New Roman" w:cs="Times New Roman"/>
          <w:noProof/>
          <w:sz w:val="28"/>
          <w:szCs w:val="28"/>
          <w:lang w:val="en-IE" w:eastAsia="en-GB"/>
        </w:rPr>
      </w:pPr>
      <m:oMathPara>
        <m:oMathParaPr>
          <m:jc m:val="center"/>
        </m:oMathParaPr>
        <m:oMath>
          <m:r>
            <w:rPr>
              <w:rFonts w:ascii="Cambria Math" w:eastAsiaTheme="minorEastAsia" w:hAnsi="Cambria Math" w:cs="Times New Roman"/>
              <w:noProof/>
              <w:sz w:val="24"/>
              <w:szCs w:val="24"/>
              <w:lang w:val="en-IE" w:eastAsia="en-GB"/>
            </w:rPr>
            <m:t>GHGIT=</m:t>
          </m:r>
          <m:f>
            <m:fPr>
              <m:ctrlPr>
                <w:rPr>
                  <w:rFonts w:ascii="Cambria Math" w:eastAsiaTheme="minorEastAsia" w:hAnsi="Cambria Math" w:cs="Times New Roman"/>
                  <w:i/>
                  <w:noProof/>
                  <w:sz w:val="24"/>
                  <w:szCs w:val="24"/>
                  <w:lang w:val="en-IE" w:eastAsia="en-GB"/>
                </w:rPr>
              </m:ctrlPr>
            </m:fPr>
            <m:num>
              <m:nary>
                <m:naryPr>
                  <m:chr m:val="∑"/>
                  <m:limLoc m:val="undOvr"/>
                  <m:supHide m:val="1"/>
                  <m:ctrlPr>
                    <w:rPr>
                      <w:rFonts w:ascii="Cambria Math" w:eastAsiaTheme="minorEastAsia" w:hAnsi="Cambria Math" w:cs="Times New Roman"/>
                      <w:i/>
                      <w:noProof/>
                      <w:sz w:val="24"/>
                      <w:szCs w:val="24"/>
                      <w:lang w:val="en-IE" w:eastAsia="en-GB"/>
                    </w:rPr>
                  </m:ctrlPr>
                </m:naryPr>
                <m:sub>
                  <m:r>
                    <w:rPr>
                      <w:rFonts w:ascii="Cambria Math" w:eastAsiaTheme="minorEastAsia" w:hAnsi="Cambria Math" w:cs="Times New Roman"/>
                      <w:noProof/>
                      <w:sz w:val="24"/>
                      <w:szCs w:val="24"/>
                      <w:lang w:val="en-IE" w:eastAsia="en-GB"/>
                    </w:rPr>
                    <m:t>x</m:t>
                  </m:r>
                </m:sub>
                <m:sup/>
                <m:e>
                  <m:sSub>
                    <m:sSubPr>
                      <m:ctrlPr>
                        <w:rPr>
                          <w:rFonts w:ascii="Cambria Math" w:eastAsiaTheme="minorEastAsia" w:hAnsi="Cambria Math" w:cs="Times New Roman"/>
                          <w:i/>
                          <w:noProof/>
                          <w:sz w:val="24"/>
                          <w:szCs w:val="24"/>
                          <w:lang w:val="en-IE" w:eastAsia="en-GB"/>
                        </w:rPr>
                      </m:ctrlPr>
                    </m:sSubPr>
                    <m:e>
                      <m:r>
                        <w:rPr>
                          <w:rFonts w:ascii="Cambria Math" w:eastAsiaTheme="minorEastAsia" w:hAnsi="Cambria Math" w:cs="Times New Roman"/>
                          <w:noProof/>
                          <w:sz w:val="24"/>
                          <w:szCs w:val="24"/>
                          <w:lang w:val="en-IE" w:eastAsia="en-GB"/>
                        </w:rPr>
                        <m:t>GHGI</m:t>
                      </m:r>
                    </m:e>
                    <m:sub>
                      <m:r>
                        <w:rPr>
                          <w:rFonts w:ascii="Cambria Math" w:eastAsiaTheme="minorEastAsia" w:hAnsi="Cambria Math" w:cs="Times New Roman"/>
                          <w:noProof/>
                          <w:sz w:val="24"/>
                          <w:szCs w:val="24"/>
                          <w:lang w:val="en-IE" w:eastAsia="en-GB"/>
                        </w:rPr>
                        <m:t>x</m:t>
                      </m:r>
                    </m:sub>
                  </m:sSub>
                  <m:r>
                    <w:rPr>
                      <w:rFonts w:ascii="Cambria Math" w:eastAsiaTheme="minorEastAsia" w:hAnsi="Cambria Math" w:cs="Times New Roman"/>
                      <w:noProof/>
                      <w:sz w:val="24"/>
                      <w:szCs w:val="24"/>
                      <w:lang w:val="en-IE" w:eastAsia="en-GB"/>
                    </w:rPr>
                    <m:t>∙</m:t>
                  </m:r>
                  <m:sSub>
                    <m:sSubPr>
                      <m:ctrlPr>
                        <w:rPr>
                          <w:rFonts w:ascii="Cambria Math" w:eastAsiaTheme="minorEastAsia" w:hAnsi="Cambria Math" w:cs="Times New Roman"/>
                          <w:i/>
                          <w:noProof/>
                          <w:sz w:val="24"/>
                          <w:szCs w:val="24"/>
                          <w:lang w:val="en-IE" w:eastAsia="en-GB"/>
                        </w:rPr>
                      </m:ctrlPr>
                    </m:sSubPr>
                    <m:e>
                      <m:r>
                        <w:rPr>
                          <w:rFonts w:ascii="Cambria Math" w:eastAsiaTheme="minorEastAsia" w:hAnsi="Cambria Math" w:cs="Times New Roman"/>
                          <w:noProof/>
                          <w:sz w:val="24"/>
                          <w:szCs w:val="24"/>
                          <w:lang w:val="en-IE" w:eastAsia="en-GB"/>
                        </w:rPr>
                        <m:t>kWh</m:t>
                      </m:r>
                    </m:e>
                    <m:sub>
                      <m:r>
                        <w:rPr>
                          <w:rFonts w:ascii="Cambria Math" w:eastAsiaTheme="minorEastAsia" w:hAnsi="Cambria Math" w:cs="Times New Roman"/>
                          <w:noProof/>
                          <w:sz w:val="24"/>
                          <w:szCs w:val="24"/>
                          <w:lang w:val="en-IE" w:eastAsia="en-GB"/>
                        </w:rPr>
                        <m:t>x</m:t>
                      </m:r>
                    </m:sub>
                  </m:sSub>
                </m:e>
              </m:nary>
            </m:num>
            <m:den>
              <m:nary>
                <m:naryPr>
                  <m:chr m:val="∑"/>
                  <m:limLoc m:val="undOvr"/>
                  <m:supHide m:val="1"/>
                  <m:ctrlPr>
                    <w:rPr>
                      <w:rFonts w:ascii="Cambria Math" w:eastAsiaTheme="minorEastAsia" w:hAnsi="Cambria Math" w:cs="Times New Roman"/>
                      <w:i/>
                      <w:noProof/>
                      <w:sz w:val="24"/>
                      <w:szCs w:val="24"/>
                      <w:lang w:val="en-IE" w:eastAsia="en-GB"/>
                    </w:rPr>
                  </m:ctrlPr>
                </m:naryPr>
                <m:sub>
                  <m:r>
                    <w:rPr>
                      <w:rFonts w:ascii="Cambria Math" w:eastAsiaTheme="minorEastAsia" w:hAnsi="Cambria Math" w:cs="Times New Roman"/>
                      <w:noProof/>
                      <w:sz w:val="24"/>
                      <w:szCs w:val="24"/>
                      <w:lang w:val="en-IE" w:eastAsia="en-GB"/>
                    </w:rPr>
                    <m:t>x</m:t>
                  </m:r>
                </m:sub>
                <m:sup/>
                <m:e>
                  <m:sSub>
                    <m:sSubPr>
                      <m:ctrlPr>
                        <w:rPr>
                          <w:rFonts w:ascii="Cambria Math" w:eastAsiaTheme="minorEastAsia" w:hAnsi="Cambria Math" w:cs="Times New Roman"/>
                          <w:i/>
                          <w:noProof/>
                          <w:sz w:val="24"/>
                          <w:szCs w:val="24"/>
                          <w:lang w:val="en-IE" w:eastAsia="en-GB"/>
                        </w:rPr>
                      </m:ctrlPr>
                    </m:sSubPr>
                    <m:e>
                      <m:r>
                        <w:rPr>
                          <w:rFonts w:ascii="Cambria Math" w:eastAsiaTheme="minorEastAsia" w:hAnsi="Cambria Math" w:cs="Times New Roman"/>
                          <w:noProof/>
                          <w:sz w:val="24"/>
                          <w:szCs w:val="24"/>
                          <w:lang w:val="en-IE" w:eastAsia="en-GB"/>
                        </w:rPr>
                        <m:t>kWh</m:t>
                      </m:r>
                    </m:e>
                    <m:sub>
                      <m:r>
                        <w:rPr>
                          <w:rFonts w:ascii="Cambria Math" w:eastAsiaTheme="minorEastAsia" w:hAnsi="Cambria Math" w:cs="Times New Roman"/>
                          <w:noProof/>
                          <w:sz w:val="24"/>
                          <w:szCs w:val="24"/>
                          <w:lang w:val="en-IE" w:eastAsia="en-GB"/>
                        </w:rPr>
                        <m:t>x</m:t>
                      </m:r>
                    </m:sub>
                  </m:sSub>
                  <m:r>
                    <w:rPr>
                      <w:rFonts w:ascii="Cambria Math" w:eastAsiaTheme="minorEastAsia" w:hAnsi="Cambria Math" w:cs="Times New Roman"/>
                      <w:noProof/>
                      <w:sz w:val="24"/>
                      <w:szCs w:val="24"/>
                      <w:lang w:val="en-IE" w:eastAsia="en-GB"/>
                    </w:rPr>
                    <m:t>∙</m:t>
                  </m:r>
                  <m:sSub>
                    <m:sSubPr>
                      <m:ctrlPr>
                        <w:rPr>
                          <w:rFonts w:ascii="Cambria Math" w:eastAsiaTheme="minorEastAsia" w:hAnsi="Cambria Math" w:cs="Times New Roman"/>
                          <w:i/>
                          <w:noProof/>
                          <w:sz w:val="24"/>
                          <w:szCs w:val="24"/>
                          <w:lang w:val="en-IE" w:eastAsia="en-GB"/>
                        </w:rPr>
                      </m:ctrlPr>
                    </m:sSubPr>
                    <m:e>
                      <m:r>
                        <w:rPr>
                          <w:rFonts w:ascii="Cambria Math" w:eastAsiaTheme="minorEastAsia" w:hAnsi="Cambria Math" w:cs="Times New Roman"/>
                          <w:noProof/>
                          <w:sz w:val="24"/>
                          <w:szCs w:val="24"/>
                          <w:lang w:val="en-IE" w:eastAsia="en-GB"/>
                        </w:rPr>
                        <m:t>M</m:t>
                      </m:r>
                    </m:e>
                    <m:sub>
                      <m:r>
                        <w:rPr>
                          <w:rFonts w:ascii="Cambria Math" w:eastAsiaTheme="minorEastAsia" w:hAnsi="Cambria Math" w:cs="Times New Roman"/>
                          <w:noProof/>
                          <w:sz w:val="24"/>
                          <w:szCs w:val="24"/>
                          <w:lang w:val="en-IE" w:eastAsia="en-GB"/>
                        </w:rPr>
                        <m:t>x</m:t>
                      </m:r>
                    </m:sub>
                  </m:sSub>
                </m:e>
              </m:nary>
            </m:den>
          </m:f>
        </m:oMath>
      </m:oMathPara>
    </w:p>
    <w:p>
      <w:pPr>
        <w:spacing w:after="120"/>
        <w:jc w:val="both"/>
        <w:rPr>
          <w:rFonts w:ascii="Times New Roman" w:eastAsiaTheme="minorEastAsia" w:hAnsi="Times New Roman" w:cs="Times New Roman"/>
          <w:noProof/>
          <w:sz w:val="24"/>
          <w:szCs w:val="24"/>
          <w:lang w:val="en-IE" w:eastAsia="en-GB"/>
        </w:rPr>
      </w:pPr>
      <w:r>
        <w:rPr>
          <w:rFonts w:ascii="Times New Roman" w:eastAsiaTheme="minorEastAsia" w:hAnsi="Times New Roman" w:cs="Times New Roman"/>
          <w:noProof/>
          <w:sz w:val="24"/>
          <w:szCs w:val="24"/>
          <w:lang w:val="en-IE" w:eastAsia="en-GB"/>
        </w:rPr>
        <w:t xml:space="preserve">where: </w:t>
      </w:r>
    </w:p>
    <w:p>
      <w:pPr>
        <w:spacing w:after="120"/>
        <w:ind w:left="709" w:firstLine="11"/>
        <w:jc w:val="both"/>
        <w:rPr>
          <w:rFonts w:ascii="Times New Roman" w:eastAsiaTheme="minorEastAsia" w:hAnsi="Times New Roman" w:cs="Times New Roman"/>
          <w:noProof/>
          <w:sz w:val="24"/>
          <w:szCs w:val="24"/>
          <w:lang w:val="en-IE" w:eastAsia="en-GB"/>
        </w:rPr>
      </w:pPr>
      <w:r>
        <w:rPr>
          <w:rFonts w:ascii="Times New Roman" w:eastAsiaTheme="minorEastAsia" w:hAnsi="Times New Roman" w:cs="Times New Roman"/>
          <w:noProof/>
          <w:sz w:val="24"/>
          <w:szCs w:val="24"/>
          <w:lang w:val="en-IE" w:eastAsia="en-GB"/>
        </w:rPr>
        <w:t>GHIGIT stands for the maximum limit on the GHG content of energy used by ships;</w:t>
      </w:r>
    </w:p>
    <w:p>
      <w:pPr>
        <w:spacing w:after="120"/>
        <w:ind w:left="709" w:firstLine="11"/>
        <w:jc w:val="both"/>
        <w:rPr>
          <w:rFonts w:ascii="Times New Roman" w:hAnsi="Times New Roman" w:cs="Times New Roman"/>
          <w:noProof/>
          <w:sz w:val="24"/>
          <w:szCs w:val="24"/>
          <w:shd w:val="clear" w:color="auto" w:fill="FFFFFF"/>
        </w:rPr>
      </w:pPr>
      <w:r>
        <w:rPr>
          <w:rFonts w:ascii="Times New Roman" w:eastAsiaTheme="minorEastAsia" w:hAnsi="Times New Roman" w:cs="Times New Roman"/>
          <w:noProof/>
          <w:sz w:val="24"/>
          <w:szCs w:val="24"/>
          <w:lang w:val="en-IE" w:eastAsia="en-GB"/>
        </w:rPr>
        <w:t>‘x’ means the fuel and energy types falling within the scope of this initiative;</w:t>
      </w:r>
      <w:r>
        <w:rPr>
          <w:rFonts w:ascii="Times New Roman" w:hAnsi="Times New Roman" w:cs="Times New Roman"/>
          <w:noProof/>
          <w:sz w:val="24"/>
          <w:szCs w:val="24"/>
          <w:shd w:val="clear" w:color="auto" w:fill="FFFFFF"/>
        </w:rPr>
        <w:t xml:space="preserve"> </w:t>
      </w:r>
    </w:p>
    <w:p>
      <w:pPr>
        <w:spacing w:after="120"/>
        <w:ind w:left="709" w:firstLine="11"/>
        <w:jc w:val="both"/>
        <w:rPr>
          <w:rFonts w:ascii="Times New Roman" w:hAnsi="Times New Roman" w:cs="Times New Roman"/>
          <w:noProof/>
          <w:sz w:val="24"/>
          <w:szCs w:val="24"/>
          <w:shd w:val="clear" w:color="auto" w:fill="FFFFFF"/>
        </w:rPr>
      </w:pPr>
      <w:r>
        <w:rPr>
          <w:rFonts w:ascii="Times New Roman" w:hAnsi="Times New Roman" w:cs="Times New Roman"/>
          <w:noProof/>
          <w:sz w:val="24"/>
          <w:szCs w:val="24"/>
          <w:shd w:val="clear" w:color="auto" w:fill="FFFFFF"/>
        </w:rPr>
        <w:t>‘kWh</w:t>
      </w:r>
      <w:r>
        <w:rPr>
          <w:rStyle w:val="sub"/>
          <w:rFonts w:ascii="Times New Roman" w:hAnsi="Times New Roman" w:cs="Times New Roman"/>
          <w:noProof/>
          <w:sz w:val="24"/>
          <w:szCs w:val="24"/>
          <w:vertAlign w:val="subscript"/>
        </w:rPr>
        <w:t>x</w:t>
      </w:r>
      <w:r>
        <w:rPr>
          <w:rFonts w:ascii="Times New Roman" w:hAnsi="Times New Roman" w:cs="Times New Roman"/>
          <w:noProof/>
          <w:sz w:val="24"/>
          <w:szCs w:val="24"/>
          <w:shd w:val="clear" w:color="auto" w:fill="FFFFFF"/>
        </w:rPr>
        <w:t>’ means the total energy use of fuel ‘x’ expressed in kWh;</w:t>
      </w:r>
    </w:p>
    <w:p>
      <w:pPr>
        <w:spacing w:after="120"/>
        <w:ind w:left="709" w:firstLine="11"/>
        <w:jc w:val="both"/>
        <w:rPr>
          <w:rFonts w:ascii="Times New Roman" w:hAnsi="Times New Roman" w:cs="Times New Roman"/>
          <w:noProof/>
          <w:sz w:val="24"/>
          <w:szCs w:val="24"/>
          <w:shd w:val="clear" w:color="auto" w:fill="FFFFFF"/>
        </w:rPr>
      </w:pPr>
      <w:r>
        <w:rPr>
          <w:rFonts w:ascii="Times New Roman" w:hAnsi="Times New Roman" w:cs="Times New Roman"/>
          <w:noProof/>
          <w:sz w:val="24"/>
          <w:szCs w:val="24"/>
          <w:shd w:val="clear" w:color="auto" w:fill="FFFFFF"/>
        </w:rPr>
        <w:t>‘GHGi</w:t>
      </w:r>
      <w:r>
        <w:rPr>
          <w:rStyle w:val="sub"/>
          <w:rFonts w:ascii="Times New Roman" w:hAnsi="Times New Roman" w:cs="Times New Roman"/>
          <w:noProof/>
          <w:sz w:val="24"/>
          <w:szCs w:val="24"/>
          <w:vertAlign w:val="subscript"/>
        </w:rPr>
        <w:t>x</w:t>
      </w:r>
      <w:r>
        <w:rPr>
          <w:rFonts w:ascii="Times New Roman" w:hAnsi="Times New Roman" w:cs="Times New Roman"/>
          <w:noProof/>
          <w:sz w:val="24"/>
          <w:szCs w:val="24"/>
          <w:shd w:val="clear" w:color="auto" w:fill="FFFFFF"/>
        </w:rPr>
        <w:t>’ is the GHG intensity of fuel or energy ‘x’ expressed in gCO</w:t>
      </w:r>
      <w:r>
        <w:rPr>
          <w:rStyle w:val="sub"/>
          <w:rFonts w:ascii="Times New Roman" w:hAnsi="Times New Roman" w:cs="Times New Roman"/>
          <w:noProof/>
          <w:sz w:val="24"/>
          <w:szCs w:val="24"/>
          <w:vertAlign w:val="subscript"/>
        </w:rPr>
        <w:t>2eq</w:t>
      </w:r>
      <w:r>
        <w:rPr>
          <w:rFonts w:ascii="Times New Roman" w:hAnsi="Times New Roman" w:cs="Times New Roman"/>
          <w:noProof/>
          <w:sz w:val="24"/>
          <w:szCs w:val="24"/>
          <w:shd w:val="clear" w:color="auto" w:fill="FFFFFF"/>
        </w:rPr>
        <w:t>/kWh;</w:t>
      </w:r>
    </w:p>
    <w:p>
      <w:pPr>
        <w:spacing w:after="120"/>
        <w:ind w:left="709" w:firstLine="11"/>
        <w:jc w:val="both"/>
        <w:rPr>
          <w:rFonts w:ascii="Times New Roman" w:hAnsi="Times New Roman" w:cs="Times New Roman"/>
          <w:noProof/>
          <w:sz w:val="24"/>
          <w:szCs w:val="24"/>
          <w:shd w:val="clear" w:color="auto" w:fill="FFFFFF"/>
        </w:rPr>
      </w:pPr>
      <w:r>
        <w:rPr>
          <w:rFonts w:ascii="Times New Roman" w:hAnsi="Times New Roman" w:cs="Times New Roman"/>
          <w:noProof/>
          <w:sz w:val="24"/>
          <w:szCs w:val="24"/>
          <w:lang w:val="en-IE"/>
        </w:rPr>
        <w:t>‘M</w:t>
      </w:r>
      <w:r>
        <w:rPr>
          <w:rStyle w:val="sub"/>
          <w:rFonts w:ascii="Times New Roman" w:hAnsi="Times New Roman" w:cs="Times New Roman"/>
          <w:noProof/>
          <w:sz w:val="24"/>
          <w:szCs w:val="24"/>
          <w:vertAlign w:val="subscript"/>
        </w:rPr>
        <w:t>x</w:t>
      </w:r>
      <w:r>
        <w:rPr>
          <w:rFonts w:ascii="Times New Roman" w:hAnsi="Times New Roman" w:cs="Times New Roman"/>
          <w:noProof/>
          <w:sz w:val="24"/>
          <w:szCs w:val="24"/>
          <w:lang w:val="en-IE"/>
        </w:rPr>
        <w:t xml:space="preserve">’ represents the adjustment factor attributed to zero-emission technologies that should stimulate the introduction of zero-emissions energy solutions. </w:t>
      </w:r>
    </w:p>
    <w:p>
      <w:pPr>
        <w:spacing w:after="120"/>
        <w:jc w:val="both"/>
        <w:rPr>
          <w:rFonts w:ascii="Times New Roman" w:eastAsiaTheme="minorEastAsia" w:hAnsi="Times New Roman" w:cs="Times New Roman"/>
          <w:noProof/>
          <w:sz w:val="24"/>
          <w:szCs w:val="24"/>
          <w:lang w:val="en-IE" w:eastAsia="en-GB"/>
        </w:rPr>
      </w:pPr>
      <w:r>
        <w:rPr>
          <w:rFonts w:ascii="Times New Roman" w:eastAsiaTheme="minorEastAsia" w:hAnsi="Times New Roman" w:cs="Times New Roman"/>
          <w:noProof/>
          <w:sz w:val="24"/>
          <w:szCs w:val="24"/>
          <w:lang w:val="en-IE" w:eastAsia="en-GB"/>
        </w:rPr>
        <w:t xml:space="preserve">In the modelling, the adjustment factor </w:t>
      </w:r>
      <w:r>
        <w:rPr>
          <w:rFonts w:ascii="Times New Roman" w:hAnsi="Times New Roman" w:cs="Times New Roman"/>
          <w:noProof/>
          <w:sz w:val="24"/>
          <w:szCs w:val="24"/>
          <w:lang w:val="en-IE"/>
        </w:rPr>
        <w:t>is derived in such a way that it increases the competitiveness of zero-emission technologies (i.e. e-fuels, hydrogen, electricity used in electric vessels) relative to that of advanced biofuels, when deciding in an endogenous way the contribution of the various technologies/fuels for achieving the GHG intensity targets in PO3. The cost competitiveness is measured in €/tCO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mitigated (the numerator reflects the additional cost of each pathway relative to the fossil fuel counterpart and the denominator the respective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mitigated). In particular for hydrogen and electricity, the cost competitiveness numerator also includes the additional capital costs related to the hydrogen fuel cell and electric vessels compared to the internal combustion engine ones. Modelling results show that an adjustment factor of 1.5 would be needed for the uptake of synthetic liquids (in the 2030-2040 time horizon), while in the case of electric and fuel cell vessels, adjustment factors in the order of 3-4 are necessary. It should however be noted that these adjustment factors would also depend on the actual evolution of the costs of zero-emission technologies over time (RLF costs and capital costs). In addition, other measures like the ETS for the maritime sector may also have an impact on the cost competitiveness of the zero-emission technologies.  </w:t>
      </w:r>
    </w:p>
    <w:p>
      <w:pPr>
        <w:spacing w:after="120"/>
        <w:jc w:val="both"/>
        <w:rPr>
          <w:rFonts w:ascii="Times New Roman" w:eastAsiaTheme="minorEastAsia" w:hAnsi="Times New Roman" w:cs="Times New Roman"/>
          <w:noProof/>
          <w:sz w:val="24"/>
          <w:szCs w:val="24"/>
          <w:lang w:val="en-IE" w:eastAsia="en-GB"/>
        </w:rPr>
      </w:pPr>
      <w:r>
        <w:rPr>
          <w:rFonts w:ascii="Times New Roman" w:eastAsiaTheme="minorEastAsia" w:hAnsi="Times New Roman" w:cs="Times New Roman"/>
          <w:noProof/>
          <w:sz w:val="24"/>
          <w:szCs w:val="24"/>
          <w:lang w:val="en-IE" w:eastAsia="en-GB"/>
        </w:rPr>
        <w:t xml:space="preserve">In terms of time horizon, the assessment has been undertaken for the </w:t>
      </w:r>
      <w:r>
        <w:rPr>
          <w:rFonts w:ascii="Times New Roman" w:eastAsiaTheme="minorEastAsia" w:hAnsi="Times New Roman" w:cs="Times New Roman"/>
          <w:bCs/>
          <w:noProof/>
          <w:sz w:val="24"/>
          <w:szCs w:val="24"/>
          <w:lang w:val="en-IE" w:eastAsia="en-GB"/>
        </w:rPr>
        <w:t xml:space="preserve">2025-2050 </w:t>
      </w:r>
      <w:r>
        <w:rPr>
          <w:rFonts w:ascii="Times New Roman" w:eastAsiaTheme="minorEastAsia" w:hAnsi="Times New Roman" w:cs="Times New Roman"/>
          <w:noProof/>
          <w:sz w:val="24"/>
          <w:szCs w:val="24"/>
          <w:lang w:val="en-IE" w:eastAsia="en-GB"/>
        </w:rPr>
        <w:t xml:space="preserve">period (in five-year steps). The measures that are part of all policy options are assumed to start being implemented </w:t>
      </w:r>
      <w:r>
        <w:rPr>
          <w:rFonts w:ascii="Times New Roman" w:eastAsiaTheme="minorEastAsia" w:hAnsi="Times New Roman" w:cs="Times New Roman"/>
          <w:bCs/>
          <w:noProof/>
          <w:sz w:val="24"/>
          <w:szCs w:val="24"/>
          <w:lang w:val="en-IE" w:eastAsia="en-GB"/>
        </w:rPr>
        <w:t>from 2025 onwards</w:t>
      </w:r>
      <w:r>
        <w:rPr>
          <w:rFonts w:ascii="Times New Roman" w:eastAsiaTheme="minorEastAsia" w:hAnsi="Times New Roman" w:cs="Times New Roman"/>
          <w:noProof/>
          <w:sz w:val="24"/>
          <w:szCs w:val="24"/>
          <w:lang w:val="en-IE" w:eastAsia="en-GB"/>
        </w:rPr>
        <w:t xml:space="preserve">. </w:t>
      </w:r>
    </w:p>
    <w:p>
      <w:pPr>
        <w:spacing w:after="120"/>
        <w:jc w:val="both"/>
        <w:rPr>
          <w:rFonts w:ascii="Times New Roman" w:eastAsiaTheme="minorEastAsia" w:hAnsi="Times New Roman" w:cs="Times New Roman"/>
          <w:noProof/>
          <w:sz w:val="24"/>
          <w:szCs w:val="24"/>
          <w:lang w:eastAsia="en-GB"/>
        </w:rPr>
      </w:pPr>
      <w:r>
        <w:rPr>
          <w:rFonts w:ascii="Times New Roman" w:eastAsiaTheme="minorEastAsia" w:hAnsi="Times New Roman" w:cs="Times New Roman"/>
          <w:noProof/>
          <w:sz w:val="24"/>
          <w:szCs w:val="24"/>
          <w:lang w:eastAsia="en-GB"/>
        </w:rPr>
        <w:t xml:space="preserve">The price projections of the renewable and low carbon fuels are fully embedded in the 2030 Climate Target Plan policy context, where the EU economy is moving towards carbon neutrality by 2050. This leads to strong competition for biomass feedstock with other energy and transport sectors. Feedstock and renewable electricity are considered to be sourced predominantly in the EU, in order to support the reduction in energy dependence. The projected prices of the renewable and low carbon fuels used in the international maritime sector for the purpose of this analysis are provided in </w:t>
      </w:r>
      <w:r>
        <w:rPr>
          <w:rFonts w:ascii="Times New Roman" w:eastAsiaTheme="minorEastAsia" w:hAnsi="Times New Roman" w:cs="Times New Roman"/>
          <w:noProof/>
          <w:sz w:val="24"/>
          <w:szCs w:val="24"/>
          <w:lang w:eastAsia="en-GB"/>
        </w:rPr>
        <w:fldChar w:fldCharType="begin"/>
      </w:r>
      <w:r>
        <w:rPr>
          <w:rFonts w:ascii="Times New Roman" w:eastAsiaTheme="minorEastAsia" w:hAnsi="Times New Roman" w:cs="Times New Roman"/>
          <w:noProof/>
          <w:sz w:val="24"/>
          <w:szCs w:val="24"/>
          <w:lang w:eastAsia="en-GB"/>
        </w:rPr>
        <w:instrText xml:space="preserve"> REF _Ref63434376 \h  \* MERGEFORMAT </w:instrText>
      </w:r>
      <w:r>
        <w:rPr>
          <w:rFonts w:ascii="Times New Roman" w:eastAsiaTheme="minorEastAsia" w:hAnsi="Times New Roman" w:cs="Times New Roman"/>
          <w:noProof/>
          <w:sz w:val="24"/>
          <w:szCs w:val="24"/>
          <w:lang w:eastAsia="en-GB"/>
        </w:rPr>
      </w:r>
      <w:r>
        <w:rPr>
          <w:rFonts w:ascii="Times New Roman" w:eastAsiaTheme="minorEastAsia" w:hAnsi="Times New Roman" w:cs="Times New Roman"/>
          <w:noProof/>
          <w:sz w:val="24"/>
          <w:szCs w:val="24"/>
          <w:lang w:eastAsia="en-GB"/>
        </w:rPr>
        <w:fldChar w:fldCharType="separate"/>
      </w:r>
      <w:r>
        <w:rPr>
          <w:rFonts w:ascii="Times New Roman" w:eastAsiaTheme="minorEastAsia" w:hAnsi="Times New Roman" w:cs="Times New Roman"/>
          <w:noProof/>
          <w:sz w:val="24"/>
          <w:szCs w:val="24"/>
          <w:lang w:eastAsia="en-GB"/>
        </w:rPr>
        <w:t>Table 30</w:t>
      </w:r>
      <w:r>
        <w:rPr>
          <w:rFonts w:ascii="Times New Roman" w:eastAsiaTheme="minorEastAsia" w:hAnsi="Times New Roman" w:cs="Times New Roman"/>
          <w:noProof/>
          <w:sz w:val="24"/>
          <w:szCs w:val="24"/>
          <w:lang w:eastAsia="en-GB"/>
        </w:rPr>
        <w:fldChar w:fldCharType="end"/>
      </w:r>
      <w:r>
        <w:rPr>
          <w:rFonts w:ascii="Times New Roman" w:eastAsiaTheme="minorEastAsia" w:hAnsi="Times New Roman" w:cs="Times New Roman"/>
          <w:noProof/>
          <w:sz w:val="24"/>
          <w:szCs w:val="24"/>
          <w:lang w:eastAsia="en-GB"/>
        </w:rPr>
        <w:t>.</w:t>
      </w:r>
    </w:p>
    <w:p>
      <w:pPr>
        <w:pStyle w:val="Caption"/>
        <w:spacing w:after="120"/>
        <w:rPr>
          <w:noProof/>
        </w:rPr>
      </w:pPr>
      <w:bookmarkStart w:id="610" w:name="_Ref63434376"/>
      <w:r>
        <w:rPr>
          <w:noProof/>
        </w:rPr>
        <w:t xml:space="preserve">Table </w:t>
      </w:r>
      <w:r>
        <w:rPr>
          <w:noProof/>
        </w:rPr>
        <w:fldChar w:fldCharType="begin"/>
      </w:r>
      <w:r>
        <w:rPr>
          <w:noProof/>
        </w:rPr>
        <w:instrText xml:space="preserve"> SEQ Table \* ARABIC </w:instrText>
      </w:r>
      <w:r>
        <w:rPr>
          <w:noProof/>
        </w:rPr>
        <w:fldChar w:fldCharType="separate"/>
      </w:r>
      <w:r>
        <w:rPr>
          <w:noProof/>
        </w:rPr>
        <w:t>30</w:t>
      </w:r>
      <w:r>
        <w:rPr>
          <w:noProof/>
        </w:rPr>
        <w:fldChar w:fldCharType="end"/>
      </w:r>
      <w:bookmarkEnd w:id="610"/>
      <w:r>
        <w:rPr>
          <w:noProof/>
        </w:rPr>
        <w:t xml:space="preserve"> Projected prices of the renewable and low carbon fuels used in the international maritime sector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3874"/>
        <w:gridCol w:w="2503"/>
        <w:gridCol w:w="2485"/>
      </w:tblGrid>
      <w:tr>
        <w:trPr>
          <w:trHeight w:val="220"/>
          <w:jc w:val="center"/>
        </w:trPr>
        <w:tc>
          <w:tcPr>
            <w:tcW w:w="2186" w:type="pct"/>
            <w:shd w:val="clear" w:color="auto" w:fill="FFFFFF" w:themeFill="background1"/>
            <w:tcMar>
              <w:top w:w="0" w:type="dxa"/>
              <w:left w:w="70" w:type="dxa"/>
              <w:bottom w:w="0" w:type="dxa"/>
              <w:right w:w="70" w:type="dxa"/>
            </w:tcMar>
            <w:hideMark/>
          </w:tcPr>
          <w:p>
            <w:pPr>
              <w:rPr>
                <w:rFonts w:ascii="Times New Roman" w:hAnsi="Times New Roman" w:cs="Times New Roman"/>
                <w:b/>
                <w:bCs/>
                <w:noProof/>
                <w:sz w:val="18"/>
                <w:szCs w:val="18"/>
                <w:lang w:eastAsia="fr-BE"/>
              </w:rPr>
            </w:pPr>
            <w:r>
              <w:rPr>
                <w:rFonts w:ascii="Times New Roman" w:hAnsi="Times New Roman" w:cs="Times New Roman"/>
                <w:b/>
                <w:bCs/>
                <w:noProof/>
                <w:sz w:val="18"/>
                <w:szCs w:val="18"/>
                <w:lang w:eastAsia="fr-BE"/>
              </w:rPr>
              <w:t>Fuel prices (€/toe)</w:t>
            </w:r>
          </w:p>
        </w:tc>
        <w:tc>
          <w:tcPr>
            <w:tcW w:w="1412" w:type="pct"/>
            <w:shd w:val="clear" w:color="auto" w:fill="FFFFFF" w:themeFill="background1"/>
            <w:tcMar>
              <w:top w:w="0" w:type="dxa"/>
              <w:left w:w="70" w:type="dxa"/>
              <w:bottom w:w="0" w:type="dxa"/>
              <w:right w:w="70" w:type="dxa"/>
            </w:tcMar>
            <w:hideMark/>
          </w:tcPr>
          <w:p>
            <w:pPr>
              <w:jc w:val="center"/>
              <w:rPr>
                <w:rFonts w:ascii="Times New Roman" w:hAnsi="Times New Roman" w:cs="Times New Roman"/>
                <w:b/>
                <w:bCs/>
                <w:noProof/>
                <w:sz w:val="18"/>
                <w:szCs w:val="18"/>
                <w:lang w:eastAsia="fr-BE"/>
              </w:rPr>
            </w:pPr>
            <w:r>
              <w:rPr>
                <w:rFonts w:ascii="Times New Roman" w:hAnsi="Times New Roman" w:cs="Times New Roman"/>
                <w:b/>
                <w:bCs/>
                <w:noProof/>
                <w:sz w:val="18"/>
                <w:szCs w:val="18"/>
                <w:lang w:eastAsia="fr-BE"/>
              </w:rPr>
              <w:t>2030</w:t>
            </w:r>
          </w:p>
        </w:tc>
        <w:tc>
          <w:tcPr>
            <w:tcW w:w="1402" w:type="pct"/>
            <w:shd w:val="clear" w:color="auto" w:fill="FFFFFF" w:themeFill="background1"/>
          </w:tcPr>
          <w:p>
            <w:pPr>
              <w:jc w:val="center"/>
              <w:rPr>
                <w:rFonts w:ascii="Times New Roman" w:hAnsi="Times New Roman" w:cs="Times New Roman"/>
                <w:b/>
                <w:bCs/>
                <w:noProof/>
                <w:sz w:val="18"/>
                <w:szCs w:val="18"/>
                <w:lang w:eastAsia="fr-BE"/>
              </w:rPr>
            </w:pPr>
            <w:r>
              <w:rPr>
                <w:rFonts w:ascii="Times New Roman" w:hAnsi="Times New Roman" w:cs="Times New Roman"/>
                <w:b/>
                <w:bCs/>
                <w:noProof/>
                <w:sz w:val="18"/>
                <w:szCs w:val="18"/>
                <w:lang w:eastAsia="fr-BE"/>
              </w:rPr>
              <w:t>2050</w:t>
            </w:r>
          </w:p>
        </w:tc>
      </w:tr>
      <w:tr>
        <w:trPr>
          <w:trHeight w:val="200"/>
          <w:jc w:val="center"/>
        </w:trPr>
        <w:tc>
          <w:tcPr>
            <w:tcW w:w="2186" w:type="pct"/>
            <w:shd w:val="clear" w:color="auto" w:fill="FFFFFF" w:themeFill="background1"/>
            <w:noWrap/>
            <w:tcMar>
              <w:top w:w="0" w:type="dxa"/>
              <w:left w:w="70" w:type="dxa"/>
              <w:bottom w:w="0" w:type="dxa"/>
              <w:right w:w="70" w:type="dxa"/>
            </w:tcMar>
            <w:vAlign w:val="bottom"/>
            <w:hideMark/>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liquid fossil fuels</w:t>
            </w:r>
          </w:p>
        </w:tc>
        <w:tc>
          <w:tcPr>
            <w:tcW w:w="1412" w:type="pct"/>
            <w:shd w:val="clear" w:color="auto" w:fill="FFFFFF" w:themeFill="background1"/>
            <w:noWrap/>
            <w:tcMar>
              <w:top w:w="0" w:type="dxa"/>
              <w:left w:w="70" w:type="dxa"/>
              <w:bottom w:w="0" w:type="dxa"/>
              <w:right w:w="70" w:type="dxa"/>
            </w:tcMar>
            <w:vAlign w:val="bottom"/>
            <w:hideMark/>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627</w:t>
            </w: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861</w:t>
            </w:r>
          </w:p>
        </w:tc>
      </w:tr>
      <w:tr>
        <w:trPr>
          <w:trHeight w:val="200"/>
          <w:jc w:val="center"/>
        </w:trPr>
        <w:tc>
          <w:tcPr>
            <w:tcW w:w="2186" w:type="pct"/>
            <w:shd w:val="clear" w:color="auto" w:fill="FFFFFF" w:themeFill="background1"/>
            <w:noWrap/>
            <w:tcMar>
              <w:top w:w="0" w:type="dxa"/>
              <w:left w:w="70" w:type="dxa"/>
              <w:bottom w:w="0" w:type="dxa"/>
              <w:right w:w="70" w:type="dxa"/>
            </w:tcMar>
            <w:vAlign w:val="bottom"/>
            <w:hideMark/>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LNG</w:t>
            </w:r>
          </w:p>
        </w:tc>
        <w:tc>
          <w:tcPr>
            <w:tcW w:w="1412" w:type="pct"/>
            <w:shd w:val="clear" w:color="auto" w:fill="FFFFFF" w:themeFill="background1"/>
            <w:noWrap/>
            <w:tcMar>
              <w:top w:w="0" w:type="dxa"/>
              <w:left w:w="70" w:type="dxa"/>
              <w:bottom w:w="0" w:type="dxa"/>
              <w:right w:w="70" w:type="dxa"/>
            </w:tcMar>
            <w:vAlign w:val="bottom"/>
            <w:hideMark/>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608</w:t>
            </w: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715</w:t>
            </w:r>
          </w:p>
        </w:tc>
      </w:tr>
      <w:tr>
        <w:trPr>
          <w:trHeight w:val="200"/>
          <w:jc w:val="center"/>
        </w:trPr>
        <w:tc>
          <w:tcPr>
            <w:tcW w:w="2186" w:type="pct"/>
            <w:shd w:val="clear" w:color="auto" w:fill="FFFFFF" w:themeFill="background1"/>
            <w:noWrap/>
            <w:tcMar>
              <w:top w:w="0" w:type="dxa"/>
              <w:left w:w="70" w:type="dxa"/>
              <w:bottom w:w="0" w:type="dxa"/>
              <w:right w:w="70" w:type="dxa"/>
            </w:tcMar>
            <w:vAlign w:val="bottom"/>
            <w:hideMark/>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biofuels</w:t>
            </w:r>
          </w:p>
        </w:tc>
        <w:tc>
          <w:tcPr>
            <w:tcW w:w="1412" w:type="pct"/>
            <w:shd w:val="clear" w:color="auto" w:fill="FFFFFF" w:themeFill="background1"/>
            <w:noWrap/>
            <w:tcMar>
              <w:top w:w="0" w:type="dxa"/>
              <w:left w:w="70" w:type="dxa"/>
              <w:bottom w:w="0" w:type="dxa"/>
              <w:right w:w="70" w:type="dxa"/>
            </w:tcMar>
            <w:vAlign w:val="bottom"/>
            <w:hideMark/>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1301</w:t>
            </w: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1252</w:t>
            </w:r>
          </w:p>
        </w:tc>
      </w:tr>
      <w:tr>
        <w:trPr>
          <w:trHeight w:val="200"/>
          <w:jc w:val="center"/>
        </w:trPr>
        <w:tc>
          <w:tcPr>
            <w:tcW w:w="2186" w:type="pct"/>
            <w:shd w:val="clear" w:color="auto" w:fill="FFFFFF" w:themeFill="background1"/>
            <w:noWrap/>
            <w:tcMar>
              <w:top w:w="0" w:type="dxa"/>
              <w:left w:w="70" w:type="dxa"/>
              <w:bottom w:w="0" w:type="dxa"/>
              <w:right w:w="70" w:type="dxa"/>
            </w:tcMar>
            <w:vAlign w:val="bottom"/>
            <w:hideMark/>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bio-LNG</w:t>
            </w:r>
          </w:p>
        </w:tc>
        <w:tc>
          <w:tcPr>
            <w:tcW w:w="1412" w:type="pct"/>
            <w:shd w:val="clear" w:color="auto" w:fill="FFFFFF" w:themeFill="background1"/>
            <w:noWrap/>
            <w:tcMar>
              <w:top w:w="0" w:type="dxa"/>
              <w:left w:w="70" w:type="dxa"/>
              <w:bottom w:w="0" w:type="dxa"/>
              <w:right w:w="70" w:type="dxa"/>
            </w:tcMar>
            <w:vAlign w:val="bottom"/>
            <w:hideMark/>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868</w:t>
            </w: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978</w:t>
            </w:r>
          </w:p>
        </w:tc>
      </w:tr>
      <w:tr>
        <w:trPr>
          <w:trHeight w:val="200"/>
          <w:jc w:val="center"/>
        </w:trPr>
        <w:tc>
          <w:tcPr>
            <w:tcW w:w="2186" w:type="pct"/>
            <w:shd w:val="clear" w:color="auto" w:fill="FFFFFF" w:themeFill="background1"/>
            <w:noWrap/>
            <w:tcMar>
              <w:top w:w="0" w:type="dxa"/>
              <w:left w:w="70" w:type="dxa"/>
              <w:bottom w:w="0" w:type="dxa"/>
              <w:right w:w="70" w:type="dxa"/>
            </w:tcMar>
            <w:vAlign w:val="bottom"/>
            <w:hideMark/>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e-liquids</w:t>
            </w:r>
          </w:p>
        </w:tc>
        <w:tc>
          <w:tcPr>
            <w:tcW w:w="1412" w:type="pct"/>
            <w:shd w:val="clear" w:color="auto" w:fill="FFFFFF" w:themeFill="background1"/>
            <w:noWrap/>
            <w:tcMar>
              <w:top w:w="0" w:type="dxa"/>
              <w:left w:w="70" w:type="dxa"/>
              <w:bottom w:w="0" w:type="dxa"/>
              <w:right w:w="70" w:type="dxa"/>
            </w:tcMar>
            <w:vAlign w:val="bottom"/>
            <w:hideMark/>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2285</w:t>
            </w: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1658</w:t>
            </w:r>
          </w:p>
        </w:tc>
      </w:tr>
      <w:tr>
        <w:trPr>
          <w:trHeight w:val="200"/>
          <w:jc w:val="center"/>
        </w:trPr>
        <w:tc>
          <w:tcPr>
            <w:tcW w:w="2186" w:type="pct"/>
            <w:shd w:val="clear" w:color="auto" w:fill="FFFFFF" w:themeFill="background1"/>
            <w:noWrap/>
            <w:tcMar>
              <w:top w:w="0" w:type="dxa"/>
              <w:left w:w="70" w:type="dxa"/>
              <w:bottom w:w="0" w:type="dxa"/>
              <w:right w:w="70" w:type="dxa"/>
            </w:tcMar>
            <w:vAlign w:val="bottom"/>
            <w:hideMark/>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e-gas</w:t>
            </w:r>
          </w:p>
        </w:tc>
        <w:tc>
          <w:tcPr>
            <w:tcW w:w="1412" w:type="pct"/>
            <w:shd w:val="clear" w:color="auto" w:fill="FFFFFF" w:themeFill="background1"/>
            <w:noWrap/>
            <w:tcMar>
              <w:top w:w="0" w:type="dxa"/>
              <w:left w:w="70" w:type="dxa"/>
              <w:bottom w:w="0" w:type="dxa"/>
              <w:right w:w="70" w:type="dxa"/>
            </w:tcMar>
            <w:vAlign w:val="bottom"/>
            <w:hideMark/>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2220</w:t>
            </w: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1238</w:t>
            </w:r>
          </w:p>
        </w:tc>
      </w:tr>
      <w:tr>
        <w:trPr>
          <w:trHeight w:val="210"/>
          <w:jc w:val="center"/>
        </w:trPr>
        <w:tc>
          <w:tcPr>
            <w:tcW w:w="2186" w:type="pct"/>
            <w:shd w:val="clear" w:color="auto" w:fill="FFFFFF" w:themeFill="background1"/>
            <w:noWrap/>
            <w:tcMar>
              <w:top w:w="0" w:type="dxa"/>
              <w:left w:w="70" w:type="dxa"/>
              <w:bottom w:w="0" w:type="dxa"/>
              <w:right w:w="70" w:type="dxa"/>
            </w:tcMar>
            <w:vAlign w:val="bottom"/>
            <w:hideMark/>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electricity</w:t>
            </w:r>
          </w:p>
        </w:tc>
        <w:tc>
          <w:tcPr>
            <w:tcW w:w="1412" w:type="pct"/>
            <w:shd w:val="clear" w:color="auto" w:fill="FFFFFF" w:themeFill="background1"/>
            <w:noWrap/>
            <w:tcMar>
              <w:top w:w="0" w:type="dxa"/>
              <w:left w:w="70" w:type="dxa"/>
              <w:bottom w:w="0" w:type="dxa"/>
              <w:right w:w="70" w:type="dxa"/>
            </w:tcMar>
            <w:vAlign w:val="bottom"/>
            <w:hideMark/>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1698</w:t>
            </w: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1665</w:t>
            </w:r>
          </w:p>
        </w:tc>
      </w:tr>
      <w:tr>
        <w:trPr>
          <w:trHeight w:val="210"/>
          <w:jc w:val="center"/>
        </w:trPr>
        <w:tc>
          <w:tcPr>
            <w:tcW w:w="2186" w:type="pct"/>
            <w:shd w:val="clear" w:color="auto" w:fill="FFFFFF" w:themeFill="background1"/>
            <w:noWrap/>
            <w:tcMar>
              <w:top w:w="0" w:type="dxa"/>
              <w:left w:w="70" w:type="dxa"/>
              <w:bottom w:w="0" w:type="dxa"/>
              <w:right w:w="70" w:type="dxa"/>
            </w:tcMar>
            <w:vAlign w:val="bottom"/>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liquid hydrogen</w:t>
            </w:r>
          </w:p>
        </w:tc>
        <w:tc>
          <w:tcPr>
            <w:tcW w:w="1412" w:type="pct"/>
            <w:shd w:val="clear" w:color="auto" w:fill="FFFFFF" w:themeFill="background1"/>
            <w:noWrap/>
            <w:tcMar>
              <w:top w:w="0" w:type="dxa"/>
              <w:left w:w="70" w:type="dxa"/>
              <w:bottom w:w="0" w:type="dxa"/>
              <w:right w:w="70" w:type="dxa"/>
            </w:tcMar>
            <w:vAlign w:val="bottom"/>
          </w:tcPr>
          <w:p>
            <w:pPr>
              <w:spacing w:after="0"/>
              <w:jc w:val="center"/>
              <w:rPr>
                <w:rFonts w:ascii="Times New Roman" w:hAnsi="Times New Roman" w:cs="Times New Roman"/>
                <w:noProof/>
                <w:sz w:val="18"/>
                <w:szCs w:val="18"/>
                <w:lang w:eastAsia="fr-BE"/>
              </w:rPr>
            </w:pP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1467</w:t>
            </w:r>
          </w:p>
        </w:tc>
      </w:tr>
      <w:tr>
        <w:trPr>
          <w:trHeight w:val="210"/>
          <w:jc w:val="center"/>
        </w:trPr>
        <w:tc>
          <w:tcPr>
            <w:tcW w:w="2186" w:type="pct"/>
            <w:shd w:val="clear" w:color="auto" w:fill="FFFFFF" w:themeFill="background1"/>
            <w:noWrap/>
            <w:tcMar>
              <w:top w:w="0" w:type="dxa"/>
              <w:left w:w="70" w:type="dxa"/>
              <w:bottom w:w="0" w:type="dxa"/>
              <w:right w:w="70" w:type="dxa"/>
            </w:tcMar>
            <w:vAlign w:val="bottom"/>
          </w:tcPr>
          <w:p>
            <w:pPr>
              <w:spacing w:after="0"/>
              <w:ind w:firstLine="160"/>
              <w:rPr>
                <w:rFonts w:ascii="Times New Roman" w:hAnsi="Times New Roman" w:cs="Times New Roman"/>
                <w:noProof/>
                <w:sz w:val="18"/>
                <w:szCs w:val="18"/>
                <w:lang w:eastAsia="fr-BE"/>
              </w:rPr>
            </w:pPr>
            <w:r>
              <w:rPr>
                <w:rFonts w:ascii="Times New Roman" w:hAnsi="Times New Roman" w:cs="Times New Roman"/>
                <w:noProof/>
                <w:sz w:val="18"/>
                <w:szCs w:val="18"/>
                <w:lang w:eastAsia="fr-BE"/>
              </w:rPr>
              <w:t>ammonia</w:t>
            </w:r>
          </w:p>
        </w:tc>
        <w:tc>
          <w:tcPr>
            <w:tcW w:w="1412" w:type="pct"/>
            <w:shd w:val="clear" w:color="auto" w:fill="FFFFFF" w:themeFill="background1"/>
            <w:noWrap/>
            <w:tcMar>
              <w:top w:w="0" w:type="dxa"/>
              <w:left w:w="70" w:type="dxa"/>
              <w:bottom w:w="0" w:type="dxa"/>
              <w:right w:w="70" w:type="dxa"/>
            </w:tcMar>
            <w:vAlign w:val="bottom"/>
          </w:tcPr>
          <w:p>
            <w:pPr>
              <w:spacing w:after="0"/>
              <w:jc w:val="center"/>
              <w:rPr>
                <w:rFonts w:ascii="Times New Roman" w:hAnsi="Times New Roman" w:cs="Times New Roman"/>
                <w:noProof/>
                <w:sz w:val="18"/>
                <w:szCs w:val="18"/>
                <w:lang w:eastAsia="fr-BE"/>
              </w:rPr>
            </w:pPr>
          </w:p>
        </w:tc>
        <w:tc>
          <w:tcPr>
            <w:tcW w:w="1402" w:type="pct"/>
            <w:shd w:val="clear" w:color="auto" w:fill="FFFFFF" w:themeFill="background1"/>
          </w:tcPr>
          <w:p>
            <w:pPr>
              <w:spacing w:after="0"/>
              <w:jc w:val="center"/>
              <w:rPr>
                <w:rFonts w:ascii="Times New Roman" w:hAnsi="Times New Roman" w:cs="Times New Roman"/>
                <w:noProof/>
                <w:sz w:val="18"/>
                <w:szCs w:val="18"/>
                <w:lang w:eastAsia="fr-BE"/>
              </w:rPr>
            </w:pPr>
            <w:r>
              <w:rPr>
                <w:rFonts w:ascii="Times New Roman" w:hAnsi="Times New Roman" w:cs="Times New Roman"/>
                <w:noProof/>
                <w:sz w:val="18"/>
                <w:szCs w:val="18"/>
                <w:lang w:eastAsia="fr-BE"/>
              </w:rPr>
              <w:t>1467</w:t>
            </w:r>
          </w:p>
        </w:tc>
      </w:tr>
    </w:tbl>
    <w:p>
      <w:pPr>
        <w:rPr>
          <w:rFonts w:ascii="Times New Roman" w:eastAsia="Calibri" w:hAnsi="Times New Roman" w:cs="Times New Roman"/>
          <w:i/>
          <w:iCs/>
          <w:noProof/>
          <w:sz w:val="18"/>
          <w:szCs w:val="18"/>
        </w:rPr>
      </w:pPr>
      <w:r>
        <w:rPr>
          <w:rFonts w:ascii="Times New Roman" w:eastAsia="Calibri" w:hAnsi="Times New Roman" w:cs="Times New Roman"/>
          <w:i/>
          <w:iCs/>
          <w:noProof/>
          <w:sz w:val="18"/>
          <w:szCs w:val="18"/>
        </w:rPr>
        <w:t xml:space="preserve">Source: PRIMES model, E3Modelling </w:t>
      </w:r>
    </w:p>
    <w:p>
      <w:pPr>
        <w:jc w:val="both"/>
        <w:rPr>
          <w:noProof/>
        </w:rPr>
      </w:pPr>
    </w:p>
    <w:p>
      <w:pPr>
        <w:jc w:val="both"/>
        <w:rPr>
          <w:rFonts w:ascii="Times New Roman" w:hAnsi="Times New Roman" w:cs="Times New Roman"/>
          <w:noProof/>
          <w:sz w:val="24"/>
          <w:szCs w:val="24"/>
        </w:rPr>
      </w:pPr>
      <w:r>
        <w:rPr>
          <w:rFonts w:ascii="Times New Roman" w:hAnsi="Times New Roman" w:cs="Times New Roman"/>
          <w:noProof/>
          <w:sz w:val="24"/>
          <w:szCs w:val="24"/>
        </w:rPr>
        <w:t>The price of biofuels used in international maritime remains relatively stable between 2030 and 2050. Biofuels comprise of bioheavy and biodiesel and the price is weighted based on the relative shares of the biofuel quantities.</w:t>
      </w:r>
      <w:r>
        <w:rPr>
          <w:rStyle w:val="FootnoteReference"/>
          <w:rFonts w:ascii="Times New Roman" w:hAnsi="Times New Roman" w:cs="Times New Roman"/>
          <w:noProof/>
          <w:sz w:val="24"/>
          <w:szCs w:val="24"/>
        </w:rPr>
        <w:footnoteReference w:id="192"/>
      </w:r>
      <w:r>
        <w:rPr>
          <w:rFonts w:ascii="Times New Roman" w:hAnsi="Times New Roman" w:cs="Times New Roman"/>
          <w:noProof/>
          <w:sz w:val="24"/>
          <w:szCs w:val="24"/>
        </w:rPr>
        <w:t xml:space="preserve">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This assessment takes into account the current knowledge related to the possible evolution of technology costs and feedstock costs. If higher decrease in the costs of e-fuels would take place than assumed in this assessment, their uptake could be higher especially in PO2 and PO3 due to their increased competitiveness relative to biofuels and bio-LNG. This is because PO2 and PO3 provides flexibility in terms of choice of the fuel mix. On the other hand, if the availability of biofuels and bio-LNG for the maritime sector would be lower, due to higher demand by other sectors, a higher share of e-fuels would be needed to compensate for achieving the mandates in PO2 and PO3. In case the technology costs and feedstock costs would be higher than assumed in this assessment, this may results in higher fuel costs and subsequently freight rates.  </w:t>
      </w:r>
    </w:p>
    <w:p>
      <w:pPr>
        <w:spacing w:after="120"/>
        <w:jc w:val="both"/>
        <w:rPr>
          <w:rFonts w:ascii="Times New Roman" w:eastAsiaTheme="minorEastAsia" w:hAnsi="Times New Roman" w:cs="Times New Roman"/>
          <w:noProof/>
          <w:sz w:val="24"/>
          <w:szCs w:val="24"/>
          <w:lang w:eastAsia="en-GB"/>
        </w:rPr>
      </w:pPr>
      <w:r>
        <w:rPr>
          <w:rFonts w:ascii="Times New Roman" w:eastAsiaTheme="minorEastAsia" w:hAnsi="Times New Roman" w:cs="Times New Roman"/>
          <w:noProof/>
          <w:sz w:val="24"/>
          <w:szCs w:val="24"/>
          <w:lang w:eastAsia="en-GB"/>
        </w:rPr>
        <w:t>In modelling, the assumption was made that the RFNBOs only can fulfil the maritime e-fuels and hydrogen obligations in 2030 and afterwards, which is in line with the Renewable Energy Directive currently in force. Low-carbon electricity for production of e-fuels could be considered in line with Energy System Integration Strategy. This may have impacts on some modelling results.</w:t>
      </w:r>
    </w:p>
    <w:p>
      <w:pPr>
        <w:spacing w:after="120"/>
        <w:jc w:val="both"/>
        <w:rPr>
          <w:rFonts w:ascii="Times New Roman" w:eastAsiaTheme="minorEastAsia" w:hAnsi="Times New Roman" w:cs="Times New Roman"/>
          <w:noProof/>
          <w:sz w:val="24"/>
          <w:szCs w:val="24"/>
          <w:lang w:eastAsia="en-GB"/>
        </w:rPr>
      </w:pPr>
      <w:r>
        <w:rPr>
          <w:rFonts w:ascii="Times New Roman" w:eastAsiaTheme="minorEastAsia" w:hAnsi="Times New Roman" w:cs="Times New Roman"/>
          <w:noProof/>
          <w:sz w:val="24"/>
          <w:szCs w:val="24"/>
          <w:lang w:eastAsia="en-GB"/>
        </w:rPr>
        <w:t xml:space="preserve">The well-to-wake emission factors used in this impact assessment are provided in </w:t>
      </w:r>
      <w:r>
        <w:rPr>
          <w:rFonts w:ascii="Times New Roman" w:eastAsiaTheme="minorEastAsia" w:hAnsi="Times New Roman" w:cs="Times New Roman"/>
          <w:noProof/>
          <w:sz w:val="24"/>
          <w:szCs w:val="24"/>
          <w:lang w:eastAsia="en-GB"/>
        </w:rPr>
        <w:fldChar w:fldCharType="begin"/>
      </w:r>
      <w:r>
        <w:rPr>
          <w:rFonts w:ascii="Times New Roman" w:eastAsiaTheme="minorEastAsia" w:hAnsi="Times New Roman" w:cs="Times New Roman"/>
          <w:noProof/>
          <w:sz w:val="24"/>
          <w:szCs w:val="24"/>
          <w:lang w:eastAsia="en-GB"/>
        </w:rPr>
        <w:instrText xml:space="preserve"> REF _Ref63434390 \h  \* MERGEFORMAT </w:instrText>
      </w:r>
      <w:r>
        <w:rPr>
          <w:rFonts w:ascii="Times New Roman" w:eastAsiaTheme="minorEastAsia" w:hAnsi="Times New Roman" w:cs="Times New Roman"/>
          <w:noProof/>
          <w:sz w:val="24"/>
          <w:szCs w:val="24"/>
          <w:lang w:eastAsia="en-GB"/>
        </w:rPr>
      </w:r>
      <w:r>
        <w:rPr>
          <w:rFonts w:ascii="Times New Roman" w:eastAsiaTheme="minorEastAsia" w:hAnsi="Times New Roman" w:cs="Times New Roman"/>
          <w:noProof/>
          <w:sz w:val="24"/>
          <w:szCs w:val="24"/>
          <w:lang w:eastAsia="en-GB"/>
        </w:rPr>
        <w:fldChar w:fldCharType="separate"/>
      </w:r>
      <w:r>
        <w:rPr>
          <w:rFonts w:ascii="Times New Roman" w:eastAsiaTheme="minorEastAsia" w:hAnsi="Times New Roman" w:cs="Times New Roman"/>
          <w:noProof/>
          <w:sz w:val="24"/>
          <w:szCs w:val="24"/>
          <w:lang w:eastAsia="en-GB"/>
        </w:rPr>
        <w:t>Table 31</w:t>
      </w:r>
      <w:r>
        <w:rPr>
          <w:rFonts w:ascii="Times New Roman" w:eastAsiaTheme="minorEastAsia" w:hAnsi="Times New Roman" w:cs="Times New Roman"/>
          <w:noProof/>
          <w:sz w:val="24"/>
          <w:szCs w:val="24"/>
          <w:lang w:eastAsia="en-GB"/>
        </w:rPr>
        <w:fldChar w:fldCharType="end"/>
      </w:r>
      <w:r>
        <w:rPr>
          <w:rFonts w:ascii="Times New Roman" w:eastAsiaTheme="minorEastAsia" w:hAnsi="Times New Roman" w:cs="Times New Roman"/>
          <w:noProof/>
          <w:sz w:val="24"/>
          <w:szCs w:val="24"/>
          <w:lang w:eastAsia="en-GB"/>
        </w:rPr>
        <w:t xml:space="preserve">. </w:t>
      </w:r>
    </w:p>
    <w:p>
      <w:pPr>
        <w:pStyle w:val="Caption"/>
        <w:spacing w:after="120"/>
        <w:rPr>
          <w:noProof/>
        </w:rPr>
      </w:pPr>
      <w:bookmarkStart w:id="611" w:name="_Ref63434390"/>
      <w:r>
        <w:rPr>
          <w:noProof/>
        </w:rPr>
        <w:t xml:space="preserve">Table </w:t>
      </w:r>
      <w:r>
        <w:rPr>
          <w:noProof/>
        </w:rPr>
        <w:fldChar w:fldCharType="begin"/>
      </w:r>
      <w:r>
        <w:rPr>
          <w:noProof/>
        </w:rPr>
        <w:instrText xml:space="preserve"> SEQ Table \* ARABIC </w:instrText>
      </w:r>
      <w:r>
        <w:rPr>
          <w:noProof/>
        </w:rPr>
        <w:fldChar w:fldCharType="separate"/>
      </w:r>
      <w:r>
        <w:rPr>
          <w:noProof/>
        </w:rPr>
        <w:t>31</w:t>
      </w:r>
      <w:r>
        <w:rPr>
          <w:noProof/>
        </w:rPr>
        <w:fldChar w:fldCharType="end"/>
      </w:r>
      <w:bookmarkEnd w:id="611"/>
      <w:r>
        <w:rPr>
          <w:noProof/>
        </w:rPr>
        <w:t xml:space="preserve"> Well-to-wake emission factors for fossil fuels and biofuels used in the analysis</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6009"/>
        <w:gridCol w:w="1498"/>
        <w:gridCol w:w="1496"/>
      </w:tblGrid>
      <w:tr>
        <w:trPr>
          <w:trHeight w:val="270"/>
          <w:jc w:val="center"/>
        </w:trPr>
        <w:tc>
          <w:tcPr>
            <w:tcW w:w="3337"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Well-to-wake emission factors (gCO2eq/MJ)</w:t>
            </w:r>
          </w:p>
        </w:tc>
        <w:tc>
          <w:tcPr>
            <w:tcW w:w="832"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831"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jc w:val="center"/>
        </w:trPr>
        <w:tc>
          <w:tcPr>
            <w:tcW w:w="3337" w:type="pct"/>
            <w:shd w:val="clear" w:color="auto" w:fill="FFFFFF" w:themeFill="background1"/>
            <w:noWrap/>
            <w:vAlign w:val="bottom"/>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Fossil fuels</w:t>
            </w:r>
          </w:p>
        </w:tc>
        <w:tc>
          <w:tcPr>
            <w:tcW w:w="832" w:type="pct"/>
            <w:shd w:val="clear" w:color="auto" w:fill="FFFFFF" w:themeFill="background1"/>
            <w:noWrap/>
            <w:vAlign w:val="center"/>
          </w:tcPr>
          <w:p>
            <w:pPr>
              <w:spacing w:after="0" w:line="240" w:lineRule="auto"/>
              <w:rPr>
                <w:rFonts w:ascii="Times New Roman" w:eastAsia="Times New Roman" w:hAnsi="Times New Roman" w:cs="Times New Roman"/>
                <w:noProof/>
                <w:sz w:val="18"/>
                <w:szCs w:val="18"/>
                <w:lang w:val="en-US"/>
              </w:rPr>
            </w:pPr>
          </w:p>
        </w:tc>
        <w:tc>
          <w:tcPr>
            <w:tcW w:w="831" w:type="pct"/>
            <w:shd w:val="clear" w:color="auto" w:fill="FFFFFF" w:themeFill="background1"/>
            <w:noWrap/>
            <w:vAlign w:val="bottom"/>
          </w:tcPr>
          <w:p>
            <w:pPr>
              <w:spacing w:after="0" w:line="240" w:lineRule="auto"/>
              <w:rPr>
                <w:rFonts w:ascii="Times New Roman" w:eastAsia="Times New Roman" w:hAnsi="Times New Roman" w:cs="Times New Roman"/>
                <w:noProof/>
                <w:sz w:val="18"/>
                <w:szCs w:val="18"/>
                <w:lang w:val="en-US"/>
              </w:rPr>
            </w:pPr>
          </w:p>
        </w:tc>
      </w:tr>
      <w:tr>
        <w:trPr>
          <w:trHeight w:val="260"/>
          <w:jc w:val="center"/>
        </w:trPr>
        <w:tc>
          <w:tcPr>
            <w:tcW w:w="3337" w:type="pct"/>
            <w:shd w:val="clear" w:color="auto" w:fill="FFFFFF" w:themeFill="background1"/>
            <w:noWrap/>
            <w:vAlign w:val="bottom"/>
          </w:tcPr>
          <w:p>
            <w:pPr>
              <w:spacing w:after="0" w:line="240" w:lineRule="auto"/>
              <w:ind w:left="167"/>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Diesel</w:t>
            </w:r>
          </w:p>
        </w:tc>
        <w:tc>
          <w:tcPr>
            <w:tcW w:w="832" w:type="pct"/>
            <w:shd w:val="clear" w:color="auto" w:fill="FFFFFF" w:themeFill="background1"/>
            <w:noWrap/>
            <w:vAlign w:val="center"/>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88.4</w:t>
            </w:r>
          </w:p>
        </w:tc>
        <w:tc>
          <w:tcPr>
            <w:tcW w:w="831" w:type="pct"/>
            <w:shd w:val="clear" w:color="auto" w:fill="FFFFFF" w:themeFill="background1"/>
            <w:noWrap/>
            <w:vAlign w:val="center"/>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88.4</w:t>
            </w:r>
          </w:p>
        </w:tc>
      </w:tr>
      <w:tr>
        <w:trPr>
          <w:trHeight w:val="260"/>
          <w:jc w:val="center"/>
        </w:trPr>
        <w:tc>
          <w:tcPr>
            <w:tcW w:w="3337" w:type="pct"/>
            <w:shd w:val="clear" w:color="auto" w:fill="FFFFFF" w:themeFill="background1"/>
            <w:noWrap/>
            <w:vAlign w:val="bottom"/>
          </w:tcPr>
          <w:p>
            <w:pPr>
              <w:spacing w:after="0" w:line="240" w:lineRule="auto"/>
              <w:ind w:left="167"/>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Fuel oil</w:t>
            </w:r>
          </w:p>
        </w:tc>
        <w:tc>
          <w:tcPr>
            <w:tcW w:w="832" w:type="pct"/>
            <w:shd w:val="clear" w:color="auto" w:fill="FFFFFF" w:themeFill="background1"/>
            <w:noWrap/>
            <w:vAlign w:val="center"/>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86.1</w:t>
            </w:r>
          </w:p>
        </w:tc>
        <w:tc>
          <w:tcPr>
            <w:tcW w:w="831" w:type="pct"/>
            <w:shd w:val="clear" w:color="auto" w:fill="FFFFFF" w:themeFill="background1"/>
            <w:noWrap/>
            <w:vAlign w:val="center"/>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86.1</w:t>
            </w:r>
          </w:p>
        </w:tc>
      </w:tr>
      <w:tr>
        <w:trPr>
          <w:trHeight w:val="260"/>
          <w:jc w:val="center"/>
        </w:trPr>
        <w:tc>
          <w:tcPr>
            <w:tcW w:w="3337" w:type="pct"/>
            <w:shd w:val="clear" w:color="auto" w:fill="FFFFFF" w:themeFill="background1"/>
            <w:noWrap/>
            <w:vAlign w:val="bottom"/>
          </w:tcPr>
          <w:p>
            <w:pPr>
              <w:spacing w:after="0" w:line="240" w:lineRule="auto"/>
              <w:ind w:left="167"/>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Natural gas</w:t>
            </w:r>
          </w:p>
        </w:tc>
        <w:tc>
          <w:tcPr>
            <w:tcW w:w="832" w:type="pct"/>
            <w:shd w:val="clear" w:color="auto" w:fill="FFFFFF" w:themeFill="background1"/>
            <w:noWrap/>
            <w:vAlign w:val="center"/>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75.1</w:t>
            </w:r>
          </w:p>
        </w:tc>
        <w:tc>
          <w:tcPr>
            <w:tcW w:w="831" w:type="pct"/>
            <w:shd w:val="clear" w:color="auto" w:fill="FFFFFF" w:themeFill="background1"/>
            <w:noWrap/>
            <w:vAlign w:val="center"/>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75.1</w:t>
            </w:r>
          </w:p>
        </w:tc>
      </w:tr>
      <w:tr>
        <w:trPr>
          <w:trHeight w:val="260"/>
          <w:jc w:val="center"/>
        </w:trPr>
        <w:tc>
          <w:tcPr>
            <w:tcW w:w="3337" w:type="pct"/>
            <w:shd w:val="clear" w:color="auto" w:fill="FFFFFF" w:themeFill="background1"/>
            <w:noWrap/>
            <w:vAlign w:val="bottom"/>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Biofuels</w:t>
            </w:r>
          </w:p>
        </w:tc>
        <w:tc>
          <w:tcPr>
            <w:tcW w:w="832" w:type="pct"/>
            <w:shd w:val="clear" w:color="auto" w:fill="FFFFFF" w:themeFill="background1"/>
            <w:noWrap/>
            <w:vAlign w:val="center"/>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 </w:t>
            </w:r>
          </w:p>
        </w:tc>
        <w:tc>
          <w:tcPr>
            <w:tcW w:w="831" w:type="pct"/>
            <w:shd w:val="clear" w:color="auto" w:fill="FFFFFF" w:themeFill="background1"/>
            <w:noWrap/>
            <w:vAlign w:val="center"/>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 </w:t>
            </w:r>
          </w:p>
        </w:tc>
      </w:tr>
      <w:tr>
        <w:trPr>
          <w:trHeight w:val="260"/>
          <w:jc w:val="center"/>
        </w:trPr>
        <w:tc>
          <w:tcPr>
            <w:tcW w:w="3337" w:type="pct"/>
            <w:shd w:val="clear" w:color="auto" w:fill="FFFFFF" w:themeFill="background1"/>
            <w:noWrap/>
            <w:vAlign w:val="bottom"/>
            <w:hideMark/>
          </w:tcPr>
          <w:p>
            <w:pPr>
              <w:spacing w:after="0" w:line="240" w:lineRule="auto"/>
              <w:ind w:left="167"/>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Biodiesel</w:t>
            </w:r>
          </w:p>
        </w:tc>
        <w:tc>
          <w:tcPr>
            <w:tcW w:w="832" w:type="pct"/>
            <w:shd w:val="clear" w:color="auto" w:fill="FFFFFF" w:themeFill="background1"/>
            <w:noWrap/>
            <w:vAlign w:val="center"/>
            <w:hideMark/>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26.3</w:t>
            </w:r>
          </w:p>
        </w:tc>
        <w:tc>
          <w:tcPr>
            <w:tcW w:w="831" w:type="pct"/>
            <w:shd w:val="clear" w:color="auto" w:fill="FFFFFF" w:themeFill="background1"/>
            <w:noWrap/>
            <w:vAlign w:val="center"/>
            <w:hideMark/>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26.3</w:t>
            </w:r>
          </w:p>
        </w:tc>
      </w:tr>
      <w:tr>
        <w:trPr>
          <w:trHeight w:val="270"/>
          <w:jc w:val="center"/>
        </w:trPr>
        <w:tc>
          <w:tcPr>
            <w:tcW w:w="3337" w:type="pct"/>
            <w:shd w:val="clear" w:color="auto" w:fill="FFFFFF" w:themeFill="background1"/>
            <w:noWrap/>
            <w:vAlign w:val="bottom"/>
            <w:hideMark/>
          </w:tcPr>
          <w:p>
            <w:pPr>
              <w:spacing w:after="0" w:line="240" w:lineRule="auto"/>
              <w:ind w:left="167"/>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Bioheavy</w:t>
            </w:r>
          </w:p>
        </w:tc>
        <w:tc>
          <w:tcPr>
            <w:tcW w:w="832" w:type="pct"/>
            <w:shd w:val="clear" w:color="auto" w:fill="FFFFFF" w:themeFill="background1"/>
            <w:noWrap/>
            <w:vAlign w:val="center"/>
            <w:hideMark/>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26.3</w:t>
            </w:r>
          </w:p>
        </w:tc>
        <w:tc>
          <w:tcPr>
            <w:tcW w:w="831" w:type="pct"/>
            <w:shd w:val="clear" w:color="auto" w:fill="FFFFFF" w:themeFill="background1"/>
            <w:noWrap/>
            <w:vAlign w:val="center"/>
            <w:hideMark/>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26.3</w:t>
            </w:r>
          </w:p>
        </w:tc>
      </w:tr>
      <w:tr>
        <w:trPr>
          <w:trHeight w:val="270"/>
          <w:jc w:val="center"/>
        </w:trPr>
        <w:tc>
          <w:tcPr>
            <w:tcW w:w="3337" w:type="pct"/>
            <w:shd w:val="clear" w:color="auto" w:fill="FFFFFF" w:themeFill="background1"/>
            <w:noWrap/>
            <w:vAlign w:val="bottom"/>
            <w:hideMark/>
          </w:tcPr>
          <w:p>
            <w:pPr>
              <w:spacing w:after="0" w:line="240" w:lineRule="auto"/>
              <w:ind w:left="167"/>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Biomethane</w:t>
            </w:r>
          </w:p>
        </w:tc>
        <w:tc>
          <w:tcPr>
            <w:tcW w:w="832" w:type="pct"/>
            <w:shd w:val="clear" w:color="auto" w:fill="FFFFFF" w:themeFill="background1"/>
            <w:noWrap/>
            <w:vAlign w:val="center"/>
            <w:hideMark/>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9.6</w:t>
            </w:r>
          </w:p>
        </w:tc>
        <w:tc>
          <w:tcPr>
            <w:tcW w:w="831" w:type="pct"/>
            <w:shd w:val="clear" w:color="auto" w:fill="FFFFFF" w:themeFill="background1"/>
            <w:noWrap/>
            <w:vAlign w:val="center"/>
            <w:hideMark/>
          </w:tcPr>
          <w:p>
            <w:pPr>
              <w:spacing w:after="0" w:line="240" w:lineRule="auto"/>
              <w:jc w:val="right"/>
              <w:rPr>
                <w:rFonts w:ascii="Times New Roman" w:eastAsia="Times New Roman" w:hAnsi="Times New Roman" w:cs="Times New Roman"/>
                <w:noProof/>
                <w:sz w:val="18"/>
                <w:szCs w:val="18"/>
                <w:lang w:val="en-US"/>
              </w:rPr>
            </w:pPr>
            <w:r>
              <w:rPr>
                <w:rFonts w:ascii="Times New Roman" w:hAnsi="Times New Roman" w:cs="Times New Roman"/>
                <w:noProof/>
                <w:color w:val="000000"/>
                <w:sz w:val="18"/>
                <w:szCs w:val="18"/>
              </w:rPr>
              <w:t>9.1</w:t>
            </w:r>
          </w:p>
        </w:tc>
      </w:tr>
    </w:tbl>
    <w:p>
      <w:pPr>
        <w:rPr>
          <w:rFonts w:ascii="Times New Roman" w:eastAsia="Calibri" w:hAnsi="Times New Roman" w:cs="Times New Roman"/>
          <w:i/>
          <w:iCs/>
          <w:noProof/>
          <w:sz w:val="18"/>
          <w:szCs w:val="18"/>
        </w:rPr>
      </w:pPr>
      <w:r>
        <w:rPr>
          <w:rFonts w:ascii="Times New Roman" w:eastAsia="Calibri" w:hAnsi="Times New Roman" w:cs="Times New Roman"/>
          <w:i/>
          <w:iCs/>
          <w:noProof/>
          <w:sz w:val="18"/>
          <w:szCs w:val="18"/>
        </w:rPr>
        <w:t xml:space="preserve">Source: PRIMES model, E3Modelling </w:t>
      </w:r>
    </w:p>
    <w:p>
      <w:pPr>
        <w:pStyle w:val="Heading1"/>
        <w:numPr>
          <w:ilvl w:val="0"/>
          <w:numId w:val="14"/>
        </w:numPr>
        <w:rPr>
          <w:noProof/>
        </w:rPr>
      </w:pPr>
      <w:bookmarkStart w:id="612" w:name="_Toc59152672"/>
      <w:bookmarkStart w:id="613" w:name="_Toc63426186"/>
      <w:bookmarkStart w:id="614" w:name="_Toc63438532"/>
      <w:r>
        <w:rPr>
          <w:noProof/>
        </w:rPr>
        <w:t>Impact on biomass feedstock and renewable electricity needs</w:t>
      </w:r>
      <w:bookmarkEnd w:id="612"/>
      <w:bookmarkEnd w:id="613"/>
      <w:bookmarkEnd w:id="614"/>
    </w:p>
    <w:p>
      <w:pPr>
        <w:spacing w:before="120" w:after="120"/>
        <w:jc w:val="both"/>
        <w:rPr>
          <w:rFonts w:ascii="Times New Roman" w:eastAsia="Calibri" w:hAnsi="Times New Roman" w:cs="Times New Roman"/>
          <w:noProof/>
          <w:sz w:val="24"/>
        </w:rPr>
      </w:pPr>
      <w:r>
        <w:rPr>
          <w:rFonts w:ascii="Times New Roman" w:eastAsia="Calibri" w:hAnsi="Times New Roman" w:cs="Times New Roman"/>
          <w:noProof/>
          <w:sz w:val="24"/>
        </w:rPr>
        <w:t xml:space="preserve">Biofuels supplied to international maritime include biodiesel and bio-HFO. Bio-LNG is also included. Biofuels and bio-LNG are further classified into Annex IX Part A and Part B, depending to the type of feedstock used for their production in line with the definitions of Directive (EU) 2018/2001 Annex IX. Synthetic liquids refer to e-ammonia, e-methanol, synthetic diesel, synthetic fuel oil and clean gas. </w:t>
      </w:r>
    </w:p>
    <w:p>
      <w:pPr>
        <w:spacing w:before="120" w:after="120"/>
        <w:jc w:val="both"/>
        <w:rPr>
          <w:rFonts w:ascii="Times New Roman" w:eastAsia="Calibri" w:hAnsi="Times New Roman" w:cs="Times New Roman"/>
          <w:noProof/>
          <w:sz w:val="24"/>
        </w:rPr>
      </w:pPr>
      <w:r>
        <w:rPr>
          <w:rFonts w:ascii="Times New Roman" w:eastAsia="Calibri" w:hAnsi="Times New Roman" w:cs="Times New Roman"/>
          <w:noProof/>
          <w:sz w:val="24"/>
        </w:rPr>
        <w:t>The volume and share of deployed biofuel and bio-LNG production pathways draw on the MIX scenario projections context of the PRIMES Biomass supply model, underpinning the analysis accompanying the 2030 Climate Target Plan. Results are presented for EU27, for 2030 and 2050.</w:t>
      </w:r>
    </w:p>
    <w:p>
      <w:pPr>
        <w:keepNext/>
        <w:rPr>
          <w:rFonts w:ascii="Times New Roman" w:hAnsi="Times New Roman" w:cs="Times New Roman"/>
          <w:b/>
          <w:i/>
          <w:noProof/>
          <w:sz w:val="24"/>
          <w:szCs w:val="24"/>
        </w:rPr>
      </w:pPr>
      <w:r>
        <w:rPr>
          <w:rFonts w:ascii="Times New Roman" w:hAnsi="Times New Roman" w:cs="Times New Roman"/>
          <w:b/>
          <w:i/>
          <w:noProof/>
          <w:sz w:val="24"/>
          <w:szCs w:val="24"/>
        </w:rPr>
        <w:t>Biofuels and bio-LNG consumption</w:t>
      </w:r>
    </w:p>
    <w:p>
      <w:pPr>
        <w:spacing w:before="120" w:after="120"/>
        <w:jc w:val="both"/>
        <w:rPr>
          <w:rFonts w:ascii="Times New Roman" w:hAnsi="Times New Roman" w:cs="Times New Roman"/>
          <w:noProof/>
          <w:sz w:val="24"/>
          <w:szCs w:val="24"/>
        </w:rPr>
      </w:pPr>
      <w:r>
        <w:rPr>
          <w:rFonts w:ascii="Times New Roman" w:hAnsi="Times New Roman" w:cs="Times New Roman"/>
          <w:noProof/>
          <w:sz w:val="24"/>
          <w:szCs w:val="24"/>
        </w:rPr>
        <w:t xml:space="preserve">Biofuels and bio-LNG consumption, together, is projected to increase almost by a factor of 10 between 2030 and 2050, from around 3 Mtoe in 2030 up to 32 Mtoe in 2050. The highest supply is projected in PO2 (close to 32 Mtoe) and the lowest in PO1 (around 26 Mtoe) with PO3 falling in between (28 Mtoe). In their vast majority, Annex IX Part A (advanced biofuels and bio-LNG) would be supplied to the maritime sector (more than three-quarters of supply to the maritime sector in 2030 and 90% in 2050, similarly across policy options). Annex IX Part B biofuels would cover the remainder of the biofuel demand. Notably, biofuels imports for the maritime sector are projected to account for around 1.5% in 2030 to 4% in 2050 of the total biofuel demand in the sector. These would be biodiesel imports that are assumed to be exclusively Part B biofuels. This can be regarded as a conservative assumption as Part A biofuels may also be imported instead. </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32</w:t>
      </w:r>
      <w:r>
        <w:rPr>
          <w:noProof/>
        </w:rPr>
        <w:fldChar w:fldCharType="end"/>
      </w:r>
      <w:r>
        <w:rPr>
          <w:noProof/>
        </w:rPr>
        <w:t xml:space="preserve"> Share of biofuels and bio-LNG consumption by type of feedstock (Annex IX Part A and Part B)</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3599"/>
        <w:gridCol w:w="994"/>
        <w:gridCol w:w="996"/>
        <w:gridCol w:w="853"/>
        <w:gridCol w:w="855"/>
        <w:gridCol w:w="853"/>
        <w:gridCol w:w="853"/>
      </w:tblGrid>
      <w:tr>
        <w:trPr>
          <w:trHeight w:val="260"/>
          <w:tblHeader/>
        </w:trPr>
        <w:tc>
          <w:tcPr>
            <w:tcW w:w="1998" w:type="pct"/>
            <w:tcBorders>
              <w:bottom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 xml:space="preserve">Biofuels and bio-LNG consumption share </w:t>
            </w:r>
          </w:p>
        </w:tc>
        <w:tc>
          <w:tcPr>
            <w:tcW w:w="1105"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PO1</w:t>
            </w:r>
          </w:p>
        </w:tc>
        <w:tc>
          <w:tcPr>
            <w:tcW w:w="949"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PO2</w:t>
            </w:r>
          </w:p>
        </w:tc>
        <w:tc>
          <w:tcPr>
            <w:tcW w:w="949"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PO3</w:t>
            </w:r>
          </w:p>
        </w:tc>
      </w:tr>
      <w:tr>
        <w:trPr>
          <w:trHeight w:val="270"/>
          <w:tblHeader/>
        </w:trPr>
        <w:tc>
          <w:tcPr>
            <w:tcW w:w="1998" w:type="pct"/>
            <w:tcBorders>
              <w:top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w:t>
            </w:r>
          </w:p>
        </w:tc>
        <w:tc>
          <w:tcPr>
            <w:tcW w:w="552"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553"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74"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7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74"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7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trPr>
        <w:tc>
          <w:tcPr>
            <w:tcW w:w="1998"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Part A</w:t>
            </w:r>
          </w:p>
        </w:tc>
        <w:tc>
          <w:tcPr>
            <w:tcW w:w="552"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77%</w:t>
            </w:r>
          </w:p>
        </w:tc>
        <w:tc>
          <w:tcPr>
            <w:tcW w:w="553"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90%</w:t>
            </w:r>
          </w:p>
        </w:tc>
        <w:tc>
          <w:tcPr>
            <w:tcW w:w="474"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76%</w:t>
            </w:r>
          </w:p>
        </w:tc>
        <w:tc>
          <w:tcPr>
            <w:tcW w:w="47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90%</w:t>
            </w:r>
          </w:p>
        </w:tc>
        <w:tc>
          <w:tcPr>
            <w:tcW w:w="474"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77%</w:t>
            </w:r>
          </w:p>
        </w:tc>
        <w:tc>
          <w:tcPr>
            <w:tcW w:w="47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90%</w:t>
            </w:r>
          </w:p>
        </w:tc>
      </w:tr>
      <w:tr>
        <w:trPr>
          <w:trHeight w:val="260"/>
        </w:trPr>
        <w:tc>
          <w:tcPr>
            <w:tcW w:w="1998"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Part B</w:t>
            </w:r>
          </w:p>
        </w:tc>
        <w:tc>
          <w:tcPr>
            <w:tcW w:w="552"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23%</w:t>
            </w:r>
          </w:p>
        </w:tc>
        <w:tc>
          <w:tcPr>
            <w:tcW w:w="553"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10%</w:t>
            </w:r>
          </w:p>
        </w:tc>
        <w:tc>
          <w:tcPr>
            <w:tcW w:w="474"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475"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10%</w:t>
            </w:r>
          </w:p>
        </w:tc>
        <w:tc>
          <w:tcPr>
            <w:tcW w:w="474"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23%</w:t>
            </w:r>
          </w:p>
        </w:tc>
        <w:tc>
          <w:tcPr>
            <w:tcW w:w="475"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10%</w:t>
            </w:r>
          </w:p>
        </w:tc>
      </w:tr>
      <w:tr>
        <w:trPr>
          <w:trHeight w:val="270"/>
        </w:trPr>
        <w:tc>
          <w:tcPr>
            <w:tcW w:w="1998" w:type="pct"/>
            <w:shd w:val="clear" w:color="auto" w:fill="FFFFFF" w:themeFill="background1"/>
            <w:noWrap/>
            <w:vAlign w:val="bottom"/>
            <w:hideMark/>
          </w:tcPr>
          <w:p>
            <w:pPr>
              <w:spacing w:after="0" w:line="240" w:lineRule="auto"/>
              <w:ind w:firstLineChars="100" w:firstLine="180"/>
              <w:rPr>
                <w:rFonts w:ascii="Times New Roman" w:eastAsia="Times New Roman" w:hAnsi="Times New Roman" w:cs="Times New Roman"/>
                <w:bCs/>
                <w:i/>
                <w:noProof/>
                <w:sz w:val="18"/>
                <w:szCs w:val="18"/>
                <w:lang w:val="en-US"/>
              </w:rPr>
            </w:pPr>
            <w:r>
              <w:rPr>
                <w:rFonts w:ascii="Times New Roman" w:eastAsia="Times New Roman" w:hAnsi="Times New Roman" w:cs="Times New Roman"/>
                <w:bCs/>
                <w:i/>
                <w:noProof/>
                <w:sz w:val="18"/>
                <w:szCs w:val="18"/>
                <w:lang w:val="en-US"/>
              </w:rPr>
              <w:t>imports (as part of total)</w:t>
            </w:r>
          </w:p>
        </w:tc>
        <w:tc>
          <w:tcPr>
            <w:tcW w:w="552"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w:t>
            </w:r>
          </w:p>
        </w:tc>
        <w:tc>
          <w:tcPr>
            <w:tcW w:w="553"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3.8%</w:t>
            </w:r>
          </w:p>
        </w:tc>
        <w:tc>
          <w:tcPr>
            <w:tcW w:w="474"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w:t>
            </w:r>
          </w:p>
        </w:tc>
        <w:tc>
          <w:tcPr>
            <w:tcW w:w="47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3.7%</w:t>
            </w:r>
          </w:p>
        </w:tc>
        <w:tc>
          <w:tcPr>
            <w:tcW w:w="474"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w:t>
            </w:r>
          </w:p>
        </w:tc>
        <w:tc>
          <w:tcPr>
            <w:tcW w:w="47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3.8%</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PRIMES Biomass model, E3Modelling</w:t>
      </w:r>
    </w:p>
    <w:p>
      <w:pPr>
        <w:keepNext/>
        <w:rPr>
          <w:rFonts w:ascii="Times New Roman" w:hAnsi="Times New Roman" w:cs="Times New Roman"/>
          <w:b/>
          <w:i/>
          <w:noProof/>
          <w:sz w:val="24"/>
          <w:szCs w:val="24"/>
        </w:rPr>
      </w:pPr>
      <w:r>
        <w:rPr>
          <w:rFonts w:ascii="Times New Roman" w:hAnsi="Times New Roman" w:cs="Times New Roman"/>
          <w:b/>
          <w:i/>
          <w:noProof/>
          <w:sz w:val="24"/>
          <w:szCs w:val="24"/>
        </w:rPr>
        <w:t>Biomass feedstock consumption</w:t>
      </w:r>
    </w:p>
    <w:p>
      <w:pPr>
        <w:jc w:val="both"/>
        <w:rPr>
          <w:rFonts w:ascii="Times New Roman" w:hAnsi="Times New Roman" w:cs="Times New Roman"/>
          <w:noProof/>
          <w:sz w:val="24"/>
          <w:szCs w:val="24"/>
        </w:rPr>
      </w:pPr>
      <w:r>
        <w:rPr>
          <w:rFonts w:ascii="Times New Roman" w:hAnsi="Times New Roman" w:cs="Times New Roman"/>
          <w:noProof/>
          <w:sz w:val="24"/>
          <w:szCs w:val="24"/>
        </w:rPr>
        <w:t>Annex IX Part A type of feedstock (i.e. mainly lignocellulosic biomass) would represent more than 90% of feedstock used for maritime biofuel and bio-LNG production in EU27 by 2030, and almost 99% by 2050, whilst the remainder would be Part B types of feedstock (mainly waste lipids such as used cooking oils). These shares do not consider the feedstock used outside the EU to produce the imported quantities of biofuels. It should also be noted that the conversion efficiency of Part B feedstock to Part B biofuels is higher than that of Part A feedstock to Part A biofuels and bio-LNG, thereby explaining the lower share of Part A biofuels in terms of final product (i.e. 90% in 2050) when compared to their share in terms of feedstock (i.e. 98.5% in 2050).</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33</w:t>
      </w:r>
      <w:r>
        <w:rPr>
          <w:noProof/>
        </w:rPr>
        <w:fldChar w:fldCharType="end"/>
      </w:r>
      <w:r>
        <w:rPr>
          <w:noProof/>
        </w:rPr>
        <w:t xml:space="preserve"> Biomass feedstock consumption by type of feedstock (Annex IX Part A and Part B)</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3446"/>
        <w:gridCol w:w="1019"/>
        <w:gridCol w:w="1021"/>
        <w:gridCol w:w="879"/>
        <w:gridCol w:w="880"/>
        <w:gridCol w:w="879"/>
        <w:gridCol w:w="879"/>
      </w:tblGrid>
      <w:tr>
        <w:trPr>
          <w:trHeight w:val="260"/>
          <w:tblHeader/>
        </w:trPr>
        <w:tc>
          <w:tcPr>
            <w:tcW w:w="1914" w:type="pct"/>
            <w:tcBorders>
              <w:bottom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Feedstock consumption share</w:t>
            </w:r>
          </w:p>
        </w:tc>
        <w:tc>
          <w:tcPr>
            <w:tcW w:w="1133"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PO1</w:t>
            </w:r>
          </w:p>
        </w:tc>
        <w:tc>
          <w:tcPr>
            <w:tcW w:w="977"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PO2</w:t>
            </w:r>
          </w:p>
        </w:tc>
        <w:tc>
          <w:tcPr>
            <w:tcW w:w="976"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PO3</w:t>
            </w:r>
          </w:p>
        </w:tc>
      </w:tr>
      <w:tr>
        <w:trPr>
          <w:trHeight w:val="270"/>
          <w:tblHeader/>
        </w:trPr>
        <w:tc>
          <w:tcPr>
            <w:tcW w:w="1914" w:type="pct"/>
            <w:tcBorders>
              <w:top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trPr>
        <w:tc>
          <w:tcPr>
            <w:tcW w:w="1914"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Part A</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92.1%</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98.5%</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92.0%</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98.4%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92.0%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98.4%</w:t>
            </w:r>
          </w:p>
        </w:tc>
      </w:tr>
      <w:tr>
        <w:trPr>
          <w:trHeight w:val="270"/>
        </w:trPr>
        <w:tc>
          <w:tcPr>
            <w:tcW w:w="1914"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Part B</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7.9%</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8.0%</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1.6%</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8.0%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1.6%</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PRIMES Biomass model, E3Modelling</w:t>
      </w:r>
    </w:p>
    <w:p>
      <w:pPr>
        <w:jc w:val="both"/>
        <w:rPr>
          <w:rFonts w:ascii="Times New Roman" w:hAnsi="Times New Roman" w:cs="Times New Roman"/>
          <w:noProof/>
          <w:sz w:val="24"/>
          <w:szCs w:val="24"/>
        </w:rPr>
      </w:pPr>
      <w:r>
        <w:rPr>
          <w:rFonts w:ascii="Times New Roman" w:hAnsi="Times New Roman" w:cs="Times New Roman"/>
          <w:noProof/>
          <w:sz w:val="24"/>
          <w:szCs w:val="24"/>
        </w:rPr>
        <w:t>By 2030, the vast majority of the feedstock used is projected to originate from forestry and from biomass waste flows, whether agricultural residues, wood waste or manure. By 2050, energy crops and notably dedicated energy crops (annual lignocellulosic crops) provide more than one-third of the feedstock required to produce Part A biofuels. Substantial growth is also projected in agricultural residues used for biofuels production in international maritime that increase by more than a factor of 10 between 2030 and 2050.</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34</w:t>
      </w:r>
      <w:r>
        <w:rPr>
          <w:noProof/>
        </w:rPr>
        <w:fldChar w:fldCharType="end"/>
      </w:r>
      <w:r>
        <w:rPr>
          <w:noProof/>
        </w:rPr>
        <w:t xml:space="preserve"> Biomass feedstock consumption by type (in Mtonnes)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847"/>
        <w:gridCol w:w="1116"/>
        <w:gridCol w:w="1116"/>
        <w:gridCol w:w="891"/>
        <w:gridCol w:w="1071"/>
        <w:gridCol w:w="891"/>
        <w:gridCol w:w="1071"/>
      </w:tblGrid>
      <w:tr>
        <w:trPr>
          <w:trHeight w:val="260"/>
        </w:trPr>
        <w:tc>
          <w:tcPr>
            <w:tcW w:w="1581"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Feedstock consumption</w:t>
            </w:r>
          </w:p>
        </w:tc>
        <w:tc>
          <w:tcPr>
            <w:tcW w:w="1240"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PO1</w:t>
            </w:r>
          </w:p>
        </w:tc>
        <w:tc>
          <w:tcPr>
            <w:tcW w:w="1090"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PO2</w:t>
            </w:r>
          </w:p>
        </w:tc>
        <w:tc>
          <w:tcPr>
            <w:tcW w:w="1090"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PO3</w:t>
            </w:r>
          </w:p>
        </w:tc>
      </w:tr>
      <w:tr>
        <w:trPr>
          <w:trHeight w:val="270"/>
        </w:trPr>
        <w:tc>
          <w:tcPr>
            <w:tcW w:w="1581"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Mtonnes</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trPr>
        <w:tc>
          <w:tcPr>
            <w:tcW w:w="1581"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Part A</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Perennial crops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0.0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6.3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0.0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7.7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0.0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6.9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Annual crops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0.3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33.6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0.3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40.8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0.3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36.4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Forestry products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3.1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14.4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3.2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18.4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3.1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15.9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Forestry residues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1.4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11.7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14.7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12.8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Wood waste</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6.7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8.0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7.2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Agricultural residues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15.4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18.6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1.5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16.8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Manure</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1.2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2.8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1.2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3.3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1.2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3.0 </w:t>
            </w:r>
          </w:p>
        </w:tc>
      </w:tr>
      <w:tr>
        <w:trPr>
          <w:trHeight w:val="260"/>
        </w:trPr>
        <w:tc>
          <w:tcPr>
            <w:tcW w:w="1581"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Part B</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r>
      <w:tr>
        <w:trPr>
          <w:trHeight w:val="260"/>
        </w:trPr>
        <w:tc>
          <w:tcPr>
            <w:tcW w:w="1581"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Non-agricultural oils</w:t>
            </w:r>
          </w:p>
        </w:tc>
        <w:tc>
          <w:tcPr>
            <w:tcW w:w="620" w:type="pct"/>
            <w:shd w:val="clear" w:color="auto" w:fill="FFFFFF" w:themeFill="background1"/>
            <w:noWrap/>
            <w:vAlign w:val="center"/>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0.80 </w:t>
            </w:r>
          </w:p>
        </w:tc>
        <w:tc>
          <w:tcPr>
            <w:tcW w:w="620"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1.4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0.83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1.8 </w:t>
            </w:r>
          </w:p>
        </w:tc>
        <w:tc>
          <w:tcPr>
            <w:tcW w:w="4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0.82 </w:t>
            </w:r>
          </w:p>
        </w:tc>
        <w:tc>
          <w:tcPr>
            <w:tcW w:w="5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xml:space="preserve">              1.6 </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PRIMES Biomass model, E3Modelling</w:t>
      </w:r>
    </w:p>
    <w:p>
      <w:pPr>
        <w:jc w:val="both"/>
        <w:rPr>
          <w:rFonts w:ascii="Times New Roman" w:hAnsi="Times New Roman" w:cs="Times New Roman"/>
          <w:noProof/>
          <w:sz w:val="24"/>
          <w:szCs w:val="24"/>
        </w:rPr>
      </w:pPr>
      <w:r>
        <w:rPr>
          <w:rFonts w:ascii="Times New Roman" w:hAnsi="Times New Roman" w:cs="Times New Roman"/>
          <w:noProof/>
          <w:sz w:val="24"/>
          <w:szCs w:val="24"/>
        </w:rPr>
        <w:t>Model projections show that EU has sufficient biomass available domestically to produce biofuels and bio-LNG for EU international maritime sector. By 2030, there is sufficient supply of waste lipids (non-agricultural oils, such as used cooking oil), as the demand from international maritime requires about 20% of the feedstock available in the EU. The remaining feedstock is consumed in other transport sectors such as road transport and aviation. By 2050, the need for waste lipids to produce Part B biofuels for international maritime increases, and as a result the sector requires higher shares of the available feedstock. Part A biofuels from lignocellulosic feedstock consume 6 to 20% of the available feedstock potential in the EU by 2050, depending on the type of feedstock and policy option. Manure used for bio-LNG for international maritime increases from around 2% in 2030 to 5-6% in 2050.</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35</w:t>
      </w:r>
      <w:r>
        <w:rPr>
          <w:noProof/>
        </w:rPr>
        <w:fldChar w:fldCharType="end"/>
      </w:r>
      <w:r>
        <w:rPr>
          <w:noProof/>
        </w:rPr>
        <w:t xml:space="preserve"> Used potential for the EU maritime sector as % of domestic potential in EU27</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3446"/>
        <w:gridCol w:w="1019"/>
        <w:gridCol w:w="1021"/>
        <w:gridCol w:w="879"/>
        <w:gridCol w:w="880"/>
        <w:gridCol w:w="879"/>
        <w:gridCol w:w="879"/>
      </w:tblGrid>
      <w:tr>
        <w:trPr>
          <w:trHeight w:val="260"/>
          <w:tblHeader/>
        </w:trPr>
        <w:tc>
          <w:tcPr>
            <w:tcW w:w="1914" w:type="pct"/>
            <w:tcBorders>
              <w:bottom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Used potential</w:t>
            </w:r>
          </w:p>
        </w:tc>
        <w:tc>
          <w:tcPr>
            <w:tcW w:w="1133"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POA</w:t>
            </w:r>
          </w:p>
        </w:tc>
        <w:tc>
          <w:tcPr>
            <w:tcW w:w="977"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POB</w:t>
            </w:r>
          </w:p>
        </w:tc>
        <w:tc>
          <w:tcPr>
            <w:tcW w:w="976"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POC</w:t>
            </w:r>
          </w:p>
        </w:tc>
      </w:tr>
      <w:tr>
        <w:trPr>
          <w:trHeight w:val="270"/>
          <w:tblHeader/>
        </w:trPr>
        <w:tc>
          <w:tcPr>
            <w:tcW w:w="1914" w:type="pct"/>
            <w:tcBorders>
              <w:top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 xml:space="preserve">(% of domestic potential in the EU27) </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trPr>
        <w:tc>
          <w:tcPr>
            <w:tcW w:w="1914"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Part A</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Perennial crops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10.9%</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13.3%</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11.8%</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Annual crops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10.6%</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12.8%</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0.2%</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11.4%</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Forestry products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2.8%</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2.9%</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19.7%</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2.9%</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16.9%</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Forestry residues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2.3%</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15.9%</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20.0%</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2.3%</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17.4%</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Wood waste</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1.7%</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6.4%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1.8%</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7.7%</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1.8%</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6.9%</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Agricultural residues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1.4%</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16.1%</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19.4%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1.5%</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17.5%</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Manure</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5.3%</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6.4%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5.8%</w:t>
            </w:r>
          </w:p>
        </w:tc>
      </w:tr>
      <w:tr>
        <w:trPr>
          <w:trHeight w:val="260"/>
        </w:trPr>
        <w:tc>
          <w:tcPr>
            <w:tcW w:w="1914" w:type="pct"/>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Part B</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 </w:t>
            </w:r>
          </w:p>
        </w:tc>
      </w:tr>
      <w:tr>
        <w:trPr>
          <w:trHeight w:val="260"/>
        </w:trPr>
        <w:tc>
          <w:tcPr>
            <w:tcW w:w="1914" w:type="pct"/>
            <w:shd w:val="clear" w:color="auto" w:fill="FFFFFF" w:themeFill="background1"/>
            <w:noWrap/>
            <w:vAlign w:val="bottom"/>
            <w:hideMark/>
          </w:tcPr>
          <w:p>
            <w:pPr>
              <w:spacing w:after="0" w:line="240" w:lineRule="auto"/>
              <w:ind w:firstLineChars="200" w:firstLine="360"/>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Non-agricultural oils</w:t>
            </w:r>
          </w:p>
        </w:tc>
        <w:tc>
          <w:tcPr>
            <w:tcW w:w="566"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20.6%</w:t>
            </w:r>
          </w:p>
        </w:tc>
        <w:tc>
          <w:tcPr>
            <w:tcW w:w="567"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27.4%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21.3%</w:t>
            </w:r>
          </w:p>
        </w:tc>
        <w:tc>
          <w:tcPr>
            <w:tcW w:w="48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34.4%</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21.1%</w:t>
            </w:r>
          </w:p>
        </w:tc>
        <w:tc>
          <w:tcPr>
            <w:tcW w:w="48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29.9%</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PRIMES Biomass model, E3Modelling</w:t>
      </w:r>
    </w:p>
    <w:p>
      <w:pPr>
        <w:keepNext/>
        <w:rPr>
          <w:rFonts w:ascii="Times New Roman" w:hAnsi="Times New Roman" w:cs="Times New Roman"/>
          <w:b/>
          <w:i/>
          <w:noProof/>
          <w:sz w:val="24"/>
          <w:szCs w:val="24"/>
        </w:rPr>
      </w:pPr>
      <w:r>
        <w:rPr>
          <w:rFonts w:ascii="Times New Roman" w:hAnsi="Times New Roman" w:cs="Times New Roman"/>
          <w:b/>
          <w:i/>
          <w:noProof/>
          <w:sz w:val="24"/>
          <w:szCs w:val="24"/>
        </w:rPr>
        <w:t>E-fuels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E-fuels include e-ammonia, e-methanol, synthetic diesel, synthetic fuel oil and e-gas. The electricity to produce e-fuels is projected to be the highest in PO1 (almost 2 TWh in 2030 and 246 TWh in 2050). This would represent around 0.1% of renewable electricity generation in 2030 and 4.7% by 2050. In PO3 the electricity to produce e-fuels is projected at around 0.6 TWh in 2030 and 230 by 2050 (i.e. less than 0.1% of renewable electricity generation in 2030 and 4.4% in 2050). PO2 shows the lowest share of e-fuels in the energy mix and thus the lowest electricity needs to produce them (0.1 TWh in 2030 and 198 TWh in 2050). The electricity is primarily used to produce synthetic diesel blends and e-gas.  </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36</w:t>
      </w:r>
      <w:r>
        <w:rPr>
          <w:noProof/>
        </w:rPr>
        <w:fldChar w:fldCharType="end"/>
      </w:r>
      <w:r>
        <w:rPr>
          <w:noProof/>
        </w:rPr>
        <w:t xml:space="preserve"> Electricity consumption for producing e-fuels for the maritime sector (in TWh and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4484"/>
        <w:gridCol w:w="753"/>
        <w:gridCol w:w="754"/>
        <w:gridCol w:w="753"/>
        <w:gridCol w:w="754"/>
        <w:gridCol w:w="711"/>
        <w:gridCol w:w="794"/>
      </w:tblGrid>
      <w:tr>
        <w:trPr>
          <w:trHeight w:val="260"/>
        </w:trPr>
        <w:tc>
          <w:tcPr>
            <w:tcW w:w="2490" w:type="pct"/>
            <w:tcBorders>
              <w:bottom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Electricity consumption for synthetic fuels</w:t>
            </w:r>
          </w:p>
        </w:tc>
        <w:tc>
          <w:tcPr>
            <w:tcW w:w="837"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PO1</w:t>
            </w:r>
          </w:p>
        </w:tc>
        <w:tc>
          <w:tcPr>
            <w:tcW w:w="837"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PO2</w:t>
            </w:r>
          </w:p>
        </w:tc>
        <w:tc>
          <w:tcPr>
            <w:tcW w:w="836" w:type="pct"/>
            <w:gridSpan w:val="2"/>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PO3</w:t>
            </w:r>
          </w:p>
        </w:tc>
      </w:tr>
      <w:tr>
        <w:trPr>
          <w:trHeight w:val="270"/>
        </w:trPr>
        <w:tc>
          <w:tcPr>
            <w:tcW w:w="2490" w:type="pct"/>
            <w:tcBorders>
              <w:top w:val="nil"/>
            </w:tcBorders>
            <w:shd w:val="clear" w:color="auto" w:fill="FFFFFF" w:themeFill="background1"/>
            <w:noWrap/>
            <w:vAlign w:val="bottom"/>
            <w:hideMark/>
          </w:tcPr>
          <w:p>
            <w:pPr>
              <w:spacing w:after="0" w:line="240" w:lineRule="auto"/>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(TWh and %)</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c>
          <w:tcPr>
            <w:tcW w:w="3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2030</w:t>
            </w:r>
          </w:p>
        </w:tc>
        <w:tc>
          <w:tcPr>
            <w:tcW w:w="441" w:type="pct"/>
            <w:shd w:val="clear" w:color="auto" w:fill="FFFFFF" w:themeFill="background1"/>
            <w:noWrap/>
            <w:vAlign w:val="bottom"/>
            <w:hideMark/>
          </w:tcPr>
          <w:p>
            <w:pPr>
              <w:spacing w:after="0" w:line="240" w:lineRule="auto"/>
              <w:jc w:val="center"/>
              <w:rPr>
                <w:rFonts w:ascii="Times New Roman" w:eastAsia="Times New Roman" w:hAnsi="Times New Roman" w:cs="Times New Roman"/>
                <w:b/>
                <w:bCs/>
                <w:noProof/>
                <w:sz w:val="18"/>
                <w:szCs w:val="18"/>
                <w:lang w:val="en-US"/>
              </w:rPr>
            </w:pPr>
            <w:r>
              <w:rPr>
                <w:rFonts w:ascii="Times New Roman" w:eastAsia="Times New Roman" w:hAnsi="Times New Roman" w:cs="Times New Roman"/>
                <w:b/>
                <w:bCs/>
                <w:noProof/>
                <w:sz w:val="18"/>
                <w:szCs w:val="18"/>
                <w:lang w:val="en-US"/>
              </w:rPr>
              <w:t>2050</w:t>
            </w:r>
          </w:p>
        </w:tc>
      </w:tr>
      <w:tr>
        <w:trPr>
          <w:trHeight w:val="260"/>
        </w:trPr>
        <w:tc>
          <w:tcPr>
            <w:tcW w:w="2490"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Electricity consumption, TWh</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1.8</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246</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0.1</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198</w:t>
            </w:r>
          </w:p>
        </w:tc>
        <w:tc>
          <w:tcPr>
            <w:tcW w:w="3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0.59</w:t>
            </w:r>
          </w:p>
        </w:tc>
        <w:tc>
          <w:tcPr>
            <w:tcW w:w="441"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230</w:t>
            </w:r>
          </w:p>
        </w:tc>
      </w:tr>
      <w:tr>
        <w:trPr>
          <w:trHeight w:val="260"/>
        </w:trPr>
        <w:tc>
          <w:tcPr>
            <w:tcW w:w="2490"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Share of gross electricity generation, %</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2.0%</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1.6%</w:t>
            </w:r>
          </w:p>
        </w:tc>
        <w:tc>
          <w:tcPr>
            <w:tcW w:w="3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41"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1.9%</w:t>
            </w:r>
          </w:p>
        </w:tc>
      </w:tr>
      <w:tr>
        <w:trPr>
          <w:trHeight w:val="270"/>
        </w:trPr>
        <w:tc>
          <w:tcPr>
            <w:tcW w:w="2490" w:type="pct"/>
            <w:shd w:val="clear" w:color="auto" w:fill="FFFFFF" w:themeFill="background1"/>
            <w:noWrap/>
            <w:vAlign w:val="bottom"/>
            <w:hideMark/>
          </w:tcPr>
          <w:p>
            <w:pPr>
              <w:spacing w:after="0" w:line="240" w:lineRule="auto"/>
              <w:rPr>
                <w:rFonts w:ascii="Times New Roman" w:eastAsia="Times New Roman" w:hAnsi="Times New Roman" w:cs="Times New Roman"/>
                <w:bCs/>
                <w:noProof/>
                <w:sz w:val="18"/>
                <w:szCs w:val="18"/>
                <w:lang w:val="en-US"/>
              </w:rPr>
            </w:pPr>
            <w:r>
              <w:rPr>
                <w:rFonts w:ascii="Times New Roman" w:eastAsia="Times New Roman" w:hAnsi="Times New Roman" w:cs="Times New Roman"/>
                <w:bCs/>
                <w:noProof/>
                <w:sz w:val="18"/>
                <w:szCs w:val="18"/>
                <w:lang w:val="en-US"/>
              </w:rPr>
              <w:t>Share of renewable electricity generation, %</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0.1%</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4.7%</w:t>
            </w:r>
          </w:p>
        </w:tc>
        <w:tc>
          <w:tcPr>
            <w:tcW w:w="418"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19"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3.8%</w:t>
            </w:r>
          </w:p>
        </w:tc>
        <w:tc>
          <w:tcPr>
            <w:tcW w:w="395"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0.0%</w:t>
            </w:r>
          </w:p>
        </w:tc>
        <w:tc>
          <w:tcPr>
            <w:tcW w:w="441" w:type="pct"/>
            <w:shd w:val="clear" w:color="auto" w:fill="FFFFFF" w:themeFill="background1"/>
            <w:noWrap/>
            <w:vAlign w:val="bottom"/>
            <w:hideMark/>
          </w:tcPr>
          <w:p>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4.4%</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PRIMES model, E3Modelling</w:t>
      </w:r>
    </w:p>
    <w:p>
      <w:pPr>
        <w:pStyle w:val="Heading1"/>
        <w:numPr>
          <w:ilvl w:val="0"/>
          <w:numId w:val="14"/>
        </w:numPr>
        <w:rPr>
          <w:noProof/>
        </w:rPr>
      </w:pPr>
      <w:bookmarkStart w:id="615" w:name="_Toc59152673"/>
      <w:bookmarkStart w:id="616" w:name="_Toc63426187"/>
      <w:bookmarkStart w:id="617" w:name="_Toc63438533"/>
      <w:r>
        <w:rPr>
          <w:noProof/>
        </w:rPr>
        <w:t>Methodological approach for regulatory and administrative costs related to businesses, and for enforcement costs</w:t>
      </w:r>
      <w:bookmarkEnd w:id="615"/>
      <w:bookmarkEnd w:id="616"/>
      <w:bookmarkEnd w:id="617"/>
    </w:p>
    <w:p>
      <w:pPr>
        <w:keepNext/>
        <w:rPr>
          <w:rFonts w:ascii="Times New Roman" w:hAnsi="Times New Roman" w:cs="Times New Roman"/>
          <w:b/>
          <w:i/>
          <w:noProof/>
          <w:sz w:val="24"/>
          <w:szCs w:val="24"/>
        </w:rPr>
      </w:pPr>
      <w:r>
        <w:rPr>
          <w:rFonts w:ascii="Times New Roman" w:hAnsi="Times New Roman" w:cs="Times New Roman"/>
          <w:b/>
          <w:i/>
          <w:noProof/>
          <w:sz w:val="24"/>
          <w:szCs w:val="24"/>
        </w:rPr>
        <w:t>Regulatory and administrative costs</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Administrative costs for ship-owners are estimated based on the fact that each vessel would have to comply with the following information obligations:</w:t>
      </w:r>
    </w:p>
    <w:p>
      <w:pPr>
        <w:pStyle w:val="ListParagraph"/>
        <w:numPr>
          <w:ilvl w:val="0"/>
          <w:numId w:val="49"/>
        </w:numPr>
        <w:ind w:left="284" w:hanging="284"/>
        <w:contextualSpacing w:val="0"/>
        <w:jc w:val="both"/>
        <w:rPr>
          <w:rFonts w:ascii="Times New Roman" w:hAnsi="Times New Roman" w:cs="Times New Roman"/>
          <w:noProof/>
          <w:sz w:val="24"/>
          <w:szCs w:val="24"/>
        </w:rPr>
      </w:pPr>
      <w:r>
        <w:rPr>
          <w:rFonts w:ascii="Times New Roman" w:hAnsi="Times New Roman" w:cs="Times New Roman"/>
          <w:i/>
          <w:noProof/>
          <w:sz w:val="24"/>
          <w:szCs w:val="24"/>
        </w:rPr>
        <w:t>Annual energy compliance plan</w:t>
      </w:r>
      <w:r>
        <w:rPr>
          <w:rFonts w:ascii="Times New Roman" w:hAnsi="Times New Roman" w:cs="Times New Roman"/>
          <w:b/>
          <w:noProof/>
          <w:sz w:val="24"/>
          <w:szCs w:val="24"/>
        </w:rPr>
        <w:t>:</w:t>
      </w:r>
      <w:r>
        <w:rPr>
          <w:rFonts w:ascii="Times New Roman" w:hAnsi="Times New Roman" w:cs="Times New Roman"/>
          <w:noProof/>
          <w:sz w:val="24"/>
          <w:szCs w:val="24"/>
        </w:rPr>
        <w:t xml:space="preserve"> Each vessel has to prepare an annual compliance plan, which describes which fuels and technologies the ship is planning to use. This plan builds on the EU MRV Monitoring plan and includes additional emissions as well as energy sources. To model the worst-case scenario, same assumptions could be used as in the EU MRV Impact Assessment</w:t>
      </w:r>
      <w:r>
        <w:rPr>
          <w:rStyle w:val="FootnoteReference"/>
          <w:noProof/>
          <w:sz w:val="20"/>
        </w:rPr>
        <w:footnoteReference w:id="193"/>
      </w:r>
      <w:r>
        <w:rPr>
          <w:rFonts w:ascii="Times New Roman" w:hAnsi="Times New Roman" w:cs="Times New Roman"/>
          <w:noProof/>
          <w:sz w:val="24"/>
          <w:szCs w:val="24"/>
        </w:rPr>
        <w:t xml:space="preserve"> for the preparation of the entire Monitoring plan (i.e. 40 hours per ship). This will lead to total annual administrative costs of around €18.9 million (40 hours * 12,114 ships * €39.1 labour costs per hour). Based on the experience with the implementation of EU MRV Regulation, it is likely that such cost would be the highest in the first year and significantly decrease afterwards.</w:t>
      </w:r>
    </w:p>
    <w:p>
      <w:pPr>
        <w:pStyle w:val="ListParagraph"/>
        <w:ind w:left="284"/>
        <w:contextualSpacing w:val="0"/>
        <w:jc w:val="both"/>
        <w:rPr>
          <w:rFonts w:ascii="Times New Roman" w:hAnsi="Times New Roman" w:cs="Times New Roman"/>
          <w:noProof/>
          <w:sz w:val="24"/>
          <w:szCs w:val="24"/>
        </w:rPr>
      </w:pPr>
      <w:r>
        <w:rPr>
          <w:rFonts w:ascii="Times New Roman" w:hAnsi="Times New Roman" w:cs="Times New Roman"/>
          <w:i/>
          <w:noProof/>
          <w:sz w:val="24"/>
          <w:szCs w:val="24"/>
        </w:rPr>
        <w:t>Annual energy report:</w:t>
      </w:r>
      <w:r>
        <w:rPr>
          <w:rFonts w:ascii="Times New Roman" w:hAnsi="Times New Roman" w:cs="Times New Roman"/>
          <w:noProof/>
          <w:sz w:val="24"/>
          <w:szCs w:val="24"/>
        </w:rPr>
        <w:t xml:space="preserve"> The annual energy report is the calculation of the annual energy consumption of the vessel, broken down to different energy sources/types of fuel and to navigation and at berth. This report builds on the EU MRV Emission report, but is more extensive as well-to-tank, non-CO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emissions and OPS/electricity consumption are included as well. The question on the corresponding administrative cost has been asked in the targeted survey, where 8 out of 9 respondents indicated that for ship owners, the reporting time would increase by two hours at most, per voyage. However, it could not be verified to what extent such reply may already include the existing requirements of EU MRV Regulation (i.e. part of the baseline) or whether only additional elements are included. </w:t>
      </w:r>
    </w:p>
    <w:p>
      <w:pPr>
        <w:pStyle w:val="ListParagraph"/>
        <w:ind w:left="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 xml:space="preserve">It can be therefore assumed that specific information on the use of OPS is already included in such reporting (as they would, at least partly, replace the fuel use currently reported at berth), based on information supplied by the electricity supplier (i.e. electricity bills). This is similar for the use of THETIS-MRV system, which the ship owners and operators are already using and the adaptation of which will necessitate incremental familiarisation cost (however it is not expected that a new account would need to be created by the system users for the purpose of this initiative). </w:t>
      </w:r>
    </w:p>
    <w:p>
      <w:pPr>
        <w:pStyle w:val="ListParagraph"/>
        <w:ind w:left="284"/>
        <w:contextualSpacing w:val="0"/>
        <w:jc w:val="both"/>
        <w:rPr>
          <w:rFonts w:ascii="Times New Roman" w:hAnsi="Times New Roman" w:cs="Times New Roman"/>
          <w:noProof/>
          <w:sz w:val="24"/>
          <w:szCs w:val="24"/>
        </w:rPr>
      </w:pPr>
      <w:r>
        <w:rPr>
          <w:rFonts w:ascii="Times New Roman" w:hAnsi="Times New Roman" w:cs="Times New Roman"/>
          <w:noProof/>
          <w:sz w:val="24"/>
          <w:szCs w:val="24"/>
        </w:rPr>
        <w:t xml:space="preserve">To model the worst case cost-scenario, and assuming that indeed the reported 2 hours would be truly additional, the total annual administrative costs in the policy options relative to the baseline are derived by multiplying the addition time spent for the annual energy report (i.e. 2 hours) by the number of voyages per year and by the labour costs per hour. This amount is also comparable with the preparation of the EU MRV Emission report, as estimated in the EU MRV Impact assessment (i.e. 40 hours per ship).  The assumptions used for estimating the annual costs are provided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_Ref58971023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Table 37</w:t>
      </w:r>
      <w:r>
        <w:rPr>
          <w:rFonts w:ascii="Times New Roman" w:hAnsi="Times New Roman" w:cs="Times New Roman"/>
          <w:noProof/>
          <w:sz w:val="24"/>
          <w:szCs w:val="24"/>
        </w:rPr>
        <w:fldChar w:fldCharType="end"/>
      </w:r>
      <w:r>
        <w:rPr>
          <w:rFonts w:ascii="Times New Roman" w:hAnsi="Times New Roman" w:cs="Times New Roman"/>
          <w:noProof/>
          <w:sz w:val="24"/>
          <w:szCs w:val="24"/>
        </w:rPr>
        <w:t>. The evolution of the total number of voyages per year for each policy option is linked to the evolution of transport activity, drawing on the PRIMES model results.</w:t>
      </w:r>
    </w:p>
    <w:p>
      <w:pPr>
        <w:pStyle w:val="ListParagraph"/>
        <w:numPr>
          <w:ilvl w:val="0"/>
          <w:numId w:val="51"/>
        </w:numPr>
        <w:ind w:left="284" w:hanging="284"/>
        <w:contextualSpacing w:val="0"/>
        <w:jc w:val="both"/>
        <w:rPr>
          <w:rFonts w:ascii="Times New Roman" w:hAnsi="Times New Roman" w:cs="Times New Roman"/>
          <w:noProof/>
          <w:sz w:val="24"/>
          <w:szCs w:val="24"/>
        </w:rPr>
      </w:pPr>
      <w:r>
        <w:rPr>
          <w:rFonts w:ascii="Times New Roman" w:hAnsi="Times New Roman" w:cs="Times New Roman"/>
          <w:i/>
          <w:noProof/>
          <w:sz w:val="24"/>
          <w:szCs w:val="24"/>
        </w:rPr>
        <w:t>Proof of compliance:</w:t>
      </w:r>
      <w:r>
        <w:rPr>
          <w:rFonts w:ascii="Times New Roman" w:hAnsi="Times New Roman" w:cs="Times New Roman"/>
          <w:noProof/>
          <w:sz w:val="24"/>
          <w:szCs w:val="24"/>
        </w:rPr>
        <w:t xml:space="preserve"> Each ship has to carry a document of compliance and cooperate during Port State Control inspections. The first requirement will not impose any additional administrative costs, as the document is supplied by the Recognized Organisation, and thus only has to be stored. As regards cooperation during Port State Control Inspections, the only action needed is to retrieve the document of compliance and show it to the inspector. The additional administrative costs of this will be a maximum of 15 minutes per inspected ship. Assuming that each ship that falls under the scope of the initiative will be inspected every year, the maximum amount of annual administrative costs are approximately €75,000 per year (</w:t>
      </w:r>
      <w:r>
        <w:rPr>
          <w:rFonts w:ascii="Times New Roman" w:hAnsi="Times New Roman" w:cs="Times New Roman"/>
          <w:noProof/>
          <w:sz w:val="24"/>
          <w:szCs w:val="24"/>
          <w:lang w:val="en-IE"/>
        </w:rPr>
        <w:t>which is the upper bound based on a conservative assumption that each vessel currently under EU MRV Regulation is inspected every year)</w:t>
      </w:r>
      <w:r>
        <w:rPr>
          <w:rFonts w:ascii="Times New Roman" w:hAnsi="Times New Roman" w:cs="Times New Roman"/>
          <w:noProof/>
          <w:sz w:val="24"/>
          <w:szCs w:val="24"/>
        </w:rPr>
        <w:t xml:space="preserve">. The assumptions used for estimating the annual costs are provided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_Ref58971023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Table 37</w:t>
      </w:r>
      <w:r>
        <w:rPr>
          <w:rFonts w:ascii="Times New Roman" w:hAnsi="Times New Roman" w:cs="Times New Roman"/>
          <w:noProof/>
          <w:sz w:val="24"/>
          <w:szCs w:val="24"/>
        </w:rPr>
        <w:fldChar w:fldCharType="end"/>
      </w:r>
      <w:r>
        <w:rPr>
          <w:rFonts w:ascii="Times New Roman" w:hAnsi="Times New Roman" w:cs="Times New Roman"/>
          <w:noProof/>
          <w:sz w:val="24"/>
          <w:szCs w:val="24"/>
        </w:rPr>
        <w:t>.</w:t>
      </w:r>
    </w:p>
    <w:p>
      <w:pPr>
        <w:pStyle w:val="ListParagraph"/>
        <w:numPr>
          <w:ilvl w:val="0"/>
          <w:numId w:val="52"/>
        </w:numPr>
        <w:ind w:left="284" w:hanging="284"/>
        <w:contextualSpacing w:val="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administrative costs incurred by operators will also cover the </w:t>
      </w:r>
      <w:r>
        <w:rPr>
          <w:rFonts w:ascii="Times New Roman" w:hAnsi="Times New Roman" w:cs="Times New Roman"/>
          <w:i/>
          <w:noProof/>
          <w:sz w:val="24"/>
          <w:szCs w:val="24"/>
          <w:lang w:val="en-IE"/>
        </w:rPr>
        <w:t>training needs</w:t>
      </w:r>
      <w:r>
        <w:rPr>
          <w:rFonts w:ascii="Times New Roman" w:hAnsi="Times New Roman" w:cs="Times New Roman"/>
          <w:noProof/>
          <w:sz w:val="24"/>
          <w:szCs w:val="24"/>
          <w:lang w:val="en-IE"/>
        </w:rPr>
        <w:t xml:space="preserve"> to ensure the safe switch to RLF on-board ships. Furthermore it is assumed that training for renewable and low carbon fuels will become standard in training programs for new seafarers in 2035. This means that only the ships which switch to RLF</w:t>
      </w:r>
      <w:r>
        <w:rPr>
          <w:rFonts w:ascii="Times New Roman" w:hAnsi="Times New Roman" w:cs="Times New Roman"/>
          <w:noProof/>
          <w:sz w:val="24"/>
          <w:szCs w:val="24"/>
        </w:rPr>
        <w:t xml:space="preserve"> </w:t>
      </w:r>
      <w:r>
        <w:rPr>
          <w:rFonts w:ascii="Times New Roman" w:hAnsi="Times New Roman" w:cs="Times New Roman"/>
          <w:noProof/>
          <w:sz w:val="24"/>
          <w:szCs w:val="24"/>
          <w:lang w:val="en-IE"/>
        </w:rPr>
        <w:t xml:space="preserve">before 2035 would need to invest in additional training. The costs would be spread over the period 2025-2035 and are calculated assuming 3 days of training of 8 hours each. Their evolution over time is linked to the share of RLF in each policy option. </w:t>
      </w:r>
      <w:r>
        <w:rPr>
          <w:rFonts w:ascii="Times New Roman" w:hAnsi="Times New Roman" w:cs="Times New Roman"/>
          <w:noProof/>
          <w:sz w:val="24"/>
          <w:szCs w:val="24"/>
        </w:rPr>
        <w:t xml:space="preserve">The assumptions used for estimating the annual costs are provided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_Ref58971023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Table 37</w:t>
      </w:r>
      <w:r>
        <w:rPr>
          <w:rFonts w:ascii="Times New Roman" w:hAnsi="Times New Roman" w:cs="Times New Roman"/>
          <w:noProof/>
          <w:sz w:val="24"/>
          <w:szCs w:val="24"/>
        </w:rPr>
        <w:fldChar w:fldCharType="end"/>
      </w:r>
      <w:r>
        <w:rPr>
          <w:rFonts w:ascii="Times New Roman" w:hAnsi="Times New Roman" w:cs="Times New Roman"/>
          <w:noProof/>
          <w:sz w:val="24"/>
          <w:szCs w:val="24"/>
        </w:rPr>
        <w:t>.</w:t>
      </w:r>
      <w:r>
        <w:rPr>
          <w:rFonts w:ascii="Times New Roman" w:hAnsi="Times New Roman" w:cs="Times New Roman"/>
          <w:noProof/>
          <w:sz w:val="24"/>
          <w:szCs w:val="24"/>
          <w:lang w:val="en-IE"/>
        </w:rPr>
        <w:t xml:space="preserve"> </w:t>
      </w:r>
    </w:p>
    <w:p>
      <w:pPr>
        <w:jc w:val="both"/>
        <w:rPr>
          <w:rFonts w:ascii="Times New Roman" w:hAnsi="Times New Roman" w:cs="Times New Roman"/>
          <w:noProof/>
          <w:sz w:val="24"/>
          <w:szCs w:val="24"/>
        </w:rPr>
      </w:pPr>
      <w:r>
        <w:rPr>
          <w:rFonts w:ascii="Times New Roman" w:hAnsi="Times New Roman" w:cs="Times New Roman"/>
          <w:b/>
          <w:noProof/>
          <w:sz w:val="24"/>
          <w:szCs w:val="24"/>
        </w:rPr>
        <w:t>Administrative cost for bunker suppliers</w:t>
      </w:r>
      <w:r>
        <w:rPr>
          <w:rFonts w:ascii="Times New Roman" w:hAnsi="Times New Roman" w:cs="Times New Roman"/>
          <w:noProof/>
          <w:sz w:val="24"/>
          <w:szCs w:val="24"/>
        </w:rPr>
        <w:t xml:space="preserve"> will primarily consist of certification of fuel and upstream emissions/sustainability criteria. The certification requirements will build on existing provisions and sustainability criteria in the Renewable Energy Directive (RED). Fuel producers already have experience with certification of biofuels under RED. When a new (bio)fuel needs to be certified, for instance under the International Sustainability &amp; Carbon Certification (ISCC) Scheme, the entire supply chain has to be certified. This means that either all supplier and other stakeholders need to cooperate in the certification, or are already ISCC certified themselves. Certification schemes mostly have one-time registration fees that vary between €50 and €500, so these are one-off costs. Annual fees per certificate vary from €50 to €500 as well. Finally, fees have to be paid per quantity of material declared as sustainable. These fees range between €0.03 and €0.10 per metric ton. The costs of an external audit can range from €800 to €2,000 per day. It has not been possible to estimate how many certification schemes would be established or what the exact impact of certifying upstream emissions would be (several fuel producers have been interviewed, but none were able to make an estimate of the effort needed for certification). However, based on the illustrative costs listed above, it can be assumed that the overall certification costs will not have significant impact on the price of alternative fuels. </w:t>
      </w:r>
    </w:p>
    <w:p>
      <w:pPr>
        <w:jc w:val="both"/>
        <w:rPr>
          <w:rFonts w:ascii="Times New Roman" w:hAnsi="Times New Roman" w:cs="Times New Roman"/>
          <w:noProof/>
          <w:sz w:val="24"/>
          <w:szCs w:val="24"/>
          <w:lang w:val="en-IE"/>
        </w:rPr>
      </w:pPr>
      <w:r>
        <w:rPr>
          <w:rFonts w:ascii="Times New Roman" w:hAnsi="Times New Roman" w:cs="Times New Roman"/>
          <w:b/>
          <w:noProof/>
          <w:sz w:val="24"/>
          <w:szCs w:val="24"/>
          <w:lang w:val="en-IE"/>
        </w:rPr>
        <w:t xml:space="preserve">Administrative costs for ports </w:t>
      </w:r>
      <w:r>
        <w:rPr>
          <w:rFonts w:ascii="Times New Roman" w:hAnsi="Times New Roman" w:cs="Times New Roman"/>
          <w:noProof/>
          <w:sz w:val="24"/>
          <w:szCs w:val="24"/>
          <w:lang w:val="en-IE"/>
        </w:rPr>
        <w:t xml:space="preserve">are much more modest and related to the publication of guidelines and the revision of ports regulations to cover the safe handling, bunkering and use of RLF. It is also expected that not all ports will be affected by a significant increase in new safety guidelines. In the analysis, 34% of the EU ports were assumed affected by the policy intervention. The new guidelines would have to be established for six fuel categories (e.g. bio-LNG, e-liquids, e-gas, hydrogen, ammonia and methanol) in the 160 medium and large sized ports (470 ports x 34%) in Europe. The total annual administrative costs would be spread over 25 years and be derived by multiplying the number of additional hours by the labour costs per hour and the number of ports affected. </w:t>
      </w:r>
      <w:r>
        <w:rPr>
          <w:rFonts w:ascii="Times New Roman" w:hAnsi="Times New Roman" w:cs="Times New Roman"/>
          <w:noProof/>
          <w:sz w:val="24"/>
          <w:szCs w:val="24"/>
        </w:rPr>
        <w:t xml:space="preserve">The assumptions used for estimating the annual costs are provided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_Ref58971023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Table 37</w:t>
      </w:r>
      <w:r>
        <w:rPr>
          <w:rFonts w:ascii="Times New Roman" w:hAnsi="Times New Roman" w:cs="Times New Roman"/>
          <w:noProof/>
          <w:sz w:val="24"/>
          <w:szCs w:val="24"/>
        </w:rPr>
        <w:fldChar w:fldCharType="end"/>
      </w:r>
      <w:r>
        <w:rPr>
          <w:rFonts w:ascii="Times New Roman" w:hAnsi="Times New Roman" w:cs="Times New Roman"/>
          <w:noProof/>
          <w:sz w:val="24"/>
          <w:szCs w:val="24"/>
        </w:rPr>
        <w:t>.</w:t>
      </w:r>
      <w:r>
        <w:rPr>
          <w:rFonts w:ascii="Times New Roman" w:hAnsi="Times New Roman" w:cs="Times New Roman"/>
          <w:noProof/>
          <w:sz w:val="24"/>
          <w:szCs w:val="24"/>
          <w:lang w:val="en-IE"/>
        </w:rPr>
        <w:t xml:space="preserve"> </w:t>
      </w:r>
    </w:p>
    <w:p>
      <w:pPr>
        <w:keepNext/>
        <w:spacing w:line="240" w:lineRule="auto"/>
        <w:jc w:val="both"/>
        <w:rPr>
          <w:rFonts w:ascii="Times New Roman" w:hAnsi="Times New Roman" w:cs="Times New Roman"/>
          <w:b/>
          <w:i/>
          <w:noProof/>
          <w:sz w:val="24"/>
          <w:szCs w:val="24"/>
          <w:lang w:val="en-IE"/>
        </w:rPr>
      </w:pPr>
      <w:r>
        <w:rPr>
          <w:rFonts w:ascii="Times New Roman" w:hAnsi="Times New Roman" w:cs="Times New Roman"/>
          <w:b/>
          <w:i/>
          <w:noProof/>
          <w:sz w:val="24"/>
          <w:szCs w:val="24"/>
          <w:lang w:val="en-IE"/>
        </w:rPr>
        <w:t>Enforcement costs</w:t>
      </w:r>
    </w:p>
    <w:p>
      <w:pPr>
        <w:keepNext/>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As the reporting and verification system is similar in all options, the annual verification costs are similar for all policy options. They are calculated by assuming in a conservative way that 5 additional hours would be needed to verify the additional elements in both the annual energy report as well as the energy compliance plan relative to the baseline.</w:t>
      </w:r>
      <w:r>
        <w:rPr>
          <w:rStyle w:val="FootnoteReference"/>
          <w:rFonts w:ascii="Times New Roman" w:hAnsi="Times New Roman" w:cs="Times New Roman"/>
          <w:noProof/>
          <w:sz w:val="24"/>
          <w:szCs w:val="24"/>
          <w:lang w:val="en-IE"/>
        </w:rPr>
        <w:footnoteReference w:id="194"/>
      </w:r>
      <w:r>
        <w:rPr>
          <w:rFonts w:ascii="Times New Roman" w:hAnsi="Times New Roman" w:cs="Times New Roman"/>
          <w:noProof/>
          <w:sz w:val="24"/>
          <w:szCs w:val="24"/>
          <w:lang w:val="en-IE"/>
        </w:rPr>
        <w:t xml:space="preserve"> The additional number of hours are multiplied with the labour costs and the number of vessels subject to the initiative. </w:t>
      </w:r>
      <w:r>
        <w:rPr>
          <w:rFonts w:ascii="Times New Roman" w:hAnsi="Times New Roman" w:cs="Times New Roman"/>
          <w:noProof/>
          <w:sz w:val="24"/>
          <w:szCs w:val="24"/>
        </w:rPr>
        <w:t xml:space="preserve">The assumptions used for estimating the annual costs are provided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_Ref58971023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Table 37</w:t>
      </w:r>
      <w:r>
        <w:rPr>
          <w:rFonts w:ascii="Times New Roman" w:hAnsi="Times New Roman" w:cs="Times New Roman"/>
          <w:noProof/>
          <w:sz w:val="24"/>
          <w:szCs w:val="24"/>
        </w:rPr>
        <w:fldChar w:fldCharType="end"/>
      </w:r>
      <w:r>
        <w:rPr>
          <w:rFonts w:ascii="Times New Roman" w:hAnsi="Times New Roman" w:cs="Times New Roman"/>
          <w:noProof/>
          <w:sz w:val="24"/>
          <w:szCs w:val="24"/>
        </w:rPr>
        <w:t>. The evolution of the total number of ships for each policy option is linked to the evolution of the stock of vessels, drawing on the PRIMES-TREMOVE model results.</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On the side of the public administrations, a Port State Control Officer will have to determine whether the Document of Compliance is on board (similar assumption as above is made of 15 minutes per inspection and the cost of €75,000 on an annual basis, which is the upper bound based on a conservative assumption that each vessel currently under EU MRV Regulation is inspected every year). At the same time, it is proposed to allow for the use of electronic certificates, which can remove the need for a physical check in its entirety. </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Furthermore, additional one-off cost for adapting the EU MRV IT system (THETIS-MRV) should be foreseen for the EU budget to accommodate the additional information as well as additional functionalities related to the RLF obligations. In addition, a new module in THETIS-EU should support port state control officers as well as EU flag state inspectors in their work. Based on the cost of THETIS-MRV</w:t>
      </w:r>
      <w:r>
        <w:rPr>
          <w:rStyle w:val="FootnoteReference"/>
          <w:rFonts w:ascii="Times New Roman" w:hAnsi="Times New Roman" w:cs="Times New Roman"/>
          <w:noProof/>
          <w:sz w:val="24"/>
          <w:szCs w:val="24"/>
          <w:lang w:val="en-IE"/>
        </w:rPr>
        <w:footnoteReference w:id="195"/>
      </w:r>
      <w:r>
        <w:rPr>
          <w:rFonts w:ascii="Times New Roman" w:hAnsi="Times New Roman" w:cs="Times New Roman"/>
          <w:noProof/>
          <w:sz w:val="24"/>
          <w:szCs w:val="24"/>
          <w:lang w:val="en-IE"/>
        </w:rPr>
        <w:t xml:space="preserve"> and experience with existing THETIS-EU modules support various pieces of EU legislation, such IT-developments cost are estimated at €300,000. For PO3, an additional tool would need to be developed to support the tool to trace, and when necessary balance over- or under-compliance. This tool is estimated to cost €200,000.</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_Ref58971023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lang w:val="en-IE"/>
        </w:rPr>
        <w:t>Table 37</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xml:space="preserve"> summarises the input used for quantifying the regulatory, administrative and enforcement costs.</w:t>
      </w:r>
    </w:p>
    <w:p>
      <w:pPr>
        <w:pStyle w:val="Caption"/>
        <w:keepNext/>
        <w:spacing w:after="120"/>
        <w:rPr>
          <w:noProof/>
        </w:rPr>
      </w:pPr>
      <w:bookmarkStart w:id="618" w:name="_Ref58971023"/>
      <w:r>
        <w:rPr>
          <w:noProof/>
        </w:rPr>
        <w:t xml:space="preserve">Table </w:t>
      </w:r>
      <w:r>
        <w:rPr>
          <w:noProof/>
        </w:rPr>
        <w:fldChar w:fldCharType="begin"/>
      </w:r>
      <w:r>
        <w:rPr>
          <w:noProof/>
        </w:rPr>
        <w:instrText xml:space="preserve"> SEQ Table \* ARABIC </w:instrText>
      </w:r>
      <w:r>
        <w:rPr>
          <w:noProof/>
        </w:rPr>
        <w:fldChar w:fldCharType="separate"/>
      </w:r>
      <w:r>
        <w:rPr>
          <w:noProof/>
        </w:rPr>
        <w:t>37</w:t>
      </w:r>
      <w:r>
        <w:rPr>
          <w:noProof/>
        </w:rPr>
        <w:fldChar w:fldCharType="end"/>
      </w:r>
      <w:bookmarkEnd w:id="618"/>
      <w:r>
        <w:rPr>
          <w:noProof/>
        </w:rPr>
        <w:t xml:space="preserve"> Input assumptions for quantifying the regulatory, administrative and enforcement costs</w:t>
      </w:r>
    </w:p>
    <w:tbl>
      <w:tblPr>
        <w:tblStyle w:val="table-style-blauw-100-outline"/>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4A0" w:firstRow="1" w:lastRow="0" w:firstColumn="1" w:lastColumn="0" w:noHBand="0" w:noVBand="1"/>
      </w:tblPr>
      <w:tblGrid>
        <w:gridCol w:w="1423"/>
        <w:gridCol w:w="1850"/>
        <w:gridCol w:w="1271"/>
        <w:gridCol w:w="954"/>
        <w:gridCol w:w="967"/>
        <w:gridCol w:w="1296"/>
        <w:gridCol w:w="1242"/>
      </w:tblGrid>
      <w:tr>
        <w:trPr>
          <w:cnfStyle w:val="100000000000" w:firstRow="1" w:lastRow="0" w:firstColumn="0" w:lastColumn="0" w:oddVBand="0" w:evenVBand="0" w:oddHBand="0" w:evenHBand="0" w:firstRowFirstColumn="0" w:firstRowLastColumn="0" w:lastRowFirstColumn="0" w:lastRowLastColumn="0"/>
          <w:trHeight w:val="1126"/>
          <w:tblHeader/>
        </w:trPr>
        <w:tc>
          <w:tcPr>
            <w:tcW w:w="790" w:type="pct"/>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rPr>
              <w:t>Information obligation</w:t>
            </w:r>
          </w:p>
        </w:tc>
        <w:tc>
          <w:tcPr>
            <w:tcW w:w="1027" w:type="pct"/>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Administrative action</w:t>
            </w:r>
          </w:p>
        </w:tc>
        <w:tc>
          <w:tcPr>
            <w:tcW w:w="706" w:type="pct"/>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lang w:eastAsia="en-US"/>
              </w:rPr>
              <w:t>Frequency (per year)</w:t>
            </w:r>
          </w:p>
        </w:tc>
        <w:tc>
          <w:tcPr>
            <w:tcW w:w="530" w:type="pct"/>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lang w:eastAsia="en-US"/>
              </w:rPr>
              <w:t>Time (hours)</w:t>
            </w:r>
          </w:p>
        </w:tc>
        <w:tc>
          <w:tcPr>
            <w:tcW w:w="537" w:type="pct"/>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lang w:eastAsia="en-US"/>
              </w:rPr>
              <w:t>Tariff (per hour)</w:t>
            </w:r>
          </w:p>
        </w:tc>
        <w:tc>
          <w:tcPr>
            <w:tcW w:w="720" w:type="pct"/>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lang w:eastAsia="en-US"/>
              </w:rPr>
              <w:t xml:space="preserve">Number of entities </w:t>
            </w:r>
          </w:p>
        </w:tc>
        <w:tc>
          <w:tcPr>
            <w:tcW w:w="691" w:type="pct"/>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Entities affected per policy option</w:t>
            </w:r>
          </w:p>
        </w:tc>
      </w:tr>
      <w:tr>
        <w:trPr>
          <w:cnfStyle w:val="000000100000" w:firstRow="0" w:lastRow="0" w:firstColumn="0" w:lastColumn="0" w:oddVBand="0" w:evenVBand="0" w:oddHBand="1" w:evenHBand="0" w:firstRowFirstColumn="0" w:firstRowLastColumn="0" w:lastRowFirstColumn="0" w:lastRowLastColumn="0"/>
          <w:trHeight w:val="308"/>
        </w:trPr>
        <w:tc>
          <w:tcPr>
            <w:tcW w:w="790" w:type="pct"/>
            <w:shd w:val="clear" w:color="auto" w:fill="FFFFFF" w:themeFill="background1"/>
          </w:tcPr>
          <w:p>
            <w:pPr>
              <w:pStyle w:val="table-text"/>
              <w:jc w:val="center"/>
              <w:rPr>
                <w:rFonts w:ascii="Times New Roman" w:hAnsi="Times New Roman"/>
                <w:noProof/>
                <w:color w:val="auto"/>
                <w:sz w:val="18"/>
                <w:szCs w:val="18"/>
                <w:lang w:val="en-GB" w:eastAsia="en-US"/>
              </w:rPr>
            </w:pPr>
          </w:p>
        </w:tc>
        <w:tc>
          <w:tcPr>
            <w:tcW w:w="1027" w:type="pct"/>
            <w:shd w:val="clear" w:color="auto" w:fill="FFFFFF" w:themeFill="background1"/>
          </w:tcPr>
          <w:p>
            <w:pPr>
              <w:pStyle w:val="table-text"/>
              <w:jc w:val="center"/>
              <w:rPr>
                <w:rFonts w:ascii="Times New Roman" w:hAnsi="Times New Roman"/>
                <w:noProof/>
                <w:color w:val="auto"/>
                <w:sz w:val="18"/>
                <w:szCs w:val="18"/>
                <w:lang w:val="en-GB" w:eastAsia="en-US"/>
              </w:rPr>
            </w:pPr>
          </w:p>
        </w:tc>
        <w:tc>
          <w:tcPr>
            <w:tcW w:w="706" w:type="pct"/>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(1)</w:t>
            </w:r>
          </w:p>
        </w:tc>
        <w:tc>
          <w:tcPr>
            <w:tcW w:w="530" w:type="pct"/>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(2)</w:t>
            </w:r>
          </w:p>
        </w:tc>
        <w:tc>
          <w:tcPr>
            <w:tcW w:w="537" w:type="pct"/>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(3)</w:t>
            </w:r>
          </w:p>
        </w:tc>
        <w:tc>
          <w:tcPr>
            <w:tcW w:w="720" w:type="pct"/>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(4)</w:t>
            </w:r>
          </w:p>
        </w:tc>
        <w:tc>
          <w:tcPr>
            <w:tcW w:w="691" w:type="pct"/>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(5)</w:t>
            </w:r>
          </w:p>
        </w:tc>
      </w:tr>
      <w:tr>
        <w:trPr>
          <w:cnfStyle w:val="000000010000" w:firstRow="0" w:lastRow="0" w:firstColumn="0" w:lastColumn="0" w:oddVBand="0" w:evenVBand="0" w:oddHBand="0" w:evenHBand="1" w:firstRowFirstColumn="0" w:firstRowLastColumn="0" w:lastRowFirstColumn="0" w:lastRowLastColumn="0"/>
          <w:trHeight w:val="270"/>
        </w:trPr>
        <w:tc>
          <w:tcPr>
            <w:tcW w:w="5000" w:type="pct"/>
            <w:gridSpan w:val="7"/>
            <w:shd w:val="clear" w:color="auto" w:fill="FFFFFF" w:themeFill="background1"/>
          </w:tcPr>
          <w:p>
            <w:pPr>
              <w:pStyle w:val="table-text"/>
              <w:rPr>
                <w:rFonts w:ascii="Times New Roman" w:hAnsi="Times New Roman"/>
                <w:b/>
                <w:noProof/>
                <w:color w:val="auto"/>
                <w:sz w:val="18"/>
                <w:szCs w:val="18"/>
                <w:lang w:val="en-GB"/>
              </w:rPr>
            </w:pPr>
            <w:r>
              <w:rPr>
                <w:rFonts w:ascii="Times New Roman" w:hAnsi="Times New Roman"/>
                <w:b/>
                <w:noProof/>
                <w:color w:val="auto"/>
                <w:sz w:val="18"/>
                <w:szCs w:val="18"/>
                <w:lang w:val="en-GB"/>
              </w:rPr>
              <w:t>Administrative costs of ship owners</w:t>
            </w:r>
          </w:p>
        </w:tc>
      </w:tr>
      <w:tr>
        <w:trPr>
          <w:cnfStyle w:val="000000100000" w:firstRow="0" w:lastRow="0" w:firstColumn="0" w:lastColumn="0" w:oddVBand="0" w:evenVBand="0" w:oddHBand="1" w:evenHBand="0" w:firstRowFirstColumn="0" w:firstRowLastColumn="0" w:lastRowFirstColumn="0" w:lastRowLastColumn="0"/>
          <w:trHeight w:val="841"/>
        </w:trPr>
        <w:tc>
          <w:tcPr>
            <w:tcW w:w="79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Annual energy compliance plan</w:t>
            </w:r>
          </w:p>
        </w:tc>
        <w:tc>
          <w:tcPr>
            <w:tcW w:w="1027"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Prepare and submit annual energy compliance plan</w:t>
            </w:r>
          </w:p>
        </w:tc>
        <w:tc>
          <w:tcPr>
            <w:tcW w:w="706"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0,1 (to spread costs over 10 years)</w:t>
            </w:r>
          </w:p>
        </w:tc>
        <w:tc>
          <w:tcPr>
            <w:tcW w:w="530"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40</w:t>
            </w:r>
            <w:r>
              <w:rPr>
                <w:rStyle w:val="FootnoteReference"/>
                <w:rFonts w:ascii="Times New Roman" w:hAnsi="Times New Roman"/>
                <w:noProof/>
                <w:color w:val="auto"/>
                <w:sz w:val="18"/>
                <w:szCs w:val="18"/>
                <w:lang w:eastAsia="en-US"/>
              </w:rPr>
              <w:footnoteReference w:id="196"/>
            </w:r>
          </w:p>
        </w:tc>
        <w:tc>
          <w:tcPr>
            <w:tcW w:w="537"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39.1</w:t>
            </w:r>
            <w:r>
              <w:rPr>
                <w:rStyle w:val="FootnoteReference"/>
                <w:rFonts w:ascii="Times New Roman" w:hAnsi="Times New Roman"/>
                <w:noProof/>
                <w:color w:val="auto"/>
                <w:sz w:val="18"/>
                <w:szCs w:val="18"/>
                <w:lang w:eastAsia="en-US"/>
              </w:rPr>
              <w:footnoteReference w:id="197"/>
            </w:r>
          </w:p>
        </w:tc>
        <w:tc>
          <w:tcPr>
            <w:tcW w:w="72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Vessels under EU MRV Regulation: 12,114 (in 2019); linked to the evolution of the stock of vessels in the policy options</w:t>
            </w:r>
          </w:p>
        </w:tc>
        <w:tc>
          <w:tcPr>
            <w:tcW w:w="691"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PO1, PO2, PO3: 100%</w:t>
            </w:r>
          </w:p>
        </w:tc>
      </w:tr>
      <w:tr>
        <w:trPr>
          <w:cnfStyle w:val="000000010000" w:firstRow="0" w:lastRow="0" w:firstColumn="0" w:lastColumn="0" w:oddVBand="0" w:evenVBand="0" w:oddHBand="0" w:evenHBand="1" w:firstRowFirstColumn="0" w:firstRowLastColumn="0" w:lastRowFirstColumn="0" w:lastRowLastColumn="0"/>
          <w:trHeight w:val="841"/>
        </w:trPr>
        <w:tc>
          <w:tcPr>
            <w:tcW w:w="790" w:type="pct"/>
            <w:tcBorders>
              <w:top w:val="none" w:sz="0" w:space="0" w:color="auto"/>
            </w:tcBorders>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rPr>
              <w:t>Annual energy report</w:t>
            </w:r>
          </w:p>
        </w:tc>
        <w:tc>
          <w:tcPr>
            <w:tcW w:w="1027"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Collecting additional information (per voyage)</w:t>
            </w:r>
          </w:p>
        </w:tc>
        <w:tc>
          <w:tcPr>
            <w:tcW w:w="706"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rPr>
            </w:pPr>
            <w:r>
              <w:rPr>
                <w:rFonts w:ascii="Times New Roman" w:hAnsi="Times New Roman"/>
                <w:noProof/>
                <w:color w:val="auto"/>
                <w:sz w:val="18"/>
                <w:szCs w:val="18"/>
                <w:lang w:eastAsia="en-US"/>
              </w:rPr>
              <w:t>1</w:t>
            </w:r>
          </w:p>
        </w:tc>
        <w:tc>
          <w:tcPr>
            <w:tcW w:w="530"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rPr>
            </w:pPr>
            <w:r>
              <w:rPr>
                <w:rFonts w:ascii="Times New Roman" w:hAnsi="Times New Roman"/>
                <w:noProof/>
                <w:color w:val="auto"/>
                <w:sz w:val="18"/>
                <w:szCs w:val="18"/>
                <w:lang w:eastAsia="en-US"/>
              </w:rPr>
              <w:t>2</w:t>
            </w:r>
          </w:p>
        </w:tc>
        <w:tc>
          <w:tcPr>
            <w:tcW w:w="537"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rPr>
            </w:pPr>
            <w:r>
              <w:rPr>
                <w:rFonts w:ascii="Times New Roman" w:hAnsi="Times New Roman"/>
                <w:noProof/>
                <w:color w:val="auto"/>
                <w:sz w:val="18"/>
                <w:szCs w:val="18"/>
                <w:lang w:eastAsia="en-US"/>
              </w:rPr>
              <w:t>24.5</w:t>
            </w:r>
          </w:p>
        </w:tc>
        <w:tc>
          <w:tcPr>
            <w:tcW w:w="72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rPr>
            </w:pPr>
            <w:r>
              <w:rPr>
                <w:rFonts w:ascii="Times New Roman" w:hAnsi="Times New Roman"/>
                <w:noProof/>
                <w:color w:val="auto"/>
                <w:sz w:val="18"/>
                <w:szCs w:val="18"/>
                <w:lang w:val="en-GB" w:eastAsia="en-US"/>
              </w:rPr>
              <w:t>Number of voyages under EU MRV Regulation: 317,900 (in 2019); linked to  the evolution of transport activity over time in the policy options</w:t>
            </w:r>
          </w:p>
        </w:tc>
        <w:tc>
          <w:tcPr>
            <w:tcW w:w="691"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PO1, PO2, PO3: 100%</w:t>
            </w:r>
          </w:p>
        </w:tc>
      </w:tr>
      <w:tr>
        <w:trPr>
          <w:cnfStyle w:val="000000100000" w:firstRow="0" w:lastRow="0" w:firstColumn="0" w:lastColumn="0" w:oddVBand="0" w:evenVBand="0" w:oddHBand="1" w:evenHBand="0" w:firstRowFirstColumn="0" w:firstRowLastColumn="0" w:lastRowFirstColumn="0" w:lastRowLastColumn="0"/>
          <w:trHeight w:val="841"/>
        </w:trPr>
        <w:tc>
          <w:tcPr>
            <w:tcW w:w="790" w:type="pct"/>
            <w:tcBorders>
              <w:top w:val="none" w:sz="0" w:space="0" w:color="auto"/>
            </w:tcBorders>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rPr>
              <w:t>Proof</w:t>
            </w:r>
            <w:r>
              <w:rPr>
                <w:rFonts w:ascii="Times New Roman" w:hAnsi="Times New Roman"/>
                <w:noProof/>
                <w:color w:val="auto"/>
                <w:sz w:val="18"/>
                <w:szCs w:val="18"/>
                <w:lang w:eastAsia="en-US"/>
              </w:rPr>
              <w:t xml:space="preserve"> of compliance</w:t>
            </w:r>
          </w:p>
        </w:tc>
        <w:tc>
          <w:tcPr>
            <w:tcW w:w="1027"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Cooperate during PSC inspection</w:t>
            </w:r>
          </w:p>
        </w:tc>
        <w:tc>
          <w:tcPr>
            <w:tcW w:w="706"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1</w:t>
            </w:r>
          </w:p>
        </w:tc>
        <w:tc>
          <w:tcPr>
            <w:tcW w:w="530"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0.25</w:t>
            </w:r>
          </w:p>
        </w:tc>
        <w:tc>
          <w:tcPr>
            <w:tcW w:w="537"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24.5</w:t>
            </w:r>
            <w:r>
              <w:rPr>
                <w:rStyle w:val="FootnoteReference"/>
                <w:rFonts w:ascii="Times New Roman" w:hAnsi="Times New Roman"/>
                <w:noProof/>
                <w:color w:val="auto"/>
                <w:sz w:val="18"/>
                <w:szCs w:val="18"/>
                <w:lang w:eastAsia="en-US"/>
              </w:rPr>
              <w:footnoteReference w:id="198"/>
            </w:r>
          </w:p>
        </w:tc>
        <w:tc>
          <w:tcPr>
            <w:tcW w:w="72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Vessels under EU MRV Regulation: 12,114 (in 2019)</w:t>
            </w:r>
            <w:r>
              <w:rPr>
                <w:rStyle w:val="FootnoteReference"/>
                <w:rFonts w:ascii="Times New Roman" w:hAnsi="Times New Roman"/>
                <w:noProof/>
                <w:color w:val="auto"/>
                <w:sz w:val="18"/>
                <w:szCs w:val="18"/>
                <w:lang w:eastAsia="en-US"/>
              </w:rPr>
              <w:footnoteReference w:id="199"/>
            </w:r>
          </w:p>
        </w:tc>
        <w:tc>
          <w:tcPr>
            <w:tcW w:w="691"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PO1, PO2, PO3: 100%</w:t>
            </w:r>
            <w:r>
              <w:rPr>
                <w:rStyle w:val="FootnoteReference"/>
                <w:rFonts w:ascii="Times New Roman" w:hAnsi="Times New Roman"/>
                <w:noProof/>
                <w:color w:val="auto"/>
                <w:sz w:val="18"/>
                <w:szCs w:val="18"/>
                <w:lang w:eastAsia="en-US"/>
              </w:rPr>
              <w:footnoteReference w:id="200"/>
            </w:r>
          </w:p>
        </w:tc>
      </w:tr>
      <w:tr>
        <w:trPr>
          <w:cnfStyle w:val="000000010000" w:firstRow="0" w:lastRow="0" w:firstColumn="0" w:lastColumn="0" w:oddVBand="0" w:evenVBand="0" w:oddHBand="0" w:evenHBand="1" w:firstRowFirstColumn="0" w:firstRowLastColumn="0" w:lastRowFirstColumn="0" w:lastRowLastColumn="0"/>
          <w:trHeight w:val="1126"/>
        </w:trPr>
        <w:tc>
          <w:tcPr>
            <w:tcW w:w="790" w:type="pct"/>
            <w:tcBorders>
              <w:top w:val="none" w:sz="0" w:space="0" w:color="auto"/>
            </w:tcBorders>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rPr>
              <w:t>Safety procedures</w:t>
            </w:r>
          </w:p>
        </w:tc>
        <w:tc>
          <w:tcPr>
            <w:tcW w:w="1027"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Crew training</w:t>
            </w:r>
          </w:p>
        </w:tc>
        <w:tc>
          <w:tcPr>
            <w:tcW w:w="706"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val="en-GB"/>
              </w:rPr>
            </w:pPr>
            <w:r>
              <w:rPr>
                <w:rFonts w:ascii="Times New Roman" w:hAnsi="Times New Roman"/>
                <w:noProof/>
                <w:color w:val="auto"/>
                <w:sz w:val="18"/>
                <w:szCs w:val="18"/>
                <w:lang w:val="en-GB" w:eastAsia="en-US"/>
              </w:rPr>
              <w:t>4.5</w:t>
            </w:r>
            <w:r>
              <w:rPr>
                <w:rStyle w:val="FootnoteReference"/>
                <w:rFonts w:ascii="Times New Roman" w:hAnsi="Times New Roman"/>
                <w:noProof/>
                <w:color w:val="auto"/>
                <w:sz w:val="18"/>
                <w:szCs w:val="18"/>
                <w:lang w:eastAsia="en-US"/>
              </w:rPr>
              <w:footnoteReference w:id="201"/>
            </w:r>
            <w:r>
              <w:rPr>
                <w:rFonts w:ascii="Times New Roman" w:hAnsi="Times New Roman"/>
                <w:noProof/>
                <w:color w:val="auto"/>
                <w:sz w:val="18"/>
                <w:szCs w:val="18"/>
                <w:lang w:val="en-GB" w:eastAsia="en-US"/>
              </w:rPr>
              <w:t xml:space="preserve"> (to spread costs over 10 years)</w:t>
            </w:r>
          </w:p>
        </w:tc>
        <w:tc>
          <w:tcPr>
            <w:tcW w:w="530"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rPr>
            </w:pPr>
            <w:r>
              <w:rPr>
                <w:rFonts w:ascii="Times New Roman" w:hAnsi="Times New Roman"/>
                <w:noProof/>
                <w:color w:val="auto"/>
                <w:sz w:val="18"/>
                <w:szCs w:val="18"/>
                <w:lang w:eastAsia="en-US"/>
              </w:rPr>
              <w:t>24</w:t>
            </w:r>
            <w:r>
              <w:rPr>
                <w:rStyle w:val="FootnoteReference"/>
                <w:rFonts w:ascii="Times New Roman" w:hAnsi="Times New Roman"/>
                <w:noProof/>
                <w:color w:val="auto"/>
                <w:sz w:val="18"/>
                <w:szCs w:val="18"/>
                <w:lang w:eastAsia="en-US"/>
              </w:rPr>
              <w:footnoteReference w:id="202"/>
            </w:r>
          </w:p>
        </w:tc>
        <w:tc>
          <w:tcPr>
            <w:tcW w:w="537"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rPr>
            </w:pPr>
            <w:r>
              <w:rPr>
                <w:rFonts w:ascii="Times New Roman" w:hAnsi="Times New Roman"/>
                <w:noProof/>
                <w:color w:val="auto"/>
                <w:sz w:val="18"/>
                <w:szCs w:val="18"/>
                <w:lang w:eastAsia="en-US"/>
              </w:rPr>
              <w:t>24.5 (wages) + 50 (fee)</w:t>
            </w:r>
          </w:p>
        </w:tc>
        <w:tc>
          <w:tcPr>
            <w:tcW w:w="72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rPr>
            </w:pPr>
            <w:r>
              <w:rPr>
                <w:rFonts w:ascii="Times New Roman" w:hAnsi="Times New Roman"/>
                <w:noProof/>
                <w:color w:val="auto"/>
                <w:sz w:val="18"/>
                <w:szCs w:val="18"/>
                <w:lang w:val="en-GB" w:eastAsia="en-US"/>
              </w:rPr>
              <w:t>Vessels under EU MRV Regulation: 12,114 (in 2019); linked to the evolution of the stock of vessels in the policy options</w:t>
            </w:r>
          </w:p>
        </w:tc>
        <w:tc>
          <w:tcPr>
            <w:tcW w:w="691"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PO1, PO2, PO3: linked to the uptake of RLF in each option</w:t>
            </w:r>
          </w:p>
        </w:tc>
      </w:tr>
      <w:tr>
        <w:trPr>
          <w:cnfStyle w:val="000000100000" w:firstRow="0" w:lastRow="0" w:firstColumn="0" w:lastColumn="0" w:oddVBand="0" w:evenVBand="0" w:oddHBand="1" w:evenHBand="0" w:firstRowFirstColumn="0" w:firstRowLastColumn="0" w:lastRowFirstColumn="0" w:lastRowLastColumn="0"/>
          <w:trHeight w:val="270"/>
        </w:trPr>
        <w:tc>
          <w:tcPr>
            <w:tcW w:w="5000" w:type="pct"/>
            <w:gridSpan w:val="7"/>
            <w:tcBorders>
              <w:top w:val="none" w:sz="0" w:space="0" w:color="auto"/>
            </w:tcBorders>
            <w:shd w:val="clear" w:color="auto" w:fill="FFFFFF" w:themeFill="background1"/>
          </w:tcPr>
          <w:p>
            <w:pPr>
              <w:pStyle w:val="table-text"/>
              <w:rPr>
                <w:rFonts w:ascii="Times New Roman" w:hAnsi="Times New Roman"/>
                <w:b/>
                <w:noProof/>
                <w:color w:val="auto"/>
                <w:sz w:val="18"/>
                <w:szCs w:val="18"/>
                <w:lang w:val="en-GB" w:eastAsia="en-US"/>
              </w:rPr>
            </w:pPr>
            <w:r>
              <w:rPr>
                <w:rFonts w:ascii="Times New Roman" w:hAnsi="Times New Roman"/>
                <w:b/>
                <w:noProof/>
                <w:color w:val="auto"/>
                <w:sz w:val="18"/>
                <w:szCs w:val="18"/>
                <w:lang w:val="en-GB" w:eastAsia="en-US"/>
              </w:rPr>
              <w:t>Administrative costs for port authorities</w:t>
            </w:r>
          </w:p>
        </w:tc>
      </w:tr>
      <w:tr>
        <w:trPr>
          <w:cnfStyle w:val="000000010000" w:firstRow="0" w:lastRow="0" w:firstColumn="0" w:lastColumn="0" w:oddVBand="0" w:evenVBand="0" w:oddHBand="0" w:evenHBand="1" w:firstRowFirstColumn="0" w:firstRowLastColumn="0" w:lastRowFirstColumn="0" w:lastRowLastColumn="0"/>
          <w:trHeight w:val="1111"/>
        </w:trPr>
        <w:tc>
          <w:tcPr>
            <w:tcW w:w="790" w:type="pct"/>
            <w:tcBorders>
              <w:top w:val="none" w:sz="0" w:space="0" w:color="auto"/>
            </w:tcBorders>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rPr>
              <w:t>Guidelines in ports</w:t>
            </w:r>
          </w:p>
        </w:tc>
        <w:tc>
          <w:tcPr>
            <w:tcW w:w="1027"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Set up guidelines in ports</w:t>
            </w:r>
          </w:p>
        </w:tc>
        <w:tc>
          <w:tcPr>
            <w:tcW w:w="706"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val="en-GB"/>
              </w:rPr>
            </w:pPr>
            <w:r>
              <w:rPr>
                <w:rFonts w:ascii="Times New Roman" w:hAnsi="Times New Roman"/>
                <w:noProof/>
                <w:color w:val="auto"/>
                <w:sz w:val="18"/>
                <w:szCs w:val="18"/>
                <w:lang w:val="en-GB" w:eastAsia="en-US"/>
              </w:rPr>
              <w:t>0.18</w:t>
            </w:r>
            <w:r>
              <w:rPr>
                <w:rStyle w:val="FootnoteReference"/>
                <w:rFonts w:ascii="Times New Roman" w:hAnsi="Times New Roman"/>
                <w:noProof/>
                <w:color w:val="auto"/>
                <w:sz w:val="18"/>
                <w:szCs w:val="18"/>
                <w:lang w:eastAsia="en-US"/>
              </w:rPr>
              <w:footnoteReference w:id="203"/>
            </w:r>
            <w:r>
              <w:rPr>
                <w:rFonts w:ascii="Times New Roman" w:hAnsi="Times New Roman"/>
                <w:noProof/>
                <w:color w:val="auto"/>
                <w:sz w:val="18"/>
                <w:szCs w:val="18"/>
                <w:lang w:val="en-GB" w:eastAsia="en-US"/>
              </w:rPr>
              <w:t xml:space="preserve"> (to spread costs over 25 years)</w:t>
            </w:r>
          </w:p>
        </w:tc>
        <w:tc>
          <w:tcPr>
            <w:tcW w:w="530"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rPr>
            </w:pPr>
            <w:r>
              <w:rPr>
                <w:rFonts w:ascii="Times New Roman" w:hAnsi="Times New Roman"/>
                <w:noProof/>
                <w:color w:val="auto"/>
                <w:sz w:val="18"/>
                <w:szCs w:val="18"/>
                <w:lang w:eastAsia="en-US"/>
              </w:rPr>
              <w:t>160</w:t>
            </w:r>
          </w:p>
        </w:tc>
        <w:tc>
          <w:tcPr>
            <w:tcW w:w="537"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rPr>
            </w:pPr>
            <w:r>
              <w:rPr>
                <w:rFonts w:ascii="Times New Roman" w:hAnsi="Times New Roman"/>
                <w:noProof/>
                <w:color w:val="auto"/>
                <w:sz w:val="18"/>
                <w:szCs w:val="18"/>
                <w:lang w:eastAsia="en-US"/>
              </w:rPr>
              <w:t>28.1</w:t>
            </w:r>
          </w:p>
        </w:tc>
        <w:tc>
          <w:tcPr>
            <w:tcW w:w="72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rPr>
            </w:pPr>
            <w:r>
              <w:rPr>
                <w:rFonts w:ascii="Times New Roman" w:hAnsi="Times New Roman"/>
                <w:noProof/>
                <w:color w:val="auto"/>
                <w:sz w:val="18"/>
                <w:szCs w:val="18"/>
                <w:lang w:val="en-GB" w:eastAsia="en-US"/>
              </w:rPr>
              <w:t>Number of ports in the EU: 470</w:t>
            </w:r>
            <w:r>
              <w:rPr>
                <w:rStyle w:val="FootnoteReference"/>
                <w:rFonts w:ascii="Times New Roman" w:hAnsi="Times New Roman"/>
                <w:noProof/>
                <w:color w:val="auto"/>
                <w:sz w:val="18"/>
                <w:szCs w:val="18"/>
                <w:lang w:eastAsia="en-US"/>
              </w:rPr>
              <w:footnoteReference w:id="204"/>
            </w:r>
          </w:p>
        </w:tc>
        <w:tc>
          <w:tcPr>
            <w:tcW w:w="691"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PO1, PO2, PO3: 34%</w:t>
            </w:r>
            <w:r>
              <w:rPr>
                <w:rStyle w:val="FootnoteReference"/>
                <w:rFonts w:ascii="Times New Roman" w:hAnsi="Times New Roman"/>
                <w:noProof/>
                <w:color w:val="auto"/>
                <w:sz w:val="18"/>
                <w:szCs w:val="18"/>
                <w:lang w:eastAsia="en-US"/>
              </w:rPr>
              <w:footnoteReference w:id="205"/>
            </w:r>
          </w:p>
        </w:tc>
      </w:tr>
      <w:tr>
        <w:trPr>
          <w:cnfStyle w:val="000000100000" w:firstRow="0" w:lastRow="0" w:firstColumn="0" w:lastColumn="0" w:oddVBand="0" w:evenVBand="0" w:oddHBand="1" w:evenHBand="0" w:firstRowFirstColumn="0" w:firstRowLastColumn="0" w:lastRowFirstColumn="0" w:lastRowLastColumn="0"/>
          <w:trHeight w:val="514"/>
        </w:trPr>
        <w:tc>
          <w:tcPr>
            <w:tcW w:w="5000" w:type="pct"/>
            <w:gridSpan w:val="7"/>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b/>
                <w:noProof/>
                <w:color w:val="auto"/>
                <w:sz w:val="18"/>
                <w:szCs w:val="18"/>
                <w:lang w:eastAsia="en-US"/>
              </w:rPr>
              <w:t>Enforcement costs</w:t>
            </w:r>
          </w:p>
        </w:tc>
      </w:tr>
      <w:tr>
        <w:trPr>
          <w:cnfStyle w:val="000000010000" w:firstRow="0" w:lastRow="0" w:firstColumn="0" w:lastColumn="0" w:oddVBand="0" w:evenVBand="0" w:oddHBand="0" w:evenHBand="1" w:firstRowFirstColumn="0" w:firstRowLastColumn="0" w:lastRowFirstColumn="0" w:lastRowLastColumn="0"/>
          <w:trHeight w:val="1111"/>
        </w:trPr>
        <w:tc>
          <w:tcPr>
            <w:tcW w:w="790" w:type="pct"/>
            <w:tcBorders>
              <w:top w:val="none" w:sz="0" w:space="0" w:color="auto"/>
            </w:tcBorders>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lang w:eastAsia="en-US"/>
              </w:rPr>
              <w:t>Annual energy compliance plan</w:t>
            </w:r>
          </w:p>
        </w:tc>
        <w:tc>
          <w:tcPr>
            <w:tcW w:w="1027"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Approve annual energy compliance plan</w:t>
            </w:r>
          </w:p>
        </w:tc>
        <w:tc>
          <w:tcPr>
            <w:tcW w:w="706"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1</w:t>
            </w:r>
          </w:p>
        </w:tc>
        <w:tc>
          <w:tcPr>
            <w:tcW w:w="530"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5</w:t>
            </w:r>
          </w:p>
        </w:tc>
        <w:tc>
          <w:tcPr>
            <w:tcW w:w="537"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39.1</w:t>
            </w:r>
            <w:r>
              <w:rPr>
                <w:rStyle w:val="FootnoteReference"/>
                <w:rFonts w:ascii="Times New Roman" w:hAnsi="Times New Roman"/>
                <w:noProof/>
                <w:color w:val="auto"/>
                <w:sz w:val="18"/>
                <w:szCs w:val="18"/>
                <w:lang w:eastAsia="en-US"/>
              </w:rPr>
              <w:footnoteReference w:id="206"/>
            </w:r>
          </w:p>
        </w:tc>
        <w:tc>
          <w:tcPr>
            <w:tcW w:w="72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Vessels under EU MRV Regulation: 12,114 (in 2019); linked to the evolution of the stock of vessels in the policy options</w:t>
            </w:r>
          </w:p>
        </w:tc>
        <w:tc>
          <w:tcPr>
            <w:tcW w:w="691"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PO1, PO2, PO3: 100%</w:t>
            </w:r>
          </w:p>
        </w:tc>
      </w:tr>
      <w:tr>
        <w:trPr>
          <w:cnfStyle w:val="000000100000" w:firstRow="0" w:lastRow="0" w:firstColumn="0" w:lastColumn="0" w:oddVBand="0" w:evenVBand="0" w:oddHBand="1" w:evenHBand="0" w:firstRowFirstColumn="0" w:firstRowLastColumn="0" w:lastRowFirstColumn="0" w:lastRowLastColumn="0"/>
          <w:trHeight w:val="1111"/>
        </w:trPr>
        <w:tc>
          <w:tcPr>
            <w:tcW w:w="790" w:type="pct"/>
            <w:tcBorders>
              <w:top w:val="none" w:sz="0" w:space="0" w:color="auto"/>
            </w:tcBorders>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rPr>
              <w:t>Annual energy report</w:t>
            </w:r>
          </w:p>
        </w:tc>
        <w:tc>
          <w:tcPr>
            <w:tcW w:w="1027"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Verify annual energy report</w:t>
            </w:r>
          </w:p>
        </w:tc>
        <w:tc>
          <w:tcPr>
            <w:tcW w:w="706"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1</w:t>
            </w:r>
          </w:p>
        </w:tc>
        <w:tc>
          <w:tcPr>
            <w:tcW w:w="530"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5</w:t>
            </w:r>
          </w:p>
        </w:tc>
        <w:tc>
          <w:tcPr>
            <w:tcW w:w="537"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39.1</w:t>
            </w:r>
          </w:p>
        </w:tc>
        <w:tc>
          <w:tcPr>
            <w:tcW w:w="72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Vessels under EU MRV Regulation: 12,114 (in 2019); linked to the evolution of the stock of vessles in the policy options</w:t>
            </w:r>
          </w:p>
        </w:tc>
        <w:tc>
          <w:tcPr>
            <w:tcW w:w="691" w:type="pct"/>
            <w:tcBorders>
              <w:top w:val="none" w:sz="0" w:space="0" w:color="auto"/>
            </w:tcBorders>
            <w:shd w:val="clear" w:color="auto" w:fill="FFFFFF" w:themeFill="background1"/>
          </w:tcPr>
          <w:p>
            <w:pPr>
              <w:pStyle w:val="table-text"/>
              <w:rPr>
                <w:rFonts w:ascii="Times New Roman" w:hAnsi="Times New Roman"/>
                <w:noProof/>
                <w:color w:val="auto"/>
                <w:sz w:val="18"/>
                <w:szCs w:val="18"/>
                <w:lang w:eastAsia="en-US"/>
              </w:rPr>
            </w:pPr>
            <w:r>
              <w:rPr>
                <w:rFonts w:ascii="Times New Roman" w:hAnsi="Times New Roman"/>
                <w:noProof/>
                <w:color w:val="auto"/>
                <w:sz w:val="18"/>
                <w:szCs w:val="18"/>
                <w:lang w:eastAsia="en-US"/>
              </w:rPr>
              <w:t>PO1, PO2, PO3: 100%</w:t>
            </w:r>
          </w:p>
        </w:tc>
      </w:tr>
      <w:tr>
        <w:trPr>
          <w:cnfStyle w:val="000000010000" w:firstRow="0" w:lastRow="0" w:firstColumn="0" w:lastColumn="0" w:oddVBand="0" w:evenVBand="0" w:oddHBand="0" w:evenHBand="1" w:firstRowFirstColumn="0" w:firstRowLastColumn="0" w:lastRowFirstColumn="0" w:lastRowLastColumn="0"/>
          <w:trHeight w:val="1111"/>
        </w:trPr>
        <w:tc>
          <w:tcPr>
            <w:tcW w:w="790" w:type="pct"/>
            <w:tcBorders>
              <w:top w:val="none" w:sz="0" w:space="0" w:color="auto"/>
            </w:tcBorders>
            <w:shd w:val="clear" w:color="auto" w:fill="FFFFFF" w:themeFill="background1"/>
          </w:tcPr>
          <w:p>
            <w:pPr>
              <w:pStyle w:val="table-text"/>
              <w:rPr>
                <w:rFonts w:ascii="Times New Roman" w:hAnsi="Times New Roman"/>
                <w:noProof/>
                <w:color w:val="auto"/>
                <w:sz w:val="18"/>
                <w:szCs w:val="18"/>
              </w:rPr>
            </w:pPr>
            <w:r>
              <w:rPr>
                <w:rFonts w:ascii="Times New Roman" w:hAnsi="Times New Roman"/>
                <w:noProof/>
                <w:color w:val="auto"/>
                <w:sz w:val="18"/>
                <w:szCs w:val="18"/>
              </w:rPr>
              <w:t>Proof</w:t>
            </w:r>
            <w:r>
              <w:rPr>
                <w:rFonts w:ascii="Times New Roman" w:hAnsi="Times New Roman"/>
                <w:noProof/>
                <w:color w:val="auto"/>
                <w:sz w:val="18"/>
                <w:szCs w:val="18"/>
                <w:lang w:eastAsia="en-US"/>
              </w:rPr>
              <w:t xml:space="preserve"> of compliance</w:t>
            </w:r>
          </w:p>
        </w:tc>
        <w:tc>
          <w:tcPr>
            <w:tcW w:w="1027"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Additional time during audits/inspections</w:t>
            </w:r>
          </w:p>
        </w:tc>
        <w:tc>
          <w:tcPr>
            <w:tcW w:w="706"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1</w:t>
            </w:r>
          </w:p>
        </w:tc>
        <w:tc>
          <w:tcPr>
            <w:tcW w:w="530"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0.25</w:t>
            </w:r>
          </w:p>
        </w:tc>
        <w:tc>
          <w:tcPr>
            <w:tcW w:w="537" w:type="pct"/>
            <w:tcBorders>
              <w:top w:val="none" w:sz="0" w:space="0" w:color="auto"/>
            </w:tcBorders>
            <w:shd w:val="clear" w:color="auto" w:fill="FFFFFF" w:themeFill="background1"/>
          </w:tcPr>
          <w:p>
            <w:pPr>
              <w:pStyle w:val="table-text"/>
              <w:jc w:val="center"/>
              <w:rPr>
                <w:rFonts w:ascii="Times New Roman" w:hAnsi="Times New Roman"/>
                <w:noProof/>
                <w:color w:val="auto"/>
                <w:sz w:val="18"/>
                <w:szCs w:val="18"/>
                <w:lang w:eastAsia="en-US"/>
              </w:rPr>
            </w:pPr>
            <w:r>
              <w:rPr>
                <w:rFonts w:ascii="Times New Roman" w:hAnsi="Times New Roman"/>
                <w:noProof/>
                <w:color w:val="auto"/>
                <w:sz w:val="18"/>
                <w:szCs w:val="18"/>
                <w:lang w:eastAsia="en-US"/>
              </w:rPr>
              <w:t>39.1</w:t>
            </w:r>
          </w:p>
        </w:tc>
        <w:tc>
          <w:tcPr>
            <w:tcW w:w="720"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Vessels under EU MRV Regulation: 12,114 (in 2019)</w:t>
            </w:r>
            <w:r>
              <w:rPr>
                <w:rStyle w:val="FootnoteReference"/>
                <w:rFonts w:ascii="Times New Roman" w:hAnsi="Times New Roman"/>
                <w:noProof/>
                <w:color w:val="auto"/>
                <w:sz w:val="18"/>
                <w:szCs w:val="18"/>
                <w:lang w:val="en-GB" w:eastAsia="en-US"/>
              </w:rPr>
              <w:t xml:space="preserve"> </w:t>
            </w:r>
            <w:r>
              <w:rPr>
                <w:rStyle w:val="FootnoteReference"/>
                <w:rFonts w:ascii="Times New Roman" w:hAnsi="Times New Roman"/>
                <w:noProof/>
                <w:color w:val="auto"/>
                <w:sz w:val="18"/>
                <w:szCs w:val="18"/>
                <w:lang w:eastAsia="en-US"/>
              </w:rPr>
              <w:footnoteReference w:id="207"/>
            </w:r>
          </w:p>
        </w:tc>
        <w:tc>
          <w:tcPr>
            <w:tcW w:w="691" w:type="pct"/>
            <w:tcBorders>
              <w:top w:val="none" w:sz="0" w:space="0" w:color="auto"/>
            </w:tcBorders>
            <w:shd w:val="clear" w:color="auto" w:fill="FFFFFF" w:themeFill="background1"/>
          </w:tcPr>
          <w:p>
            <w:pPr>
              <w:pStyle w:val="table-text"/>
              <w:rPr>
                <w:rFonts w:ascii="Times New Roman" w:hAnsi="Times New Roman"/>
                <w:noProof/>
                <w:color w:val="auto"/>
                <w:sz w:val="18"/>
                <w:szCs w:val="18"/>
                <w:lang w:val="en-GB" w:eastAsia="en-US"/>
              </w:rPr>
            </w:pPr>
            <w:r>
              <w:rPr>
                <w:rFonts w:ascii="Times New Roman" w:hAnsi="Times New Roman"/>
                <w:noProof/>
                <w:color w:val="auto"/>
                <w:sz w:val="18"/>
                <w:szCs w:val="18"/>
                <w:lang w:val="en-GB" w:eastAsia="en-US"/>
              </w:rPr>
              <w:t>PO1, PO2, PO3:</w:t>
            </w:r>
          </w:p>
          <w:p>
            <w:pPr>
              <w:pStyle w:val="table-text"/>
              <w:rPr>
                <w:rFonts w:ascii="Times New Roman" w:hAnsi="Times New Roman"/>
                <w:noProof/>
                <w:color w:val="auto"/>
                <w:sz w:val="18"/>
                <w:szCs w:val="18"/>
                <w:lang w:val="en-GB" w:eastAsia="en-US"/>
              </w:rPr>
            </w:pPr>
            <w:r>
              <w:rPr>
                <w:rFonts w:ascii="Times New Roman" w:hAnsi="Times New Roman"/>
                <w:i/>
                <w:noProof/>
                <w:color w:val="auto"/>
                <w:sz w:val="18"/>
                <w:szCs w:val="18"/>
                <w:lang w:val="en-GB" w:eastAsia="en-US"/>
              </w:rPr>
              <w:t xml:space="preserve">Unknown </w:t>
            </w:r>
            <w:r>
              <w:rPr>
                <w:rFonts w:ascii="Times New Roman" w:hAnsi="Times New Roman"/>
                <w:noProof/>
                <w:color w:val="auto"/>
                <w:sz w:val="18"/>
                <w:szCs w:val="18"/>
                <w:lang w:val="en-GB" w:eastAsia="en-US"/>
              </w:rPr>
              <w:t>% of vessels inspected that fall under scope of EU-MRV regulation</w:t>
            </w:r>
          </w:p>
        </w:tc>
      </w:tr>
    </w:tbl>
    <w:p>
      <w:pPr>
        <w:jc w:val="both"/>
        <w:rPr>
          <w:rFonts w:ascii="Times New Roman" w:hAnsi="Times New Roman" w:cs="Times New Roman"/>
          <w:noProof/>
          <w:sz w:val="24"/>
          <w:szCs w:val="24"/>
          <w:lang w:val="en-IE"/>
        </w:rPr>
      </w:pPr>
    </w:p>
    <w:p>
      <w:pPr>
        <w:pStyle w:val="Heading1"/>
        <w:numPr>
          <w:ilvl w:val="0"/>
          <w:numId w:val="14"/>
        </w:numPr>
        <w:rPr>
          <w:noProof/>
        </w:rPr>
      </w:pPr>
      <w:bookmarkStart w:id="619" w:name="_Toc63426188"/>
      <w:bookmarkStart w:id="620" w:name="_Toc63438534"/>
      <w:bookmarkStart w:id="621" w:name="_Toc59152674"/>
      <w:r>
        <w:rPr>
          <w:noProof/>
        </w:rPr>
        <w:t>Methodological approach for port investments</w:t>
      </w:r>
      <w:bookmarkEnd w:id="619"/>
      <w:bookmarkEnd w:id="620"/>
    </w:p>
    <w:p>
      <w:pPr>
        <w:pStyle w:val="Text1"/>
        <w:ind w:left="0"/>
        <w:rPr>
          <w:noProof/>
        </w:rPr>
      </w:pPr>
      <w:r>
        <w:rPr>
          <w:noProof/>
        </w:rPr>
        <w:t>The estimated investment costs on hydrogen and OPS installations should be taken as indicative of the scale of investments expected by ports under the conditions of the policy options. The large variations in energy demands by maritime vessels (type, size) as well as the geographical and operational conditions of the ports (port layout, existence of sufficient energy link to the grid, etc) limit the level of accuracy. The underlying assumptions are coherent with real life examples and thus have value in providing a general estimate.</w:t>
      </w:r>
    </w:p>
    <w:p>
      <w:pPr>
        <w:pStyle w:val="Text1"/>
        <w:ind w:left="0"/>
        <w:rPr>
          <w:b/>
          <w:i/>
          <w:noProof/>
          <w:szCs w:val="24"/>
        </w:rPr>
      </w:pPr>
      <w:r>
        <w:rPr>
          <w:b/>
          <w:i/>
          <w:noProof/>
          <w:szCs w:val="24"/>
        </w:rPr>
        <w:t>Hydrogen installations</w:t>
      </w:r>
    </w:p>
    <w:p>
      <w:pPr>
        <w:pStyle w:val="Text1"/>
        <w:ind w:left="0"/>
        <w:rPr>
          <w:noProof/>
          <w:szCs w:val="24"/>
          <w:lang w:val="en-IE"/>
        </w:rPr>
      </w:pPr>
      <w:r>
        <w:rPr>
          <w:noProof/>
        </w:rPr>
        <w:t xml:space="preserve">The estimation is based on the range of identified investments between </w:t>
      </w:r>
      <w:r>
        <w:rPr>
          <w:noProof/>
          <w:szCs w:val="24"/>
          <w:lang w:val="en-IE"/>
        </w:rPr>
        <w:t>€35 million to more than €100 million</w:t>
      </w:r>
      <w:r>
        <w:rPr>
          <w:rStyle w:val="FootnoteReference"/>
          <w:noProof/>
        </w:rPr>
        <w:footnoteReference w:id="208"/>
      </w:r>
      <w:r>
        <w:rPr>
          <w:noProof/>
          <w:szCs w:val="24"/>
          <w:lang w:val="en-IE"/>
        </w:rPr>
        <w:t>. Given the size of the investments needed, it is assumed that only the 25 largest cargo ports will undertake such investments. The highest range is used in the estimation.</w:t>
      </w:r>
    </w:p>
    <w:p>
      <w:pPr>
        <w:pStyle w:val="Text1"/>
        <w:ind w:left="0"/>
        <w:rPr>
          <w:b/>
          <w:i/>
          <w:noProof/>
          <w:szCs w:val="24"/>
          <w:lang w:val="en-IE"/>
        </w:rPr>
      </w:pPr>
      <w:r>
        <w:rPr>
          <w:b/>
          <w:i/>
          <w:noProof/>
          <w:szCs w:val="24"/>
          <w:lang w:val="en-IE"/>
        </w:rPr>
        <w:t>OPS installations</w:t>
      </w:r>
    </w:p>
    <w:p>
      <w:pPr>
        <w:pStyle w:val="Text1"/>
        <w:ind w:left="0"/>
        <w:rPr>
          <w:noProof/>
        </w:rPr>
      </w:pPr>
      <w:r>
        <w:rPr>
          <w:noProof/>
        </w:rPr>
        <w:t>The estimation is based on calculations by EMSA on the average power demand needs at berth. SafeSeaNet data on number of individual ships at ports have been used, and a multiplying factor has been used to calculate the effective power average and peak demand per ship at berth based on existing literature</w:t>
      </w:r>
      <w:r>
        <w:rPr>
          <w:rStyle w:val="FootnoteReference"/>
          <w:noProof/>
        </w:rPr>
        <w:footnoteReference w:id="209"/>
      </w:r>
      <w:r>
        <w:rPr>
          <w:noProof/>
        </w:rPr>
        <w:t>. The demand has been calculated for ports in the TEN-T network, with at least one vessel above 5000 GT at berth in 2019. Even though traffic volumes are expected to increase in the following years, the number of port calls is assumed to remain relatively stable, as vessel capacity is expected to increase. This is in line with the considerations of the estimates for the European Maritime Single Window environment</w:t>
      </w:r>
      <w:r>
        <w:rPr>
          <w:rStyle w:val="FootnoteReference"/>
          <w:noProof/>
        </w:rPr>
        <w:footnoteReference w:id="210"/>
      </w:r>
      <w:r>
        <w:rPr>
          <w:noProof/>
        </w:rPr>
        <w:t>. The energy investment needed is estimated at: 262MW for container, 2084MW for ro-pax and 3297MW for cruise vessels.</w:t>
      </w:r>
    </w:p>
    <w:p>
      <w:pPr>
        <w:pStyle w:val="Text1"/>
        <w:ind w:left="0"/>
        <w:rPr>
          <w:noProof/>
        </w:rPr>
      </w:pPr>
      <w:r>
        <w:rPr>
          <w:rFonts w:eastAsia="Calibri"/>
          <w:noProof/>
          <w:szCs w:val="24"/>
        </w:rPr>
        <w:t>The architecture of OPS installations is characterized by a variety of port-specific elements that dictate the final figure for capital cost. The specific port spatial layout, number of berths to be provided with shore power connections, individual terminal characteristics, power demand, ship types calling the port, frequency conversion and cable management system options are amongst the most relevant drivers for OPS configuration and, therefore, affecting directly investment cost. Indicative values are used for the cost of investing in OPS infrastructure per each type of vessel (€1.0m/MW for containerships, €1.2m/MW for ro-pax and €1.5m/MW for cruise vessels), using publicly available studies</w:t>
      </w:r>
      <w:r>
        <w:rPr>
          <w:rStyle w:val="FootnoteReference"/>
          <w:rFonts w:eastAsia="Calibri"/>
          <w:noProof/>
          <w:szCs w:val="24"/>
        </w:rPr>
        <w:footnoteReference w:id="211"/>
      </w:r>
      <w:r>
        <w:rPr>
          <w:rFonts w:eastAsia="Calibri"/>
          <w:noProof/>
          <w:szCs w:val="24"/>
        </w:rPr>
        <w:t xml:space="preserve">. </w:t>
      </w:r>
    </w:p>
    <w:p>
      <w:pPr>
        <w:pStyle w:val="Text1"/>
        <w:ind w:left="0"/>
        <w:rPr>
          <w:b/>
          <w:i/>
          <w:noProof/>
        </w:rPr>
      </w:pPr>
      <w:r>
        <w:rPr>
          <w:b/>
          <w:i/>
          <w:noProof/>
        </w:rPr>
        <w:t>Baseline estimation</w:t>
      </w:r>
    </w:p>
    <w:p>
      <w:pPr>
        <w:pStyle w:val="Text1"/>
        <w:ind w:left="0"/>
        <w:rPr>
          <w:noProof/>
        </w:rPr>
      </w:pPr>
      <w:r>
        <w:rPr>
          <w:noProof/>
        </w:rPr>
        <w:t>With regard to the baseline investments, EAFO</w:t>
      </w:r>
      <w:r>
        <w:rPr>
          <w:rStyle w:val="FootnoteReference"/>
          <w:noProof/>
        </w:rPr>
        <w:footnoteReference w:id="212"/>
      </w:r>
      <w:r>
        <w:rPr>
          <w:noProof/>
        </w:rPr>
        <w:t xml:space="preserve"> , provides an overview of the OPS installations in Europe. According to this information, maritime ports in the EU have installed more than 90MW of power capacity for container, ro-pax and cruise vessels since 2000. The introduced capacity varies per year, between zero and approximately 18MW. There is also a steady increase with some 20MW being installed between 2006 and 2010, 30MW between 2011 and 2015 and 39MW between 2016 and 2020. Given the above, it can be expected that EU ports will continue to bring OPS capacity in service in the following years. In the absence of other indications, it is assumed that 10MW of OPS power capacity will be introduced each year until between 2025 and 2050. Baseline investment costs are estimated at </w:t>
      </w:r>
      <w:r>
        <w:rPr>
          <w:rFonts w:eastAsia="Calibri"/>
          <w:noProof/>
          <w:szCs w:val="24"/>
        </w:rPr>
        <w:t>€0.3 bn.</w:t>
      </w:r>
    </w:p>
    <w:p>
      <w:pPr>
        <w:pStyle w:val="Text1"/>
        <w:rPr>
          <w:noProof/>
        </w:rPr>
      </w:pPr>
    </w:p>
    <w:p>
      <w:pPr>
        <w:pStyle w:val="Heading1"/>
        <w:numPr>
          <w:ilvl w:val="0"/>
          <w:numId w:val="14"/>
        </w:numPr>
        <w:rPr>
          <w:noProof/>
        </w:rPr>
      </w:pPr>
      <w:bookmarkStart w:id="622" w:name="_Toc63426189"/>
      <w:bookmarkStart w:id="623" w:name="_Toc63438535"/>
      <w:r>
        <w:rPr>
          <w:noProof/>
        </w:rPr>
        <w:t>Methodological approach and results of the risk of carbon leakage analysis</w:t>
      </w:r>
      <w:bookmarkEnd w:id="621"/>
      <w:bookmarkEnd w:id="622"/>
      <w:bookmarkEnd w:id="623"/>
      <w:r>
        <w:rPr>
          <w:noProof/>
        </w:rPr>
        <w:t xml:space="preserve"> </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The potential for ships re-routing to reduce the amount of traffic that falls in scope of the initiative is analysed by comparing the situation without re-routing in 2030 (i.e. direct link from port A to port B, where port A is non-EU/EEA port and Port B is a EU/EEA port) with the situation including an intermediate stop to a non-EU/EEA port (port C) closer (or the closest) to the EU/EEA port (port B). The analysis takes into account the costs by ship type along different routes. The analysis has been performed with the TRUST model by TRT for PO1 and PO3 (PO2 was assumed to likely react similarly to PO2 as their design is similar).</w:t>
      </w:r>
    </w:p>
    <w:p>
      <w:pPr>
        <w:pStyle w:val="Body"/>
        <w:rPr>
          <w:rFonts w:ascii="Times New Roman" w:hAnsi="Times New Roman"/>
          <w:b/>
          <w:i/>
          <w:noProof/>
          <w:sz w:val="24"/>
          <w:szCs w:val="24"/>
        </w:rPr>
      </w:pPr>
      <w:r>
        <w:rPr>
          <w:rFonts w:ascii="Times New Roman" w:hAnsi="Times New Roman"/>
          <w:b/>
          <w:i/>
          <w:noProof/>
          <w:sz w:val="24"/>
          <w:szCs w:val="24"/>
        </w:rPr>
        <w:t>Cost types</w:t>
      </w:r>
    </w:p>
    <w:p>
      <w:pPr>
        <w:pStyle w:val="Body"/>
        <w:spacing w:after="120"/>
        <w:rPr>
          <w:rFonts w:ascii="Times New Roman" w:hAnsi="Times New Roman"/>
          <w:noProof/>
          <w:sz w:val="24"/>
          <w:szCs w:val="24"/>
        </w:rPr>
      </w:pPr>
      <w:r>
        <w:rPr>
          <w:rFonts w:ascii="Times New Roman" w:hAnsi="Times New Roman"/>
          <w:noProof/>
          <w:sz w:val="24"/>
          <w:szCs w:val="24"/>
        </w:rPr>
        <w:t xml:space="preserve">The analysis considers the costs incurred by ships from the origin port (port A) to the destination port (port B). In case of a direct route (no leakage case) between port A and port B these costs include: </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Costs at port A: the costs for the ports’ call (i.e. port dues, pilotage, towage, mooring, other costs) and the cost of operation time at port.</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Fuel costs from port A to port B: in this case the whole navigation shall be performed with the mix of RLFs required, having a higher cost than the conventional maritime fuels.</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Other navigation costs from port A to port B: these are the costs for the operation of the ship covered by the ships’ time charter rates</w:t>
      </w:r>
      <w:r>
        <w:rPr>
          <w:rStyle w:val="FootnoteReference"/>
          <w:rFonts w:ascii="Times New Roman" w:hAnsi="Times New Roman" w:cs="Times New Roman"/>
          <w:noProof/>
          <w:sz w:val="24"/>
          <w:szCs w:val="24"/>
        </w:rPr>
        <w:footnoteReference w:id="213"/>
      </w:r>
      <w:r>
        <w:rPr>
          <w:rFonts w:ascii="Times New Roman" w:hAnsi="Times New Roman" w:cs="Times New Roman"/>
          <w:noProof/>
          <w:sz w:val="24"/>
          <w:szCs w:val="24"/>
        </w:rPr>
        <w:t>.</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Costs at port B: these costs include the costs for the ports’ call (i.e. port dues, pilotage, towage, mooring, other costs) the cost of waiting time to access the port and the cost of operation time at port.</w:t>
      </w:r>
    </w:p>
    <w:p>
      <w:pPr>
        <w:pStyle w:val="Body"/>
        <w:spacing w:before="120" w:after="120"/>
        <w:rPr>
          <w:rFonts w:ascii="Times New Roman" w:hAnsi="Times New Roman"/>
          <w:noProof/>
          <w:sz w:val="24"/>
          <w:szCs w:val="24"/>
        </w:rPr>
      </w:pPr>
      <w:r>
        <w:rPr>
          <w:rFonts w:ascii="Times New Roman" w:hAnsi="Times New Roman"/>
          <w:noProof/>
          <w:sz w:val="24"/>
          <w:szCs w:val="24"/>
        </w:rPr>
        <w:t>In case of an intermediate stop (leakage case) the costs include:</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Costs at port A: these costs are the same as in the case of a direct route.</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Fuel costs from port A to port C: This leg of the trip is assumed to be performed with conventional maritime fuels as it falls outside the scope of the policy measure (leg between two non-EU/EEA ports).</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Other navigation costs from port A to port C: these costs are the same as in the case of a direct route.</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 xml:space="preserve">Costs at port C: These costs include the costs for the ports’ call (i.e. port dues, pilotage, towage, mooring, other costs) the cost of waiting time to access the port and the cost of operation time at port. </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Fuel costs from port C to port B: This leg of the trip is assumed to be performed with RLFs as it falls within the scope of the policy measure.</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Other navigation costs from port C to port B: these costs are the same as in the case of a direct route.</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Costs at port B: these costs are the same as in the case of a direct route.</w:t>
      </w:r>
    </w:p>
    <w:p>
      <w:pPr>
        <w:pStyle w:val="Body"/>
        <w:spacing w:before="240"/>
        <w:rPr>
          <w:rFonts w:ascii="Times New Roman" w:hAnsi="Times New Roman"/>
          <w:b/>
          <w:i/>
          <w:noProof/>
          <w:sz w:val="24"/>
          <w:szCs w:val="24"/>
        </w:rPr>
      </w:pPr>
      <w:r>
        <w:rPr>
          <w:rFonts w:ascii="Times New Roman" w:hAnsi="Times New Roman"/>
          <w:b/>
          <w:i/>
          <w:noProof/>
          <w:sz w:val="24"/>
          <w:szCs w:val="24"/>
        </w:rPr>
        <w:t>Ship types</w:t>
      </w:r>
    </w:p>
    <w:p>
      <w:pPr>
        <w:pStyle w:val="Body"/>
        <w:spacing w:after="120"/>
        <w:rPr>
          <w:rFonts w:ascii="Times New Roman" w:hAnsi="Times New Roman"/>
          <w:noProof/>
          <w:sz w:val="24"/>
          <w:szCs w:val="24"/>
        </w:rPr>
      </w:pPr>
      <w:r>
        <w:rPr>
          <w:rFonts w:ascii="Times New Roman" w:hAnsi="Times New Roman"/>
          <w:noProof/>
          <w:sz w:val="24"/>
          <w:szCs w:val="24"/>
        </w:rPr>
        <w:t>The analysis covers three freight ship types of the most relevant ship categories operating in the scope of the initiative:</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Bulk carriers which represent respectively 32% of all ships and 37% of the total fleet deadweight falling into the scope of the initiative.</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Container ships representing 15% of all ships and 18% of the total fleet deadweight.</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Oil tankers representing 15% of all ships and 18% of the total fleet deadweight.</w:t>
      </w:r>
    </w:p>
    <w:p>
      <w:pPr>
        <w:pStyle w:val="Body"/>
        <w:spacing w:before="240"/>
        <w:rPr>
          <w:rFonts w:ascii="Times New Roman" w:hAnsi="Times New Roman"/>
          <w:b/>
          <w:i/>
          <w:noProof/>
          <w:sz w:val="24"/>
          <w:szCs w:val="24"/>
        </w:rPr>
      </w:pPr>
      <w:bookmarkStart w:id="624" w:name="_Toc50995587"/>
      <w:r>
        <w:rPr>
          <w:rFonts w:ascii="Times New Roman" w:hAnsi="Times New Roman"/>
          <w:b/>
          <w:i/>
          <w:noProof/>
          <w:sz w:val="24"/>
          <w:szCs w:val="24"/>
        </w:rPr>
        <w:t>Route types</w:t>
      </w:r>
    </w:p>
    <w:p>
      <w:pPr>
        <w:pStyle w:val="Body"/>
        <w:spacing w:after="120"/>
        <w:rPr>
          <w:rFonts w:ascii="Times New Roman" w:hAnsi="Times New Roman"/>
          <w:noProof/>
          <w:sz w:val="24"/>
          <w:szCs w:val="24"/>
        </w:rPr>
      </w:pPr>
      <w:r>
        <w:rPr>
          <w:rFonts w:ascii="Times New Roman" w:hAnsi="Times New Roman"/>
          <w:noProof/>
          <w:sz w:val="24"/>
          <w:szCs w:val="24"/>
        </w:rPr>
        <w:t>The analysis covers different routes and potential intermediate stops for the above mentioned different ship types</w:t>
      </w:r>
      <w:r>
        <w:rPr>
          <w:rStyle w:val="FootnoteReference"/>
          <w:rFonts w:ascii="Times New Roman" w:hAnsi="Times New Roman"/>
          <w:noProof/>
          <w:sz w:val="24"/>
          <w:szCs w:val="24"/>
        </w:rPr>
        <w:footnoteReference w:id="214"/>
      </w:r>
      <w:r>
        <w:rPr>
          <w:rFonts w:ascii="Times New Roman" w:hAnsi="Times New Roman"/>
          <w:noProof/>
          <w:sz w:val="24"/>
          <w:szCs w:val="24"/>
        </w:rPr>
        <w:t xml:space="preserve">. These are presented in </w:t>
      </w:r>
      <w:r>
        <w:rPr>
          <w:rFonts w:ascii="Times New Roman" w:hAnsi="Times New Roman"/>
          <w:noProof/>
          <w:sz w:val="24"/>
          <w:szCs w:val="24"/>
        </w:rPr>
        <w:fldChar w:fldCharType="begin"/>
      </w:r>
      <w:r>
        <w:rPr>
          <w:rFonts w:ascii="Times New Roman" w:hAnsi="Times New Roman"/>
          <w:noProof/>
          <w:sz w:val="24"/>
          <w:szCs w:val="24"/>
        </w:rPr>
        <w:instrText xml:space="preserve"> REF _Ref63434527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38</w:t>
      </w:r>
      <w:r>
        <w:rPr>
          <w:rFonts w:ascii="Times New Roman" w:hAnsi="Times New Roman"/>
          <w:noProof/>
          <w:sz w:val="24"/>
          <w:szCs w:val="24"/>
        </w:rPr>
        <w:fldChar w:fldCharType="end"/>
      </w:r>
      <w:r>
        <w:rPr>
          <w:rFonts w:ascii="Times New Roman" w:hAnsi="Times New Roman"/>
          <w:noProof/>
          <w:sz w:val="24"/>
          <w:szCs w:val="24"/>
        </w:rPr>
        <w:t xml:space="preserve">, </w:t>
      </w:r>
      <w:r>
        <w:rPr>
          <w:rFonts w:ascii="Times New Roman" w:hAnsi="Times New Roman"/>
          <w:noProof/>
          <w:sz w:val="24"/>
          <w:szCs w:val="24"/>
        </w:rPr>
        <w:fldChar w:fldCharType="begin"/>
      </w:r>
      <w:r>
        <w:rPr>
          <w:rFonts w:ascii="Times New Roman" w:hAnsi="Times New Roman"/>
          <w:noProof/>
          <w:sz w:val="24"/>
          <w:szCs w:val="24"/>
        </w:rPr>
        <w:instrText xml:space="preserve"> REF _Ref63434532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39</w:t>
      </w:r>
      <w:r>
        <w:rPr>
          <w:rFonts w:ascii="Times New Roman" w:hAnsi="Times New Roman"/>
          <w:noProof/>
          <w:sz w:val="24"/>
          <w:szCs w:val="24"/>
        </w:rPr>
        <w:fldChar w:fldCharType="end"/>
      </w:r>
      <w:r>
        <w:rPr>
          <w:rFonts w:ascii="Times New Roman" w:hAnsi="Times New Roman"/>
          <w:noProof/>
          <w:sz w:val="24"/>
          <w:szCs w:val="24"/>
        </w:rPr>
        <w:t xml:space="preserve">, and </w:t>
      </w:r>
      <w:r>
        <w:rPr>
          <w:rFonts w:ascii="Times New Roman" w:hAnsi="Times New Roman"/>
          <w:noProof/>
          <w:sz w:val="24"/>
          <w:szCs w:val="24"/>
        </w:rPr>
        <w:fldChar w:fldCharType="begin"/>
      </w:r>
      <w:r>
        <w:rPr>
          <w:rFonts w:ascii="Times New Roman" w:hAnsi="Times New Roman"/>
          <w:noProof/>
          <w:sz w:val="24"/>
          <w:szCs w:val="24"/>
        </w:rPr>
        <w:instrText xml:space="preserve"> REF _Ref63434534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40</w:t>
      </w:r>
      <w:r>
        <w:rPr>
          <w:rFonts w:ascii="Times New Roman" w:hAnsi="Times New Roman"/>
          <w:noProof/>
          <w:sz w:val="24"/>
          <w:szCs w:val="24"/>
        </w:rPr>
        <w:fldChar w:fldCharType="end"/>
      </w:r>
      <w:r>
        <w:rPr>
          <w:rFonts w:ascii="Times New Roman" w:hAnsi="Times New Roman"/>
          <w:noProof/>
          <w:sz w:val="24"/>
          <w:szCs w:val="24"/>
        </w:rPr>
        <w:t>.</w:t>
      </w:r>
    </w:p>
    <w:p>
      <w:pPr>
        <w:pStyle w:val="Caption"/>
        <w:spacing w:after="120"/>
        <w:rPr>
          <w:noProof/>
        </w:rPr>
      </w:pPr>
      <w:bookmarkStart w:id="625" w:name="_Ref63434527"/>
      <w:bookmarkStart w:id="626" w:name="_Toc57796827"/>
      <w:r>
        <w:rPr>
          <w:noProof/>
        </w:rPr>
        <w:t xml:space="preserve">Table </w:t>
      </w:r>
      <w:r>
        <w:rPr>
          <w:noProof/>
        </w:rPr>
        <w:fldChar w:fldCharType="begin"/>
      </w:r>
      <w:r>
        <w:rPr>
          <w:noProof/>
        </w:rPr>
        <w:instrText xml:space="preserve"> SEQ Table \* ARABIC </w:instrText>
      </w:r>
      <w:r>
        <w:rPr>
          <w:noProof/>
        </w:rPr>
        <w:fldChar w:fldCharType="separate"/>
      </w:r>
      <w:r>
        <w:rPr>
          <w:noProof/>
        </w:rPr>
        <w:t>38</w:t>
      </w:r>
      <w:r>
        <w:rPr>
          <w:noProof/>
        </w:rPr>
        <w:fldChar w:fldCharType="end"/>
      </w:r>
      <w:bookmarkEnd w:id="625"/>
      <w:r>
        <w:rPr>
          <w:noProof/>
        </w:rPr>
        <w:t xml:space="preserve">: </w:t>
      </w:r>
      <w:bookmarkEnd w:id="624"/>
      <w:r>
        <w:rPr>
          <w:noProof/>
        </w:rPr>
        <w:t>Routes and ship types considered for container ships</w:t>
      </w:r>
      <w:bookmarkEnd w:id="6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10"/>
        <w:gridCol w:w="1404"/>
        <w:gridCol w:w="1543"/>
        <w:gridCol w:w="1516"/>
        <w:gridCol w:w="873"/>
        <w:gridCol w:w="2157"/>
      </w:tblGrid>
      <w:tr>
        <w:trPr>
          <w:trHeight w:val="368"/>
          <w:tblHeader/>
        </w:trPr>
        <w:tc>
          <w:tcPr>
            <w:tcW w:w="838"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Origin region</w:t>
            </w:r>
          </w:p>
        </w:tc>
        <w:tc>
          <w:tcPr>
            <w:tcW w:w="780"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Origin port</w:t>
            </w:r>
          </w:p>
        </w:tc>
        <w:tc>
          <w:tcPr>
            <w:tcW w:w="857"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Destination region</w:t>
            </w:r>
          </w:p>
        </w:tc>
        <w:tc>
          <w:tcPr>
            <w:tcW w:w="842"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Destination port</w:t>
            </w:r>
          </w:p>
        </w:tc>
        <w:tc>
          <w:tcPr>
            <w:tcW w:w="485"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Ship size [TEU]</w:t>
            </w:r>
          </w:p>
        </w:tc>
        <w:tc>
          <w:tcPr>
            <w:tcW w:w="1198"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Port of intermediate stop</w:t>
            </w:r>
          </w:p>
        </w:tc>
      </w:tr>
      <w:tr>
        <w:trPr>
          <w:trHeight w:val="170"/>
        </w:trPr>
        <w:tc>
          <w:tcPr>
            <w:tcW w:w="838"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China</w:t>
            </w:r>
          </w:p>
        </w:tc>
        <w:tc>
          <w:tcPr>
            <w:tcW w:w="78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 xml:space="preserve">Shanghai </w:t>
            </w:r>
          </w:p>
        </w:tc>
        <w:tc>
          <w:tcPr>
            <w:tcW w:w="857"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North Europe</w:t>
            </w:r>
          </w:p>
        </w:tc>
        <w:tc>
          <w:tcPr>
            <w:tcW w:w="842"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Antwerp Rotterdam</w:t>
            </w:r>
          </w:p>
          <w:p>
            <w:pPr>
              <w:pStyle w:val="Body"/>
              <w:spacing w:after="0"/>
              <w:rPr>
                <w:rFonts w:ascii="Times New Roman" w:hAnsi="Times New Roman"/>
                <w:noProof/>
                <w:sz w:val="18"/>
                <w:szCs w:val="18"/>
              </w:rPr>
            </w:pPr>
            <w:r>
              <w:rPr>
                <w:rFonts w:ascii="Times New Roman" w:hAnsi="Times New Roman"/>
                <w:noProof/>
                <w:sz w:val="18"/>
                <w:szCs w:val="18"/>
              </w:rPr>
              <w:t>Hamburg</w:t>
            </w:r>
          </w:p>
        </w:tc>
        <w:tc>
          <w:tcPr>
            <w:tcW w:w="485" w:type="pct"/>
            <w:shd w:val="clear" w:color="auto" w:fill="FFFFFF" w:themeFill="background1"/>
          </w:tcPr>
          <w:p>
            <w:pPr>
              <w:pStyle w:val="Body"/>
              <w:spacing w:after="0"/>
              <w:jc w:val="center"/>
              <w:rPr>
                <w:rFonts w:ascii="Times New Roman" w:hAnsi="Times New Roman"/>
                <w:noProof/>
                <w:sz w:val="18"/>
                <w:szCs w:val="18"/>
              </w:rPr>
            </w:pPr>
            <w:r>
              <w:rPr>
                <w:rFonts w:ascii="Times New Roman" w:hAnsi="Times New Roman"/>
                <w:noProof/>
                <w:sz w:val="18"/>
                <w:szCs w:val="18"/>
              </w:rPr>
              <w:t>14,000</w:t>
            </w:r>
          </w:p>
          <w:p>
            <w:pPr>
              <w:pStyle w:val="Body"/>
              <w:spacing w:after="0"/>
              <w:jc w:val="center"/>
              <w:rPr>
                <w:rFonts w:ascii="Times New Roman" w:hAnsi="Times New Roman"/>
                <w:noProof/>
                <w:sz w:val="18"/>
                <w:szCs w:val="18"/>
              </w:rPr>
            </w:pPr>
          </w:p>
          <w:p>
            <w:pPr>
              <w:pStyle w:val="Body"/>
              <w:spacing w:after="0"/>
              <w:jc w:val="center"/>
              <w:rPr>
                <w:rFonts w:ascii="Times New Roman" w:hAnsi="Times New Roman"/>
                <w:noProof/>
                <w:sz w:val="18"/>
                <w:szCs w:val="18"/>
              </w:rPr>
            </w:pPr>
            <w:r>
              <w:rPr>
                <w:rFonts w:ascii="Times New Roman" w:hAnsi="Times New Roman"/>
                <w:noProof/>
                <w:sz w:val="18"/>
                <w:szCs w:val="18"/>
              </w:rPr>
              <w:t>21,000</w:t>
            </w:r>
          </w:p>
        </w:tc>
        <w:tc>
          <w:tcPr>
            <w:tcW w:w="1198"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Port Said (Egypt)</w:t>
            </w:r>
          </w:p>
          <w:p>
            <w:pPr>
              <w:pStyle w:val="Body"/>
              <w:spacing w:after="0"/>
              <w:jc w:val="left"/>
              <w:rPr>
                <w:rFonts w:ascii="Times New Roman" w:hAnsi="Times New Roman"/>
                <w:noProof/>
                <w:sz w:val="18"/>
                <w:szCs w:val="18"/>
              </w:rPr>
            </w:pPr>
            <w:r>
              <w:rPr>
                <w:rFonts w:ascii="Times New Roman" w:hAnsi="Times New Roman"/>
                <w:noProof/>
                <w:sz w:val="18"/>
                <w:szCs w:val="18"/>
              </w:rPr>
              <w:t>Mersin (Turkey)</w:t>
            </w:r>
          </w:p>
          <w:p>
            <w:pPr>
              <w:pStyle w:val="Body"/>
              <w:spacing w:after="0"/>
              <w:jc w:val="left"/>
              <w:rPr>
                <w:rFonts w:ascii="Times New Roman" w:hAnsi="Times New Roman"/>
                <w:noProof/>
                <w:sz w:val="18"/>
                <w:szCs w:val="18"/>
              </w:rPr>
            </w:pPr>
            <w:r>
              <w:rPr>
                <w:rFonts w:ascii="Times New Roman" w:hAnsi="Times New Roman"/>
                <w:noProof/>
                <w:sz w:val="18"/>
                <w:szCs w:val="18"/>
              </w:rPr>
              <w:t>Tangier (Morocco)</w:t>
            </w:r>
          </w:p>
          <w:p>
            <w:pPr>
              <w:pStyle w:val="Body"/>
              <w:spacing w:after="0"/>
              <w:jc w:val="left"/>
              <w:rPr>
                <w:rFonts w:ascii="Times New Roman" w:hAnsi="Times New Roman"/>
                <w:noProof/>
                <w:sz w:val="18"/>
                <w:szCs w:val="18"/>
              </w:rPr>
            </w:pPr>
            <w:r>
              <w:rPr>
                <w:rFonts w:ascii="Times New Roman" w:hAnsi="Times New Roman"/>
                <w:noProof/>
                <w:sz w:val="18"/>
                <w:szCs w:val="18"/>
              </w:rPr>
              <w:t>Felixstowe (UK)</w:t>
            </w:r>
          </w:p>
        </w:tc>
      </w:tr>
      <w:tr>
        <w:trPr>
          <w:trHeight w:val="170"/>
        </w:trPr>
        <w:tc>
          <w:tcPr>
            <w:tcW w:w="838"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China</w:t>
            </w:r>
          </w:p>
        </w:tc>
        <w:tc>
          <w:tcPr>
            <w:tcW w:w="78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 xml:space="preserve">Shanghai </w:t>
            </w:r>
          </w:p>
        </w:tc>
        <w:tc>
          <w:tcPr>
            <w:tcW w:w="857"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Mediterranean</w:t>
            </w:r>
          </w:p>
        </w:tc>
        <w:tc>
          <w:tcPr>
            <w:tcW w:w="842"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Genoa</w:t>
            </w:r>
          </w:p>
          <w:p>
            <w:pPr>
              <w:pStyle w:val="Body"/>
              <w:spacing w:after="0"/>
              <w:rPr>
                <w:rFonts w:ascii="Times New Roman" w:hAnsi="Times New Roman"/>
                <w:noProof/>
                <w:sz w:val="18"/>
                <w:szCs w:val="18"/>
              </w:rPr>
            </w:pPr>
            <w:r>
              <w:rPr>
                <w:rFonts w:ascii="Times New Roman" w:hAnsi="Times New Roman"/>
                <w:noProof/>
                <w:sz w:val="18"/>
                <w:szCs w:val="18"/>
              </w:rPr>
              <w:t>Marseille</w:t>
            </w:r>
          </w:p>
          <w:p>
            <w:pPr>
              <w:pStyle w:val="Body"/>
              <w:spacing w:after="0"/>
              <w:rPr>
                <w:rFonts w:ascii="Times New Roman" w:hAnsi="Times New Roman"/>
                <w:b/>
                <w:noProof/>
                <w:sz w:val="18"/>
                <w:szCs w:val="18"/>
                <w:lang w:eastAsia="en-GB"/>
              </w:rPr>
            </w:pPr>
            <w:r>
              <w:rPr>
                <w:rFonts w:ascii="Times New Roman" w:hAnsi="Times New Roman"/>
                <w:noProof/>
                <w:sz w:val="18"/>
                <w:szCs w:val="18"/>
              </w:rPr>
              <w:t>Barcelona</w:t>
            </w:r>
          </w:p>
        </w:tc>
        <w:tc>
          <w:tcPr>
            <w:tcW w:w="485"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14,000</w:t>
            </w:r>
          </w:p>
        </w:tc>
        <w:tc>
          <w:tcPr>
            <w:tcW w:w="1198"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Port Said (Egypt)</w:t>
            </w:r>
          </w:p>
          <w:p>
            <w:pPr>
              <w:pStyle w:val="Body"/>
              <w:spacing w:after="0"/>
              <w:jc w:val="left"/>
              <w:rPr>
                <w:rFonts w:ascii="Times New Roman" w:hAnsi="Times New Roman"/>
                <w:noProof/>
                <w:sz w:val="18"/>
                <w:szCs w:val="18"/>
              </w:rPr>
            </w:pPr>
            <w:r>
              <w:rPr>
                <w:rFonts w:ascii="Times New Roman" w:hAnsi="Times New Roman"/>
                <w:noProof/>
                <w:sz w:val="18"/>
                <w:szCs w:val="18"/>
              </w:rPr>
              <w:t>Mersin (Turkey)</w:t>
            </w:r>
          </w:p>
        </w:tc>
      </w:tr>
      <w:tr>
        <w:trPr>
          <w:trHeight w:val="170"/>
        </w:trPr>
        <w:tc>
          <w:tcPr>
            <w:tcW w:w="838"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US East coast</w:t>
            </w:r>
          </w:p>
        </w:tc>
        <w:tc>
          <w:tcPr>
            <w:tcW w:w="78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New York</w:t>
            </w:r>
          </w:p>
          <w:p>
            <w:pPr>
              <w:pStyle w:val="Body"/>
              <w:spacing w:after="0"/>
              <w:rPr>
                <w:rFonts w:ascii="Times New Roman" w:hAnsi="Times New Roman"/>
                <w:noProof/>
                <w:sz w:val="18"/>
                <w:szCs w:val="18"/>
              </w:rPr>
            </w:pPr>
            <w:r>
              <w:rPr>
                <w:rFonts w:ascii="Times New Roman" w:hAnsi="Times New Roman"/>
                <w:noProof/>
                <w:sz w:val="18"/>
                <w:szCs w:val="18"/>
              </w:rPr>
              <w:t>Savannah</w:t>
            </w:r>
          </w:p>
        </w:tc>
        <w:tc>
          <w:tcPr>
            <w:tcW w:w="857" w:type="pct"/>
            <w:shd w:val="clear" w:color="auto" w:fill="FFFFFF" w:themeFill="background1"/>
            <w:hideMark/>
          </w:tcPr>
          <w:p>
            <w:pPr>
              <w:pStyle w:val="Body"/>
              <w:spacing w:after="0"/>
              <w:rPr>
                <w:rFonts w:ascii="Times New Roman" w:hAnsi="Times New Roman"/>
                <w:b/>
                <w:noProof/>
                <w:sz w:val="18"/>
                <w:szCs w:val="18"/>
                <w:lang w:eastAsia="en-GB"/>
              </w:rPr>
            </w:pPr>
            <w:r>
              <w:rPr>
                <w:rFonts w:ascii="Times New Roman" w:hAnsi="Times New Roman"/>
                <w:noProof/>
                <w:sz w:val="18"/>
                <w:szCs w:val="18"/>
              </w:rPr>
              <w:t>North Europe</w:t>
            </w:r>
          </w:p>
        </w:tc>
        <w:tc>
          <w:tcPr>
            <w:tcW w:w="842" w:type="pct"/>
            <w:shd w:val="clear" w:color="auto" w:fill="FFFFFF" w:themeFill="background1"/>
            <w:vAlign w:val="center"/>
            <w:hideMark/>
          </w:tcPr>
          <w:p>
            <w:pPr>
              <w:pStyle w:val="Body"/>
              <w:spacing w:after="0"/>
              <w:rPr>
                <w:rFonts w:ascii="Times New Roman" w:hAnsi="Times New Roman"/>
                <w:noProof/>
                <w:sz w:val="18"/>
                <w:szCs w:val="18"/>
              </w:rPr>
            </w:pPr>
            <w:r>
              <w:rPr>
                <w:rFonts w:ascii="Times New Roman" w:hAnsi="Times New Roman"/>
                <w:noProof/>
                <w:sz w:val="18"/>
                <w:szCs w:val="18"/>
              </w:rPr>
              <w:t>Antwerp Rotterdam</w:t>
            </w:r>
          </w:p>
          <w:p>
            <w:pPr>
              <w:pStyle w:val="Body"/>
              <w:spacing w:after="0"/>
              <w:rPr>
                <w:rFonts w:ascii="Times New Roman" w:hAnsi="Times New Roman"/>
                <w:b/>
                <w:noProof/>
                <w:sz w:val="18"/>
                <w:szCs w:val="18"/>
                <w:lang w:eastAsia="en-GB"/>
              </w:rPr>
            </w:pPr>
            <w:r>
              <w:rPr>
                <w:rFonts w:ascii="Times New Roman" w:hAnsi="Times New Roman"/>
                <w:noProof/>
                <w:sz w:val="18"/>
                <w:szCs w:val="18"/>
              </w:rPr>
              <w:t>Hamburg</w:t>
            </w:r>
          </w:p>
        </w:tc>
        <w:tc>
          <w:tcPr>
            <w:tcW w:w="485" w:type="pct"/>
            <w:shd w:val="clear" w:color="auto" w:fill="FFFFFF" w:themeFill="background1"/>
            <w:hideMark/>
          </w:tcPr>
          <w:p>
            <w:pPr>
              <w:pStyle w:val="Body"/>
              <w:spacing w:after="0"/>
              <w:jc w:val="center"/>
              <w:rPr>
                <w:rFonts w:ascii="Times New Roman" w:hAnsi="Times New Roman"/>
                <w:b/>
                <w:noProof/>
                <w:sz w:val="18"/>
                <w:szCs w:val="18"/>
                <w:lang w:eastAsia="en-GB"/>
              </w:rPr>
            </w:pPr>
            <w:r>
              <w:rPr>
                <w:rFonts w:ascii="Times New Roman" w:hAnsi="Times New Roman"/>
                <w:noProof/>
                <w:sz w:val="18"/>
                <w:szCs w:val="18"/>
              </w:rPr>
              <w:t>12,000</w:t>
            </w:r>
          </w:p>
        </w:tc>
        <w:tc>
          <w:tcPr>
            <w:tcW w:w="1198" w:type="pct"/>
            <w:shd w:val="clear" w:color="auto" w:fill="FFFFFF" w:themeFill="background1"/>
            <w:hideMark/>
          </w:tcPr>
          <w:p>
            <w:pPr>
              <w:pStyle w:val="Body"/>
              <w:spacing w:after="0"/>
              <w:jc w:val="left"/>
              <w:rPr>
                <w:rFonts w:ascii="Times New Roman" w:hAnsi="Times New Roman"/>
                <w:b/>
                <w:noProof/>
                <w:sz w:val="18"/>
                <w:szCs w:val="18"/>
                <w:lang w:eastAsia="en-GB"/>
              </w:rPr>
            </w:pPr>
            <w:r>
              <w:rPr>
                <w:rFonts w:ascii="Times New Roman" w:hAnsi="Times New Roman"/>
                <w:noProof/>
                <w:sz w:val="18"/>
                <w:szCs w:val="18"/>
              </w:rPr>
              <w:t>Felixstowe (UK)</w:t>
            </w:r>
          </w:p>
        </w:tc>
      </w:tr>
      <w:tr>
        <w:trPr>
          <w:trHeight w:val="170"/>
        </w:trPr>
        <w:tc>
          <w:tcPr>
            <w:tcW w:w="838"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US East coast</w:t>
            </w:r>
          </w:p>
        </w:tc>
        <w:tc>
          <w:tcPr>
            <w:tcW w:w="78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New York</w:t>
            </w:r>
          </w:p>
          <w:p>
            <w:pPr>
              <w:pStyle w:val="Body"/>
              <w:spacing w:after="0"/>
              <w:rPr>
                <w:rFonts w:ascii="Times New Roman" w:hAnsi="Times New Roman"/>
                <w:noProof/>
                <w:sz w:val="18"/>
                <w:szCs w:val="18"/>
              </w:rPr>
            </w:pPr>
            <w:r>
              <w:rPr>
                <w:rFonts w:ascii="Times New Roman" w:hAnsi="Times New Roman"/>
                <w:noProof/>
                <w:sz w:val="18"/>
                <w:szCs w:val="18"/>
              </w:rPr>
              <w:t>Savannah</w:t>
            </w:r>
          </w:p>
        </w:tc>
        <w:tc>
          <w:tcPr>
            <w:tcW w:w="857"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Mediterranean</w:t>
            </w:r>
          </w:p>
        </w:tc>
        <w:tc>
          <w:tcPr>
            <w:tcW w:w="842"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Genoa</w:t>
            </w:r>
          </w:p>
          <w:p>
            <w:pPr>
              <w:pStyle w:val="Body"/>
              <w:spacing w:after="0"/>
              <w:rPr>
                <w:rFonts w:ascii="Times New Roman" w:hAnsi="Times New Roman"/>
                <w:noProof/>
                <w:sz w:val="18"/>
                <w:szCs w:val="18"/>
              </w:rPr>
            </w:pPr>
            <w:r>
              <w:rPr>
                <w:rFonts w:ascii="Times New Roman" w:hAnsi="Times New Roman"/>
                <w:noProof/>
                <w:sz w:val="18"/>
                <w:szCs w:val="18"/>
              </w:rPr>
              <w:t>Marseille</w:t>
            </w:r>
          </w:p>
          <w:p>
            <w:pPr>
              <w:pStyle w:val="Body"/>
              <w:spacing w:after="0"/>
              <w:rPr>
                <w:rFonts w:ascii="Times New Roman" w:hAnsi="Times New Roman"/>
                <w:noProof/>
                <w:sz w:val="18"/>
                <w:szCs w:val="18"/>
              </w:rPr>
            </w:pPr>
            <w:r>
              <w:rPr>
                <w:rFonts w:ascii="Times New Roman" w:hAnsi="Times New Roman"/>
                <w:noProof/>
                <w:sz w:val="18"/>
                <w:szCs w:val="18"/>
              </w:rPr>
              <w:t>Barcelona</w:t>
            </w:r>
          </w:p>
        </w:tc>
        <w:tc>
          <w:tcPr>
            <w:tcW w:w="485" w:type="pct"/>
            <w:shd w:val="clear" w:color="auto" w:fill="FFFFFF" w:themeFill="background1"/>
            <w:hideMark/>
          </w:tcPr>
          <w:p>
            <w:pPr>
              <w:pStyle w:val="Body"/>
              <w:spacing w:after="0"/>
              <w:jc w:val="center"/>
              <w:rPr>
                <w:rFonts w:ascii="Times New Roman" w:hAnsi="Times New Roman"/>
                <w:b/>
                <w:noProof/>
                <w:sz w:val="18"/>
                <w:szCs w:val="18"/>
                <w:lang w:eastAsia="en-GB"/>
              </w:rPr>
            </w:pPr>
            <w:r>
              <w:rPr>
                <w:rFonts w:ascii="Times New Roman" w:hAnsi="Times New Roman"/>
                <w:noProof/>
                <w:sz w:val="18"/>
                <w:szCs w:val="18"/>
              </w:rPr>
              <w:t>8,000</w:t>
            </w:r>
          </w:p>
        </w:tc>
        <w:tc>
          <w:tcPr>
            <w:tcW w:w="1198" w:type="pct"/>
            <w:shd w:val="clear" w:color="auto" w:fill="FFFFFF" w:themeFill="background1"/>
          </w:tcPr>
          <w:p>
            <w:pPr>
              <w:pStyle w:val="Body"/>
              <w:spacing w:after="0"/>
              <w:jc w:val="left"/>
              <w:rPr>
                <w:rFonts w:ascii="Times New Roman" w:hAnsi="Times New Roman"/>
                <w:noProof/>
                <w:sz w:val="18"/>
                <w:szCs w:val="18"/>
              </w:rPr>
            </w:pPr>
            <w:r>
              <w:rPr>
                <w:rFonts w:ascii="Times New Roman" w:hAnsi="Times New Roman"/>
                <w:noProof/>
                <w:sz w:val="18"/>
                <w:szCs w:val="18"/>
              </w:rPr>
              <w:t>Tangier (Morocco)</w:t>
            </w:r>
          </w:p>
          <w:p>
            <w:pPr>
              <w:spacing w:after="0"/>
              <w:rPr>
                <w:rFonts w:ascii="Times New Roman" w:hAnsi="Times New Roman" w:cs="Times New Roman"/>
                <w:b/>
                <w:noProof/>
                <w:sz w:val="18"/>
                <w:szCs w:val="18"/>
                <w:lang w:eastAsia="en-GB"/>
              </w:rPr>
            </w:pPr>
          </w:p>
        </w:tc>
      </w:tr>
      <w:tr>
        <w:trPr>
          <w:trHeight w:val="170"/>
        </w:trPr>
        <w:tc>
          <w:tcPr>
            <w:tcW w:w="838"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South America</w:t>
            </w:r>
          </w:p>
        </w:tc>
        <w:tc>
          <w:tcPr>
            <w:tcW w:w="78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Santos</w:t>
            </w:r>
          </w:p>
        </w:tc>
        <w:tc>
          <w:tcPr>
            <w:tcW w:w="857"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North Europe</w:t>
            </w:r>
          </w:p>
        </w:tc>
        <w:tc>
          <w:tcPr>
            <w:tcW w:w="842" w:type="pct"/>
            <w:shd w:val="clear" w:color="auto" w:fill="FFFFFF" w:themeFill="background1"/>
            <w:vAlign w:val="center"/>
            <w:hideMark/>
          </w:tcPr>
          <w:p>
            <w:pPr>
              <w:pStyle w:val="Body"/>
              <w:spacing w:after="0"/>
              <w:rPr>
                <w:rFonts w:ascii="Times New Roman" w:hAnsi="Times New Roman"/>
                <w:noProof/>
                <w:sz w:val="18"/>
                <w:szCs w:val="18"/>
              </w:rPr>
            </w:pPr>
            <w:r>
              <w:rPr>
                <w:rFonts w:ascii="Times New Roman" w:hAnsi="Times New Roman"/>
                <w:noProof/>
                <w:sz w:val="18"/>
                <w:szCs w:val="18"/>
              </w:rPr>
              <w:t>Antwerp Rotterdam</w:t>
            </w:r>
          </w:p>
          <w:p>
            <w:pPr>
              <w:pStyle w:val="Body"/>
              <w:spacing w:after="0"/>
              <w:jc w:val="left"/>
              <w:rPr>
                <w:rFonts w:ascii="Times New Roman" w:hAnsi="Times New Roman"/>
                <w:noProof/>
                <w:sz w:val="18"/>
                <w:szCs w:val="18"/>
              </w:rPr>
            </w:pPr>
            <w:r>
              <w:rPr>
                <w:rFonts w:ascii="Times New Roman" w:hAnsi="Times New Roman"/>
                <w:noProof/>
                <w:sz w:val="18"/>
                <w:szCs w:val="18"/>
              </w:rPr>
              <w:t>Hamburg</w:t>
            </w:r>
          </w:p>
        </w:tc>
        <w:tc>
          <w:tcPr>
            <w:tcW w:w="485"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4,000</w:t>
            </w:r>
          </w:p>
        </w:tc>
        <w:tc>
          <w:tcPr>
            <w:tcW w:w="1198"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Felixstowe (UK)</w:t>
            </w:r>
          </w:p>
        </w:tc>
      </w:tr>
      <w:tr>
        <w:trPr>
          <w:trHeight w:val="170"/>
        </w:trPr>
        <w:tc>
          <w:tcPr>
            <w:tcW w:w="838"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South America</w:t>
            </w:r>
          </w:p>
        </w:tc>
        <w:tc>
          <w:tcPr>
            <w:tcW w:w="78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Santos</w:t>
            </w:r>
          </w:p>
        </w:tc>
        <w:tc>
          <w:tcPr>
            <w:tcW w:w="857"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Mediterranean</w:t>
            </w:r>
          </w:p>
        </w:tc>
        <w:tc>
          <w:tcPr>
            <w:tcW w:w="842"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Genoa</w:t>
            </w:r>
          </w:p>
          <w:p>
            <w:pPr>
              <w:pStyle w:val="Body"/>
              <w:spacing w:after="0"/>
              <w:rPr>
                <w:rFonts w:ascii="Times New Roman" w:hAnsi="Times New Roman"/>
                <w:noProof/>
                <w:sz w:val="18"/>
                <w:szCs w:val="18"/>
              </w:rPr>
            </w:pPr>
            <w:r>
              <w:rPr>
                <w:rFonts w:ascii="Times New Roman" w:hAnsi="Times New Roman"/>
                <w:noProof/>
                <w:sz w:val="18"/>
                <w:szCs w:val="18"/>
              </w:rPr>
              <w:t>Marseille</w:t>
            </w:r>
          </w:p>
          <w:p>
            <w:pPr>
              <w:pStyle w:val="Body"/>
              <w:spacing w:after="0"/>
              <w:jc w:val="left"/>
              <w:rPr>
                <w:rFonts w:ascii="Times New Roman" w:hAnsi="Times New Roman"/>
                <w:noProof/>
                <w:sz w:val="18"/>
                <w:szCs w:val="18"/>
              </w:rPr>
            </w:pPr>
            <w:r>
              <w:rPr>
                <w:rFonts w:ascii="Times New Roman" w:hAnsi="Times New Roman"/>
                <w:noProof/>
                <w:sz w:val="18"/>
                <w:szCs w:val="18"/>
              </w:rPr>
              <w:t>Barcelona</w:t>
            </w:r>
          </w:p>
        </w:tc>
        <w:tc>
          <w:tcPr>
            <w:tcW w:w="485"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4,500</w:t>
            </w:r>
          </w:p>
        </w:tc>
        <w:tc>
          <w:tcPr>
            <w:tcW w:w="1198" w:type="pct"/>
            <w:shd w:val="clear" w:color="auto" w:fill="FFFFFF" w:themeFill="background1"/>
          </w:tcPr>
          <w:p>
            <w:pPr>
              <w:pStyle w:val="Body"/>
              <w:spacing w:after="0"/>
              <w:jc w:val="left"/>
              <w:rPr>
                <w:rFonts w:ascii="Times New Roman" w:hAnsi="Times New Roman"/>
                <w:noProof/>
                <w:sz w:val="18"/>
                <w:szCs w:val="18"/>
              </w:rPr>
            </w:pPr>
            <w:r>
              <w:rPr>
                <w:rFonts w:ascii="Times New Roman" w:hAnsi="Times New Roman"/>
                <w:noProof/>
                <w:sz w:val="18"/>
                <w:szCs w:val="18"/>
              </w:rPr>
              <w:t>Tangier (Morocco)</w:t>
            </w:r>
          </w:p>
          <w:p>
            <w:pPr>
              <w:pStyle w:val="Body"/>
              <w:spacing w:after="0"/>
              <w:jc w:val="left"/>
              <w:rPr>
                <w:rFonts w:ascii="Times New Roman" w:hAnsi="Times New Roman"/>
                <w:noProof/>
                <w:sz w:val="18"/>
                <w:szCs w:val="18"/>
              </w:rPr>
            </w:pPr>
          </w:p>
        </w:tc>
      </w:tr>
      <w:tr>
        <w:trPr>
          <w:trHeight w:val="170"/>
        </w:trPr>
        <w:tc>
          <w:tcPr>
            <w:tcW w:w="838"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US West Coast</w:t>
            </w:r>
          </w:p>
        </w:tc>
        <w:tc>
          <w:tcPr>
            <w:tcW w:w="78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Long Beach</w:t>
            </w:r>
          </w:p>
        </w:tc>
        <w:tc>
          <w:tcPr>
            <w:tcW w:w="857"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North Europe</w:t>
            </w:r>
          </w:p>
        </w:tc>
        <w:tc>
          <w:tcPr>
            <w:tcW w:w="842" w:type="pct"/>
            <w:shd w:val="clear" w:color="auto" w:fill="FFFFFF" w:themeFill="background1"/>
            <w:vAlign w:val="center"/>
            <w:hideMark/>
          </w:tcPr>
          <w:p>
            <w:pPr>
              <w:pStyle w:val="Body"/>
              <w:spacing w:after="0"/>
              <w:rPr>
                <w:rFonts w:ascii="Times New Roman" w:hAnsi="Times New Roman"/>
                <w:noProof/>
                <w:sz w:val="18"/>
                <w:szCs w:val="18"/>
              </w:rPr>
            </w:pPr>
            <w:r>
              <w:rPr>
                <w:rFonts w:ascii="Times New Roman" w:hAnsi="Times New Roman"/>
                <w:noProof/>
                <w:sz w:val="18"/>
                <w:szCs w:val="18"/>
              </w:rPr>
              <w:t>Antwerp Rotterdam</w:t>
            </w:r>
          </w:p>
          <w:p>
            <w:pPr>
              <w:pStyle w:val="Body"/>
              <w:spacing w:after="0"/>
              <w:jc w:val="left"/>
              <w:rPr>
                <w:rFonts w:ascii="Times New Roman" w:hAnsi="Times New Roman"/>
                <w:noProof/>
                <w:sz w:val="18"/>
                <w:szCs w:val="18"/>
              </w:rPr>
            </w:pPr>
            <w:r>
              <w:rPr>
                <w:rFonts w:ascii="Times New Roman" w:hAnsi="Times New Roman"/>
                <w:noProof/>
                <w:sz w:val="18"/>
                <w:szCs w:val="18"/>
              </w:rPr>
              <w:t>Hamburg</w:t>
            </w:r>
          </w:p>
        </w:tc>
        <w:tc>
          <w:tcPr>
            <w:tcW w:w="485"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4,000</w:t>
            </w:r>
          </w:p>
        </w:tc>
        <w:tc>
          <w:tcPr>
            <w:tcW w:w="1198"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Felixstowe (UK)</w:t>
            </w:r>
          </w:p>
        </w:tc>
      </w:tr>
      <w:tr>
        <w:trPr>
          <w:trHeight w:val="170"/>
        </w:trPr>
        <w:tc>
          <w:tcPr>
            <w:tcW w:w="838"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US West Coast</w:t>
            </w:r>
          </w:p>
        </w:tc>
        <w:tc>
          <w:tcPr>
            <w:tcW w:w="78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Long Beach</w:t>
            </w:r>
          </w:p>
        </w:tc>
        <w:tc>
          <w:tcPr>
            <w:tcW w:w="857"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Mediterranean</w:t>
            </w:r>
          </w:p>
        </w:tc>
        <w:tc>
          <w:tcPr>
            <w:tcW w:w="842"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Genoa</w:t>
            </w:r>
          </w:p>
          <w:p>
            <w:pPr>
              <w:pStyle w:val="Body"/>
              <w:spacing w:after="0"/>
              <w:rPr>
                <w:rFonts w:ascii="Times New Roman" w:hAnsi="Times New Roman"/>
                <w:noProof/>
                <w:sz w:val="18"/>
                <w:szCs w:val="18"/>
              </w:rPr>
            </w:pPr>
            <w:r>
              <w:rPr>
                <w:rFonts w:ascii="Times New Roman" w:hAnsi="Times New Roman"/>
                <w:noProof/>
                <w:sz w:val="18"/>
                <w:szCs w:val="18"/>
              </w:rPr>
              <w:t>Marseille</w:t>
            </w:r>
          </w:p>
          <w:p>
            <w:pPr>
              <w:pStyle w:val="Body"/>
              <w:spacing w:after="0"/>
              <w:jc w:val="left"/>
              <w:rPr>
                <w:rFonts w:ascii="Times New Roman" w:hAnsi="Times New Roman"/>
                <w:noProof/>
                <w:sz w:val="18"/>
                <w:szCs w:val="18"/>
              </w:rPr>
            </w:pPr>
            <w:r>
              <w:rPr>
                <w:rFonts w:ascii="Times New Roman" w:hAnsi="Times New Roman"/>
                <w:noProof/>
                <w:sz w:val="18"/>
                <w:szCs w:val="18"/>
              </w:rPr>
              <w:t>Barcelona</w:t>
            </w:r>
          </w:p>
        </w:tc>
        <w:tc>
          <w:tcPr>
            <w:tcW w:w="485"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4,500</w:t>
            </w:r>
          </w:p>
        </w:tc>
        <w:tc>
          <w:tcPr>
            <w:tcW w:w="1198" w:type="pct"/>
            <w:shd w:val="clear" w:color="auto" w:fill="FFFFFF" w:themeFill="background1"/>
          </w:tcPr>
          <w:p>
            <w:pPr>
              <w:pStyle w:val="Body"/>
              <w:spacing w:after="0"/>
              <w:jc w:val="left"/>
              <w:rPr>
                <w:rFonts w:ascii="Times New Roman" w:hAnsi="Times New Roman"/>
                <w:noProof/>
                <w:sz w:val="18"/>
                <w:szCs w:val="18"/>
              </w:rPr>
            </w:pPr>
            <w:r>
              <w:rPr>
                <w:rFonts w:ascii="Times New Roman" w:hAnsi="Times New Roman"/>
                <w:noProof/>
                <w:sz w:val="18"/>
                <w:szCs w:val="18"/>
              </w:rPr>
              <w:t>Tangier (Morocco)</w:t>
            </w:r>
          </w:p>
          <w:p>
            <w:pPr>
              <w:pStyle w:val="Body"/>
              <w:spacing w:after="0"/>
              <w:jc w:val="left"/>
              <w:rPr>
                <w:rFonts w:ascii="Times New Roman" w:hAnsi="Times New Roman"/>
                <w:noProof/>
                <w:sz w:val="18"/>
                <w:szCs w:val="18"/>
              </w:rPr>
            </w:pPr>
          </w:p>
        </w:tc>
      </w:tr>
    </w:tbl>
    <w:p>
      <w:pPr>
        <w:pStyle w:val="Body"/>
        <w:spacing w:line="276" w:lineRule="auto"/>
        <w:rPr>
          <w:rFonts w:ascii="Times New Roman" w:eastAsia="Calibri" w:hAnsi="Times New Roman"/>
          <w:i/>
          <w:noProof/>
          <w:sz w:val="18"/>
          <w:szCs w:val="18"/>
        </w:rPr>
      </w:pPr>
      <w:bookmarkStart w:id="627" w:name="_Toc57796828"/>
      <w:r>
        <w:rPr>
          <w:rFonts w:ascii="Times New Roman" w:eastAsia="Calibri" w:hAnsi="Times New Roman"/>
          <w:i/>
          <w:noProof/>
          <w:sz w:val="18"/>
          <w:szCs w:val="18"/>
        </w:rPr>
        <w:t>Source: TRUST model, TRT</w:t>
      </w:r>
    </w:p>
    <w:p>
      <w:pPr>
        <w:pStyle w:val="Caption"/>
        <w:keepNext/>
        <w:spacing w:after="120"/>
        <w:rPr>
          <w:noProof/>
        </w:rPr>
      </w:pPr>
      <w:bookmarkStart w:id="628" w:name="_Ref63434532"/>
      <w:r>
        <w:rPr>
          <w:noProof/>
        </w:rPr>
        <w:t xml:space="preserve">Table </w:t>
      </w:r>
      <w:r>
        <w:rPr>
          <w:noProof/>
        </w:rPr>
        <w:fldChar w:fldCharType="begin"/>
      </w:r>
      <w:r>
        <w:rPr>
          <w:noProof/>
        </w:rPr>
        <w:instrText xml:space="preserve"> SEQ Table \* ARABIC </w:instrText>
      </w:r>
      <w:r>
        <w:rPr>
          <w:noProof/>
        </w:rPr>
        <w:fldChar w:fldCharType="separate"/>
      </w:r>
      <w:r>
        <w:rPr>
          <w:noProof/>
        </w:rPr>
        <w:t>39</w:t>
      </w:r>
      <w:r>
        <w:rPr>
          <w:noProof/>
        </w:rPr>
        <w:fldChar w:fldCharType="end"/>
      </w:r>
      <w:bookmarkEnd w:id="628"/>
      <w:r>
        <w:rPr>
          <w:noProof/>
        </w:rPr>
        <w:t>: Routes and ship types considered for dry bulk ships</w:t>
      </w:r>
      <w:bookmarkEnd w:id="6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26"/>
        <w:gridCol w:w="1422"/>
        <w:gridCol w:w="1565"/>
        <w:gridCol w:w="1422"/>
        <w:gridCol w:w="1709"/>
        <w:gridCol w:w="1559"/>
      </w:tblGrid>
      <w:tr>
        <w:trPr>
          <w:trHeight w:val="368"/>
          <w:tblHeader/>
        </w:trPr>
        <w:tc>
          <w:tcPr>
            <w:tcW w:w="736"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Origin region</w:t>
            </w:r>
          </w:p>
        </w:tc>
        <w:tc>
          <w:tcPr>
            <w:tcW w:w="790"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Origin port</w:t>
            </w:r>
          </w:p>
        </w:tc>
        <w:tc>
          <w:tcPr>
            <w:tcW w:w="869"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Destination region</w:t>
            </w:r>
          </w:p>
        </w:tc>
        <w:tc>
          <w:tcPr>
            <w:tcW w:w="790"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Destination port</w:t>
            </w:r>
          </w:p>
        </w:tc>
        <w:tc>
          <w:tcPr>
            <w:tcW w:w="949"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Ship size [DWT] - Goods</w:t>
            </w:r>
          </w:p>
        </w:tc>
        <w:tc>
          <w:tcPr>
            <w:tcW w:w="866"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Port of intermediate stop</w:t>
            </w:r>
          </w:p>
        </w:tc>
      </w:tr>
      <w:tr>
        <w:trPr>
          <w:trHeight w:val="170"/>
          <w:tblHeader/>
        </w:trPr>
        <w:tc>
          <w:tcPr>
            <w:tcW w:w="736"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 xml:space="preserve">US </w:t>
            </w:r>
          </w:p>
          <w:p>
            <w:pPr>
              <w:pStyle w:val="Body"/>
              <w:spacing w:after="0"/>
              <w:rPr>
                <w:rFonts w:ascii="Times New Roman" w:hAnsi="Times New Roman"/>
                <w:noProof/>
                <w:sz w:val="18"/>
                <w:szCs w:val="18"/>
              </w:rPr>
            </w:pPr>
            <w:r>
              <w:rPr>
                <w:rFonts w:ascii="Times New Roman" w:hAnsi="Times New Roman"/>
                <w:noProof/>
                <w:sz w:val="18"/>
                <w:szCs w:val="18"/>
              </w:rPr>
              <w:t>East coast</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New Orleans</w:t>
            </w:r>
          </w:p>
        </w:tc>
        <w:tc>
          <w:tcPr>
            <w:tcW w:w="869"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North Europe</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Antwerp Rotterdam</w:t>
            </w:r>
          </w:p>
          <w:p>
            <w:pPr>
              <w:pStyle w:val="Body"/>
              <w:spacing w:after="0"/>
              <w:rPr>
                <w:rFonts w:ascii="Times New Roman" w:hAnsi="Times New Roman"/>
                <w:noProof/>
                <w:sz w:val="18"/>
                <w:szCs w:val="18"/>
              </w:rPr>
            </w:pPr>
            <w:r>
              <w:rPr>
                <w:rFonts w:ascii="Times New Roman" w:hAnsi="Times New Roman"/>
                <w:noProof/>
                <w:sz w:val="18"/>
                <w:szCs w:val="18"/>
              </w:rPr>
              <w:t>Hamburg</w:t>
            </w:r>
          </w:p>
        </w:tc>
        <w:tc>
          <w:tcPr>
            <w:tcW w:w="949" w:type="pct"/>
            <w:shd w:val="clear" w:color="auto" w:fill="FFFFFF" w:themeFill="background1"/>
          </w:tcPr>
          <w:p>
            <w:pPr>
              <w:pStyle w:val="Body"/>
              <w:spacing w:after="0"/>
              <w:jc w:val="center"/>
              <w:rPr>
                <w:rFonts w:ascii="Times New Roman" w:hAnsi="Times New Roman"/>
                <w:noProof/>
                <w:sz w:val="18"/>
                <w:szCs w:val="18"/>
              </w:rPr>
            </w:pPr>
            <w:r>
              <w:rPr>
                <w:rFonts w:ascii="Times New Roman" w:hAnsi="Times New Roman"/>
                <w:noProof/>
                <w:sz w:val="18"/>
                <w:szCs w:val="18"/>
              </w:rPr>
              <w:t>65,000-grain 35,000-grain</w:t>
            </w:r>
          </w:p>
          <w:p>
            <w:pPr>
              <w:pStyle w:val="Body"/>
              <w:spacing w:after="0"/>
              <w:jc w:val="center"/>
              <w:rPr>
                <w:rFonts w:ascii="Times New Roman" w:hAnsi="Times New Roman"/>
                <w:noProof/>
                <w:sz w:val="18"/>
                <w:szCs w:val="18"/>
              </w:rPr>
            </w:pPr>
          </w:p>
        </w:tc>
        <w:tc>
          <w:tcPr>
            <w:tcW w:w="866"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Grimsby (UK)</w:t>
            </w:r>
          </w:p>
        </w:tc>
      </w:tr>
      <w:tr>
        <w:trPr>
          <w:trHeight w:val="170"/>
          <w:tblHeader/>
        </w:trPr>
        <w:tc>
          <w:tcPr>
            <w:tcW w:w="736"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 xml:space="preserve">US </w:t>
            </w:r>
          </w:p>
          <w:p>
            <w:pPr>
              <w:pStyle w:val="Body"/>
              <w:spacing w:after="0"/>
              <w:rPr>
                <w:rFonts w:ascii="Times New Roman" w:hAnsi="Times New Roman"/>
                <w:noProof/>
                <w:sz w:val="18"/>
                <w:szCs w:val="18"/>
              </w:rPr>
            </w:pPr>
            <w:r>
              <w:rPr>
                <w:rFonts w:ascii="Times New Roman" w:hAnsi="Times New Roman"/>
                <w:noProof/>
                <w:sz w:val="18"/>
                <w:szCs w:val="18"/>
              </w:rPr>
              <w:t>East coast</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New Orleans</w:t>
            </w:r>
          </w:p>
        </w:tc>
        <w:tc>
          <w:tcPr>
            <w:tcW w:w="869"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Mediterranean</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Marseille</w:t>
            </w:r>
          </w:p>
          <w:p>
            <w:pPr>
              <w:pStyle w:val="Body"/>
              <w:spacing w:after="0"/>
              <w:rPr>
                <w:rFonts w:ascii="Times New Roman" w:hAnsi="Times New Roman"/>
                <w:noProof/>
                <w:sz w:val="18"/>
                <w:szCs w:val="18"/>
              </w:rPr>
            </w:pPr>
            <w:r>
              <w:rPr>
                <w:rFonts w:ascii="Times New Roman" w:hAnsi="Times New Roman"/>
                <w:noProof/>
                <w:sz w:val="18"/>
                <w:szCs w:val="18"/>
              </w:rPr>
              <w:t>Livorno</w:t>
            </w:r>
          </w:p>
          <w:p>
            <w:pPr>
              <w:pStyle w:val="Body"/>
              <w:spacing w:after="0"/>
              <w:rPr>
                <w:rFonts w:ascii="Times New Roman" w:hAnsi="Times New Roman"/>
                <w:b/>
                <w:noProof/>
                <w:sz w:val="18"/>
                <w:szCs w:val="18"/>
                <w:lang w:eastAsia="en-GB"/>
              </w:rPr>
            </w:pPr>
            <w:r>
              <w:rPr>
                <w:rFonts w:ascii="Times New Roman" w:hAnsi="Times New Roman"/>
                <w:noProof/>
                <w:sz w:val="18"/>
                <w:szCs w:val="18"/>
              </w:rPr>
              <w:t>Naples</w:t>
            </w:r>
          </w:p>
        </w:tc>
        <w:tc>
          <w:tcPr>
            <w:tcW w:w="949"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35,000-grain</w:t>
            </w:r>
          </w:p>
          <w:p>
            <w:pPr>
              <w:pStyle w:val="Body"/>
              <w:spacing w:after="0"/>
              <w:jc w:val="center"/>
              <w:rPr>
                <w:rFonts w:ascii="Times New Roman" w:hAnsi="Times New Roman"/>
                <w:noProof/>
                <w:sz w:val="18"/>
                <w:szCs w:val="18"/>
              </w:rPr>
            </w:pPr>
            <w:r>
              <w:rPr>
                <w:rFonts w:ascii="Times New Roman" w:hAnsi="Times New Roman"/>
                <w:noProof/>
                <w:sz w:val="18"/>
                <w:szCs w:val="18"/>
              </w:rPr>
              <w:t>28,000-grain</w:t>
            </w:r>
          </w:p>
        </w:tc>
        <w:tc>
          <w:tcPr>
            <w:tcW w:w="866"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Oran (Algeria)</w:t>
            </w:r>
          </w:p>
        </w:tc>
      </w:tr>
      <w:tr>
        <w:trPr>
          <w:trHeight w:val="356"/>
          <w:tblHeader/>
        </w:trPr>
        <w:tc>
          <w:tcPr>
            <w:tcW w:w="736"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 xml:space="preserve">US </w:t>
            </w:r>
          </w:p>
          <w:p>
            <w:pPr>
              <w:pStyle w:val="Body"/>
              <w:spacing w:after="0"/>
              <w:rPr>
                <w:rFonts w:ascii="Times New Roman" w:hAnsi="Times New Roman"/>
                <w:noProof/>
                <w:sz w:val="18"/>
                <w:szCs w:val="18"/>
              </w:rPr>
            </w:pPr>
            <w:r>
              <w:rPr>
                <w:rFonts w:ascii="Times New Roman" w:hAnsi="Times New Roman"/>
                <w:noProof/>
                <w:sz w:val="18"/>
                <w:szCs w:val="18"/>
              </w:rPr>
              <w:t>East coast</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New Orleans</w:t>
            </w:r>
          </w:p>
        </w:tc>
        <w:tc>
          <w:tcPr>
            <w:tcW w:w="869" w:type="pct"/>
            <w:shd w:val="clear" w:color="auto" w:fill="FFFFFF" w:themeFill="background1"/>
            <w:hideMark/>
          </w:tcPr>
          <w:p>
            <w:pPr>
              <w:pStyle w:val="Body"/>
              <w:spacing w:after="0"/>
              <w:rPr>
                <w:rFonts w:ascii="Times New Roman" w:hAnsi="Times New Roman"/>
                <w:b/>
                <w:noProof/>
                <w:sz w:val="18"/>
                <w:szCs w:val="18"/>
                <w:lang w:eastAsia="en-GB"/>
              </w:rPr>
            </w:pPr>
            <w:r>
              <w:rPr>
                <w:rFonts w:ascii="Times New Roman" w:hAnsi="Times New Roman"/>
                <w:noProof/>
                <w:sz w:val="18"/>
                <w:szCs w:val="18"/>
              </w:rPr>
              <w:t>Mediterranean</w:t>
            </w:r>
          </w:p>
        </w:tc>
        <w:tc>
          <w:tcPr>
            <w:tcW w:w="79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Taranto</w:t>
            </w:r>
          </w:p>
        </w:tc>
        <w:tc>
          <w:tcPr>
            <w:tcW w:w="949"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70,000-coal</w:t>
            </w:r>
          </w:p>
        </w:tc>
        <w:tc>
          <w:tcPr>
            <w:tcW w:w="866" w:type="pct"/>
            <w:shd w:val="clear" w:color="auto" w:fill="FFFFFF" w:themeFill="background1"/>
            <w:hideMark/>
          </w:tcPr>
          <w:p>
            <w:pPr>
              <w:pStyle w:val="Body"/>
              <w:spacing w:after="0"/>
              <w:jc w:val="left"/>
              <w:rPr>
                <w:rFonts w:ascii="Times New Roman" w:hAnsi="Times New Roman"/>
                <w:b/>
                <w:noProof/>
                <w:sz w:val="18"/>
                <w:szCs w:val="18"/>
                <w:lang w:eastAsia="en-GB"/>
              </w:rPr>
            </w:pPr>
            <w:r>
              <w:rPr>
                <w:rFonts w:ascii="Times New Roman" w:hAnsi="Times New Roman"/>
                <w:noProof/>
                <w:sz w:val="18"/>
                <w:szCs w:val="18"/>
              </w:rPr>
              <w:t>Oran (Algeria)</w:t>
            </w:r>
          </w:p>
        </w:tc>
      </w:tr>
      <w:tr>
        <w:trPr>
          <w:trHeight w:val="170"/>
          <w:tblHeader/>
        </w:trPr>
        <w:tc>
          <w:tcPr>
            <w:tcW w:w="736"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South America</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Santos</w:t>
            </w:r>
          </w:p>
        </w:tc>
        <w:tc>
          <w:tcPr>
            <w:tcW w:w="869"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North Europe</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Antwerp Rotterdam</w:t>
            </w:r>
          </w:p>
          <w:p>
            <w:pPr>
              <w:pStyle w:val="Body"/>
              <w:spacing w:after="0"/>
              <w:rPr>
                <w:rFonts w:ascii="Times New Roman" w:hAnsi="Times New Roman"/>
                <w:noProof/>
                <w:sz w:val="18"/>
                <w:szCs w:val="18"/>
              </w:rPr>
            </w:pPr>
            <w:r>
              <w:rPr>
                <w:rFonts w:ascii="Times New Roman" w:hAnsi="Times New Roman"/>
                <w:noProof/>
                <w:sz w:val="18"/>
                <w:szCs w:val="18"/>
              </w:rPr>
              <w:t>Hamburg</w:t>
            </w:r>
          </w:p>
        </w:tc>
        <w:tc>
          <w:tcPr>
            <w:tcW w:w="949" w:type="pct"/>
            <w:shd w:val="clear" w:color="auto" w:fill="FFFFFF" w:themeFill="background1"/>
          </w:tcPr>
          <w:p>
            <w:pPr>
              <w:pStyle w:val="Body"/>
              <w:spacing w:after="0"/>
              <w:jc w:val="center"/>
              <w:rPr>
                <w:rFonts w:ascii="Times New Roman" w:hAnsi="Times New Roman"/>
                <w:noProof/>
                <w:sz w:val="18"/>
                <w:szCs w:val="18"/>
              </w:rPr>
            </w:pPr>
            <w:r>
              <w:rPr>
                <w:rFonts w:ascii="Times New Roman" w:hAnsi="Times New Roman"/>
                <w:noProof/>
                <w:sz w:val="18"/>
                <w:szCs w:val="18"/>
              </w:rPr>
              <w:t>65,000-grain 35,000-grain</w:t>
            </w:r>
          </w:p>
          <w:p>
            <w:pPr>
              <w:pStyle w:val="Body"/>
              <w:spacing w:after="0"/>
              <w:jc w:val="center"/>
              <w:rPr>
                <w:rFonts w:ascii="Times New Roman" w:hAnsi="Times New Roman"/>
                <w:b/>
                <w:noProof/>
                <w:sz w:val="18"/>
                <w:szCs w:val="18"/>
                <w:lang w:eastAsia="en-GB"/>
              </w:rPr>
            </w:pPr>
          </w:p>
        </w:tc>
        <w:tc>
          <w:tcPr>
            <w:tcW w:w="866" w:type="pct"/>
            <w:shd w:val="clear" w:color="auto" w:fill="FFFFFF" w:themeFill="background1"/>
            <w:hideMark/>
          </w:tcPr>
          <w:p>
            <w:pPr>
              <w:pStyle w:val="Body"/>
              <w:spacing w:after="0"/>
              <w:jc w:val="left"/>
              <w:rPr>
                <w:rFonts w:ascii="Times New Roman" w:hAnsi="Times New Roman"/>
                <w:b/>
                <w:noProof/>
                <w:sz w:val="18"/>
                <w:szCs w:val="18"/>
                <w:lang w:eastAsia="en-GB"/>
              </w:rPr>
            </w:pPr>
            <w:r>
              <w:rPr>
                <w:rFonts w:ascii="Times New Roman" w:hAnsi="Times New Roman"/>
                <w:noProof/>
                <w:sz w:val="18"/>
                <w:szCs w:val="18"/>
              </w:rPr>
              <w:t>Grimsby (UK)</w:t>
            </w:r>
          </w:p>
        </w:tc>
      </w:tr>
      <w:tr>
        <w:trPr>
          <w:trHeight w:val="170"/>
          <w:tblHeader/>
        </w:trPr>
        <w:tc>
          <w:tcPr>
            <w:tcW w:w="736"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South America</w:t>
            </w:r>
          </w:p>
        </w:tc>
        <w:tc>
          <w:tcPr>
            <w:tcW w:w="79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Santos</w:t>
            </w:r>
          </w:p>
        </w:tc>
        <w:tc>
          <w:tcPr>
            <w:tcW w:w="869"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Mediterranean</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Marseille</w:t>
            </w:r>
          </w:p>
          <w:p>
            <w:pPr>
              <w:pStyle w:val="Body"/>
              <w:spacing w:after="0"/>
              <w:rPr>
                <w:rFonts w:ascii="Times New Roman" w:hAnsi="Times New Roman"/>
                <w:noProof/>
                <w:sz w:val="18"/>
                <w:szCs w:val="18"/>
              </w:rPr>
            </w:pPr>
            <w:r>
              <w:rPr>
                <w:rFonts w:ascii="Times New Roman" w:hAnsi="Times New Roman"/>
                <w:noProof/>
                <w:sz w:val="18"/>
                <w:szCs w:val="18"/>
              </w:rPr>
              <w:t>Livorno</w:t>
            </w:r>
          </w:p>
          <w:p>
            <w:pPr>
              <w:pStyle w:val="Body"/>
              <w:spacing w:after="0"/>
              <w:jc w:val="left"/>
              <w:rPr>
                <w:rFonts w:ascii="Times New Roman" w:hAnsi="Times New Roman"/>
                <w:noProof/>
                <w:sz w:val="18"/>
                <w:szCs w:val="18"/>
              </w:rPr>
            </w:pPr>
            <w:r>
              <w:rPr>
                <w:rFonts w:ascii="Times New Roman" w:hAnsi="Times New Roman"/>
                <w:noProof/>
                <w:sz w:val="18"/>
                <w:szCs w:val="18"/>
              </w:rPr>
              <w:t>Naples</w:t>
            </w:r>
          </w:p>
        </w:tc>
        <w:tc>
          <w:tcPr>
            <w:tcW w:w="949"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35,000-grain</w:t>
            </w:r>
          </w:p>
          <w:p>
            <w:pPr>
              <w:pStyle w:val="Body"/>
              <w:spacing w:after="0"/>
              <w:jc w:val="center"/>
              <w:rPr>
                <w:rFonts w:ascii="Times New Roman" w:hAnsi="Times New Roman"/>
                <w:noProof/>
                <w:sz w:val="18"/>
                <w:szCs w:val="18"/>
              </w:rPr>
            </w:pPr>
            <w:r>
              <w:rPr>
                <w:rFonts w:ascii="Times New Roman" w:hAnsi="Times New Roman"/>
                <w:noProof/>
                <w:sz w:val="18"/>
                <w:szCs w:val="18"/>
              </w:rPr>
              <w:t>28,000-grain</w:t>
            </w:r>
          </w:p>
        </w:tc>
        <w:tc>
          <w:tcPr>
            <w:tcW w:w="866"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Oran (Algeria)</w:t>
            </w:r>
          </w:p>
        </w:tc>
      </w:tr>
      <w:tr>
        <w:trPr>
          <w:trHeight w:val="170"/>
          <w:tblHeader/>
        </w:trPr>
        <w:tc>
          <w:tcPr>
            <w:tcW w:w="736"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South America</w:t>
            </w:r>
          </w:p>
        </w:tc>
        <w:tc>
          <w:tcPr>
            <w:tcW w:w="79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Tubarao</w:t>
            </w:r>
          </w:p>
        </w:tc>
        <w:tc>
          <w:tcPr>
            <w:tcW w:w="869"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North Europe</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Rotterdam</w:t>
            </w:r>
          </w:p>
          <w:p>
            <w:pPr>
              <w:pStyle w:val="Body"/>
              <w:spacing w:after="0"/>
              <w:jc w:val="left"/>
              <w:rPr>
                <w:rFonts w:ascii="Times New Roman" w:hAnsi="Times New Roman"/>
                <w:noProof/>
                <w:sz w:val="18"/>
                <w:szCs w:val="18"/>
              </w:rPr>
            </w:pPr>
            <w:r>
              <w:rPr>
                <w:rFonts w:ascii="Times New Roman" w:hAnsi="Times New Roman"/>
                <w:noProof/>
                <w:sz w:val="18"/>
                <w:szCs w:val="18"/>
              </w:rPr>
              <w:t>Hamburg</w:t>
            </w:r>
          </w:p>
        </w:tc>
        <w:tc>
          <w:tcPr>
            <w:tcW w:w="949"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200,000-iron ore</w:t>
            </w:r>
          </w:p>
          <w:p>
            <w:pPr>
              <w:pStyle w:val="Body"/>
              <w:spacing w:after="0"/>
              <w:jc w:val="center"/>
              <w:rPr>
                <w:rFonts w:ascii="Times New Roman" w:hAnsi="Times New Roman"/>
                <w:noProof/>
                <w:sz w:val="18"/>
                <w:szCs w:val="18"/>
              </w:rPr>
            </w:pPr>
            <w:r>
              <w:rPr>
                <w:rFonts w:ascii="Times New Roman" w:hAnsi="Times New Roman"/>
                <w:noProof/>
                <w:sz w:val="18"/>
                <w:szCs w:val="18"/>
              </w:rPr>
              <w:t>300,000-iron ore</w:t>
            </w:r>
          </w:p>
        </w:tc>
        <w:tc>
          <w:tcPr>
            <w:tcW w:w="866"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Grimsby (UK)</w:t>
            </w:r>
          </w:p>
        </w:tc>
      </w:tr>
      <w:tr>
        <w:trPr>
          <w:trHeight w:val="170"/>
          <w:tblHeader/>
        </w:trPr>
        <w:tc>
          <w:tcPr>
            <w:tcW w:w="736"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South America</w:t>
            </w:r>
          </w:p>
        </w:tc>
        <w:tc>
          <w:tcPr>
            <w:tcW w:w="79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Ponta Da Madeira</w:t>
            </w:r>
          </w:p>
        </w:tc>
        <w:tc>
          <w:tcPr>
            <w:tcW w:w="869"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North Europe</w:t>
            </w:r>
          </w:p>
        </w:tc>
        <w:tc>
          <w:tcPr>
            <w:tcW w:w="790"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Rotterdam</w:t>
            </w:r>
          </w:p>
          <w:p>
            <w:pPr>
              <w:pStyle w:val="Body"/>
              <w:spacing w:after="0"/>
              <w:jc w:val="left"/>
              <w:rPr>
                <w:rFonts w:ascii="Times New Roman" w:hAnsi="Times New Roman"/>
                <w:noProof/>
                <w:sz w:val="18"/>
                <w:szCs w:val="18"/>
              </w:rPr>
            </w:pPr>
            <w:r>
              <w:rPr>
                <w:rFonts w:ascii="Times New Roman" w:hAnsi="Times New Roman"/>
                <w:noProof/>
                <w:sz w:val="18"/>
                <w:szCs w:val="18"/>
              </w:rPr>
              <w:t>Hamburg</w:t>
            </w:r>
          </w:p>
        </w:tc>
        <w:tc>
          <w:tcPr>
            <w:tcW w:w="949"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165,000-coal</w:t>
            </w:r>
          </w:p>
        </w:tc>
        <w:tc>
          <w:tcPr>
            <w:tcW w:w="866"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Grimsby (UK)</w:t>
            </w:r>
          </w:p>
        </w:tc>
      </w:tr>
      <w:tr>
        <w:trPr>
          <w:trHeight w:val="170"/>
          <w:tblHeader/>
        </w:trPr>
        <w:tc>
          <w:tcPr>
            <w:tcW w:w="736"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South America</w:t>
            </w:r>
          </w:p>
        </w:tc>
        <w:tc>
          <w:tcPr>
            <w:tcW w:w="79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Ponta Da Madeira</w:t>
            </w:r>
          </w:p>
        </w:tc>
        <w:tc>
          <w:tcPr>
            <w:tcW w:w="869"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Mediterranean</w:t>
            </w:r>
          </w:p>
        </w:tc>
        <w:tc>
          <w:tcPr>
            <w:tcW w:w="790"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Taranto</w:t>
            </w:r>
          </w:p>
        </w:tc>
        <w:tc>
          <w:tcPr>
            <w:tcW w:w="949"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200,000-iron ore</w:t>
            </w:r>
          </w:p>
        </w:tc>
        <w:tc>
          <w:tcPr>
            <w:tcW w:w="866"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Oran (Algeria)</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29" w:name="_Ref63434534"/>
      <w:bookmarkStart w:id="630" w:name="_Toc57796829"/>
      <w:r>
        <w:rPr>
          <w:noProof/>
        </w:rPr>
        <w:t xml:space="preserve">Table </w:t>
      </w:r>
      <w:r>
        <w:rPr>
          <w:noProof/>
        </w:rPr>
        <w:fldChar w:fldCharType="begin"/>
      </w:r>
      <w:r>
        <w:rPr>
          <w:noProof/>
        </w:rPr>
        <w:instrText xml:space="preserve"> SEQ Table \* ARABIC </w:instrText>
      </w:r>
      <w:r>
        <w:rPr>
          <w:noProof/>
        </w:rPr>
        <w:fldChar w:fldCharType="separate"/>
      </w:r>
      <w:r>
        <w:rPr>
          <w:noProof/>
        </w:rPr>
        <w:t>40</w:t>
      </w:r>
      <w:r>
        <w:rPr>
          <w:noProof/>
        </w:rPr>
        <w:fldChar w:fldCharType="end"/>
      </w:r>
      <w:bookmarkEnd w:id="629"/>
      <w:r>
        <w:rPr>
          <w:noProof/>
        </w:rPr>
        <w:t>: Routes and ship types considered for liquid bulk ships</w:t>
      </w:r>
      <w:bookmarkEnd w:id="6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41"/>
        <w:gridCol w:w="1100"/>
        <w:gridCol w:w="1624"/>
        <w:gridCol w:w="1455"/>
        <w:gridCol w:w="1891"/>
        <w:gridCol w:w="1592"/>
      </w:tblGrid>
      <w:tr>
        <w:trPr>
          <w:trHeight w:val="368"/>
          <w:tblHeader/>
        </w:trPr>
        <w:tc>
          <w:tcPr>
            <w:tcW w:w="744"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Origin region</w:t>
            </w:r>
          </w:p>
        </w:tc>
        <w:tc>
          <w:tcPr>
            <w:tcW w:w="611"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Origin port</w:t>
            </w:r>
          </w:p>
        </w:tc>
        <w:tc>
          <w:tcPr>
            <w:tcW w:w="902"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Destination region</w:t>
            </w:r>
          </w:p>
        </w:tc>
        <w:tc>
          <w:tcPr>
            <w:tcW w:w="808"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Destination port</w:t>
            </w:r>
          </w:p>
        </w:tc>
        <w:tc>
          <w:tcPr>
            <w:tcW w:w="1050"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Ship size [DWT] - Goods</w:t>
            </w:r>
          </w:p>
        </w:tc>
        <w:tc>
          <w:tcPr>
            <w:tcW w:w="884" w:type="pct"/>
            <w:shd w:val="clear" w:color="auto" w:fill="FFFFFF" w:themeFill="background1"/>
            <w:vAlign w:val="center"/>
            <w:hideMark/>
          </w:tcPr>
          <w:p>
            <w:pPr>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Port of intermediate stop</w:t>
            </w:r>
          </w:p>
        </w:tc>
      </w:tr>
      <w:tr>
        <w:trPr>
          <w:trHeight w:val="170"/>
        </w:trPr>
        <w:tc>
          <w:tcPr>
            <w:tcW w:w="744"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US Gulf</w:t>
            </w:r>
          </w:p>
        </w:tc>
        <w:tc>
          <w:tcPr>
            <w:tcW w:w="611"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Corpus Christi</w:t>
            </w:r>
          </w:p>
        </w:tc>
        <w:tc>
          <w:tcPr>
            <w:tcW w:w="902"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North Europe</w:t>
            </w:r>
          </w:p>
        </w:tc>
        <w:tc>
          <w:tcPr>
            <w:tcW w:w="808" w:type="pct"/>
            <w:shd w:val="clear" w:color="auto" w:fill="FFFFFF" w:themeFill="background1"/>
            <w:hideMark/>
          </w:tcPr>
          <w:p>
            <w:pPr>
              <w:pStyle w:val="Body"/>
              <w:keepNext/>
              <w:spacing w:after="0"/>
              <w:rPr>
                <w:rFonts w:ascii="Times New Roman" w:hAnsi="Times New Roman"/>
                <w:noProof/>
                <w:sz w:val="18"/>
                <w:szCs w:val="18"/>
              </w:rPr>
            </w:pPr>
            <w:r>
              <w:rPr>
                <w:rFonts w:ascii="Times New Roman" w:hAnsi="Times New Roman"/>
                <w:noProof/>
                <w:sz w:val="18"/>
                <w:szCs w:val="18"/>
              </w:rPr>
              <w:t>Antwerp Rotterdam</w:t>
            </w:r>
          </w:p>
        </w:tc>
        <w:tc>
          <w:tcPr>
            <w:tcW w:w="1050"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70,000-dirty products-crude oil</w:t>
            </w:r>
          </w:p>
          <w:p>
            <w:pPr>
              <w:pStyle w:val="Body"/>
              <w:spacing w:after="0"/>
              <w:jc w:val="center"/>
              <w:rPr>
                <w:rFonts w:ascii="Times New Roman" w:hAnsi="Times New Roman"/>
                <w:noProof/>
                <w:sz w:val="18"/>
                <w:szCs w:val="18"/>
              </w:rPr>
            </w:pPr>
            <w:r>
              <w:rPr>
                <w:rFonts w:ascii="Times New Roman" w:hAnsi="Times New Roman"/>
                <w:noProof/>
                <w:sz w:val="18"/>
                <w:szCs w:val="18"/>
              </w:rPr>
              <w:t>130,000-dirty products</w:t>
            </w:r>
          </w:p>
        </w:tc>
        <w:tc>
          <w:tcPr>
            <w:tcW w:w="884"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Milford Haven (UK)</w:t>
            </w:r>
          </w:p>
        </w:tc>
      </w:tr>
      <w:tr>
        <w:trPr>
          <w:trHeight w:val="170"/>
        </w:trPr>
        <w:tc>
          <w:tcPr>
            <w:tcW w:w="744"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West Africa</w:t>
            </w:r>
          </w:p>
        </w:tc>
        <w:tc>
          <w:tcPr>
            <w:tcW w:w="611"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Lagos</w:t>
            </w:r>
          </w:p>
        </w:tc>
        <w:tc>
          <w:tcPr>
            <w:tcW w:w="902"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North Europe</w:t>
            </w:r>
          </w:p>
        </w:tc>
        <w:tc>
          <w:tcPr>
            <w:tcW w:w="808" w:type="pct"/>
            <w:shd w:val="clear" w:color="auto" w:fill="FFFFFF" w:themeFill="background1"/>
            <w:hideMark/>
          </w:tcPr>
          <w:p>
            <w:pPr>
              <w:pStyle w:val="Body"/>
              <w:spacing w:after="0"/>
              <w:rPr>
                <w:rFonts w:ascii="Times New Roman" w:hAnsi="Times New Roman"/>
                <w:b/>
                <w:noProof/>
                <w:sz w:val="18"/>
                <w:szCs w:val="18"/>
                <w:lang w:eastAsia="en-GB"/>
              </w:rPr>
            </w:pPr>
            <w:r>
              <w:rPr>
                <w:rFonts w:ascii="Times New Roman" w:hAnsi="Times New Roman"/>
                <w:noProof/>
                <w:sz w:val="18"/>
                <w:szCs w:val="18"/>
              </w:rPr>
              <w:t>Antwerp Rotterdam</w:t>
            </w:r>
          </w:p>
        </w:tc>
        <w:tc>
          <w:tcPr>
            <w:tcW w:w="1050"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135,000-dirty products</w:t>
            </w:r>
          </w:p>
        </w:tc>
        <w:tc>
          <w:tcPr>
            <w:tcW w:w="884" w:type="pct"/>
            <w:shd w:val="clear" w:color="auto" w:fill="FFFFFF" w:themeFill="background1"/>
            <w:hideMark/>
          </w:tcPr>
          <w:p>
            <w:pPr>
              <w:pStyle w:val="Body"/>
              <w:spacing w:after="0"/>
              <w:jc w:val="left"/>
              <w:rPr>
                <w:rFonts w:ascii="Times New Roman" w:hAnsi="Times New Roman"/>
                <w:noProof/>
                <w:sz w:val="18"/>
                <w:szCs w:val="18"/>
                <w:lang w:val="it-IT"/>
              </w:rPr>
            </w:pPr>
            <w:r>
              <w:rPr>
                <w:rFonts w:ascii="Times New Roman" w:hAnsi="Times New Roman"/>
                <w:noProof/>
                <w:sz w:val="18"/>
                <w:szCs w:val="18"/>
                <w:lang w:val="it-IT"/>
              </w:rPr>
              <w:t>Jorf-Lasfar (Morocco)</w:t>
            </w:r>
          </w:p>
          <w:p>
            <w:pPr>
              <w:pStyle w:val="Body"/>
              <w:spacing w:after="0"/>
              <w:jc w:val="left"/>
              <w:rPr>
                <w:rFonts w:ascii="Times New Roman" w:hAnsi="Times New Roman"/>
                <w:noProof/>
                <w:sz w:val="18"/>
                <w:szCs w:val="18"/>
                <w:lang w:val="it-IT"/>
              </w:rPr>
            </w:pPr>
            <w:r>
              <w:rPr>
                <w:rFonts w:ascii="Times New Roman" w:hAnsi="Times New Roman"/>
                <w:noProof/>
                <w:sz w:val="18"/>
                <w:szCs w:val="18"/>
                <w:lang w:val="it-IT"/>
              </w:rPr>
              <w:t>Medway (UK)</w:t>
            </w:r>
          </w:p>
        </w:tc>
      </w:tr>
      <w:tr>
        <w:trPr>
          <w:trHeight w:val="356"/>
        </w:trPr>
        <w:tc>
          <w:tcPr>
            <w:tcW w:w="744" w:type="pct"/>
            <w:shd w:val="clear" w:color="auto" w:fill="FFFFFF" w:themeFill="background1"/>
            <w:noWrap/>
            <w:hideMark/>
          </w:tcPr>
          <w:p>
            <w:pPr>
              <w:pStyle w:val="Body"/>
              <w:spacing w:after="0"/>
              <w:rPr>
                <w:rFonts w:ascii="Times New Roman" w:hAnsi="Times New Roman"/>
                <w:noProof/>
                <w:sz w:val="18"/>
                <w:szCs w:val="18"/>
              </w:rPr>
            </w:pPr>
            <w:r>
              <w:rPr>
                <w:rFonts w:ascii="Times New Roman" w:hAnsi="Times New Roman"/>
                <w:noProof/>
                <w:sz w:val="18"/>
                <w:szCs w:val="18"/>
              </w:rPr>
              <w:t>Arabian Gulf</w:t>
            </w:r>
          </w:p>
        </w:tc>
        <w:tc>
          <w:tcPr>
            <w:tcW w:w="611"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Ju’aymah</w:t>
            </w:r>
          </w:p>
        </w:tc>
        <w:tc>
          <w:tcPr>
            <w:tcW w:w="902" w:type="pct"/>
            <w:shd w:val="clear" w:color="auto" w:fill="FFFFFF" w:themeFill="background1"/>
            <w:hideMark/>
          </w:tcPr>
          <w:p>
            <w:pPr>
              <w:pStyle w:val="Body"/>
              <w:spacing w:after="0"/>
              <w:rPr>
                <w:rFonts w:ascii="Times New Roman" w:hAnsi="Times New Roman"/>
                <w:b/>
                <w:noProof/>
                <w:sz w:val="18"/>
                <w:szCs w:val="18"/>
                <w:lang w:eastAsia="en-GB"/>
              </w:rPr>
            </w:pPr>
            <w:r>
              <w:rPr>
                <w:rFonts w:ascii="Times New Roman" w:hAnsi="Times New Roman"/>
                <w:noProof/>
                <w:sz w:val="18"/>
                <w:szCs w:val="18"/>
              </w:rPr>
              <w:t>North Europe</w:t>
            </w:r>
          </w:p>
        </w:tc>
        <w:tc>
          <w:tcPr>
            <w:tcW w:w="808"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Antwerp Rotterdam</w:t>
            </w:r>
          </w:p>
        </w:tc>
        <w:tc>
          <w:tcPr>
            <w:tcW w:w="1050"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90,000-clean products</w:t>
            </w:r>
          </w:p>
        </w:tc>
        <w:tc>
          <w:tcPr>
            <w:tcW w:w="884" w:type="pct"/>
            <w:shd w:val="clear" w:color="auto" w:fill="FFFFFF" w:themeFill="background1"/>
            <w:hideMark/>
          </w:tcPr>
          <w:p>
            <w:pPr>
              <w:pStyle w:val="Body"/>
              <w:spacing w:after="0"/>
              <w:jc w:val="left"/>
              <w:rPr>
                <w:rFonts w:ascii="Times New Roman" w:hAnsi="Times New Roman"/>
                <w:noProof/>
                <w:sz w:val="18"/>
                <w:szCs w:val="18"/>
                <w:lang w:val="da-DK" w:eastAsia="en-GB"/>
              </w:rPr>
            </w:pPr>
            <w:r>
              <w:rPr>
                <w:rFonts w:ascii="Times New Roman" w:hAnsi="Times New Roman"/>
                <w:noProof/>
                <w:sz w:val="18"/>
                <w:szCs w:val="18"/>
                <w:lang w:val="da-DK" w:eastAsia="en-GB"/>
              </w:rPr>
              <w:t>Alexandria (Egypt)</w:t>
            </w:r>
          </w:p>
          <w:p>
            <w:pPr>
              <w:pStyle w:val="Body"/>
              <w:spacing w:after="0"/>
              <w:jc w:val="left"/>
              <w:rPr>
                <w:rFonts w:ascii="Times New Roman" w:hAnsi="Times New Roman"/>
                <w:b/>
                <w:noProof/>
                <w:sz w:val="18"/>
                <w:szCs w:val="18"/>
                <w:lang w:val="da-DK" w:eastAsia="en-GB"/>
              </w:rPr>
            </w:pPr>
            <w:r>
              <w:rPr>
                <w:rFonts w:ascii="Times New Roman" w:hAnsi="Times New Roman"/>
                <w:noProof/>
                <w:sz w:val="18"/>
                <w:szCs w:val="18"/>
                <w:lang w:val="da-DK"/>
              </w:rPr>
              <w:t>Milford Haven (UK)</w:t>
            </w:r>
          </w:p>
        </w:tc>
      </w:tr>
      <w:tr>
        <w:trPr>
          <w:trHeight w:val="170"/>
        </w:trPr>
        <w:tc>
          <w:tcPr>
            <w:tcW w:w="744"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North Africa</w:t>
            </w:r>
          </w:p>
        </w:tc>
        <w:tc>
          <w:tcPr>
            <w:tcW w:w="611"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Arzew</w:t>
            </w:r>
          </w:p>
        </w:tc>
        <w:tc>
          <w:tcPr>
            <w:tcW w:w="902"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North Europe</w:t>
            </w:r>
          </w:p>
        </w:tc>
        <w:tc>
          <w:tcPr>
            <w:tcW w:w="808" w:type="pct"/>
            <w:shd w:val="clear" w:color="auto" w:fill="FFFFFF" w:themeFill="background1"/>
            <w:hideMark/>
          </w:tcPr>
          <w:p>
            <w:pPr>
              <w:pStyle w:val="Body"/>
              <w:spacing w:after="0"/>
              <w:rPr>
                <w:rFonts w:ascii="Times New Roman" w:hAnsi="Times New Roman"/>
                <w:noProof/>
                <w:sz w:val="18"/>
                <w:szCs w:val="18"/>
              </w:rPr>
            </w:pPr>
            <w:r>
              <w:rPr>
                <w:rFonts w:ascii="Times New Roman" w:hAnsi="Times New Roman"/>
                <w:noProof/>
                <w:sz w:val="18"/>
                <w:szCs w:val="18"/>
              </w:rPr>
              <w:t>Antwerp Rotterdam</w:t>
            </w:r>
          </w:p>
        </w:tc>
        <w:tc>
          <w:tcPr>
            <w:tcW w:w="1050" w:type="pct"/>
            <w:shd w:val="clear" w:color="auto" w:fill="FFFFFF" w:themeFill="background1"/>
            <w:hideMark/>
          </w:tcPr>
          <w:p>
            <w:pPr>
              <w:pStyle w:val="Body"/>
              <w:spacing w:after="0"/>
              <w:jc w:val="center"/>
              <w:rPr>
                <w:rFonts w:ascii="Times New Roman" w:hAnsi="Times New Roman"/>
                <w:b/>
                <w:noProof/>
                <w:sz w:val="18"/>
                <w:szCs w:val="18"/>
                <w:lang w:eastAsia="en-GB"/>
              </w:rPr>
            </w:pPr>
            <w:r>
              <w:rPr>
                <w:rFonts w:ascii="Times New Roman" w:hAnsi="Times New Roman"/>
                <w:noProof/>
                <w:sz w:val="18"/>
                <w:szCs w:val="18"/>
              </w:rPr>
              <w:t>80,000</w:t>
            </w:r>
          </w:p>
        </w:tc>
        <w:tc>
          <w:tcPr>
            <w:tcW w:w="884" w:type="pct"/>
            <w:shd w:val="clear" w:color="auto" w:fill="FFFFFF" w:themeFill="background1"/>
            <w:hideMark/>
          </w:tcPr>
          <w:p>
            <w:pPr>
              <w:pStyle w:val="Body"/>
              <w:spacing w:after="0"/>
              <w:jc w:val="left"/>
              <w:rPr>
                <w:rFonts w:ascii="Times New Roman" w:hAnsi="Times New Roman"/>
                <w:b/>
                <w:noProof/>
                <w:sz w:val="18"/>
                <w:szCs w:val="18"/>
                <w:lang w:eastAsia="en-GB"/>
              </w:rPr>
            </w:pPr>
            <w:r>
              <w:rPr>
                <w:rFonts w:ascii="Times New Roman" w:hAnsi="Times New Roman"/>
                <w:noProof/>
                <w:sz w:val="18"/>
                <w:szCs w:val="18"/>
              </w:rPr>
              <w:t>Medway (UK)</w:t>
            </w:r>
          </w:p>
        </w:tc>
      </w:tr>
      <w:tr>
        <w:trPr>
          <w:trHeight w:val="170"/>
        </w:trPr>
        <w:tc>
          <w:tcPr>
            <w:tcW w:w="744"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US Gulf</w:t>
            </w:r>
          </w:p>
        </w:tc>
        <w:tc>
          <w:tcPr>
            <w:tcW w:w="611"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Corpus Christi</w:t>
            </w:r>
          </w:p>
        </w:tc>
        <w:tc>
          <w:tcPr>
            <w:tcW w:w="902"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Mediterranean</w:t>
            </w:r>
          </w:p>
        </w:tc>
        <w:tc>
          <w:tcPr>
            <w:tcW w:w="808"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Augusta</w:t>
            </w:r>
          </w:p>
          <w:p>
            <w:pPr>
              <w:pStyle w:val="Body"/>
              <w:spacing w:after="0"/>
              <w:jc w:val="left"/>
              <w:rPr>
                <w:rFonts w:ascii="Times New Roman" w:hAnsi="Times New Roman"/>
                <w:noProof/>
                <w:sz w:val="18"/>
                <w:szCs w:val="18"/>
              </w:rPr>
            </w:pPr>
            <w:r>
              <w:rPr>
                <w:rFonts w:ascii="Times New Roman" w:hAnsi="Times New Roman"/>
                <w:noProof/>
                <w:sz w:val="18"/>
                <w:szCs w:val="18"/>
              </w:rPr>
              <w:t xml:space="preserve">Cartagena </w:t>
            </w:r>
          </w:p>
          <w:p>
            <w:pPr>
              <w:pStyle w:val="Body"/>
              <w:spacing w:after="0"/>
              <w:jc w:val="left"/>
              <w:rPr>
                <w:rFonts w:ascii="Times New Roman" w:hAnsi="Times New Roman"/>
                <w:noProof/>
                <w:sz w:val="18"/>
                <w:szCs w:val="18"/>
              </w:rPr>
            </w:pPr>
            <w:r>
              <w:rPr>
                <w:rFonts w:ascii="Times New Roman" w:hAnsi="Times New Roman"/>
                <w:noProof/>
                <w:sz w:val="18"/>
                <w:szCs w:val="18"/>
              </w:rPr>
              <w:t>Agioi Theodoroi</w:t>
            </w:r>
          </w:p>
        </w:tc>
        <w:tc>
          <w:tcPr>
            <w:tcW w:w="1050"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70,000-dirty products-crude oil</w:t>
            </w:r>
          </w:p>
          <w:p>
            <w:pPr>
              <w:pStyle w:val="Body"/>
              <w:spacing w:after="0"/>
              <w:jc w:val="center"/>
              <w:rPr>
                <w:rFonts w:ascii="Times New Roman" w:hAnsi="Times New Roman"/>
                <w:noProof/>
                <w:sz w:val="18"/>
                <w:szCs w:val="18"/>
              </w:rPr>
            </w:pPr>
            <w:r>
              <w:rPr>
                <w:rFonts w:ascii="Times New Roman" w:hAnsi="Times New Roman"/>
                <w:noProof/>
                <w:sz w:val="18"/>
                <w:szCs w:val="18"/>
              </w:rPr>
              <w:t>130,000-dirty products</w:t>
            </w:r>
          </w:p>
        </w:tc>
        <w:tc>
          <w:tcPr>
            <w:tcW w:w="884" w:type="pct"/>
            <w:shd w:val="clear" w:color="auto" w:fill="FFFFFF" w:themeFill="background1"/>
          </w:tcPr>
          <w:p>
            <w:pPr>
              <w:pStyle w:val="Body"/>
              <w:spacing w:after="0"/>
              <w:jc w:val="left"/>
              <w:rPr>
                <w:rFonts w:ascii="Times New Roman" w:hAnsi="Times New Roman"/>
                <w:noProof/>
                <w:sz w:val="18"/>
                <w:szCs w:val="18"/>
              </w:rPr>
            </w:pPr>
            <w:r>
              <w:rPr>
                <w:rFonts w:ascii="Times New Roman" w:hAnsi="Times New Roman"/>
                <w:noProof/>
                <w:sz w:val="18"/>
                <w:szCs w:val="18"/>
              </w:rPr>
              <w:t>Jorf-Lasfar (Morocco)</w:t>
            </w:r>
          </w:p>
          <w:p>
            <w:pPr>
              <w:pStyle w:val="Body"/>
              <w:spacing w:after="0"/>
              <w:jc w:val="left"/>
              <w:rPr>
                <w:rFonts w:ascii="Times New Roman" w:hAnsi="Times New Roman"/>
                <w:noProof/>
                <w:sz w:val="18"/>
                <w:szCs w:val="18"/>
              </w:rPr>
            </w:pPr>
          </w:p>
        </w:tc>
      </w:tr>
      <w:tr>
        <w:trPr>
          <w:trHeight w:val="170"/>
        </w:trPr>
        <w:tc>
          <w:tcPr>
            <w:tcW w:w="744"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West Africa</w:t>
            </w:r>
          </w:p>
        </w:tc>
        <w:tc>
          <w:tcPr>
            <w:tcW w:w="611"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Lagos</w:t>
            </w:r>
          </w:p>
        </w:tc>
        <w:tc>
          <w:tcPr>
            <w:tcW w:w="902"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Mediterranean</w:t>
            </w:r>
          </w:p>
        </w:tc>
        <w:tc>
          <w:tcPr>
            <w:tcW w:w="808"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Savona</w:t>
            </w:r>
          </w:p>
          <w:p>
            <w:pPr>
              <w:pStyle w:val="Body"/>
              <w:spacing w:after="0"/>
              <w:jc w:val="left"/>
              <w:rPr>
                <w:rFonts w:ascii="Times New Roman" w:hAnsi="Times New Roman"/>
                <w:noProof/>
                <w:sz w:val="18"/>
                <w:szCs w:val="18"/>
              </w:rPr>
            </w:pPr>
            <w:r>
              <w:rPr>
                <w:rFonts w:ascii="Times New Roman" w:hAnsi="Times New Roman"/>
                <w:noProof/>
                <w:sz w:val="18"/>
                <w:szCs w:val="18"/>
              </w:rPr>
              <w:t xml:space="preserve">Cartagena </w:t>
            </w:r>
          </w:p>
          <w:p>
            <w:pPr>
              <w:pStyle w:val="Body"/>
              <w:spacing w:after="0"/>
              <w:jc w:val="left"/>
              <w:rPr>
                <w:rFonts w:ascii="Times New Roman" w:hAnsi="Times New Roman"/>
                <w:noProof/>
                <w:sz w:val="18"/>
                <w:szCs w:val="18"/>
              </w:rPr>
            </w:pPr>
            <w:r>
              <w:rPr>
                <w:rFonts w:ascii="Times New Roman" w:hAnsi="Times New Roman"/>
                <w:noProof/>
                <w:sz w:val="18"/>
                <w:szCs w:val="18"/>
              </w:rPr>
              <w:t>Leixoes</w:t>
            </w:r>
          </w:p>
        </w:tc>
        <w:tc>
          <w:tcPr>
            <w:tcW w:w="1050"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130,000-dirty products</w:t>
            </w:r>
          </w:p>
        </w:tc>
        <w:tc>
          <w:tcPr>
            <w:tcW w:w="884" w:type="pct"/>
            <w:shd w:val="clear" w:color="auto" w:fill="FFFFFF" w:themeFill="background1"/>
          </w:tcPr>
          <w:p>
            <w:pPr>
              <w:pStyle w:val="Body"/>
              <w:spacing w:after="0"/>
              <w:jc w:val="left"/>
              <w:rPr>
                <w:rFonts w:ascii="Times New Roman" w:hAnsi="Times New Roman"/>
                <w:noProof/>
                <w:sz w:val="18"/>
                <w:szCs w:val="18"/>
              </w:rPr>
            </w:pPr>
            <w:r>
              <w:rPr>
                <w:rFonts w:ascii="Times New Roman" w:hAnsi="Times New Roman"/>
                <w:noProof/>
                <w:sz w:val="18"/>
                <w:szCs w:val="18"/>
              </w:rPr>
              <w:t>Jorf-Lasfar (Morocco)</w:t>
            </w:r>
          </w:p>
          <w:p>
            <w:pPr>
              <w:pStyle w:val="Body"/>
              <w:spacing w:after="0"/>
              <w:jc w:val="left"/>
              <w:rPr>
                <w:rFonts w:ascii="Times New Roman" w:hAnsi="Times New Roman"/>
                <w:noProof/>
                <w:sz w:val="18"/>
                <w:szCs w:val="18"/>
              </w:rPr>
            </w:pPr>
          </w:p>
        </w:tc>
      </w:tr>
      <w:tr>
        <w:trPr>
          <w:trHeight w:val="170"/>
        </w:trPr>
        <w:tc>
          <w:tcPr>
            <w:tcW w:w="744" w:type="pct"/>
            <w:shd w:val="clear" w:color="auto" w:fill="FFFFFF" w:themeFill="background1"/>
            <w:noWrap/>
            <w:hideMark/>
          </w:tcPr>
          <w:p>
            <w:pPr>
              <w:pStyle w:val="Body"/>
              <w:spacing w:after="0"/>
              <w:jc w:val="left"/>
              <w:rPr>
                <w:rFonts w:ascii="Times New Roman" w:hAnsi="Times New Roman"/>
                <w:noProof/>
                <w:sz w:val="18"/>
                <w:szCs w:val="18"/>
              </w:rPr>
            </w:pPr>
            <w:r>
              <w:rPr>
                <w:rFonts w:ascii="Times New Roman" w:hAnsi="Times New Roman"/>
                <w:noProof/>
                <w:sz w:val="18"/>
                <w:szCs w:val="18"/>
              </w:rPr>
              <w:t>Arabian Gulf</w:t>
            </w:r>
          </w:p>
        </w:tc>
        <w:tc>
          <w:tcPr>
            <w:tcW w:w="611"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Ju’aymah</w:t>
            </w:r>
          </w:p>
        </w:tc>
        <w:tc>
          <w:tcPr>
            <w:tcW w:w="902"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Mediterranean</w:t>
            </w:r>
          </w:p>
        </w:tc>
        <w:tc>
          <w:tcPr>
            <w:tcW w:w="808" w:type="pct"/>
            <w:shd w:val="clear" w:color="auto" w:fill="FFFFFF" w:themeFill="background1"/>
            <w:hideMark/>
          </w:tcPr>
          <w:p>
            <w:pPr>
              <w:pStyle w:val="Body"/>
              <w:spacing w:after="0"/>
              <w:jc w:val="left"/>
              <w:rPr>
                <w:rFonts w:ascii="Times New Roman" w:hAnsi="Times New Roman"/>
                <w:noProof/>
                <w:sz w:val="18"/>
                <w:szCs w:val="18"/>
              </w:rPr>
            </w:pPr>
            <w:r>
              <w:rPr>
                <w:rFonts w:ascii="Times New Roman" w:hAnsi="Times New Roman"/>
                <w:noProof/>
                <w:sz w:val="18"/>
                <w:szCs w:val="18"/>
              </w:rPr>
              <w:t>Savona</w:t>
            </w:r>
          </w:p>
          <w:p>
            <w:pPr>
              <w:pStyle w:val="Body"/>
              <w:spacing w:after="0"/>
              <w:jc w:val="left"/>
              <w:rPr>
                <w:rFonts w:ascii="Times New Roman" w:hAnsi="Times New Roman"/>
                <w:noProof/>
                <w:sz w:val="18"/>
                <w:szCs w:val="18"/>
              </w:rPr>
            </w:pPr>
            <w:r>
              <w:rPr>
                <w:rFonts w:ascii="Times New Roman" w:hAnsi="Times New Roman"/>
                <w:noProof/>
                <w:sz w:val="18"/>
                <w:szCs w:val="18"/>
              </w:rPr>
              <w:t xml:space="preserve">Cartagena </w:t>
            </w:r>
          </w:p>
          <w:p>
            <w:pPr>
              <w:pStyle w:val="Body"/>
              <w:spacing w:after="0"/>
              <w:jc w:val="left"/>
              <w:rPr>
                <w:rFonts w:ascii="Times New Roman" w:hAnsi="Times New Roman"/>
                <w:noProof/>
                <w:sz w:val="18"/>
                <w:szCs w:val="18"/>
              </w:rPr>
            </w:pPr>
            <w:r>
              <w:rPr>
                <w:rFonts w:ascii="Times New Roman" w:hAnsi="Times New Roman"/>
                <w:noProof/>
                <w:sz w:val="18"/>
                <w:szCs w:val="18"/>
              </w:rPr>
              <w:t>Leixoes</w:t>
            </w:r>
          </w:p>
        </w:tc>
        <w:tc>
          <w:tcPr>
            <w:tcW w:w="1050" w:type="pct"/>
            <w:shd w:val="clear" w:color="auto" w:fill="FFFFFF" w:themeFill="background1"/>
            <w:hideMark/>
          </w:tcPr>
          <w:p>
            <w:pPr>
              <w:pStyle w:val="Body"/>
              <w:spacing w:after="0"/>
              <w:jc w:val="center"/>
              <w:rPr>
                <w:rFonts w:ascii="Times New Roman" w:hAnsi="Times New Roman"/>
                <w:noProof/>
                <w:sz w:val="18"/>
                <w:szCs w:val="18"/>
              </w:rPr>
            </w:pPr>
            <w:r>
              <w:rPr>
                <w:rFonts w:ascii="Times New Roman" w:hAnsi="Times New Roman"/>
                <w:noProof/>
                <w:sz w:val="18"/>
                <w:szCs w:val="18"/>
              </w:rPr>
              <w:t>90,000-clean products</w:t>
            </w:r>
          </w:p>
        </w:tc>
        <w:tc>
          <w:tcPr>
            <w:tcW w:w="884" w:type="pct"/>
            <w:shd w:val="clear" w:color="auto" w:fill="FFFFFF" w:themeFill="background1"/>
            <w:hideMark/>
          </w:tcPr>
          <w:p>
            <w:pPr>
              <w:pStyle w:val="Body"/>
              <w:spacing w:after="0"/>
              <w:jc w:val="left"/>
              <w:rPr>
                <w:rFonts w:ascii="Times New Roman" w:hAnsi="Times New Roman"/>
                <w:noProof/>
                <w:sz w:val="18"/>
                <w:szCs w:val="18"/>
                <w:lang w:eastAsia="en-GB"/>
              </w:rPr>
            </w:pPr>
            <w:r>
              <w:rPr>
                <w:rFonts w:ascii="Times New Roman" w:hAnsi="Times New Roman"/>
                <w:noProof/>
                <w:sz w:val="18"/>
                <w:szCs w:val="18"/>
                <w:lang w:eastAsia="en-GB"/>
              </w:rPr>
              <w:t>Alexandria (Egypt)</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rPr>
          <w:rFonts w:ascii="Times New Roman" w:hAnsi="Times New Roman"/>
          <w:b/>
          <w:i/>
          <w:noProof/>
          <w:sz w:val="24"/>
          <w:szCs w:val="24"/>
        </w:rPr>
      </w:pPr>
      <w:bookmarkStart w:id="631" w:name="_Toc57796797"/>
      <w:r>
        <w:rPr>
          <w:rFonts w:ascii="Times New Roman" w:hAnsi="Times New Roman"/>
          <w:b/>
          <w:i/>
          <w:noProof/>
          <w:sz w:val="24"/>
          <w:szCs w:val="24"/>
        </w:rPr>
        <w:t>Underlying assumptions</w:t>
      </w:r>
      <w:bookmarkEnd w:id="631"/>
    </w:p>
    <w:p>
      <w:pPr>
        <w:pStyle w:val="Body"/>
        <w:spacing w:after="120"/>
        <w:rPr>
          <w:rFonts w:ascii="Times New Roman" w:hAnsi="Times New Roman"/>
          <w:noProof/>
          <w:sz w:val="24"/>
          <w:szCs w:val="24"/>
        </w:rPr>
      </w:pPr>
      <w:r>
        <w:rPr>
          <w:rFonts w:ascii="Times New Roman" w:hAnsi="Times New Roman"/>
          <w:noProof/>
          <w:sz w:val="24"/>
          <w:szCs w:val="24"/>
        </w:rPr>
        <w:t>The approach described above implies the following underlying assumptions:</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 xml:space="preserve">The analysis considers ‘ship’ costs and not ‘cargo’ costs (i.e. cargo handling costs are not considered); </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The analysis considers (i) the existing costs for ports and charter rates, which are assumed to be kept constant over time in real terms, and (ii) assumptions on maritime gas oil fuel costs for 2030 for both conventional and blended fuel as estimated by PRIMES model.</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Consistently with PRIMES projections, fuel efficiency is the same in the case of blended maritime gas oil and conventional maritime gas oil.</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The ‘value of time’ for ports’ operation and waiting times is derived from ships’ time charter rate.</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Ports’ costs used in the analysis are average values of the TRUST model and are not representative of specific cases (i.e. port / ship size / cargo).</w:t>
      </w:r>
    </w:p>
    <w:p>
      <w:pPr>
        <w:pStyle w:val="Bulletpoint1"/>
        <w:numPr>
          <w:ilvl w:val="0"/>
          <w:numId w:val="21"/>
        </w:numPr>
        <w:rPr>
          <w:rFonts w:ascii="Times New Roman" w:hAnsi="Times New Roman" w:cs="Times New Roman"/>
          <w:noProof/>
          <w:sz w:val="24"/>
          <w:szCs w:val="24"/>
        </w:rPr>
      </w:pPr>
      <w:r>
        <w:rPr>
          <w:rFonts w:ascii="Times New Roman" w:hAnsi="Times New Roman" w:cs="Times New Roman"/>
          <w:noProof/>
          <w:sz w:val="24"/>
          <w:szCs w:val="24"/>
        </w:rPr>
        <w:t>In case of re-routing to reduce the amount of traffic that falls in scope of the initiative, the cargo continues to be carried on the same vessel (and not distributed to smaller vessels at intermediate port) and the port of destination is preserved (i.e. the cargo is not delivered to multiple EU/EEA ports instead).</w:t>
      </w:r>
    </w:p>
    <w:p>
      <w:pPr>
        <w:pStyle w:val="Bulletpoint1"/>
        <w:numPr>
          <w:ilvl w:val="0"/>
          <w:numId w:val="0"/>
        </w:numPr>
        <w:rPr>
          <w:noProof/>
        </w:rPr>
      </w:pPr>
    </w:p>
    <w:p>
      <w:pPr>
        <w:pStyle w:val="Body"/>
        <w:spacing w:after="120"/>
        <w:rPr>
          <w:rFonts w:ascii="Times New Roman" w:hAnsi="Times New Roman"/>
          <w:noProof/>
          <w:sz w:val="24"/>
          <w:szCs w:val="24"/>
        </w:rPr>
      </w:pPr>
      <w:r>
        <w:rPr>
          <w:rFonts w:ascii="Times New Roman" w:hAnsi="Times New Roman"/>
          <w:i/>
          <w:noProof/>
          <w:sz w:val="24"/>
          <w:szCs w:val="24"/>
        </w:rPr>
        <w:t xml:space="preserve">Speed: </w:t>
      </w:r>
      <w:r>
        <w:rPr>
          <w:rFonts w:ascii="Times New Roman" w:hAnsi="Times New Roman"/>
          <w:noProof/>
          <w:sz w:val="24"/>
          <w:szCs w:val="24"/>
        </w:rPr>
        <w:t xml:space="preserve">The following speeds have been considered for the different ship types: </w:t>
      </w:r>
      <w:r>
        <w:rPr>
          <w:rFonts w:ascii="Times New Roman" w:hAnsi="Times New Roman"/>
          <w:bCs/>
          <w:noProof/>
          <w:sz w:val="24"/>
          <w:szCs w:val="24"/>
        </w:rPr>
        <w:t>containers - 14 knots; dry bulkers and tankers - 11 knots</w:t>
      </w:r>
      <w:r>
        <w:rPr>
          <w:rFonts w:ascii="Times New Roman" w:hAnsi="Times New Roman"/>
          <w:noProof/>
          <w:sz w:val="24"/>
          <w:szCs w:val="24"/>
        </w:rPr>
        <w:t>. These speeds are in line with those indicated in the 2019 Annual Report on CO</w:t>
      </w:r>
      <w:r>
        <w:rPr>
          <w:rFonts w:ascii="Times New Roman" w:hAnsi="Times New Roman"/>
          <w:noProof/>
          <w:sz w:val="24"/>
          <w:szCs w:val="24"/>
          <w:vertAlign w:val="subscript"/>
        </w:rPr>
        <w:t>2</w:t>
      </w:r>
      <w:r>
        <w:rPr>
          <w:rFonts w:ascii="Times New Roman" w:hAnsi="Times New Roman"/>
          <w:noProof/>
          <w:sz w:val="24"/>
          <w:szCs w:val="24"/>
        </w:rPr>
        <w:t xml:space="preserve"> Emissions from Maritime Transport</w:t>
      </w:r>
      <w:r>
        <w:rPr>
          <w:rStyle w:val="FootnoteReference"/>
          <w:rFonts w:ascii="Times New Roman" w:hAnsi="Times New Roman"/>
          <w:noProof/>
          <w:sz w:val="24"/>
          <w:szCs w:val="24"/>
        </w:rPr>
        <w:footnoteReference w:id="215"/>
      </w:r>
      <w:r>
        <w:rPr>
          <w:rFonts w:ascii="Times New Roman" w:hAnsi="Times New Roman"/>
          <w:noProof/>
          <w:sz w:val="24"/>
          <w:szCs w:val="24"/>
        </w:rPr>
        <w:t xml:space="preserve"> for the above mentioned ship types.</w:t>
      </w:r>
    </w:p>
    <w:p>
      <w:pPr>
        <w:pStyle w:val="Body"/>
        <w:spacing w:after="120"/>
        <w:rPr>
          <w:rFonts w:ascii="Times New Roman" w:hAnsi="Times New Roman"/>
          <w:noProof/>
          <w:sz w:val="24"/>
          <w:szCs w:val="24"/>
        </w:rPr>
      </w:pPr>
      <w:r>
        <w:rPr>
          <w:rFonts w:ascii="Times New Roman" w:hAnsi="Times New Roman"/>
          <w:i/>
          <w:noProof/>
          <w:sz w:val="24"/>
          <w:szCs w:val="24"/>
        </w:rPr>
        <w:t xml:space="preserve">Time at ports: </w:t>
      </w:r>
      <w:r>
        <w:rPr>
          <w:rFonts w:ascii="Times New Roman" w:hAnsi="Times New Roman"/>
          <w:noProof/>
          <w:sz w:val="24"/>
          <w:szCs w:val="24"/>
        </w:rPr>
        <w:t>Given the lack of specific information at individual ports, the following average values of the TRUST model are considered: waiting time (time to access the port) at intermediate and destination ports is 10 hours; operation time (time to load/unload cargo) at all ports is 24 hours.</w:t>
      </w:r>
    </w:p>
    <w:p>
      <w:pPr>
        <w:pStyle w:val="Body"/>
        <w:spacing w:after="120"/>
        <w:rPr>
          <w:rFonts w:ascii="Times New Roman" w:hAnsi="Times New Roman"/>
          <w:i/>
          <w:noProof/>
          <w:sz w:val="24"/>
          <w:szCs w:val="24"/>
        </w:rPr>
      </w:pPr>
      <w:r>
        <w:rPr>
          <w:rFonts w:ascii="Times New Roman" w:hAnsi="Times New Roman"/>
          <w:i/>
          <w:noProof/>
          <w:sz w:val="24"/>
          <w:szCs w:val="24"/>
        </w:rPr>
        <w:t xml:space="preserve">Fuel consumption: </w:t>
      </w:r>
      <w:r>
        <w:rPr>
          <w:rFonts w:ascii="Times New Roman" w:hAnsi="Times New Roman"/>
          <w:noProof/>
          <w:sz w:val="24"/>
          <w:szCs w:val="24"/>
        </w:rPr>
        <w:fldChar w:fldCharType="begin"/>
      </w:r>
      <w:r>
        <w:rPr>
          <w:rFonts w:ascii="Times New Roman" w:hAnsi="Times New Roman"/>
          <w:i/>
          <w:noProof/>
          <w:sz w:val="24"/>
          <w:szCs w:val="24"/>
        </w:rPr>
        <w:instrText xml:space="preserve"> REF _Ref51838959 \h </w:instrText>
      </w:r>
      <w:r>
        <w:rPr>
          <w:rFonts w:ascii="Times New Roman" w:hAnsi="Times New Roman"/>
          <w:noProof/>
          <w:sz w:val="24"/>
          <w:szCs w:val="24"/>
        </w:rPr>
        <w:instrText xml:space="preserve">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41</w:t>
      </w:r>
      <w:r>
        <w:rPr>
          <w:rFonts w:ascii="Times New Roman" w:hAnsi="Times New Roman"/>
          <w:noProof/>
          <w:sz w:val="24"/>
          <w:szCs w:val="24"/>
        </w:rPr>
        <w:fldChar w:fldCharType="end"/>
      </w:r>
      <w:r>
        <w:rPr>
          <w:rFonts w:ascii="Times New Roman" w:hAnsi="Times New Roman"/>
          <w:noProof/>
          <w:sz w:val="24"/>
          <w:szCs w:val="24"/>
        </w:rPr>
        <w:t xml:space="preserve"> lists the fuel consumption factors, expressed in tonnes of fuel per day used in the TRUST model. </w:t>
      </w:r>
    </w:p>
    <w:p>
      <w:pPr>
        <w:pStyle w:val="Caption"/>
        <w:spacing w:after="120"/>
        <w:rPr>
          <w:noProof/>
        </w:rPr>
      </w:pPr>
      <w:bookmarkStart w:id="632" w:name="_Ref51838959"/>
      <w:bookmarkStart w:id="633" w:name="_Toc57796830"/>
      <w:r>
        <w:rPr>
          <w:noProof/>
        </w:rPr>
        <w:t xml:space="preserve">Table </w:t>
      </w:r>
      <w:r>
        <w:rPr>
          <w:noProof/>
        </w:rPr>
        <w:fldChar w:fldCharType="begin"/>
      </w:r>
      <w:r>
        <w:rPr>
          <w:noProof/>
        </w:rPr>
        <w:instrText xml:space="preserve"> SEQ Table \* ARABIC </w:instrText>
      </w:r>
      <w:r>
        <w:rPr>
          <w:noProof/>
        </w:rPr>
        <w:fldChar w:fldCharType="separate"/>
      </w:r>
      <w:r>
        <w:rPr>
          <w:noProof/>
        </w:rPr>
        <w:t>41</w:t>
      </w:r>
      <w:r>
        <w:rPr>
          <w:noProof/>
        </w:rPr>
        <w:fldChar w:fldCharType="end"/>
      </w:r>
      <w:bookmarkEnd w:id="632"/>
      <w:r>
        <w:rPr>
          <w:noProof/>
        </w:rPr>
        <w:t>: Fuel consumption factors by speed and ship type</w:t>
      </w:r>
      <w:bookmarkEnd w:id="6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461"/>
        <w:gridCol w:w="1941"/>
        <w:gridCol w:w="2024"/>
        <w:gridCol w:w="2577"/>
      </w:tblGrid>
      <w:tr>
        <w:trPr>
          <w:trHeight w:val="20"/>
          <w:tblHeader/>
        </w:trPr>
        <w:tc>
          <w:tcPr>
            <w:tcW w:w="1367"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Ship type</w:t>
            </w:r>
          </w:p>
        </w:tc>
        <w:tc>
          <w:tcPr>
            <w:tcW w:w="1078"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 xml:space="preserve">Ship size </w:t>
            </w:r>
          </w:p>
        </w:tc>
        <w:tc>
          <w:tcPr>
            <w:tcW w:w="1124"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Speed [knots]</w:t>
            </w:r>
          </w:p>
        </w:tc>
        <w:tc>
          <w:tcPr>
            <w:tcW w:w="1431"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Fuel consumption [Tonnes/day]</w:t>
            </w:r>
          </w:p>
        </w:tc>
      </w:tr>
      <w:tr>
        <w:trPr>
          <w:trHeight w:val="20"/>
        </w:trPr>
        <w:tc>
          <w:tcPr>
            <w:tcW w:w="1367" w:type="pct"/>
            <w:vMerge w:val="restart"/>
            <w:shd w:val="clear" w:color="auto" w:fill="FFFFFF" w:themeFill="background1"/>
            <w:hideMark/>
          </w:tcPr>
          <w:p>
            <w:pPr>
              <w:pStyle w:val="Body"/>
              <w:keepNext/>
              <w:spacing w:after="0"/>
              <w:rPr>
                <w:rFonts w:ascii="Times New Roman" w:hAnsi="Times New Roman"/>
                <w:bCs/>
                <w:noProof/>
                <w:sz w:val="18"/>
                <w:szCs w:val="18"/>
              </w:rPr>
            </w:pPr>
            <w:r>
              <w:rPr>
                <w:rFonts w:ascii="Times New Roman" w:hAnsi="Times New Roman"/>
                <w:bCs/>
                <w:noProof/>
                <w:sz w:val="18"/>
                <w:szCs w:val="18"/>
              </w:rPr>
              <w:t>Container</w:t>
            </w:r>
          </w:p>
        </w:tc>
        <w:tc>
          <w:tcPr>
            <w:tcW w:w="1078"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21,000 TEU</w:t>
            </w:r>
          </w:p>
        </w:tc>
        <w:tc>
          <w:tcPr>
            <w:tcW w:w="1124"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14</w:t>
            </w:r>
          </w:p>
        </w:tc>
        <w:tc>
          <w:tcPr>
            <w:tcW w:w="1431"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126</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18,000 TEU</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14</w:t>
            </w:r>
          </w:p>
        </w:tc>
        <w:tc>
          <w:tcPr>
            <w:tcW w:w="1431"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112</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14,000 TEU</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14</w:t>
            </w:r>
          </w:p>
        </w:tc>
        <w:tc>
          <w:tcPr>
            <w:tcW w:w="1431"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94</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12,000 TEU</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14</w:t>
            </w:r>
          </w:p>
        </w:tc>
        <w:tc>
          <w:tcPr>
            <w:tcW w:w="1431"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76</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8,000 TEU</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14</w:t>
            </w:r>
          </w:p>
        </w:tc>
        <w:tc>
          <w:tcPr>
            <w:tcW w:w="1431"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49</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4,500 TEU</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14</w:t>
            </w:r>
          </w:p>
        </w:tc>
        <w:tc>
          <w:tcPr>
            <w:tcW w:w="1431"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31</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4,000 TEU</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14</w:t>
            </w:r>
          </w:p>
        </w:tc>
        <w:tc>
          <w:tcPr>
            <w:tcW w:w="1431"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31</w:t>
            </w:r>
          </w:p>
        </w:tc>
      </w:tr>
      <w:tr>
        <w:trPr>
          <w:trHeight w:val="20"/>
        </w:trPr>
        <w:tc>
          <w:tcPr>
            <w:tcW w:w="1367" w:type="pct"/>
            <w:vMerge w:val="restart"/>
            <w:shd w:val="clear" w:color="auto" w:fill="FFFFFF" w:themeFill="background1"/>
            <w:hideMark/>
          </w:tcPr>
          <w:p>
            <w:pPr>
              <w:pStyle w:val="Body"/>
              <w:keepNext/>
              <w:spacing w:after="0"/>
              <w:jc w:val="left"/>
              <w:rPr>
                <w:rFonts w:ascii="Times New Roman" w:hAnsi="Times New Roman"/>
                <w:bCs/>
                <w:noProof/>
                <w:sz w:val="18"/>
                <w:szCs w:val="18"/>
              </w:rPr>
            </w:pPr>
            <w:r>
              <w:rPr>
                <w:rFonts w:ascii="Times New Roman" w:hAnsi="Times New Roman"/>
                <w:bCs/>
                <w:noProof/>
                <w:sz w:val="18"/>
                <w:szCs w:val="18"/>
              </w:rPr>
              <w:t>Dry bulker</w:t>
            </w: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28,000 DWT</w:t>
            </w:r>
          </w:p>
        </w:tc>
        <w:tc>
          <w:tcPr>
            <w:tcW w:w="1124"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12</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35,000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16</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65,000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23</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70,000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23</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165,000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31</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200,000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32</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300,000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38</w:t>
            </w:r>
          </w:p>
        </w:tc>
      </w:tr>
      <w:tr>
        <w:trPr>
          <w:trHeight w:val="64"/>
        </w:trPr>
        <w:tc>
          <w:tcPr>
            <w:tcW w:w="1367" w:type="pct"/>
            <w:vMerge w:val="restart"/>
            <w:shd w:val="clear" w:color="auto" w:fill="FFFFFF" w:themeFill="background1"/>
            <w:hideMark/>
          </w:tcPr>
          <w:p>
            <w:pPr>
              <w:pStyle w:val="Body"/>
              <w:keepNext/>
              <w:spacing w:after="0"/>
              <w:jc w:val="left"/>
              <w:rPr>
                <w:rFonts w:ascii="Times New Roman" w:hAnsi="Times New Roman"/>
                <w:b/>
                <w:bCs/>
                <w:noProof/>
                <w:sz w:val="18"/>
                <w:szCs w:val="18"/>
              </w:rPr>
            </w:pPr>
            <w:r>
              <w:rPr>
                <w:rFonts w:ascii="Times New Roman" w:hAnsi="Times New Roman"/>
                <w:bCs/>
                <w:noProof/>
                <w:sz w:val="18"/>
                <w:szCs w:val="18"/>
              </w:rPr>
              <w:t>Liquid bulker</w:t>
            </w: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70,000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24</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80,000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24</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90,000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25</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130,000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30</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078"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135,000 DWT</w:t>
            </w:r>
          </w:p>
        </w:tc>
        <w:tc>
          <w:tcPr>
            <w:tcW w:w="1124"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11</w:t>
            </w:r>
          </w:p>
        </w:tc>
        <w:tc>
          <w:tcPr>
            <w:tcW w:w="1431"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30</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spacing w:after="120"/>
        <w:rPr>
          <w:rFonts w:ascii="Times New Roman" w:hAnsi="Times New Roman"/>
          <w:noProof/>
          <w:sz w:val="24"/>
          <w:szCs w:val="24"/>
        </w:rPr>
      </w:pPr>
      <w:r>
        <w:rPr>
          <w:rFonts w:ascii="Times New Roman" w:hAnsi="Times New Roman"/>
          <w:i/>
          <w:noProof/>
          <w:sz w:val="24"/>
          <w:szCs w:val="24"/>
        </w:rPr>
        <w:t xml:space="preserve">Fuel cost: </w:t>
      </w:r>
      <w:r>
        <w:rPr>
          <w:rFonts w:ascii="Times New Roman" w:hAnsi="Times New Roman"/>
          <w:noProof/>
          <w:sz w:val="24"/>
          <w:szCs w:val="24"/>
        </w:rPr>
        <w:t xml:space="preserve">the cost in 2030 of </w:t>
      </w:r>
      <w:r>
        <w:rPr>
          <w:rFonts w:ascii="Times New Roman" w:hAnsi="Times New Roman"/>
          <w:bCs/>
          <w:noProof/>
          <w:sz w:val="24"/>
          <w:szCs w:val="24"/>
        </w:rPr>
        <w:t>conventional MGO</w:t>
      </w:r>
      <w:r>
        <w:rPr>
          <w:rFonts w:ascii="Times New Roman" w:hAnsi="Times New Roman"/>
          <w:noProof/>
          <w:sz w:val="24"/>
          <w:szCs w:val="24"/>
        </w:rPr>
        <w:t xml:space="preserve"> is assumed at </w:t>
      </w:r>
      <w:r>
        <w:rPr>
          <w:rFonts w:ascii="Times New Roman" w:hAnsi="Times New Roman"/>
          <w:bCs/>
          <w:noProof/>
          <w:sz w:val="24"/>
          <w:szCs w:val="24"/>
        </w:rPr>
        <w:t>€906 per tonne</w:t>
      </w:r>
      <w:r>
        <w:rPr>
          <w:rFonts w:ascii="Times New Roman" w:hAnsi="Times New Roman"/>
          <w:noProof/>
          <w:sz w:val="24"/>
          <w:szCs w:val="24"/>
        </w:rPr>
        <w:t xml:space="preserve"> in both PO1 and PO3. This is an average of the costs estimated by PRIMES at country level for EU27 Member States and United Kingdom. Consistently with PRIMES projections, the cost of </w:t>
      </w:r>
      <w:r>
        <w:rPr>
          <w:rFonts w:ascii="Times New Roman" w:hAnsi="Times New Roman"/>
          <w:bCs/>
          <w:noProof/>
          <w:sz w:val="24"/>
          <w:szCs w:val="24"/>
        </w:rPr>
        <w:t>blended MGO</w:t>
      </w:r>
      <w:r>
        <w:rPr>
          <w:rFonts w:ascii="Times New Roman" w:hAnsi="Times New Roman"/>
          <w:noProof/>
          <w:sz w:val="24"/>
          <w:szCs w:val="24"/>
        </w:rPr>
        <w:t xml:space="preserve"> in PO1 is assumed at </w:t>
      </w:r>
      <w:r>
        <w:rPr>
          <w:rFonts w:ascii="Times New Roman" w:hAnsi="Times New Roman"/>
          <w:bCs/>
          <w:noProof/>
          <w:sz w:val="24"/>
          <w:szCs w:val="24"/>
        </w:rPr>
        <w:t>€ 971 per tonne</w:t>
      </w:r>
      <w:r>
        <w:rPr>
          <w:rFonts w:ascii="Times New Roman" w:hAnsi="Times New Roman"/>
          <w:noProof/>
          <w:sz w:val="24"/>
          <w:szCs w:val="24"/>
        </w:rPr>
        <w:t xml:space="preserve"> (i.e. 7.2% higher than the cost of conventional MGO) in 2030. In PO3 the cost for blended MGO in 2030 is € </w:t>
      </w:r>
      <w:r>
        <w:rPr>
          <w:rFonts w:ascii="Times New Roman" w:hAnsi="Times New Roman"/>
          <w:bCs/>
          <w:noProof/>
          <w:sz w:val="24"/>
          <w:szCs w:val="24"/>
        </w:rPr>
        <w:t>970 per tonne</w:t>
      </w:r>
      <w:r>
        <w:rPr>
          <w:rFonts w:ascii="Times New Roman" w:hAnsi="Times New Roman"/>
          <w:noProof/>
          <w:sz w:val="24"/>
          <w:szCs w:val="24"/>
        </w:rPr>
        <w:t xml:space="preserve"> (i.e. 7.1% higher than the cost of conventional MGO).</w:t>
      </w:r>
      <w:r>
        <w:rPr>
          <w:rStyle w:val="FootnoteReference"/>
          <w:rFonts w:ascii="Times New Roman" w:hAnsi="Times New Roman"/>
          <w:noProof/>
          <w:sz w:val="24"/>
          <w:szCs w:val="24"/>
        </w:rPr>
        <w:footnoteReference w:id="216"/>
      </w:r>
    </w:p>
    <w:p>
      <w:pPr>
        <w:pStyle w:val="Body"/>
        <w:spacing w:after="120"/>
        <w:rPr>
          <w:rFonts w:ascii="Times New Roman" w:hAnsi="Times New Roman"/>
          <w:noProof/>
          <w:sz w:val="24"/>
          <w:szCs w:val="24"/>
        </w:rPr>
      </w:pPr>
      <w:r>
        <w:rPr>
          <w:rFonts w:ascii="Times New Roman" w:hAnsi="Times New Roman"/>
          <w:i/>
          <w:noProof/>
          <w:sz w:val="24"/>
          <w:szCs w:val="24"/>
        </w:rPr>
        <w:t xml:space="preserve">Time charter rates: </w:t>
      </w:r>
      <w:r>
        <w:rPr>
          <w:rFonts w:ascii="Times New Roman" w:hAnsi="Times New Roman"/>
          <w:noProof/>
          <w:sz w:val="24"/>
          <w:szCs w:val="24"/>
        </w:rPr>
        <w:t>TRUST values for Time Charter Rates (expressed in $/day) are based on data provided by Drewry’s publication ‘Shipping Insight’ (December 2019). Interpolation on published data was performed to fill in data gaps for missing ship sizes. Time Charter Rates cover ship operating costs such as crewing, lubricants, planned maintenance, insurance and general administration expenses. These values are used to compute other navigation costs and the cost of time at ports (waiting and operation).</w:t>
      </w:r>
    </w:p>
    <w:p>
      <w:pPr>
        <w:pStyle w:val="Caption"/>
        <w:spacing w:after="120"/>
        <w:rPr>
          <w:noProof/>
        </w:rPr>
      </w:pPr>
      <w:bookmarkStart w:id="634" w:name="_Toc57796831"/>
      <w:r>
        <w:rPr>
          <w:noProof/>
        </w:rPr>
        <w:t xml:space="preserve">Table </w:t>
      </w:r>
      <w:r>
        <w:rPr>
          <w:noProof/>
        </w:rPr>
        <w:fldChar w:fldCharType="begin"/>
      </w:r>
      <w:r>
        <w:rPr>
          <w:noProof/>
        </w:rPr>
        <w:instrText xml:space="preserve"> SEQ Table \* ARABIC </w:instrText>
      </w:r>
      <w:r>
        <w:rPr>
          <w:noProof/>
        </w:rPr>
        <w:fldChar w:fldCharType="separate"/>
      </w:r>
      <w:r>
        <w:rPr>
          <w:noProof/>
        </w:rPr>
        <w:t>42</w:t>
      </w:r>
      <w:r>
        <w:rPr>
          <w:noProof/>
        </w:rPr>
        <w:fldChar w:fldCharType="end"/>
      </w:r>
      <w:r>
        <w:rPr>
          <w:noProof/>
        </w:rPr>
        <w:t>: Time charter rates by ship type</w:t>
      </w:r>
      <w:bookmarkEnd w:id="6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65"/>
        <w:gridCol w:w="3012"/>
        <w:gridCol w:w="3126"/>
      </w:tblGrid>
      <w:tr>
        <w:trPr>
          <w:trHeight w:val="20"/>
          <w:tblHeader/>
        </w:trPr>
        <w:tc>
          <w:tcPr>
            <w:tcW w:w="1591"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Ship type</w:t>
            </w:r>
          </w:p>
        </w:tc>
        <w:tc>
          <w:tcPr>
            <w:tcW w:w="1673"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 xml:space="preserve">Ship size </w:t>
            </w:r>
          </w:p>
        </w:tc>
        <w:tc>
          <w:tcPr>
            <w:tcW w:w="1736"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Time charter rates [€/day]</w:t>
            </w:r>
          </w:p>
        </w:tc>
      </w:tr>
      <w:tr>
        <w:trPr>
          <w:trHeight w:val="20"/>
        </w:trPr>
        <w:tc>
          <w:tcPr>
            <w:tcW w:w="1591" w:type="pct"/>
            <w:vMerge w:val="restart"/>
            <w:shd w:val="clear" w:color="auto" w:fill="FFFFFF" w:themeFill="background1"/>
            <w:hideMark/>
          </w:tcPr>
          <w:p>
            <w:pPr>
              <w:pStyle w:val="Body"/>
              <w:keepNext/>
              <w:spacing w:after="0"/>
              <w:rPr>
                <w:rFonts w:ascii="Times New Roman" w:hAnsi="Times New Roman"/>
                <w:bCs/>
                <w:noProof/>
                <w:sz w:val="18"/>
                <w:szCs w:val="18"/>
              </w:rPr>
            </w:pPr>
            <w:r>
              <w:rPr>
                <w:rFonts w:ascii="Times New Roman" w:hAnsi="Times New Roman"/>
                <w:bCs/>
                <w:noProof/>
                <w:sz w:val="18"/>
                <w:szCs w:val="18"/>
              </w:rPr>
              <w:t>Container</w:t>
            </w: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21,000 TEU</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39,000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18,000 TEU</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34,000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14,000 TEU</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28,000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12,000 TEU</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25,000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8,000 TEU</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20,000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4,500 TEU</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13,800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4,000 TEU</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8,700</w:t>
            </w:r>
          </w:p>
        </w:tc>
      </w:tr>
      <w:tr>
        <w:trPr>
          <w:trHeight w:val="20"/>
        </w:trPr>
        <w:tc>
          <w:tcPr>
            <w:tcW w:w="1591" w:type="pct"/>
            <w:vMerge w:val="restart"/>
            <w:shd w:val="clear" w:color="auto" w:fill="FFFFFF" w:themeFill="background1"/>
            <w:hideMark/>
          </w:tcPr>
          <w:p>
            <w:pPr>
              <w:pStyle w:val="Body"/>
              <w:keepNext/>
              <w:spacing w:after="0"/>
              <w:jc w:val="left"/>
              <w:rPr>
                <w:rFonts w:ascii="Times New Roman" w:hAnsi="Times New Roman"/>
                <w:bCs/>
                <w:noProof/>
                <w:sz w:val="18"/>
                <w:szCs w:val="18"/>
              </w:rPr>
            </w:pPr>
            <w:r>
              <w:rPr>
                <w:rFonts w:ascii="Times New Roman" w:hAnsi="Times New Roman"/>
                <w:bCs/>
                <w:noProof/>
                <w:sz w:val="18"/>
                <w:szCs w:val="18"/>
              </w:rPr>
              <w:t>Dry bulker</w:t>
            </w: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28,000 DWT</w:t>
            </w:r>
          </w:p>
        </w:tc>
        <w:tc>
          <w:tcPr>
            <w:tcW w:w="1736" w:type="pct"/>
            <w:shd w:val="clear" w:color="auto" w:fill="FFFFFF" w:themeFill="background1"/>
            <w:vAlign w:val="bottom"/>
            <w:hideMark/>
          </w:tcPr>
          <w:p>
            <w:pPr>
              <w:pStyle w:val="Body"/>
              <w:keepNext/>
              <w:spacing w:after="0"/>
              <w:jc w:val="right"/>
              <w:rPr>
                <w:rFonts w:ascii="Times New Roman" w:hAnsi="Times New Roman"/>
                <w:bCs/>
                <w:noProof/>
                <w:sz w:val="18"/>
                <w:szCs w:val="18"/>
              </w:rPr>
            </w:pPr>
            <w:r>
              <w:rPr>
                <w:rFonts w:ascii="Times New Roman" w:hAnsi="Times New Roman"/>
                <w:noProof/>
                <w:sz w:val="18"/>
                <w:szCs w:val="18"/>
              </w:rPr>
              <w:t>7,055</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35,000 DWT</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7,400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65,000 DWT</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9,430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70,000 DWT</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9,650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165,000 DWT</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14,260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200,000 DWT</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15,960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300,000 DWT</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20,815</w:t>
            </w:r>
          </w:p>
        </w:tc>
      </w:tr>
      <w:tr>
        <w:trPr>
          <w:trHeight w:val="64"/>
        </w:trPr>
        <w:tc>
          <w:tcPr>
            <w:tcW w:w="1591" w:type="pct"/>
            <w:vMerge w:val="restart"/>
            <w:shd w:val="clear" w:color="auto" w:fill="FFFFFF" w:themeFill="background1"/>
            <w:hideMark/>
          </w:tcPr>
          <w:p>
            <w:pPr>
              <w:pStyle w:val="Body"/>
              <w:keepNext/>
              <w:spacing w:after="0"/>
              <w:jc w:val="left"/>
              <w:rPr>
                <w:rFonts w:ascii="Times New Roman" w:hAnsi="Times New Roman"/>
                <w:b/>
                <w:bCs/>
                <w:noProof/>
                <w:sz w:val="18"/>
                <w:szCs w:val="18"/>
              </w:rPr>
            </w:pPr>
            <w:r>
              <w:rPr>
                <w:rFonts w:ascii="Times New Roman" w:hAnsi="Times New Roman"/>
                <w:bCs/>
                <w:noProof/>
                <w:sz w:val="18"/>
                <w:szCs w:val="18"/>
              </w:rPr>
              <w:t>Liquid bulker</w:t>
            </w: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70,000 DWT</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13,600</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80,000 DWT</w:t>
            </w:r>
          </w:p>
        </w:tc>
        <w:tc>
          <w:tcPr>
            <w:tcW w:w="1736" w:type="pct"/>
            <w:shd w:val="clear" w:color="auto" w:fill="FFFFFF" w:themeFill="background1"/>
            <w:vAlign w:val="bottom"/>
            <w:hideMark/>
          </w:tcPr>
          <w:p>
            <w:pPr>
              <w:pStyle w:val="Body"/>
              <w:keepNext/>
              <w:spacing w:after="0"/>
              <w:jc w:val="right"/>
              <w:rPr>
                <w:rFonts w:ascii="Times New Roman" w:hAnsi="Times New Roman"/>
                <w:bCs/>
                <w:noProof/>
                <w:sz w:val="18"/>
                <w:szCs w:val="18"/>
              </w:rPr>
            </w:pPr>
            <w:r>
              <w:rPr>
                <w:rFonts w:ascii="Times New Roman" w:hAnsi="Times New Roman"/>
                <w:noProof/>
                <w:sz w:val="18"/>
                <w:szCs w:val="18"/>
              </w:rPr>
              <w:t>15,300</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90,000 DWT</w:t>
            </w:r>
          </w:p>
        </w:tc>
        <w:tc>
          <w:tcPr>
            <w:tcW w:w="1736" w:type="pct"/>
            <w:shd w:val="clear" w:color="auto" w:fill="FFFFFF" w:themeFill="background1"/>
            <w:vAlign w:val="bottom"/>
            <w:hideMark/>
          </w:tcPr>
          <w:p>
            <w:pPr>
              <w:pStyle w:val="Body"/>
              <w:keepNext/>
              <w:spacing w:after="0"/>
              <w:jc w:val="right"/>
              <w:rPr>
                <w:rFonts w:ascii="Times New Roman" w:hAnsi="Times New Roman"/>
                <w:noProof/>
                <w:sz w:val="18"/>
                <w:szCs w:val="18"/>
              </w:rPr>
            </w:pPr>
            <w:r>
              <w:rPr>
                <w:rFonts w:ascii="Times New Roman" w:hAnsi="Times New Roman"/>
                <w:noProof/>
                <w:sz w:val="18"/>
                <w:szCs w:val="18"/>
              </w:rPr>
              <w:t>18,020</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130,000 DWT</w:t>
            </w:r>
          </w:p>
        </w:tc>
        <w:tc>
          <w:tcPr>
            <w:tcW w:w="1736" w:type="pct"/>
            <w:shd w:val="clear" w:color="auto" w:fill="FFFFFF" w:themeFill="background1"/>
            <w:vAlign w:val="bottom"/>
            <w:hideMark/>
          </w:tcPr>
          <w:p>
            <w:pPr>
              <w:pStyle w:val="Body"/>
              <w:keepNext/>
              <w:spacing w:after="0"/>
              <w:jc w:val="right"/>
              <w:rPr>
                <w:rFonts w:ascii="Times New Roman" w:hAnsi="Times New Roman"/>
                <w:bCs/>
                <w:noProof/>
                <w:sz w:val="18"/>
                <w:szCs w:val="18"/>
              </w:rPr>
            </w:pPr>
            <w:r>
              <w:rPr>
                <w:rFonts w:ascii="Times New Roman" w:hAnsi="Times New Roman"/>
                <w:noProof/>
                <w:sz w:val="18"/>
                <w:szCs w:val="18"/>
              </w:rPr>
              <w:t>24,650</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135,000 DWT</w:t>
            </w:r>
          </w:p>
        </w:tc>
        <w:tc>
          <w:tcPr>
            <w:tcW w:w="1736" w:type="pct"/>
            <w:shd w:val="clear" w:color="auto" w:fill="FFFFFF" w:themeFill="background1"/>
            <w:vAlign w:val="bottom"/>
            <w:hideMark/>
          </w:tcPr>
          <w:p>
            <w:pPr>
              <w:pStyle w:val="Body"/>
              <w:keepNext/>
              <w:spacing w:after="0"/>
              <w:jc w:val="right"/>
              <w:rPr>
                <w:rFonts w:ascii="Times New Roman" w:hAnsi="Times New Roman"/>
                <w:bCs/>
                <w:noProof/>
                <w:sz w:val="18"/>
                <w:szCs w:val="18"/>
              </w:rPr>
            </w:pPr>
            <w:r>
              <w:rPr>
                <w:rFonts w:ascii="Times New Roman" w:hAnsi="Times New Roman"/>
                <w:noProof/>
                <w:sz w:val="18"/>
                <w:szCs w:val="18"/>
              </w:rPr>
              <w:t>25,500</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spacing w:after="120"/>
        <w:rPr>
          <w:rFonts w:ascii="Times New Roman" w:hAnsi="Times New Roman"/>
          <w:noProof/>
          <w:sz w:val="24"/>
          <w:szCs w:val="24"/>
        </w:rPr>
      </w:pPr>
      <w:r>
        <w:rPr>
          <w:rFonts w:ascii="Times New Roman" w:hAnsi="Times New Roman"/>
          <w:i/>
          <w:noProof/>
          <w:sz w:val="24"/>
          <w:szCs w:val="24"/>
        </w:rPr>
        <w:t xml:space="preserve">Costs at ports: </w:t>
      </w:r>
      <w:r>
        <w:rPr>
          <w:rFonts w:ascii="Times New Roman" w:hAnsi="Times New Roman"/>
          <w:noProof/>
          <w:sz w:val="24"/>
          <w:szCs w:val="24"/>
        </w:rPr>
        <w:t>The costs incurred by ships at ports (i.e. port dues, pilotage, towage, mooring, other costs) depend on the type and size of the ship and on the type of cargo. These costs are highly variable from case to case as they may be dependent on commercial agreements between the port terminals / port authorities and the ship owners / shippers. Given its commercial sensitivity, this kind of information is hardly disclosed by maritime operators and very little evidence on these costs exist in literature.</w:t>
      </w:r>
    </w:p>
    <w:p>
      <w:pPr>
        <w:pStyle w:val="Body"/>
        <w:spacing w:after="120"/>
        <w:rPr>
          <w:rFonts w:ascii="Times New Roman" w:hAnsi="Times New Roman"/>
          <w:noProof/>
          <w:sz w:val="24"/>
          <w:szCs w:val="24"/>
        </w:rPr>
      </w:pPr>
      <w:r>
        <w:rPr>
          <w:rFonts w:ascii="Times New Roman" w:hAnsi="Times New Roman"/>
          <w:noProof/>
          <w:sz w:val="24"/>
          <w:szCs w:val="24"/>
        </w:rPr>
        <w:t>As part of this analysis an attempt to collect specific information on the costs of some non-EU/EEA ports was performed. A dedicated questionnaire covering different cost types by type of ship was sent to all ports’ authorities/operators considered in this analysis. Unfortunately, the survey response rate was extremely low and very little evidence was collected.</w:t>
      </w:r>
    </w:p>
    <w:p>
      <w:pPr>
        <w:pStyle w:val="Body"/>
        <w:spacing w:after="120"/>
        <w:rPr>
          <w:rFonts w:ascii="Times New Roman" w:hAnsi="Times New Roman"/>
          <w:noProof/>
          <w:sz w:val="24"/>
          <w:szCs w:val="24"/>
        </w:rPr>
      </w:pPr>
      <w:r>
        <w:rPr>
          <w:rFonts w:ascii="Times New Roman" w:hAnsi="Times New Roman"/>
          <w:noProof/>
          <w:sz w:val="24"/>
          <w:szCs w:val="24"/>
        </w:rPr>
        <w:t>Ports’ costs used for the calculations (expressed in € per DWT) are therefore not representative of the specific case (i.e. port / ship size / cargo), but are the average values of the TRUST model estimated by TRT on the basis of in-house data.</w:t>
      </w:r>
    </w:p>
    <w:p>
      <w:pPr>
        <w:pStyle w:val="Caption"/>
        <w:spacing w:after="120"/>
        <w:rPr>
          <w:noProof/>
        </w:rPr>
      </w:pPr>
      <w:bookmarkStart w:id="635" w:name="_Toc57796832"/>
      <w:r>
        <w:rPr>
          <w:noProof/>
        </w:rPr>
        <w:t xml:space="preserve">Table </w:t>
      </w:r>
      <w:r>
        <w:rPr>
          <w:noProof/>
        </w:rPr>
        <w:fldChar w:fldCharType="begin"/>
      </w:r>
      <w:r>
        <w:rPr>
          <w:noProof/>
        </w:rPr>
        <w:instrText xml:space="preserve"> SEQ Table \* ARABIC </w:instrText>
      </w:r>
      <w:r>
        <w:rPr>
          <w:noProof/>
        </w:rPr>
        <w:fldChar w:fldCharType="separate"/>
      </w:r>
      <w:r>
        <w:rPr>
          <w:noProof/>
        </w:rPr>
        <w:t>43</w:t>
      </w:r>
      <w:r>
        <w:rPr>
          <w:noProof/>
        </w:rPr>
        <w:fldChar w:fldCharType="end"/>
      </w:r>
      <w:r>
        <w:rPr>
          <w:noProof/>
        </w:rPr>
        <w:t>: Cost at ports by ship type</w:t>
      </w:r>
      <w:bookmarkEnd w:id="6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65"/>
        <w:gridCol w:w="3012"/>
        <w:gridCol w:w="3126"/>
      </w:tblGrid>
      <w:tr>
        <w:trPr>
          <w:trHeight w:val="20"/>
          <w:tblHeader/>
        </w:trPr>
        <w:tc>
          <w:tcPr>
            <w:tcW w:w="1591"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Ship type</w:t>
            </w:r>
          </w:p>
        </w:tc>
        <w:tc>
          <w:tcPr>
            <w:tcW w:w="1673"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 xml:space="preserve">Ship size </w:t>
            </w:r>
          </w:p>
        </w:tc>
        <w:tc>
          <w:tcPr>
            <w:tcW w:w="1736" w:type="pct"/>
            <w:shd w:val="clear" w:color="auto" w:fill="FFFFFF" w:themeFill="background1"/>
            <w:vAlign w:val="center"/>
            <w:hideMark/>
          </w:tcPr>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Cost of ship at ports</w:t>
            </w:r>
          </w:p>
          <w:p>
            <w:pPr>
              <w:keepNext/>
              <w:spacing w:after="0"/>
              <w:jc w:val="center"/>
              <w:rPr>
                <w:rFonts w:ascii="Times New Roman" w:hAnsi="Times New Roman" w:cs="Times New Roman"/>
                <w:b/>
                <w:noProof/>
                <w:sz w:val="18"/>
                <w:szCs w:val="18"/>
                <w:lang w:eastAsia="en-GB"/>
              </w:rPr>
            </w:pPr>
            <w:r>
              <w:rPr>
                <w:rFonts w:ascii="Times New Roman" w:hAnsi="Times New Roman" w:cs="Times New Roman"/>
                <w:b/>
                <w:noProof/>
                <w:sz w:val="18"/>
                <w:szCs w:val="18"/>
                <w:lang w:eastAsia="en-GB"/>
              </w:rPr>
              <w:t>[€/DWT]</w:t>
            </w:r>
          </w:p>
        </w:tc>
      </w:tr>
      <w:tr>
        <w:trPr>
          <w:trHeight w:val="20"/>
        </w:trPr>
        <w:tc>
          <w:tcPr>
            <w:tcW w:w="1591" w:type="pct"/>
            <w:vMerge w:val="restart"/>
            <w:shd w:val="clear" w:color="auto" w:fill="FFFFFF" w:themeFill="background1"/>
            <w:hideMark/>
          </w:tcPr>
          <w:p>
            <w:pPr>
              <w:pStyle w:val="Body"/>
              <w:keepNext/>
              <w:spacing w:after="0"/>
              <w:rPr>
                <w:rFonts w:ascii="Times New Roman" w:hAnsi="Times New Roman"/>
                <w:bCs/>
                <w:noProof/>
                <w:sz w:val="18"/>
                <w:szCs w:val="18"/>
              </w:rPr>
            </w:pPr>
            <w:r>
              <w:rPr>
                <w:rFonts w:ascii="Times New Roman" w:hAnsi="Times New Roman"/>
                <w:bCs/>
                <w:noProof/>
                <w:sz w:val="18"/>
                <w:szCs w:val="18"/>
              </w:rPr>
              <w:t>Container</w:t>
            </w: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21,000 TEU (</w:t>
            </w:r>
            <w:r>
              <w:rPr>
                <w:rFonts w:ascii="Times New Roman" w:hAnsi="Times New Roman"/>
                <w:noProof/>
                <w:sz w:val="18"/>
                <w:szCs w:val="18"/>
              </w:rPr>
              <w:t xml:space="preserve">198,500 </w:t>
            </w:r>
            <w:r>
              <w:rPr>
                <w:rFonts w:ascii="Times New Roman" w:hAnsi="Times New Roman"/>
                <w:bCs/>
                <w:noProof/>
                <w:sz w:val="18"/>
                <w:szCs w:val="18"/>
              </w:rPr>
              <w:t>DWT)</w:t>
            </w:r>
          </w:p>
        </w:tc>
        <w:tc>
          <w:tcPr>
            <w:tcW w:w="1736"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0.720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18,000 TEU (</w:t>
            </w:r>
            <w:r>
              <w:rPr>
                <w:rFonts w:ascii="Times New Roman" w:hAnsi="Times New Roman"/>
                <w:noProof/>
                <w:sz w:val="18"/>
                <w:szCs w:val="18"/>
              </w:rPr>
              <w:t>185,200 DWT)</w:t>
            </w:r>
          </w:p>
        </w:tc>
        <w:tc>
          <w:tcPr>
            <w:tcW w:w="1736"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0.730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14,000 TEU (</w:t>
            </w:r>
            <w:r>
              <w:rPr>
                <w:rFonts w:ascii="Times New Roman" w:hAnsi="Times New Roman"/>
                <w:noProof/>
                <w:sz w:val="18"/>
                <w:szCs w:val="18"/>
              </w:rPr>
              <w:t>165,500DWT)</w:t>
            </w:r>
          </w:p>
        </w:tc>
        <w:tc>
          <w:tcPr>
            <w:tcW w:w="1736"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0.740</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12,000 TEU (</w:t>
            </w:r>
            <w:r>
              <w:rPr>
                <w:rFonts w:ascii="Times New Roman" w:hAnsi="Times New Roman"/>
                <w:noProof/>
                <w:sz w:val="18"/>
                <w:szCs w:val="18"/>
              </w:rPr>
              <w:t>153,500 DWT)</w:t>
            </w:r>
          </w:p>
        </w:tc>
        <w:tc>
          <w:tcPr>
            <w:tcW w:w="1736"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0.748</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8,000 TEU (</w:t>
            </w:r>
            <w:r>
              <w:rPr>
                <w:rFonts w:ascii="Times New Roman" w:hAnsi="Times New Roman"/>
                <w:noProof/>
                <w:sz w:val="18"/>
                <w:szCs w:val="18"/>
              </w:rPr>
              <w:t>105,450 DWT)</w:t>
            </w:r>
          </w:p>
        </w:tc>
        <w:tc>
          <w:tcPr>
            <w:tcW w:w="1736"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0.953</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4,500 TEU (</w:t>
            </w:r>
            <w:r>
              <w:rPr>
                <w:rFonts w:ascii="Times New Roman" w:hAnsi="Times New Roman"/>
                <w:noProof/>
                <w:sz w:val="18"/>
                <w:szCs w:val="18"/>
              </w:rPr>
              <w:t>60,900 DWT)</w:t>
            </w:r>
          </w:p>
        </w:tc>
        <w:tc>
          <w:tcPr>
            <w:tcW w:w="1736"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0.962</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noProof/>
                <w:sz w:val="18"/>
                <w:szCs w:val="18"/>
              </w:rPr>
            </w:pPr>
            <w:r>
              <w:rPr>
                <w:rFonts w:ascii="Times New Roman" w:hAnsi="Times New Roman"/>
                <w:bCs/>
                <w:noProof/>
                <w:sz w:val="18"/>
                <w:szCs w:val="18"/>
              </w:rPr>
              <w:t>4,000 TEU (</w:t>
            </w:r>
            <w:r>
              <w:rPr>
                <w:rFonts w:ascii="Times New Roman" w:hAnsi="Times New Roman"/>
                <w:noProof/>
                <w:sz w:val="18"/>
                <w:szCs w:val="18"/>
              </w:rPr>
              <w:t>49,200 DWT)</w:t>
            </w:r>
          </w:p>
        </w:tc>
        <w:tc>
          <w:tcPr>
            <w:tcW w:w="1736" w:type="pct"/>
            <w:shd w:val="clear" w:color="auto" w:fill="FFFFFF" w:themeFill="background1"/>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0.964</w:t>
            </w:r>
          </w:p>
        </w:tc>
      </w:tr>
      <w:tr>
        <w:trPr>
          <w:trHeight w:val="20"/>
        </w:trPr>
        <w:tc>
          <w:tcPr>
            <w:tcW w:w="1591" w:type="pct"/>
            <w:vMerge w:val="restart"/>
            <w:shd w:val="clear" w:color="auto" w:fill="FFFFFF" w:themeFill="background1"/>
            <w:hideMark/>
          </w:tcPr>
          <w:p>
            <w:pPr>
              <w:pStyle w:val="Body"/>
              <w:keepNext/>
              <w:spacing w:after="0"/>
              <w:jc w:val="left"/>
              <w:rPr>
                <w:rFonts w:ascii="Times New Roman" w:hAnsi="Times New Roman"/>
                <w:bCs/>
                <w:noProof/>
                <w:sz w:val="18"/>
                <w:szCs w:val="18"/>
              </w:rPr>
            </w:pPr>
            <w:r>
              <w:rPr>
                <w:rFonts w:ascii="Times New Roman" w:hAnsi="Times New Roman"/>
                <w:bCs/>
                <w:noProof/>
                <w:sz w:val="18"/>
                <w:szCs w:val="18"/>
              </w:rPr>
              <w:t>Dry bulker</w:t>
            </w: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28,000 DWT</w:t>
            </w:r>
          </w:p>
        </w:tc>
        <w:tc>
          <w:tcPr>
            <w:tcW w:w="1736" w:type="pct"/>
            <w:shd w:val="clear" w:color="auto" w:fill="FFFFFF" w:themeFill="background1"/>
            <w:vAlign w:val="bottom"/>
            <w:hideMark/>
          </w:tcPr>
          <w:p>
            <w:pPr>
              <w:pStyle w:val="Body"/>
              <w:keepNext/>
              <w:spacing w:after="0"/>
              <w:jc w:val="center"/>
              <w:rPr>
                <w:rFonts w:ascii="Times New Roman" w:hAnsi="Times New Roman"/>
                <w:bCs/>
                <w:noProof/>
                <w:sz w:val="18"/>
                <w:szCs w:val="18"/>
              </w:rPr>
            </w:pPr>
            <w:r>
              <w:rPr>
                <w:rFonts w:ascii="Times New Roman" w:hAnsi="Times New Roman"/>
                <w:noProof/>
                <w:sz w:val="18"/>
                <w:szCs w:val="18"/>
              </w:rPr>
              <w:t>0.956</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35,000 DWT</w:t>
            </w:r>
          </w:p>
        </w:tc>
        <w:tc>
          <w:tcPr>
            <w:tcW w:w="1736"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0.869</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65,000 DWT</w:t>
            </w:r>
          </w:p>
        </w:tc>
        <w:tc>
          <w:tcPr>
            <w:tcW w:w="1736"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0.882</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70,000 DWT</w:t>
            </w:r>
          </w:p>
        </w:tc>
        <w:tc>
          <w:tcPr>
            <w:tcW w:w="1736"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0.847</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165,000 DWT</w:t>
            </w:r>
          </w:p>
        </w:tc>
        <w:tc>
          <w:tcPr>
            <w:tcW w:w="1736"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0.608</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200,000 DWT</w:t>
            </w:r>
          </w:p>
        </w:tc>
        <w:tc>
          <w:tcPr>
            <w:tcW w:w="1736"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0.612</w:t>
            </w:r>
          </w:p>
        </w:tc>
      </w:tr>
      <w:tr>
        <w:trPr>
          <w:trHeight w:val="20"/>
        </w:trPr>
        <w:tc>
          <w:tcPr>
            <w:tcW w:w="0" w:type="auto"/>
            <w:vMerge/>
            <w:shd w:val="clear" w:color="auto" w:fill="FFFFFF" w:themeFill="background1"/>
            <w:vAlign w:val="center"/>
            <w:hideMark/>
          </w:tcPr>
          <w:p>
            <w:pPr>
              <w:spacing w:after="0"/>
              <w:rPr>
                <w:rFonts w:ascii="Times New Roman" w:hAnsi="Times New Roman" w:cs="Times New Roman"/>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300,000 DWT</w:t>
            </w:r>
          </w:p>
        </w:tc>
        <w:tc>
          <w:tcPr>
            <w:tcW w:w="1736"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0.542</w:t>
            </w:r>
          </w:p>
        </w:tc>
      </w:tr>
      <w:tr>
        <w:trPr>
          <w:trHeight w:val="64"/>
        </w:trPr>
        <w:tc>
          <w:tcPr>
            <w:tcW w:w="1591" w:type="pct"/>
            <w:vMerge w:val="restart"/>
            <w:shd w:val="clear" w:color="auto" w:fill="FFFFFF" w:themeFill="background1"/>
            <w:hideMark/>
          </w:tcPr>
          <w:p>
            <w:pPr>
              <w:pStyle w:val="Body"/>
              <w:keepNext/>
              <w:spacing w:after="0"/>
              <w:jc w:val="left"/>
              <w:rPr>
                <w:rFonts w:ascii="Times New Roman" w:hAnsi="Times New Roman"/>
                <w:b/>
                <w:bCs/>
                <w:noProof/>
                <w:sz w:val="18"/>
                <w:szCs w:val="18"/>
              </w:rPr>
            </w:pPr>
            <w:r>
              <w:rPr>
                <w:rFonts w:ascii="Times New Roman" w:hAnsi="Times New Roman"/>
                <w:bCs/>
                <w:noProof/>
                <w:sz w:val="18"/>
                <w:szCs w:val="18"/>
              </w:rPr>
              <w:t>Liquid bulker</w:t>
            </w: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70,000 DWT</w:t>
            </w:r>
          </w:p>
        </w:tc>
        <w:tc>
          <w:tcPr>
            <w:tcW w:w="1736"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0.876</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80,000 DWT</w:t>
            </w:r>
          </w:p>
        </w:tc>
        <w:tc>
          <w:tcPr>
            <w:tcW w:w="1736" w:type="pct"/>
            <w:shd w:val="clear" w:color="auto" w:fill="FFFFFF" w:themeFill="background1"/>
            <w:vAlign w:val="bottom"/>
            <w:hideMark/>
          </w:tcPr>
          <w:p>
            <w:pPr>
              <w:pStyle w:val="Body"/>
              <w:keepNext/>
              <w:spacing w:after="0"/>
              <w:jc w:val="center"/>
              <w:rPr>
                <w:rFonts w:ascii="Times New Roman" w:hAnsi="Times New Roman"/>
                <w:bCs/>
                <w:noProof/>
                <w:sz w:val="18"/>
                <w:szCs w:val="18"/>
              </w:rPr>
            </w:pPr>
            <w:r>
              <w:rPr>
                <w:rFonts w:ascii="Times New Roman" w:hAnsi="Times New Roman"/>
                <w:noProof/>
                <w:sz w:val="18"/>
                <w:szCs w:val="18"/>
              </w:rPr>
              <w:t>0.876</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90,000 DWT</w:t>
            </w:r>
          </w:p>
        </w:tc>
        <w:tc>
          <w:tcPr>
            <w:tcW w:w="1736" w:type="pct"/>
            <w:shd w:val="clear" w:color="auto" w:fill="FFFFFF" w:themeFill="background1"/>
            <w:vAlign w:val="bottom"/>
            <w:hideMark/>
          </w:tcPr>
          <w:p>
            <w:pPr>
              <w:pStyle w:val="Body"/>
              <w:keepNext/>
              <w:spacing w:after="0"/>
              <w:jc w:val="center"/>
              <w:rPr>
                <w:rFonts w:ascii="Times New Roman" w:hAnsi="Times New Roman"/>
                <w:noProof/>
                <w:sz w:val="18"/>
                <w:szCs w:val="18"/>
              </w:rPr>
            </w:pPr>
            <w:r>
              <w:rPr>
                <w:rFonts w:ascii="Times New Roman" w:hAnsi="Times New Roman"/>
                <w:noProof/>
                <w:sz w:val="18"/>
                <w:szCs w:val="18"/>
              </w:rPr>
              <w:t>0.779</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130,000 DWT</w:t>
            </w:r>
          </w:p>
        </w:tc>
        <w:tc>
          <w:tcPr>
            <w:tcW w:w="1736" w:type="pct"/>
            <w:shd w:val="clear" w:color="auto" w:fill="FFFFFF" w:themeFill="background1"/>
            <w:vAlign w:val="bottom"/>
            <w:hideMark/>
          </w:tcPr>
          <w:p>
            <w:pPr>
              <w:pStyle w:val="Body"/>
              <w:keepNext/>
              <w:spacing w:after="0"/>
              <w:jc w:val="center"/>
              <w:rPr>
                <w:rFonts w:ascii="Times New Roman" w:hAnsi="Times New Roman"/>
                <w:bCs/>
                <w:noProof/>
                <w:sz w:val="18"/>
                <w:szCs w:val="18"/>
              </w:rPr>
            </w:pPr>
            <w:r>
              <w:rPr>
                <w:rFonts w:ascii="Times New Roman" w:hAnsi="Times New Roman"/>
                <w:noProof/>
                <w:sz w:val="18"/>
                <w:szCs w:val="18"/>
              </w:rPr>
              <w:t>0.719</w:t>
            </w:r>
          </w:p>
        </w:tc>
      </w:tr>
      <w:tr>
        <w:trPr>
          <w:trHeight w:val="64"/>
        </w:trPr>
        <w:tc>
          <w:tcPr>
            <w:tcW w:w="0" w:type="auto"/>
            <w:vMerge/>
            <w:shd w:val="clear" w:color="auto" w:fill="FFFFFF" w:themeFill="background1"/>
            <w:vAlign w:val="center"/>
            <w:hideMark/>
          </w:tcPr>
          <w:p>
            <w:pPr>
              <w:spacing w:after="0"/>
              <w:rPr>
                <w:rFonts w:ascii="Times New Roman" w:hAnsi="Times New Roman" w:cs="Times New Roman"/>
                <w:b/>
                <w:bCs/>
                <w:noProof/>
                <w:sz w:val="18"/>
                <w:szCs w:val="18"/>
              </w:rPr>
            </w:pPr>
          </w:p>
        </w:tc>
        <w:tc>
          <w:tcPr>
            <w:tcW w:w="1673" w:type="pct"/>
            <w:shd w:val="clear" w:color="auto" w:fill="FFFFFF" w:themeFill="background1"/>
            <w:noWrap/>
            <w:vAlign w:val="bottom"/>
            <w:hideMark/>
          </w:tcPr>
          <w:p>
            <w:pPr>
              <w:pStyle w:val="Body"/>
              <w:keepNext/>
              <w:spacing w:after="0"/>
              <w:jc w:val="right"/>
              <w:rPr>
                <w:rFonts w:ascii="Times New Roman" w:hAnsi="Times New Roman"/>
                <w:bCs/>
                <w:noProof/>
                <w:sz w:val="18"/>
                <w:szCs w:val="18"/>
              </w:rPr>
            </w:pPr>
            <w:r>
              <w:rPr>
                <w:rFonts w:ascii="Times New Roman" w:hAnsi="Times New Roman"/>
                <w:bCs/>
                <w:noProof/>
                <w:sz w:val="18"/>
                <w:szCs w:val="18"/>
              </w:rPr>
              <w:t>135,000 DWT</w:t>
            </w:r>
          </w:p>
        </w:tc>
        <w:tc>
          <w:tcPr>
            <w:tcW w:w="1736" w:type="pct"/>
            <w:shd w:val="clear" w:color="auto" w:fill="FFFFFF" w:themeFill="background1"/>
            <w:vAlign w:val="bottom"/>
            <w:hideMark/>
          </w:tcPr>
          <w:p>
            <w:pPr>
              <w:pStyle w:val="Body"/>
              <w:keepNext/>
              <w:spacing w:after="0"/>
              <w:jc w:val="center"/>
              <w:rPr>
                <w:rFonts w:ascii="Times New Roman" w:hAnsi="Times New Roman"/>
                <w:bCs/>
                <w:noProof/>
                <w:sz w:val="18"/>
                <w:szCs w:val="18"/>
              </w:rPr>
            </w:pPr>
            <w:r>
              <w:rPr>
                <w:rFonts w:ascii="Times New Roman" w:hAnsi="Times New Roman"/>
                <w:noProof/>
                <w:sz w:val="18"/>
                <w:szCs w:val="18"/>
              </w:rPr>
              <w:t>0.719</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keepNext/>
        <w:rPr>
          <w:rFonts w:ascii="Times New Roman" w:hAnsi="Times New Roman"/>
          <w:b/>
          <w:i/>
          <w:noProof/>
          <w:sz w:val="24"/>
          <w:szCs w:val="24"/>
        </w:rPr>
      </w:pPr>
      <w:bookmarkStart w:id="636" w:name="_Hlk54944850"/>
      <w:r>
        <w:rPr>
          <w:rFonts w:ascii="Times New Roman" w:hAnsi="Times New Roman"/>
          <w:b/>
          <w:i/>
          <w:noProof/>
          <w:sz w:val="24"/>
          <w:szCs w:val="24"/>
        </w:rPr>
        <w:t>Results for PO1</w:t>
      </w:r>
    </w:p>
    <w:p>
      <w:pPr>
        <w:pStyle w:val="Body"/>
        <w:keepNext/>
        <w:rPr>
          <w:rFonts w:ascii="Times New Roman" w:hAnsi="Times New Roman"/>
          <w:i/>
          <w:noProof/>
          <w:sz w:val="24"/>
          <w:szCs w:val="24"/>
        </w:rPr>
      </w:pPr>
      <w:r>
        <w:rPr>
          <w:rFonts w:ascii="Times New Roman" w:hAnsi="Times New Roman"/>
          <w:i/>
          <w:noProof/>
          <w:sz w:val="24"/>
          <w:szCs w:val="24"/>
        </w:rPr>
        <w:t>Analysis for container ship routes</w:t>
      </w:r>
    </w:p>
    <w:bookmarkEnd w:id="636"/>
    <w:p>
      <w:pPr>
        <w:pStyle w:val="Body"/>
        <w:spacing w:after="120"/>
        <w:rPr>
          <w:rFonts w:ascii="Times New Roman" w:hAnsi="Times New Roman"/>
          <w:noProof/>
          <w:sz w:val="24"/>
          <w:szCs w:val="24"/>
        </w:rPr>
      </w:pPr>
      <w:r>
        <w:rPr>
          <w:rFonts w:ascii="Times New Roman" w:hAnsi="Times New Roman"/>
          <w:noProof/>
          <w:sz w:val="24"/>
          <w:szCs w:val="24"/>
        </w:rPr>
        <w:t>In case of an intermediate stop to a non-EU/EEA port, total travel time increases in the range of 4% to 13% relative to the Baseline in 2030 depending on the routes (i.e. 34 to 63 additional hours relative to the direct route). The lowest relative increases of about 4% apply to the routes from South East Asia (Shanghai) to North Europe (Antwerp, Rotterdam, Hamburg) with an intermediate stop in Egypt (Port Said) (equivalent to 34 hours), Morocco (Tangier) (equivalent to 35 hours) and United Kingdom (Felixstowe) (equivalent to 37 hours). The highest relative increase of 13% occurs for the route from North America (New York) to North Europe (Antwerp and Rotterdam) with an intermediate stop in United Kingdom (Felixstowe) (equivalent respectively to 39 and 38 hours). The highest absolute increase of 63 hours applies to the route from Shanghai to North Europe (Antwerp, Rotterdam, Hamburg) and to the Mediterranean port of Barcelona with an intermediate stop in Turkey (Mersin). It corresponds to an increase of 8% in total travel time relative to the Baseline.</w:t>
      </w:r>
    </w:p>
    <w:p>
      <w:pPr>
        <w:pStyle w:val="Body"/>
        <w:spacing w:after="120"/>
        <w:rPr>
          <w:rFonts w:ascii="Times New Roman" w:hAnsi="Times New Roman"/>
          <w:noProof/>
          <w:sz w:val="24"/>
          <w:szCs w:val="24"/>
        </w:rPr>
      </w:pPr>
      <w:r>
        <w:rPr>
          <w:rFonts w:ascii="Times New Roman" w:hAnsi="Times New Roman"/>
          <w:noProof/>
          <w:sz w:val="24"/>
          <w:szCs w:val="24"/>
        </w:rPr>
        <w:t>Increases in sailing time are relatively small and in the range of 0% to 5% relative to the Baseline in 2030, as intermediate ports are conveniently located along the routes and require small detours to be reached, while time at ports increases by 59% due to the additional stop</w:t>
      </w:r>
      <w:r>
        <w:rPr>
          <w:rStyle w:val="FootnoteReference"/>
          <w:rFonts w:ascii="Times New Roman" w:hAnsi="Times New Roman"/>
          <w:noProof/>
          <w:sz w:val="24"/>
          <w:szCs w:val="24"/>
        </w:rPr>
        <w:footnoteReference w:id="217"/>
      </w:r>
      <w:r>
        <w:rPr>
          <w:rFonts w:ascii="Times New Roman" w:hAnsi="Times New Roman"/>
          <w:noProof/>
          <w:sz w:val="24"/>
          <w:szCs w:val="24"/>
        </w:rPr>
        <w:t xml:space="preserve">.  </w:t>
      </w:r>
    </w:p>
    <w:p>
      <w:pPr>
        <w:pStyle w:val="Body"/>
        <w:spacing w:after="120"/>
        <w:rPr>
          <w:rFonts w:ascii="Times New Roman" w:hAnsi="Times New Roman"/>
          <w:noProof/>
          <w:sz w:val="24"/>
          <w:szCs w:val="24"/>
        </w:rPr>
      </w:pPr>
      <w:r>
        <w:rPr>
          <w:rFonts w:ascii="Times New Roman" w:hAnsi="Times New Roman"/>
          <w:noProof/>
          <w:sz w:val="24"/>
          <w:szCs w:val="24"/>
        </w:rPr>
        <w:t xml:space="preserve">The analysis of costs shows that for the vast majority of the routes total travel costs increase in the case of an intermediate stop to a non-EU/EEA port. The cost increase ranges from 0.3% for a 21,000 TEU ship travelling from Shanghai to North Europe (Antwerp, Rotterdam, Hamburg) and stopping in Egypt (Port Said) to 9.9% for a 8,000 TEU ship travelling from New York to Barcelona and stopping in Morocco (Tangier). More specifically, for a 21,000 TEU ship travelling from Shanghai to North Europe (Antwerp, Rotterdam, Hamburg), the additional total travel cost ranges from about €14,500 in case of an intermediate stop in Egypt (Port Said) to near € 199,000 in the case of an intermediate stop in Turkey (Mersin). </w:t>
      </w:r>
    </w:p>
    <w:p>
      <w:pPr>
        <w:pStyle w:val="Body"/>
        <w:spacing w:after="120"/>
        <w:rPr>
          <w:rFonts w:ascii="Times New Roman" w:hAnsi="Times New Roman"/>
          <w:noProof/>
          <w:sz w:val="24"/>
          <w:szCs w:val="24"/>
        </w:rPr>
      </w:pPr>
      <w:r>
        <w:rPr>
          <w:rFonts w:ascii="Times New Roman" w:hAnsi="Times New Roman"/>
          <w:noProof/>
          <w:sz w:val="24"/>
          <w:szCs w:val="24"/>
        </w:rPr>
        <w:t xml:space="preserve">Total travel costs slightly decrease only for few routes due to the lower fuel costs, as shown in </w:t>
      </w:r>
      <w:r>
        <w:rPr>
          <w:rFonts w:ascii="Times New Roman" w:hAnsi="Times New Roman"/>
          <w:noProof/>
          <w:sz w:val="24"/>
          <w:szCs w:val="24"/>
        </w:rPr>
        <w:fldChar w:fldCharType="begin"/>
      </w:r>
      <w:r>
        <w:rPr>
          <w:rFonts w:ascii="Times New Roman" w:hAnsi="Times New Roman"/>
          <w:noProof/>
          <w:sz w:val="24"/>
          <w:szCs w:val="24"/>
        </w:rPr>
        <w:instrText xml:space="preserve"> REF _Ref57649834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44</w:t>
      </w:r>
      <w:r>
        <w:rPr>
          <w:rFonts w:ascii="Times New Roman" w:hAnsi="Times New Roman"/>
          <w:noProof/>
          <w:sz w:val="24"/>
          <w:szCs w:val="24"/>
        </w:rPr>
        <w:fldChar w:fldCharType="end"/>
      </w:r>
      <w:r>
        <w:rPr>
          <w:rFonts w:ascii="Times New Roman" w:hAnsi="Times New Roman"/>
          <w:noProof/>
          <w:sz w:val="24"/>
          <w:szCs w:val="24"/>
        </w:rPr>
        <w:t>. This decrease is in the range of 0.1% to 0.8%, depending on the ship type, for the routes from Shanghai to Northern Europe (Antwerp, Rotterdam, Hamburg) with an intermediate stop in Morocco (Tangier) and in United Kingdom (Felixstowe).</w:t>
      </w:r>
    </w:p>
    <w:p>
      <w:pPr>
        <w:pStyle w:val="Caption"/>
        <w:spacing w:after="120"/>
        <w:rPr>
          <w:noProof/>
        </w:rPr>
      </w:pPr>
      <w:bookmarkStart w:id="637" w:name="_Ref57649834"/>
      <w:bookmarkStart w:id="638" w:name="_Toc57796850"/>
      <w:r>
        <w:rPr>
          <w:noProof/>
        </w:rPr>
        <w:t xml:space="preserve">Table </w:t>
      </w:r>
      <w:r>
        <w:rPr>
          <w:noProof/>
        </w:rPr>
        <w:fldChar w:fldCharType="begin"/>
      </w:r>
      <w:r>
        <w:rPr>
          <w:noProof/>
        </w:rPr>
        <w:instrText xml:space="preserve"> SEQ Table \* ARABIC </w:instrText>
      </w:r>
      <w:r>
        <w:rPr>
          <w:noProof/>
        </w:rPr>
        <w:fldChar w:fldCharType="separate"/>
      </w:r>
      <w:r>
        <w:rPr>
          <w:noProof/>
        </w:rPr>
        <w:t>44</w:t>
      </w:r>
      <w:r>
        <w:rPr>
          <w:noProof/>
        </w:rPr>
        <w:fldChar w:fldCharType="end"/>
      </w:r>
      <w:bookmarkEnd w:id="637"/>
      <w:r>
        <w:rPr>
          <w:noProof/>
        </w:rPr>
        <w:t>: Container routes with decreasing total travel costs in PO1 relative to the Baseline (% change of travel costs components</w:t>
      </w:r>
      <w:bookmarkEnd w:id="638"/>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092"/>
        <w:gridCol w:w="1257"/>
        <w:gridCol w:w="1201"/>
        <w:gridCol w:w="1829"/>
        <w:gridCol w:w="906"/>
        <w:gridCol w:w="906"/>
        <w:gridCol w:w="906"/>
        <w:gridCol w:w="906"/>
      </w:tblGrid>
      <w:tr>
        <w:trPr>
          <w:trHeight w:val="645"/>
          <w:tblHeader/>
        </w:trPr>
        <w:tc>
          <w:tcPr>
            <w:tcW w:w="60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698"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667"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01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Intermediate </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Time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t>[%]</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-5.8%</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4.3%</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-5.8%</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4.3%</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4.2%</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-6.1%</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4.8%</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-0.2%</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-6.2%</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-0.3%</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-6.2%</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4.4%</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-0.4%</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-5.8%</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4.3%</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-0.5%</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-5.8%</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4.3%</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-0.5%</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4.2%</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-0.5%</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-6.1%</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4.8%</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-0.6%</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-6.2%</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-6.2%</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4.4%</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-0.8%</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rPr>
          <w:rFonts w:ascii="Times New Roman" w:hAnsi="Times New Roman"/>
          <w:noProof/>
          <w:sz w:val="24"/>
          <w:szCs w:val="24"/>
        </w:rPr>
      </w:pPr>
      <w:r>
        <w:rPr>
          <w:rFonts w:ascii="Times New Roman" w:hAnsi="Times New Roman"/>
          <w:noProof/>
          <w:sz w:val="24"/>
          <w:szCs w:val="24"/>
        </w:rPr>
        <w:t xml:space="preserve">In such cases the total cost saving ranges from a minimum of about € 5,300 for a 14,000 TEU ship stopping in Tangier to a maximum of near € 45,900 for a 21,000 TEU ship stopping in Felixstowe. </w:t>
      </w:r>
    </w:p>
    <w:p>
      <w:pPr>
        <w:pStyle w:val="Caption"/>
        <w:spacing w:after="120"/>
        <w:rPr>
          <w:noProof/>
        </w:rPr>
      </w:pPr>
      <w:bookmarkStart w:id="639" w:name="_Ref57650023"/>
      <w:bookmarkStart w:id="640" w:name="_Toc57796851"/>
      <w:r>
        <w:rPr>
          <w:noProof/>
        </w:rPr>
        <w:t xml:space="preserve">Table </w:t>
      </w:r>
      <w:r>
        <w:rPr>
          <w:noProof/>
        </w:rPr>
        <w:fldChar w:fldCharType="begin"/>
      </w:r>
      <w:r>
        <w:rPr>
          <w:noProof/>
        </w:rPr>
        <w:instrText xml:space="preserve"> SEQ Table \* ARABIC </w:instrText>
      </w:r>
      <w:r>
        <w:rPr>
          <w:noProof/>
        </w:rPr>
        <w:fldChar w:fldCharType="separate"/>
      </w:r>
      <w:r>
        <w:rPr>
          <w:noProof/>
        </w:rPr>
        <w:t>45</w:t>
      </w:r>
      <w:r>
        <w:rPr>
          <w:noProof/>
        </w:rPr>
        <w:fldChar w:fldCharType="end"/>
      </w:r>
      <w:bookmarkEnd w:id="639"/>
      <w:r>
        <w:rPr>
          <w:noProof/>
        </w:rPr>
        <w:t>: Container routes with decreasing total travel costs in PO1 relative to the Baseline (change in travel costs components</w:t>
      </w:r>
      <w:bookmarkEnd w:id="640"/>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059"/>
        <w:gridCol w:w="1226"/>
        <w:gridCol w:w="1282"/>
        <w:gridCol w:w="1797"/>
        <w:gridCol w:w="983"/>
        <w:gridCol w:w="875"/>
        <w:gridCol w:w="908"/>
        <w:gridCol w:w="873"/>
      </w:tblGrid>
      <w:tr>
        <w:trPr>
          <w:trHeight w:val="645"/>
          <w:tblHeader/>
        </w:trPr>
        <w:tc>
          <w:tcPr>
            <w:tcW w:w="588"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681"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712"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998"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Intermediate </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w:t>
            </w:r>
          </w:p>
        </w:tc>
        <w:tc>
          <w:tcPr>
            <w:tcW w:w="54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Fuel cost</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 </w:t>
            </w:r>
          </w:p>
        </w:tc>
        <w:tc>
          <w:tcPr>
            <w:tcW w:w="48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Time cost [€]</w:t>
            </w:r>
            <w:r>
              <w:rPr>
                <w:rFonts w:ascii="Times New Roman" w:hAnsi="Times New Roman" w:cs="Times New Roman"/>
                <w:b/>
                <w:bCs/>
                <w:noProof/>
                <w:sz w:val="16"/>
                <w:szCs w:val="16"/>
                <w:lang w:eastAsia="en-GB"/>
              </w:rPr>
              <w:br/>
            </w:r>
          </w:p>
        </w:tc>
        <w:tc>
          <w:tcPr>
            <w:tcW w:w="504"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Ports cost [€]</w:t>
            </w:r>
            <w:r>
              <w:rPr>
                <w:rFonts w:ascii="Times New Roman" w:hAnsi="Times New Roman" w:cs="Times New Roman"/>
                <w:b/>
                <w:bCs/>
                <w:noProof/>
                <w:sz w:val="16"/>
                <w:szCs w:val="16"/>
                <w:lang w:eastAsia="en-GB"/>
              </w:rPr>
              <w:br/>
            </w:r>
          </w:p>
        </w:tc>
        <w:tc>
          <w:tcPr>
            <w:tcW w:w="485"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TOTAL</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  </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-166,526</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40,417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-5,282</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-166,526</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40,417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-5,282</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-166,526</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40,417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-5,282</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-173,975</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45,250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-7,898</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-178,058</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44,000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-13,230</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-181,868</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42,833</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-18,208</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-222,034</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56,295</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-28,785</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-222,034</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56,295</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-28,785</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-222,034</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56,295</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-28,785</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-231,967</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63,027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-31,985</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-237,410</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61,286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-39,170</w:t>
            </w:r>
          </w:p>
        </w:tc>
      </w:tr>
      <w:tr>
        <w:trPr>
          <w:trHeight w:val="225"/>
        </w:trPr>
        <w:tc>
          <w:tcPr>
            <w:tcW w:w="58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8"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-242,491</w:t>
            </w:r>
          </w:p>
        </w:tc>
        <w:tc>
          <w:tcPr>
            <w:tcW w:w="48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59,661</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-45,876</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spacing w:after="120"/>
        <w:rPr>
          <w:rFonts w:ascii="Times New Roman" w:hAnsi="Times New Roman"/>
          <w:noProof/>
          <w:sz w:val="24"/>
          <w:szCs w:val="24"/>
        </w:rPr>
      </w:pPr>
      <w:r>
        <w:rPr>
          <w:rFonts w:ascii="Times New Roman" w:hAnsi="Times New Roman"/>
          <w:noProof/>
          <w:sz w:val="24"/>
          <w:szCs w:val="24"/>
        </w:rPr>
        <w:t>For all the other analysed combinations for ships departing from Shanghai (18 out of 54 total routes analysed) and directed (i) to Northern Europe (Antwerp, Rotterdam, Hamburg) or (ii) to the Mediterranean region (Genova, Marseille, Barcelona) and performing an intermediate stop in Egypt (Port Said) or in Turkey (Mersin), no reduction in total travel costs occurs.</w:t>
      </w:r>
    </w:p>
    <w:p>
      <w:pPr>
        <w:pStyle w:val="Caption"/>
        <w:spacing w:after="120"/>
        <w:rPr>
          <w:noProof/>
        </w:rPr>
      </w:pPr>
      <w:bookmarkStart w:id="641" w:name="_Ref57792247"/>
      <w:bookmarkStart w:id="642" w:name="_Toc57796852"/>
      <w:r>
        <w:rPr>
          <w:noProof/>
        </w:rPr>
        <w:t xml:space="preserve">Table </w:t>
      </w:r>
      <w:r>
        <w:rPr>
          <w:noProof/>
        </w:rPr>
        <w:fldChar w:fldCharType="begin"/>
      </w:r>
      <w:r>
        <w:rPr>
          <w:noProof/>
        </w:rPr>
        <w:instrText xml:space="preserve"> SEQ Table \* ARABIC </w:instrText>
      </w:r>
      <w:r>
        <w:rPr>
          <w:noProof/>
        </w:rPr>
        <w:fldChar w:fldCharType="separate"/>
      </w:r>
      <w:r>
        <w:rPr>
          <w:noProof/>
        </w:rPr>
        <w:t>46</w:t>
      </w:r>
      <w:r>
        <w:rPr>
          <w:noProof/>
        </w:rPr>
        <w:fldChar w:fldCharType="end"/>
      </w:r>
      <w:bookmarkEnd w:id="641"/>
      <w:r>
        <w:rPr>
          <w:noProof/>
        </w:rPr>
        <w:t>: Other container routes departing from Shanghai (% change of travel costs components in PO1 relative to the Baseline</w:t>
      </w:r>
      <w:bookmarkEnd w:id="642"/>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080"/>
        <w:gridCol w:w="1246"/>
        <w:gridCol w:w="1282"/>
        <w:gridCol w:w="1817"/>
        <w:gridCol w:w="895"/>
        <w:gridCol w:w="895"/>
        <w:gridCol w:w="895"/>
        <w:gridCol w:w="893"/>
      </w:tblGrid>
      <w:tr>
        <w:trPr>
          <w:trHeight w:val="645"/>
        </w:trPr>
        <w:tc>
          <w:tcPr>
            <w:tcW w:w="600"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692"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712"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009"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Intermediate Port</w:t>
            </w:r>
          </w:p>
        </w:tc>
        <w:tc>
          <w:tcPr>
            <w:tcW w:w="497"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t>[%]</w:t>
            </w:r>
          </w:p>
        </w:tc>
        <w:tc>
          <w:tcPr>
            <w:tcW w:w="497"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Time cost </w:t>
            </w:r>
            <w:r>
              <w:rPr>
                <w:rFonts w:ascii="Times New Roman" w:hAnsi="Times New Roman" w:cs="Times New Roman"/>
                <w:b/>
                <w:bCs/>
                <w:noProof/>
                <w:sz w:val="16"/>
                <w:szCs w:val="16"/>
                <w:lang w:eastAsia="en-GB"/>
              </w:rPr>
              <w:br/>
              <w:t>[%]</w:t>
            </w:r>
          </w:p>
        </w:tc>
        <w:tc>
          <w:tcPr>
            <w:tcW w:w="497"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t>[%]</w:t>
            </w:r>
          </w:p>
        </w:tc>
        <w:tc>
          <w:tcPr>
            <w:tcW w:w="49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t>[%]</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4.2%</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0.7%</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4.2%</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0.7%</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-4.5%</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4.1%</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0.7%</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7.7%</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4.0%</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7.8%</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4.0%</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7.6%</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4.0%</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4.2%</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0.3%</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4.2%</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0.3%</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-4.5%</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4.1%</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0.3%</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7.7%</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3.7%</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7.8%</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3.7%</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7.6%</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3.6%</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Genova</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-5.6%</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0.8%</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Marseille</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-5.6%</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0.8%</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Barcelona</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-5.5%</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4.9%</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0.8%</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Genova</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-1.4%</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9.1%</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Marseille</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-1.4%</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9.0%</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4.6%</w:t>
            </w:r>
          </w:p>
        </w:tc>
      </w:tr>
      <w:tr>
        <w:trPr>
          <w:trHeight w:val="225"/>
        </w:trPr>
        <w:tc>
          <w:tcPr>
            <w:tcW w:w="60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Barcelona</w:t>
            </w:r>
          </w:p>
        </w:tc>
        <w:tc>
          <w:tcPr>
            <w:tcW w:w="1009"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-1.3%</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9.1%</w:t>
            </w:r>
          </w:p>
        </w:tc>
        <w:tc>
          <w:tcPr>
            <w:tcW w:w="497"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496"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w:t>
            </w:r>
          </w:p>
        </w:tc>
      </w:tr>
    </w:tbl>
    <w:p>
      <w:pPr>
        <w:pStyle w:val="Body"/>
        <w:spacing w:after="120"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spacing w:after="120"/>
        <w:rPr>
          <w:rFonts w:ascii="Times New Roman" w:hAnsi="Times New Roman"/>
          <w:noProof/>
          <w:sz w:val="24"/>
          <w:szCs w:val="24"/>
        </w:rPr>
      </w:pPr>
      <w:r>
        <w:rPr>
          <w:rFonts w:ascii="Times New Roman" w:hAnsi="Times New Roman"/>
          <w:noProof/>
          <w:sz w:val="24"/>
          <w:szCs w:val="24"/>
        </w:rPr>
        <w:t>More specifically, in such cases total travel costs increase from a minimum of about € 14,500 for a 21,000 TEU ship directed to Northern Europe and stopping in Egypt (Port Said) to a maximum of near € 199,000 for a 21,000  TEU ship directed  as well to Northern Europe but stopping in Turkey (Mersin).</w:t>
      </w:r>
    </w:p>
    <w:p>
      <w:pPr>
        <w:pStyle w:val="Caption"/>
        <w:keepNext/>
        <w:spacing w:after="120"/>
        <w:rPr>
          <w:noProof/>
        </w:rPr>
      </w:pPr>
      <w:bookmarkStart w:id="643" w:name="_Ref57792710"/>
      <w:bookmarkStart w:id="644" w:name="_Toc57796853"/>
      <w:r>
        <w:rPr>
          <w:noProof/>
        </w:rPr>
        <w:t xml:space="preserve">Table </w:t>
      </w:r>
      <w:r>
        <w:rPr>
          <w:noProof/>
        </w:rPr>
        <w:fldChar w:fldCharType="begin"/>
      </w:r>
      <w:r>
        <w:rPr>
          <w:noProof/>
        </w:rPr>
        <w:instrText xml:space="preserve"> SEQ Table \* ARABIC </w:instrText>
      </w:r>
      <w:r>
        <w:rPr>
          <w:noProof/>
        </w:rPr>
        <w:fldChar w:fldCharType="separate"/>
      </w:r>
      <w:r>
        <w:rPr>
          <w:noProof/>
        </w:rPr>
        <w:t>47</w:t>
      </w:r>
      <w:r>
        <w:rPr>
          <w:noProof/>
        </w:rPr>
        <w:fldChar w:fldCharType="end"/>
      </w:r>
      <w:bookmarkEnd w:id="643"/>
      <w:r>
        <w:rPr>
          <w:noProof/>
        </w:rPr>
        <w:t>: Other container routes departing from Shanghai (change of travel costs components in PO1 relative to the Baseline</w:t>
      </w:r>
      <w:bookmarkEnd w:id="644"/>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820"/>
        <w:gridCol w:w="1089"/>
        <w:gridCol w:w="999"/>
        <w:gridCol w:w="2008"/>
        <w:gridCol w:w="1084"/>
        <w:gridCol w:w="1001"/>
        <w:gridCol w:w="1001"/>
        <w:gridCol w:w="1001"/>
      </w:tblGrid>
      <w:tr>
        <w:trPr>
          <w:trHeight w:val="645"/>
          <w:tblHeader/>
        </w:trPr>
        <w:tc>
          <w:tcPr>
            <w:tcW w:w="455"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605"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555"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115"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Intermediate Port</w:t>
            </w:r>
          </w:p>
        </w:tc>
        <w:tc>
          <w:tcPr>
            <w:tcW w:w="602"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r>
          </w:p>
        </w:tc>
        <w:tc>
          <w:tcPr>
            <w:tcW w:w="556"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Time cost </w:t>
            </w:r>
            <w:r>
              <w:rPr>
                <w:rFonts w:ascii="Times New Roman" w:hAnsi="Times New Roman" w:cs="Times New Roman"/>
                <w:b/>
                <w:bCs/>
                <w:noProof/>
                <w:sz w:val="16"/>
                <w:szCs w:val="16"/>
                <w:lang w:eastAsia="en-GB"/>
              </w:rPr>
              <w:br/>
            </w:r>
          </w:p>
        </w:tc>
        <w:tc>
          <w:tcPr>
            <w:tcW w:w="556"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r>
          </w:p>
        </w:tc>
        <w:tc>
          <w:tcPr>
            <w:tcW w:w="556"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-133,294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27,200</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-133,294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27,200</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-133,294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27,200</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-30,130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73,250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163,947</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-30,130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73,250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163,947</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-30,130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73,250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163,947</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-177,726</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55,250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14,479</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-177,726</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55,250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14,479</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-177,726</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55,250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14,479</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-40,174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102,027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198,808</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-40,174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102,027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198,808</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-40,174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102,027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198,808</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Genova</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-133,294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27,200</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Marseille</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-133,294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27,200</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Barcelona</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-133,294</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27,200</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Genova</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-34,213</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72,000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158,614</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Marseille</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-34,213</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72,000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158,614</w:t>
            </w:r>
          </w:p>
        </w:tc>
      </w:tr>
      <w:tr>
        <w:trPr>
          <w:trHeight w:val="225"/>
        </w:trPr>
        <w:tc>
          <w:tcPr>
            <w:tcW w:w="45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0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555"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Barcelona</w:t>
            </w:r>
          </w:p>
        </w:tc>
        <w:tc>
          <w:tcPr>
            <w:tcW w:w="1115"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602"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-30,130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73,250</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55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163,947</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spacing w:after="120"/>
        <w:rPr>
          <w:rFonts w:ascii="Times New Roman" w:hAnsi="Times New Roman"/>
          <w:noProof/>
          <w:sz w:val="24"/>
          <w:szCs w:val="24"/>
        </w:rPr>
      </w:pPr>
      <w:r>
        <w:rPr>
          <w:rFonts w:ascii="Times New Roman" w:hAnsi="Times New Roman"/>
          <w:noProof/>
          <w:sz w:val="24"/>
          <w:szCs w:val="24"/>
        </w:rPr>
        <w:t xml:space="preserve">It should however be noted that these calculations do not consider increases in ports costs and in charter rates over time. These costs are kept constant in real terms (in 2020 prices); this implies that an increase in these costs by 2030 may reduce or even offset the estimated costs savings. </w:t>
      </w:r>
      <w:r>
        <w:rPr>
          <w:rFonts w:ascii="Times New Roman" w:hAnsi="Times New Roman"/>
          <w:noProof/>
          <w:sz w:val="24"/>
          <w:szCs w:val="24"/>
        </w:rPr>
        <w:fldChar w:fldCharType="begin"/>
      </w:r>
      <w:r>
        <w:rPr>
          <w:rFonts w:ascii="Times New Roman" w:hAnsi="Times New Roman"/>
          <w:noProof/>
          <w:sz w:val="24"/>
          <w:szCs w:val="24"/>
        </w:rPr>
        <w:instrText xml:space="preserve"> REF _Ref57735336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48</w:t>
      </w:r>
      <w:r>
        <w:rPr>
          <w:rFonts w:ascii="Times New Roman" w:hAnsi="Times New Roman"/>
          <w:noProof/>
          <w:sz w:val="24"/>
          <w:szCs w:val="24"/>
        </w:rPr>
        <w:fldChar w:fldCharType="end"/>
      </w:r>
      <w:r>
        <w:rPr>
          <w:rFonts w:ascii="Times New Roman" w:hAnsi="Times New Roman"/>
          <w:noProof/>
          <w:sz w:val="24"/>
          <w:szCs w:val="24"/>
        </w:rPr>
        <w:t xml:space="preserve"> shows for each route the percentage increase in charter rates that would offset the cost savings. Similarly, </w:t>
      </w:r>
      <w:r>
        <w:rPr>
          <w:rFonts w:ascii="Times New Roman" w:hAnsi="Times New Roman"/>
          <w:noProof/>
          <w:sz w:val="24"/>
          <w:szCs w:val="24"/>
        </w:rPr>
        <w:fldChar w:fldCharType="begin"/>
      </w:r>
      <w:r>
        <w:rPr>
          <w:rFonts w:ascii="Times New Roman" w:hAnsi="Times New Roman"/>
          <w:noProof/>
          <w:sz w:val="24"/>
          <w:szCs w:val="24"/>
        </w:rPr>
        <w:instrText xml:space="preserve"> REF _Ref57735416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49</w:t>
      </w:r>
      <w:r>
        <w:rPr>
          <w:rFonts w:ascii="Times New Roman" w:hAnsi="Times New Roman"/>
          <w:noProof/>
          <w:sz w:val="24"/>
          <w:szCs w:val="24"/>
        </w:rPr>
        <w:fldChar w:fldCharType="end"/>
      </w:r>
      <w:r>
        <w:rPr>
          <w:rFonts w:ascii="Times New Roman" w:hAnsi="Times New Roman"/>
          <w:noProof/>
          <w:sz w:val="24"/>
          <w:szCs w:val="24"/>
        </w:rPr>
        <w:t xml:space="preserve"> shows for each route the percentage increase in port costs that would offset the cost savings</w:t>
      </w:r>
      <w:r>
        <w:rPr>
          <w:rStyle w:val="FootnoteReference"/>
          <w:rFonts w:ascii="Times New Roman" w:hAnsi="Times New Roman"/>
          <w:noProof/>
          <w:sz w:val="24"/>
          <w:szCs w:val="24"/>
        </w:rPr>
        <w:footnoteReference w:id="218"/>
      </w:r>
      <w:r>
        <w:rPr>
          <w:rFonts w:ascii="Times New Roman" w:hAnsi="Times New Roman"/>
          <w:noProof/>
          <w:sz w:val="24"/>
          <w:szCs w:val="24"/>
        </w:rPr>
        <w:t xml:space="preserve">. </w:t>
      </w:r>
    </w:p>
    <w:p>
      <w:pPr>
        <w:pStyle w:val="Caption"/>
        <w:spacing w:after="120"/>
        <w:rPr>
          <w:noProof/>
        </w:rPr>
      </w:pPr>
      <w:bookmarkStart w:id="645" w:name="_Ref57735336"/>
      <w:bookmarkStart w:id="646" w:name="_Toc57796854"/>
      <w:r>
        <w:rPr>
          <w:noProof/>
        </w:rPr>
        <w:t xml:space="preserve">Table </w:t>
      </w:r>
      <w:r>
        <w:rPr>
          <w:noProof/>
        </w:rPr>
        <w:fldChar w:fldCharType="begin"/>
      </w:r>
      <w:r>
        <w:rPr>
          <w:noProof/>
        </w:rPr>
        <w:instrText xml:space="preserve"> SEQ Table \* ARABIC </w:instrText>
      </w:r>
      <w:r>
        <w:rPr>
          <w:noProof/>
        </w:rPr>
        <w:fldChar w:fldCharType="separate"/>
      </w:r>
      <w:r>
        <w:rPr>
          <w:noProof/>
        </w:rPr>
        <w:t>48</w:t>
      </w:r>
      <w:r>
        <w:rPr>
          <w:noProof/>
        </w:rPr>
        <w:fldChar w:fldCharType="end"/>
      </w:r>
      <w:bookmarkEnd w:id="645"/>
      <w:r>
        <w:rPr>
          <w:noProof/>
        </w:rPr>
        <w:t xml:space="preserve">: Percentage increase in charter rates that would offset the cost savings in </w:t>
      </w:r>
      <w:bookmarkEnd w:id="646"/>
      <w:r>
        <w:rPr>
          <w:noProof/>
        </w:rPr>
        <w:t>PO1</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500"/>
        <w:gridCol w:w="1739"/>
        <w:gridCol w:w="1820"/>
        <w:gridCol w:w="2550"/>
        <w:gridCol w:w="1394"/>
      </w:tblGrid>
      <w:tr>
        <w:trPr>
          <w:trHeight w:val="645"/>
          <w:tblHeader/>
        </w:trPr>
        <w:tc>
          <w:tcPr>
            <w:tcW w:w="83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96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1011"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41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Intermediate </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w:t>
            </w:r>
          </w:p>
        </w:tc>
        <w:tc>
          <w:tcPr>
            <w:tcW w:w="774"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Charter rates increase</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 </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18%</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30%</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43%</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51%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51%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51%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51%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64%</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bottom"/>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77%</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47" w:name="_Ref57735416"/>
      <w:bookmarkStart w:id="648" w:name="_Toc57796855"/>
      <w:r>
        <w:rPr>
          <w:noProof/>
        </w:rPr>
        <w:t xml:space="preserve">Table </w:t>
      </w:r>
      <w:r>
        <w:rPr>
          <w:noProof/>
        </w:rPr>
        <w:fldChar w:fldCharType="begin"/>
      </w:r>
      <w:r>
        <w:rPr>
          <w:noProof/>
        </w:rPr>
        <w:instrText xml:space="preserve"> SEQ Table \* ARABIC </w:instrText>
      </w:r>
      <w:r>
        <w:rPr>
          <w:noProof/>
        </w:rPr>
        <w:fldChar w:fldCharType="separate"/>
      </w:r>
      <w:r>
        <w:rPr>
          <w:noProof/>
        </w:rPr>
        <w:t>49</w:t>
      </w:r>
      <w:r>
        <w:rPr>
          <w:noProof/>
        </w:rPr>
        <w:fldChar w:fldCharType="end"/>
      </w:r>
      <w:bookmarkEnd w:id="647"/>
      <w:r>
        <w:rPr>
          <w:noProof/>
        </w:rPr>
        <w:t xml:space="preserve">: Percentage increase in port costs that would offset the cost savings in </w:t>
      </w:r>
      <w:bookmarkEnd w:id="648"/>
      <w:r>
        <w:rPr>
          <w:noProof/>
        </w:rPr>
        <w:t>PO1</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500"/>
        <w:gridCol w:w="1739"/>
        <w:gridCol w:w="1820"/>
        <w:gridCol w:w="2550"/>
        <w:gridCol w:w="1394"/>
      </w:tblGrid>
      <w:tr>
        <w:trPr>
          <w:trHeight w:val="645"/>
          <w:tblHeader/>
        </w:trPr>
        <w:tc>
          <w:tcPr>
            <w:tcW w:w="83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96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1011"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41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Intermediate </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w:t>
            </w:r>
          </w:p>
        </w:tc>
        <w:tc>
          <w:tcPr>
            <w:tcW w:w="774"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 costs increase</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 </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5%</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5%</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5%</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15%</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24%</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29%</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34%</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spacing w:after="120"/>
        <w:rPr>
          <w:rFonts w:ascii="Times New Roman" w:hAnsi="Times New Roman"/>
          <w:noProof/>
          <w:sz w:val="24"/>
          <w:szCs w:val="24"/>
        </w:rPr>
      </w:pPr>
      <w:r>
        <w:rPr>
          <w:rFonts w:ascii="Times New Roman" w:hAnsi="Times New Roman"/>
          <w:noProof/>
          <w:sz w:val="24"/>
          <w:szCs w:val="24"/>
        </w:rPr>
        <w:t>The analysis of the different cost components shows that, for the vast majority of the routes, total travel costs increase in the case of an intermediate stop to a non-EU/EEA port. Indeed, although fuel costs in the case of route diversion (i.e. with an intermediate stop to a non-EU/EEA port) are expected to reduce in the range of 1% to 6% (i.e. €26,000 to €242,000 depending on the route and the ship type) in 2030 relative to the Baseline, travel time costs are expected to increase in the range of 4% to 13% (i.e. €13,300 to €102,000) and costs at ports are expected to increase by 50% (i.e. €47,500 to €137,000 according to the ship type). These results suggest that the risk of leakage resulting from containers ships’ route diversion to reduce the amount of traffic that falls in scope of the requirements is low.</w:t>
      </w:r>
    </w:p>
    <w:p>
      <w:pPr>
        <w:pStyle w:val="Body"/>
        <w:spacing w:after="120"/>
        <w:rPr>
          <w:rFonts w:ascii="Times New Roman" w:hAnsi="Times New Roman"/>
          <w:noProof/>
          <w:sz w:val="24"/>
          <w:szCs w:val="24"/>
        </w:rPr>
      </w:pPr>
      <w:r>
        <w:rPr>
          <w:rFonts w:ascii="Times New Roman" w:hAnsi="Times New Roman"/>
          <w:noProof/>
          <w:sz w:val="24"/>
          <w:szCs w:val="24"/>
        </w:rPr>
        <w:t>Furthermore, it is worth to consider that container ships usually perform several stops along the route to load/unload cargo and therefore the whole journey from the Origin port to the Destination port would not fall under the scope of the regulation. It might be the case that container ships find a convenience in relocating one of the stops to the closest non-EU/EEA port (rather than performing an additional stop). In such a case however, the leakage would be limited only to the final leg of the trip with limited impacts on the overall effectiveness of the initiative.</w:t>
      </w:r>
    </w:p>
    <w:p>
      <w:pPr>
        <w:pStyle w:val="Body"/>
        <w:rPr>
          <w:rFonts w:ascii="Times New Roman" w:hAnsi="Times New Roman"/>
          <w:i/>
          <w:noProof/>
          <w:sz w:val="24"/>
          <w:szCs w:val="24"/>
        </w:rPr>
      </w:pPr>
      <w:r>
        <w:rPr>
          <w:rFonts w:ascii="Times New Roman" w:hAnsi="Times New Roman"/>
          <w:i/>
          <w:noProof/>
          <w:sz w:val="24"/>
          <w:szCs w:val="24"/>
        </w:rPr>
        <w:t>Analysis for dry bulker routes</w:t>
      </w:r>
    </w:p>
    <w:p>
      <w:pPr>
        <w:pStyle w:val="Body"/>
        <w:spacing w:after="120"/>
        <w:rPr>
          <w:rFonts w:ascii="Times New Roman" w:hAnsi="Times New Roman"/>
          <w:noProof/>
          <w:sz w:val="24"/>
          <w:szCs w:val="24"/>
        </w:rPr>
      </w:pPr>
      <w:r>
        <w:rPr>
          <w:rFonts w:ascii="Times New Roman" w:hAnsi="Times New Roman"/>
          <w:noProof/>
          <w:sz w:val="24"/>
          <w:szCs w:val="24"/>
        </w:rPr>
        <w:t>In case of an additional stop performed to a non-EU/EEA port, total travel time (navigation and time at ports) of dry bulkers for all considered routes is expected to increase in the range of 6% to 13% relative to the Baseline in 2030 (i.e. 36 to 62 additional hours relative to the direct route). The lowest relative increase of near 6% occurs on the routes from North America (New Orleans) to the Mediterranean ports of Italy (Naples and Taranto) with an intermediate stop in Algeria (Oran). The highest relative increase of 13% occurs on the route from South America (Ponta Da Madeira) to North Europe (Rotterdam) with an intermediate stop in United Kingdom (Grimsby).</w:t>
      </w:r>
    </w:p>
    <w:p>
      <w:pPr>
        <w:pStyle w:val="Body"/>
        <w:spacing w:after="120"/>
        <w:rPr>
          <w:rFonts w:ascii="Times New Roman" w:hAnsi="Times New Roman"/>
          <w:noProof/>
          <w:sz w:val="24"/>
          <w:szCs w:val="24"/>
        </w:rPr>
      </w:pPr>
      <w:r>
        <w:rPr>
          <w:rFonts w:ascii="Times New Roman" w:hAnsi="Times New Roman"/>
          <w:noProof/>
          <w:sz w:val="24"/>
          <w:szCs w:val="24"/>
        </w:rPr>
        <w:t>Similarly to the routes for container ships, the increase in sailing time is relatively limited (up to 6%) due to the strategic position of intermediate ports. The increase of time at ports is estimated at 59%.</w:t>
      </w:r>
    </w:p>
    <w:p>
      <w:pPr>
        <w:pStyle w:val="Body"/>
        <w:spacing w:after="120"/>
        <w:rPr>
          <w:rFonts w:ascii="Times New Roman" w:hAnsi="Times New Roman"/>
          <w:noProof/>
          <w:sz w:val="24"/>
          <w:szCs w:val="24"/>
        </w:rPr>
      </w:pPr>
      <w:r>
        <w:rPr>
          <w:rFonts w:ascii="Times New Roman" w:hAnsi="Times New Roman"/>
          <w:noProof/>
          <w:sz w:val="24"/>
          <w:szCs w:val="24"/>
        </w:rPr>
        <w:t>For all considered routes total travel costs are expected to go up by 5% to 14% (i.e. €25,000 to €202,000 depending on the route and the ship type) in case of an additional stop performed to a non-EU/EEA port.</w:t>
      </w:r>
    </w:p>
    <w:p>
      <w:pPr>
        <w:pStyle w:val="Body"/>
        <w:spacing w:after="120"/>
        <w:rPr>
          <w:rFonts w:ascii="Times New Roman" w:hAnsi="Times New Roman"/>
          <w:noProof/>
          <w:sz w:val="24"/>
          <w:szCs w:val="24"/>
        </w:rPr>
      </w:pPr>
      <w:r>
        <w:rPr>
          <w:rFonts w:ascii="Times New Roman" w:hAnsi="Times New Roman"/>
          <w:noProof/>
          <w:sz w:val="24"/>
          <w:szCs w:val="24"/>
        </w:rPr>
        <w:t>More specifically, the analysis of the different cost components shows that although fuel costs in the case of an intermediate stop are expected to reduce by up to 5% (i.e. €2,700 to €33,500), travel time costs are expected to increase in the range of 6% to 13% (i.e. € 11,000 to € 50,000) and costs at ports are expected to increase by 50% (i.e. €27,000 to €163,000). On the basis of this analysis it can be concluded that the risk of leakage resulting from dry bulkers’ route diversion to reduce the amount of traffic that falls in scope of the requirements is very low.</w:t>
      </w:r>
    </w:p>
    <w:p>
      <w:pPr>
        <w:pStyle w:val="Body"/>
        <w:rPr>
          <w:rFonts w:ascii="Times New Roman" w:hAnsi="Times New Roman"/>
          <w:i/>
          <w:noProof/>
          <w:sz w:val="24"/>
          <w:szCs w:val="24"/>
        </w:rPr>
      </w:pPr>
      <w:r>
        <w:rPr>
          <w:rFonts w:ascii="Times New Roman" w:hAnsi="Times New Roman"/>
          <w:i/>
          <w:noProof/>
          <w:sz w:val="24"/>
          <w:szCs w:val="24"/>
        </w:rPr>
        <w:t>Analysis for tankers routes</w:t>
      </w:r>
    </w:p>
    <w:p>
      <w:pPr>
        <w:pStyle w:val="Body"/>
        <w:spacing w:after="120"/>
        <w:rPr>
          <w:rFonts w:ascii="Times New Roman" w:hAnsi="Times New Roman"/>
          <w:noProof/>
          <w:sz w:val="24"/>
          <w:szCs w:val="24"/>
        </w:rPr>
      </w:pPr>
      <w:r>
        <w:rPr>
          <w:rFonts w:ascii="Times New Roman" w:hAnsi="Times New Roman"/>
          <w:noProof/>
          <w:sz w:val="24"/>
          <w:szCs w:val="24"/>
        </w:rPr>
        <w:t>The increase of total travel time (navigation and time at ports) of tankers for all considered routes in case of an additional stop performed to a non-EU/EEA port is in the range of 6% to 20% (i.e. 35 to 61 additional hours depending on the route). More specifically, the increase in sailing time ranges between 0% and 5% and the increase of time at ports is around 59%.</w:t>
      </w:r>
    </w:p>
    <w:p>
      <w:pPr>
        <w:pStyle w:val="Body"/>
        <w:spacing w:after="120"/>
        <w:rPr>
          <w:rFonts w:ascii="Times New Roman" w:hAnsi="Times New Roman"/>
          <w:noProof/>
          <w:sz w:val="24"/>
          <w:szCs w:val="24"/>
        </w:rPr>
      </w:pPr>
      <w:r>
        <w:rPr>
          <w:rFonts w:ascii="Times New Roman" w:hAnsi="Times New Roman"/>
          <w:noProof/>
          <w:sz w:val="24"/>
          <w:szCs w:val="24"/>
        </w:rPr>
        <w:t xml:space="preserve">The lowest relative increase of near 6% occurs on the routes from the Arabian Gulf (Ju’aymah) to the Northern Europe ports (Antwerp and Rotterdam) with an intermediate stop in Egypt (Alexandria). The highest relative increase of 20% occurs on the route from North Africa (Arzew) to North Europe (Antwerp and Rotterdam) with an intermediate stop in United Kingdom (Medway). </w:t>
      </w:r>
    </w:p>
    <w:p>
      <w:pPr>
        <w:pStyle w:val="Body"/>
        <w:spacing w:after="120"/>
        <w:rPr>
          <w:rFonts w:ascii="Times New Roman" w:hAnsi="Times New Roman"/>
          <w:noProof/>
          <w:sz w:val="24"/>
          <w:szCs w:val="24"/>
        </w:rPr>
      </w:pPr>
      <w:r>
        <w:rPr>
          <w:rFonts w:ascii="Times New Roman" w:hAnsi="Times New Roman"/>
          <w:noProof/>
          <w:sz w:val="24"/>
          <w:szCs w:val="24"/>
        </w:rPr>
        <w:t>For all considered routes total travel costs are expected to increase in case of an additional stop performed to a non-EU/EEA. This increase is estimated in the range of 7% to 23% (i.e. €71,000 to €133,000) depending on the route and the ship type. The analysis of the different cost components shows that, although fuel costs are expected to reduce in the case of an intermediate stop to a non-EU/EEA ports by up to 6% (i.e. €1,900 to €21,600), travel time costs are expected to increase in the range of 6% to 20% (i.e. €26,000 and €50,000) and costs at ports are expected to increase by 50% (i.e. €61,000 to €97,000). On the basis of this analysis it can be concluded that the risk of leakage resulting from tankers’ route diversion to reduce the amount of traffic that falls in scope of the initiative is very low.</w:t>
      </w:r>
    </w:p>
    <w:p>
      <w:pPr>
        <w:pStyle w:val="Body"/>
        <w:rPr>
          <w:rFonts w:ascii="Times New Roman" w:hAnsi="Times New Roman"/>
          <w:b/>
          <w:i/>
          <w:noProof/>
          <w:sz w:val="24"/>
          <w:szCs w:val="24"/>
        </w:rPr>
      </w:pPr>
      <w:r>
        <w:rPr>
          <w:rFonts w:ascii="Times New Roman" w:hAnsi="Times New Roman"/>
          <w:b/>
          <w:i/>
          <w:noProof/>
          <w:sz w:val="24"/>
          <w:szCs w:val="24"/>
        </w:rPr>
        <w:t>Results for PO3</w:t>
      </w:r>
    </w:p>
    <w:p>
      <w:pPr>
        <w:pStyle w:val="Body"/>
        <w:rPr>
          <w:rFonts w:ascii="Times New Roman" w:hAnsi="Times New Roman"/>
          <w:i/>
          <w:noProof/>
          <w:sz w:val="24"/>
          <w:szCs w:val="24"/>
        </w:rPr>
      </w:pPr>
      <w:r>
        <w:rPr>
          <w:rFonts w:ascii="Times New Roman" w:hAnsi="Times New Roman"/>
          <w:i/>
          <w:noProof/>
          <w:sz w:val="24"/>
          <w:szCs w:val="24"/>
        </w:rPr>
        <w:t>Analysis for container ship routes</w:t>
      </w:r>
    </w:p>
    <w:p>
      <w:pPr>
        <w:pStyle w:val="Body"/>
        <w:spacing w:after="120"/>
        <w:rPr>
          <w:rFonts w:ascii="Times New Roman" w:eastAsia="Calibri" w:hAnsi="Times New Roman"/>
          <w:i/>
          <w:noProof/>
          <w:sz w:val="18"/>
          <w:szCs w:val="18"/>
        </w:rPr>
      </w:pPr>
      <w:r>
        <w:rPr>
          <w:rFonts w:ascii="Times New Roman" w:hAnsi="Times New Roman"/>
          <w:noProof/>
          <w:sz w:val="24"/>
          <w:szCs w:val="24"/>
        </w:rPr>
        <w:fldChar w:fldCharType="begin"/>
      </w:r>
      <w:r>
        <w:rPr>
          <w:rFonts w:ascii="Times New Roman" w:hAnsi="Times New Roman"/>
          <w:noProof/>
          <w:sz w:val="24"/>
          <w:szCs w:val="24"/>
        </w:rPr>
        <w:instrText xml:space="preserve"> REF _Ref56419470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56</w:t>
      </w:r>
      <w:r>
        <w:rPr>
          <w:rFonts w:ascii="Times New Roman" w:hAnsi="Times New Roman"/>
          <w:noProof/>
          <w:sz w:val="24"/>
          <w:szCs w:val="24"/>
        </w:rPr>
        <w:fldChar w:fldCharType="end"/>
      </w:r>
      <w:r>
        <w:rPr>
          <w:rFonts w:ascii="Times New Roman" w:hAnsi="Times New Roman"/>
          <w:noProof/>
          <w:sz w:val="24"/>
          <w:szCs w:val="24"/>
        </w:rPr>
        <w:t xml:space="preserve"> and </w:t>
      </w:r>
      <w:r>
        <w:rPr>
          <w:rFonts w:ascii="Times New Roman" w:hAnsi="Times New Roman"/>
          <w:noProof/>
          <w:sz w:val="24"/>
          <w:szCs w:val="24"/>
        </w:rPr>
        <w:fldChar w:fldCharType="begin"/>
      </w:r>
      <w:r>
        <w:rPr>
          <w:rFonts w:ascii="Times New Roman" w:hAnsi="Times New Roman"/>
          <w:noProof/>
          <w:sz w:val="24"/>
          <w:szCs w:val="24"/>
        </w:rPr>
        <w:instrText xml:space="preserve"> REF _Ref56419481 \h  \* MERGEFORMAT </w:instrText>
      </w:r>
      <w:r>
        <w:rPr>
          <w:rFonts w:ascii="Times New Roman" w:hAnsi="Times New Roman"/>
          <w:noProof/>
          <w:sz w:val="24"/>
          <w:szCs w:val="24"/>
        </w:rPr>
      </w:r>
      <w:r>
        <w:rPr>
          <w:rFonts w:ascii="Times New Roman" w:hAnsi="Times New Roman"/>
          <w:noProof/>
          <w:sz w:val="24"/>
          <w:szCs w:val="24"/>
        </w:rPr>
        <w:fldChar w:fldCharType="separate"/>
      </w:r>
      <w:r>
        <w:rPr>
          <w:noProof/>
        </w:rPr>
        <w:t xml:space="preserve">Source: </w:t>
      </w:r>
      <w:r>
        <w:rPr>
          <w:rFonts w:ascii="Times New Roman" w:eastAsia="Calibri" w:hAnsi="Times New Roman"/>
          <w:i/>
          <w:noProof/>
          <w:sz w:val="18"/>
          <w:szCs w:val="18"/>
        </w:rPr>
        <w:t>TRUST model, TRT</w:t>
      </w:r>
    </w:p>
    <w:p>
      <w:pPr>
        <w:pStyle w:val="Caption"/>
        <w:rPr>
          <w:noProof/>
        </w:rPr>
      </w:pPr>
    </w:p>
    <w:p>
      <w:pPr>
        <w:pStyle w:val="Body"/>
        <w:spacing w:after="120"/>
        <w:rPr>
          <w:rFonts w:ascii="Times New Roman" w:hAnsi="Times New Roman"/>
          <w:noProof/>
          <w:sz w:val="24"/>
          <w:szCs w:val="24"/>
        </w:rPr>
      </w:pPr>
      <w:r>
        <w:rPr>
          <w:noProof/>
        </w:rPr>
        <w:t>Table 57</w:t>
      </w:r>
      <w:r>
        <w:rPr>
          <w:rFonts w:ascii="Times New Roman" w:hAnsi="Times New Roman"/>
          <w:noProof/>
          <w:sz w:val="24"/>
          <w:szCs w:val="24"/>
        </w:rPr>
        <w:fldChar w:fldCharType="end"/>
      </w:r>
      <w:r>
        <w:rPr>
          <w:rFonts w:ascii="Times New Roman" w:hAnsi="Times New Roman"/>
          <w:noProof/>
          <w:sz w:val="24"/>
          <w:szCs w:val="24"/>
        </w:rPr>
        <w:t xml:space="preserve"> provide the comparison of travel times and related components for the analysed container ships along the different routes in two cases (a direct route from the origin non-EU/EEA port to the destination EU/EEA port and a route with a stop to an intermediate non-EU/EEA port). Due to the additional stop, total travel time increases in the range of 4% to 13% depending on the routes</w:t>
      </w:r>
      <w:r>
        <w:rPr>
          <w:rStyle w:val="FootnoteReference"/>
          <w:rFonts w:ascii="Times New Roman" w:hAnsi="Times New Roman"/>
          <w:noProof/>
          <w:sz w:val="24"/>
          <w:szCs w:val="24"/>
        </w:rPr>
        <w:footnoteReference w:id="219"/>
      </w:r>
      <w:r>
        <w:rPr>
          <w:rFonts w:ascii="Times New Roman" w:hAnsi="Times New Roman"/>
          <w:noProof/>
          <w:sz w:val="24"/>
          <w:szCs w:val="24"/>
        </w:rPr>
        <w:t>.</w:t>
      </w:r>
    </w:p>
    <w:p>
      <w:pPr>
        <w:pStyle w:val="Body"/>
        <w:spacing w:after="120"/>
        <w:rPr>
          <w:rFonts w:ascii="Times New Roman" w:hAnsi="Times New Roman"/>
          <w:noProof/>
          <w:sz w:val="24"/>
          <w:szCs w:val="24"/>
        </w:rPr>
      </w:pPr>
      <w:r>
        <w:rPr>
          <w:rFonts w:ascii="Times New Roman" w:hAnsi="Times New Roman"/>
          <w:noProof/>
          <w:sz w:val="24"/>
          <w:szCs w:val="24"/>
        </w:rPr>
        <w:t xml:space="preserve">As far as travel costs are concerned, it is to be noted that the increase in the costs of blended MGO relative to conventional MGO in PO3 is relatively similar to the increase in PO1. Therefore, there are small differences between the results of PO1 and PO3.  The analysis of travel costs reported in </w:t>
      </w:r>
      <w:r>
        <w:rPr>
          <w:rFonts w:ascii="Times New Roman" w:hAnsi="Times New Roman"/>
          <w:noProof/>
          <w:sz w:val="24"/>
          <w:szCs w:val="24"/>
        </w:rPr>
        <w:fldChar w:fldCharType="begin"/>
      </w:r>
      <w:r>
        <w:rPr>
          <w:rFonts w:ascii="Times New Roman" w:hAnsi="Times New Roman"/>
          <w:noProof/>
          <w:sz w:val="24"/>
          <w:szCs w:val="24"/>
        </w:rPr>
        <w:instrText xml:space="preserve"> REF _Ref56420022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58</w:t>
      </w:r>
      <w:r>
        <w:rPr>
          <w:rFonts w:ascii="Times New Roman" w:hAnsi="Times New Roman"/>
          <w:noProof/>
          <w:sz w:val="24"/>
          <w:szCs w:val="24"/>
        </w:rPr>
        <w:fldChar w:fldCharType="end"/>
      </w:r>
      <w:r>
        <w:rPr>
          <w:rFonts w:ascii="Times New Roman" w:hAnsi="Times New Roman"/>
          <w:noProof/>
          <w:sz w:val="24"/>
          <w:szCs w:val="24"/>
        </w:rPr>
        <w:t xml:space="preserve"> shows that, also in this case for the vast majority of analysed routes total travel costs increase in the case of an intermediate stop to a non-EU/EEA port and that the increase ranges from 0.3% for a 21,000 TEU ship travelling from Shanghai to North Europe (Antwerp, Rotterdam, Hamburg) and stopping in Egypt (Port Said) to 10% for a 8000 TEU ship travelling from New York to Barcelona and stopping in Morocco (Tangier).</w:t>
      </w:r>
    </w:p>
    <w:p>
      <w:pPr>
        <w:pStyle w:val="Body"/>
        <w:spacing w:after="120"/>
        <w:rPr>
          <w:rFonts w:ascii="Times New Roman" w:hAnsi="Times New Roman"/>
          <w:noProof/>
          <w:sz w:val="24"/>
          <w:szCs w:val="24"/>
        </w:rPr>
      </w:pPr>
      <w:r>
        <w:rPr>
          <w:rFonts w:ascii="Times New Roman" w:hAnsi="Times New Roman"/>
          <w:noProof/>
          <w:sz w:val="24"/>
          <w:szCs w:val="24"/>
        </w:rPr>
        <w:t xml:space="preserve">The increase in total travel costs ranges from €17,000 for a 21,000 TEU ship travelling from Shanghai to North Europe (Antwerp, Rotterdam, Hamburg) and performing an intermediate stop in Egypt (Port Said) to near €201,000 if the intermediate stop is performed in Turkey (Mersin). </w:t>
      </w:r>
    </w:p>
    <w:p>
      <w:pPr>
        <w:pStyle w:val="Body"/>
        <w:spacing w:after="120"/>
        <w:rPr>
          <w:rFonts w:ascii="Times New Roman" w:hAnsi="Times New Roman"/>
          <w:noProof/>
          <w:sz w:val="24"/>
          <w:szCs w:val="24"/>
        </w:rPr>
      </w:pPr>
      <w:r>
        <w:rPr>
          <w:rFonts w:ascii="Times New Roman" w:hAnsi="Times New Roman"/>
          <w:noProof/>
          <w:sz w:val="24"/>
          <w:szCs w:val="24"/>
        </w:rPr>
        <w:t xml:space="preserve">In PO3 total travel costs slightly decrease only for few routes, similarly to PO1. More specifically a decrease is observed for 12 out of 54 total analysed combinations of routes and ship types (i.e. 22% of analysed combinations). This decrease, in the range of 0.1% to 0.8% depending on the ship type, occurs only for the routes departing from Shanghai and directed to Northern Europe (Antwerp, Rotterdam, Hamburg) with an intermediate stop in Morocco (Tangier) and in United Kingdom (Felixstowe). </w:t>
      </w:r>
    </w:p>
    <w:p>
      <w:pPr>
        <w:pStyle w:val="Caption"/>
        <w:spacing w:after="120"/>
        <w:rPr>
          <w:noProof/>
        </w:rPr>
      </w:pPr>
      <w:bookmarkStart w:id="649" w:name="_Ref57712761"/>
      <w:bookmarkStart w:id="650" w:name="_Toc57796856"/>
      <w:r>
        <w:rPr>
          <w:noProof/>
        </w:rPr>
        <w:t xml:space="preserve">Table </w:t>
      </w:r>
      <w:r>
        <w:rPr>
          <w:noProof/>
        </w:rPr>
        <w:fldChar w:fldCharType="begin"/>
      </w:r>
      <w:r>
        <w:rPr>
          <w:noProof/>
        </w:rPr>
        <w:instrText xml:space="preserve"> SEQ Table \* ARABIC </w:instrText>
      </w:r>
      <w:r>
        <w:rPr>
          <w:noProof/>
        </w:rPr>
        <w:fldChar w:fldCharType="separate"/>
      </w:r>
      <w:r>
        <w:rPr>
          <w:noProof/>
        </w:rPr>
        <w:t>50</w:t>
      </w:r>
      <w:r>
        <w:rPr>
          <w:noProof/>
        </w:rPr>
        <w:fldChar w:fldCharType="end"/>
      </w:r>
      <w:bookmarkEnd w:id="649"/>
      <w:r>
        <w:rPr>
          <w:noProof/>
        </w:rPr>
        <w:t>: Container routes with decreasing total travel costs in PO3 relative to the Baseline (% change of travel costs components</w:t>
      </w:r>
      <w:bookmarkEnd w:id="650"/>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092"/>
        <w:gridCol w:w="1257"/>
        <w:gridCol w:w="1201"/>
        <w:gridCol w:w="1829"/>
        <w:gridCol w:w="906"/>
        <w:gridCol w:w="906"/>
        <w:gridCol w:w="906"/>
        <w:gridCol w:w="906"/>
      </w:tblGrid>
      <w:tr>
        <w:trPr>
          <w:trHeight w:val="645"/>
          <w:tblHeader/>
        </w:trPr>
        <w:tc>
          <w:tcPr>
            <w:tcW w:w="60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698"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667"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01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Intermediate Port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Time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t>[%]</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4.3%</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4.3%</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-5.6%</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4.2%</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4.8%</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-6.1%</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-0.3%</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-6.1%</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4.4%</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-0.4%</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4.3%</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-0.5%</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4.3%</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-0.5%</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-5.6%</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4.2%</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-0.5%</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4.8%</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-0.5%</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-6.1%</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4.7%</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-6.1%</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4.4%</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lang w:eastAsia="en-GB"/>
              </w:rPr>
              <w:t>-0.8%</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spacing w:after="120"/>
        <w:rPr>
          <w:rFonts w:ascii="Times New Roman" w:hAnsi="Times New Roman"/>
          <w:noProof/>
          <w:sz w:val="24"/>
          <w:szCs w:val="24"/>
        </w:rPr>
      </w:pPr>
      <w:r>
        <w:rPr>
          <w:rFonts w:ascii="Times New Roman" w:hAnsi="Times New Roman"/>
          <w:noProof/>
          <w:sz w:val="24"/>
          <w:szCs w:val="24"/>
        </w:rPr>
        <w:t xml:space="preserve">In such cases the total cost saving ranges from €2,700 for a 14,000 TEU ship stopping in Tangier to near €42,000 for a 21,000 TEU ship stopping in Felixstowe (see </w:t>
      </w:r>
      <w:r>
        <w:rPr>
          <w:rFonts w:ascii="Times New Roman" w:hAnsi="Times New Roman"/>
          <w:noProof/>
          <w:sz w:val="24"/>
          <w:szCs w:val="24"/>
        </w:rPr>
        <w:fldChar w:fldCharType="begin"/>
      </w:r>
      <w:r>
        <w:rPr>
          <w:rFonts w:ascii="Times New Roman" w:hAnsi="Times New Roman"/>
          <w:noProof/>
          <w:sz w:val="24"/>
          <w:szCs w:val="24"/>
        </w:rPr>
        <w:instrText xml:space="preserve"> REF _Ref57713013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51</w:t>
      </w:r>
      <w:r>
        <w:rPr>
          <w:rFonts w:ascii="Times New Roman" w:hAnsi="Times New Roman"/>
          <w:noProof/>
          <w:sz w:val="24"/>
          <w:szCs w:val="24"/>
        </w:rPr>
        <w:fldChar w:fldCharType="end"/>
      </w:r>
      <w:r>
        <w:rPr>
          <w:rFonts w:ascii="Times New Roman" w:hAnsi="Times New Roman"/>
          <w:noProof/>
          <w:sz w:val="24"/>
          <w:szCs w:val="24"/>
        </w:rPr>
        <w:t>).</w:t>
      </w:r>
    </w:p>
    <w:p>
      <w:pPr>
        <w:pStyle w:val="Caption"/>
        <w:spacing w:after="120"/>
        <w:rPr>
          <w:noProof/>
        </w:rPr>
      </w:pPr>
      <w:bookmarkStart w:id="651" w:name="_Ref57713013"/>
      <w:bookmarkStart w:id="652" w:name="_Toc57796857"/>
      <w:r>
        <w:rPr>
          <w:noProof/>
        </w:rPr>
        <w:t xml:space="preserve">Table </w:t>
      </w:r>
      <w:r>
        <w:rPr>
          <w:noProof/>
        </w:rPr>
        <w:fldChar w:fldCharType="begin"/>
      </w:r>
      <w:r>
        <w:rPr>
          <w:noProof/>
        </w:rPr>
        <w:instrText xml:space="preserve"> SEQ Table \* ARABIC </w:instrText>
      </w:r>
      <w:r>
        <w:rPr>
          <w:noProof/>
        </w:rPr>
        <w:fldChar w:fldCharType="separate"/>
      </w:r>
      <w:r>
        <w:rPr>
          <w:noProof/>
        </w:rPr>
        <w:t>51</w:t>
      </w:r>
      <w:r>
        <w:rPr>
          <w:noProof/>
        </w:rPr>
        <w:fldChar w:fldCharType="end"/>
      </w:r>
      <w:bookmarkEnd w:id="651"/>
      <w:r>
        <w:rPr>
          <w:noProof/>
        </w:rPr>
        <w:t>: Container routes with decreasing total travel costs in PO3 relative to the Baseline (change of travel costs components</w:t>
      </w:r>
      <w:bookmarkEnd w:id="652"/>
      <w:r>
        <w:rPr>
          <w:noProof/>
        </w:rPr>
        <w:t xml:space="preser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057"/>
        <w:gridCol w:w="1226"/>
        <w:gridCol w:w="1284"/>
        <w:gridCol w:w="1797"/>
        <w:gridCol w:w="983"/>
        <w:gridCol w:w="875"/>
        <w:gridCol w:w="908"/>
        <w:gridCol w:w="873"/>
      </w:tblGrid>
      <w:tr>
        <w:trPr>
          <w:trHeight w:val="645"/>
          <w:tblHeader/>
        </w:trPr>
        <w:tc>
          <w:tcPr>
            <w:tcW w:w="587"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681"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713"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998"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Intermediate </w:t>
            </w:r>
          </w:p>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w:t>
            </w:r>
          </w:p>
        </w:tc>
        <w:tc>
          <w:tcPr>
            <w:tcW w:w="546"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Fuel cost</w:t>
            </w:r>
          </w:p>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  </w:t>
            </w:r>
            <w:r>
              <w:rPr>
                <w:rFonts w:ascii="Times New Roman" w:hAnsi="Times New Roman" w:cs="Times New Roman"/>
                <w:b/>
                <w:bCs/>
                <w:noProof/>
                <w:sz w:val="16"/>
                <w:szCs w:val="16"/>
                <w:lang w:eastAsia="en-GB"/>
              </w:rPr>
              <w:br/>
            </w:r>
          </w:p>
        </w:tc>
        <w:tc>
          <w:tcPr>
            <w:tcW w:w="486"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Time cost </w:t>
            </w:r>
          </w:p>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w:t>
            </w:r>
            <w:r>
              <w:rPr>
                <w:rFonts w:ascii="Times New Roman" w:hAnsi="Times New Roman" w:cs="Times New Roman"/>
                <w:b/>
                <w:bCs/>
                <w:noProof/>
                <w:sz w:val="16"/>
                <w:szCs w:val="16"/>
                <w:lang w:eastAsia="en-GB"/>
              </w:rPr>
              <w:br/>
            </w:r>
          </w:p>
        </w:tc>
        <w:tc>
          <w:tcPr>
            <w:tcW w:w="504"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p>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w:t>
            </w:r>
            <w:r>
              <w:rPr>
                <w:rFonts w:ascii="Times New Roman" w:hAnsi="Times New Roman" w:cs="Times New Roman"/>
                <w:b/>
                <w:bCs/>
                <w:noProof/>
                <w:sz w:val="16"/>
                <w:szCs w:val="16"/>
                <w:lang w:eastAsia="en-GB"/>
              </w:rPr>
              <w:br/>
            </w:r>
          </w:p>
        </w:tc>
        <w:tc>
          <w:tcPr>
            <w:tcW w:w="485"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TOTAL</w:t>
            </w:r>
          </w:p>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  </w:t>
            </w:r>
            <w:r>
              <w:rPr>
                <w:rFonts w:ascii="Times New Roman" w:hAnsi="Times New Roman" w:cs="Times New Roman"/>
                <w:b/>
                <w:bCs/>
                <w:noProof/>
                <w:sz w:val="16"/>
                <w:szCs w:val="16"/>
                <w:lang w:eastAsia="en-GB"/>
              </w:rPr>
              <w:br/>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-163,957</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40,417</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-2,713</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-163,957</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40,417</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-2,713</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-163,957</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40,417</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-2,713</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-171,069</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45,250</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-4,992</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-175,148</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44,000</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-10,320</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-178,955</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42,833</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-15,294</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-218,610</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56,295</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-25,360</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-218,610</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56,295</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-25,360</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-218,610</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56,295</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-25,360</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-228,092</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63,027</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-28,111</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-233,531</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61,286</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-35,290</w:t>
            </w:r>
          </w:p>
        </w:tc>
      </w:tr>
      <w:tr>
        <w:trPr>
          <w:trHeight w:val="225"/>
        </w:trPr>
        <w:tc>
          <w:tcPr>
            <w:tcW w:w="587"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8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3"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8"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54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-238,606</w:t>
            </w:r>
          </w:p>
        </w:tc>
        <w:tc>
          <w:tcPr>
            <w:tcW w:w="486"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59,661</w:t>
            </w:r>
          </w:p>
        </w:tc>
        <w:tc>
          <w:tcPr>
            <w:tcW w:w="504"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5" w:type="pct"/>
            <w:shd w:val="clear" w:color="auto" w:fill="FFFFFF" w:themeFill="background1"/>
            <w:noWrap/>
            <w:vAlign w:val="bottom"/>
            <w:hideMark/>
          </w:tcPr>
          <w:p>
            <w:pPr>
              <w:keepNext/>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-41,991</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spacing w:after="120"/>
        <w:rPr>
          <w:rFonts w:ascii="Times New Roman" w:hAnsi="Times New Roman"/>
          <w:noProof/>
          <w:sz w:val="24"/>
          <w:szCs w:val="24"/>
        </w:rPr>
      </w:pPr>
      <w:r>
        <w:rPr>
          <w:rFonts w:ascii="Times New Roman" w:hAnsi="Times New Roman"/>
          <w:noProof/>
          <w:sz w:val="24"/>
          <w:szCs w:val="24"/>
        </w:rPr>
        <w:t xml:space="preserve">For all the other analysed combinations for ships departing from Shanghai (18 out of 54 total routes analysed) and directed (i) to Northern Europe (Antwerp, Rotterdam, Hamburg) or (ii) to the Mediterranean region (Genova, Marseille, Barcelona) and performing an intermediate stop in Egypt (Port Said) or in Turkey (Mersin), no reduction in total travel costs occurs (see </w:t>
      </w:r>
      <w:r>
        <w:rPr>
          <w:rFonts w:ascii="Times New Roman" w:hAnsi="Times New Roman"/>
          <w:noProof/>
          <w:sz w:val="24"/>
          <w:szCs w:val="24"/>
        </w:rPr>
        <w:fldChar w:fldCharType="begin"/>
      </w:r>
      <w:r>
        <w:rPr>
          <w:rFonts w:ascii="Times New Roman" w:hAnsi="Times New Roman"/>
          <w:noProof/>
          <w:sz w:val="24"/>
          <w:szCs w:val="24"/>
        </w:rPr>
        <w:instrText xml:space="preserve"> REF _Ref57714607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52</w:t>
      </w:r>
      <w:r>
        <w:rPr>
          <w:rFonts w:ascii="Times New Roman" w:hAnsi="Times New Roman"/>
          <w:noProof/>
          <w:sz w:val="24"/>
          <w:szCs w:val="24"/>
        </w:rPr>
        <w:fldChar w:fldCharType="end"/>
      </w:r>
      <w:r>
        <w:rPr>
          <w:rFonts w:ascii="Times New Roman" w:hAnsi="Times New Roman"/>
          <w:noProof/>
          <w:sz w:val="24"/>
          <w:szCs w:val="24"/>
        </w:rPr>
        <w:t>).</w:t>
      </w:r>
    </w:p>
    <w:p>
      <w:pPr>
        <w:pStyle w:val="Caption"/>
        <w:spacing w:after="120"/>
        <w:rPr>
          <w:noProof/>
        </w:rPr>
      </w:pPr>
      <w:bookmarkStart w:id="653" w:name="_Ref57714607"/>
      <w:bookmarkStart w:id="654" w:name="_Toc57796858"/>
      <w:r>
        <w:rPr>
          <w:noProof/>
        </w:rPr>
        <w:t xml:space="preserve">Table </w:t>
      </w:r>
      <w:r>
        <w:rPr>
          <w:noProof/>
        </w:rPr>
        <w:fldChar w:fldCharType="begin"/>
      </w:r>
      <w:r>
        <w:rPr>
          <w:noProof/>
        </w:rPr>
        <w:instrText xml:space="preserve"> SEQ Table \* ARABIC </w:instrText>
      </w:r>
      <w:r>
        <w:rPr>
          <w:noProof/>
        </w:rPr>
        <w:fldChar w:fldCharType="separate"/>
      </w:r>
      <w:r>
        <w:rPr>
          <w:noProof/>
        </w:rPr>
        <w:t>52</w:t>
      </w:r>
      <w:r>
        <w:rPr>
          <w:noProof/>
        </w:rPr>
        <w:fldChar w:fldCharType="end"/>
      </w:r>
      <w:bookmarkEnd w:id="653"/>
      <w:r>
        <w:rPr>
          <w:noProof/>
        </w:rPr>
        <w:t>: Other container routes departing from Shanghai (% change of travel costs components in PO3 relative to the Baseline</w:t>
      </w:r>
      <w:bookmarkEnd w:id="654"/>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092"/>
        <w:gridCol w:w="1257"/>
        <w:gridCol w:w="1201"/>
        <w:gridCol w:w="1829"/>
        <w:gridCol w:w="906"/>
        <w:gridCol w:w="906"/>
        <w:gridCol w:w="906"/>
        <w:gridCol w:w="906"/>
      </w:tblGrid>
      <w:tr>
        <w:trPr>
          <w:trHeight w:val="645"/>
          <w:tblHeader/>
        </w:trPr>
        <w:tc>
          <w:tcPr>
            <w:tcW w:w="60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698"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667"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01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Intermediate Port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Time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t>[%]</w:t>
            </w:r>
          </w:p>
        </w:tc>
        <w:tc>
          <w:tcPr>
            <w:tcW w:w="50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t>[%]</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-4.6%</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4.2%</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-4.6%</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4.2%</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-4.5%</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4.1%</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7.7%</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7.8%</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4.1%</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7.6%</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4.0%</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-4.6%</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4.2%</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0.3%</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-4.6%</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4.2%</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0.3%</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-4.5%</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4.1%</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0.3%</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7.7%</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3.7%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7.8%</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3.7%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7.6%</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3.6%</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Genova</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-5.6%</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0.9%</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Marseille</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-5.5%</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0.9%</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Barcelona</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-5.5%</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4.9%</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0.8%</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Genova</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-1.4%</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9.1%</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Marseille</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-1.4%</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9.0%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4.7%</w:t>
            </w:r>
          </w:p>
        </w:tc>
      </w:tr>
      <w:tr>
        <w:trPr>
          <w:trHeight w:val="225"/>
        </w:trPr>
        <w:tc>
          <w:tcPr>
            <w:tcW w:w="60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9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66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Barcelona</w:t>
            </w:r>
          </w:p>
        </w:tc>
        <w:tc>
          <w:tcPr>
            <w:tcW w:w="10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-1.2%</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9.1%</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50%</w:t>
            </w:r>
          </w:p>
        </w:tc>
        <w:tc>
          <w:tcPr>
            <w:tcW w:w="503" w:type="pct"/>
            <w:shd w:val="clear" w:color="auto" w:fill="FFFFFF" w:themeFill="background1"/>
            <w:noWrap/>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4.8%</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rPr>
          <w:rFonts w:ascii="Times New Roman" w:hAnsi="Times New Roman"/>
          <w:noProof/>
          <w:sz w:val="24"/>
          <w:szCs w:val="24"/>
        </w:rPr>
      </w:pPr>
      <w:r>
        <w:rPr>
          <w:rFonts w:ascii="Times New Roman" w:hAnsi="Times New Roman"/>
          <w:noProof/>
          <w:sz w:val="24"/>
          <w:szCs w:val="24"/>
        </w:rPr>
        <w:t xml:space="preserve">More specifically, in such cases total travel costs increase from around €17,200 for a 21,000 TEU ship directed to Northern Europe and stopping in Egypt (Port Said) to near €201,500 for a 21,000 TEU ship directed  as well to Northern Europe but stopping in Turkey (Mersin) (see </w:t>
      </w:r>
      <w:r>
        <w:rPr>
          <w:rFonts w:ascii="Times New Roman" w:hAnsi="Times New Roman"/>
          <w:noProof/>
          <w:sz w:val="24"/>
          <w:szCs w:val="24"/>
        </w:rPr>
        <w:fldChar w:fldCharType="begin"/>
      </w:r>
      <w:r>
        <w:rPr>
          <w:rFonts w:ascii="Times New Roman" w:hAnsi="Times New Roman"/>
          <w:noProof/>
          <w:sz w:val="24"/>
          <w:szCs w:val="24"/>
        </w:rPr>
        <w:instrText xml:space="preserve"> REF _Ref57715424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53</w:t>
      </w:r>
      <w:r>
        <w:rPr>
          <w:rFonts w:ascii="Times New Roman" w:hAnsi="Times New Roman"/>
          <w:noProof/>
          <w:sz w:val="24"/>
          <w:szCs w:val="24"/>
        </w:rPr>
        <w:fldChar w:fldCharType="end"/>
      </w:r>
      <w:r>
        <w:rPr>
          <w:rFonts w:ascii="Times New Roman" w:hAnsi="Times New Roman"/>
          <w:noProof/>
          <w:sz w:val="24"/>
          <w:szCs w:val="24"/>
        </w:rPr>
        <w:t>).</w:t>
      </w:r>
    </w:p>
    <w:p>
      <w:pPr>
        <w:pStyle w:val="Caption"/>
        <w:spacing w:after="120"/>
        <w:rPr>
          <w:noProof/>
        </w:rPr>
      </w:pPr>
      <w:bookmarkStart w:id="655" w:name="_Ref57715424"/>
      <w:bookmarkStart w:id="656" w:name="_Toc57796859"/>
      <w:r>
        <w:rPr>
          <w:noProof/>
        </w:rPr>
        <w:t xml:space="preserve">Table </w:t>
      </w:r>
      <w:r>
        <w:rPr>
          <w:noProof/>
        </w:rPr>
        <w:fldChar w:fldCharType="begin"/>
      </w:r>
      <w:r>
        <w:rPr>
          <w:noProof/>
        </w:rPr>
        <w:instrText xml:space="preserve"> SEQ Table \* ARABIC </w:instrText>
      </w:r>
      <w:r>
        <w:rPr>
          <w:noProof/>
        </w:rPr>
        <w:fldChar w:fldCharType="separate"/>
      </w:r>
      <w:r>
        <w:rPr>
          <w:noProof/>
        </w:rPr>
        <w:t>53</w:t>
      </w:r>
      <w:r>
        <w:rPr>
          <w:noProof/>
        </w:rPr>
        <w:fldChar w:fldCharType="end"/>
      </w:r>
      <w:bookmarkEnd w:id="655"/>
      <w:r>
        <w:rPr>
          <w:noProof/>
        </w:rPr>
        <w:t>: Other container routes departing from Shanghai (change of travel costs components in PO3 relative to the Baseline</w:t>
      </w:r>
      <w:bookmarkEnd w:id="656"/>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047"/>
        <w:gridCol w:w="1219"/>
        <w:gridCol w:w="1282"/>
        <w:gridCol w:w="1790"/>
        <w:gridCol w:w="983"/>
        <w:gridCol w:w="908"/>
        <w:gridCol w:w="908"/>
        <w:gridCol w:w="866"/>
      </w:tblGrid>
      <w:tr>
        <w:trPr>
          <w:trHeight w:val="645"/>
          <w:tblHeader/>
        </w:trPr>
        <w:tc>
          <w:tcPr>
            <w:tcW w:w="581"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677"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712"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994"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Intermediate Port</w:t>
            </w:r>
          </w:p>
        </w:tc>
        <w:tc>
          <w:tcPr>
            <w:tcW w:w="54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r>
          </w:p>
        </w:tc>
        <w:tc>
          <w:tcPr>
            <w:tcW w:w="504"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Time cost </w:t>
            </w:r>
            <w:r>
              <w:rPr>
                <w:rFonts w:ascii="Times New Roman" w:hAnsi="Times New Roman" w:cs="Times New Roman"/>
                <w:b/>
                <w:bCs/>
                <w:noProof/>
                <w:sz w:val="16"/>
                <w:szCs w:val="16"/>
                <w:lang w:eastAsia="en-GB"/>
              </w:rPr>
              <w:br/>
            </w:r>
          </w:p>
        </w:tc>
        <w:tc>
          <w:tcPr>
            <w:tcW w:w="504"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r>
          </w:p>
        </w:tc>
        <w:tc>
          <w:tcPr>
            <w:tcW w:w="481"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-131,266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29,228</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-131,266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29,228</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-131,266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29,228</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-28,116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73,250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165,962</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-28,116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73,250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165,962</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-28,116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73,250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165,962</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-175,022</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55,250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17,183</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-175,022</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55,250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17,183</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-175,022</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55,250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17,183</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-37,488</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102,027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201,494</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-37,488</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102,027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201,494</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-37,488</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102,027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136,955</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201,494</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Genova</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-131,266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29,228</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Marseille</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-131,266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29,228</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Barcelona</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Port Said (Egypt)</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-131,266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39,667</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29,228</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Genova</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-32,194</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72,000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160,633</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Marseille</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-32,194</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72,000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160,633</w:t>
            </w:r>
          </w:p>
        </w:tc>
      </w:tr>
      <w:tr>
        <w:trPr>
          <w:trHeight w:val="225"/>
        </w:trPr>
        <w:tc>
          <w:tcPr>
            <w:tcW w:w="581"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677"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712"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Barcelona</w:t>
            </w:r>
          </w:p>
        </w:tc>
        <w:tc>
          <w:tcPr>
            <w:tcW w:w="994"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Mersin (Turkey)</w:t>
            </w:r>
          </w:p>
        </w:tc>
        <w:tc>
          <w:tcPr>
            <w:tcW w:w="546"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-28,116</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73,250</w:t>
            </w:r>
          </w:p>
        </w:tc>
        <w:tc>
          <w:tcPr>
            <w:tcW w:w="504"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120,827</w:t>
            </w:r>
          </w:p>
        </w:tc>
        <w:tc>
          <w:tcPr>
            <w:tcW w:w="481" w:type="pct"/>
            <w:shd w:val="clear" w:color="auto" w:fill="FFFFFF" w:themeFill="background1"/>
            <w:noWrap/>
            <w:vAlign w:val="bottom"/>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noProof/>
                <w:sz w:val="16"/>
                <w:szCs w:val="16"/>
              </w:rPr>
              <w:t>165,962</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rPr>
          <w:rFonts w:ascii="Times New Roman" w:hAnsi="Times New Roman"/>
          <w:noProof/>
          <w:sz w:val="24"/>
          <w:szCs w:val="24"/>
        </w:rPr>
      </w:pPr>
      <w:r>
        <w:rPr>
          <w:rFonts w:ascii="Times New Roman" w:hAnsi="Times New Roman"/>
          <w:noProof/>
          <w:sz w:val="24"/>
          <w:szCs w:val="24"/>
        </w:rPr>
        <w:t xml:space="preserve">As in PO1, it should be noted that these calculations do not consider increases in ports costs and in charter rates over time. These costs are kept constant in real terms (in 2020 prices). This implies that an increase in these costs by 2030 may reduce or even offset the estimated costs saving. </w:t>
      </w:r>
      <w:r>
        <w:rPr>
          <w:rFonts w:ascii="Times New Roman" w:hAnsi="Times New Roman"/>
          <w:noProof/>
          <w:sz w:val="24"/>
          <w:szCs w:val="24"/>
        </w:rPr>
        <w:fldChar w:fldCharType="begin"/>
      </w:r>
      <w:r>
        <w:rPr>
          <w:rFonts w:ascii="Times New Roman" w:hAnsi="Times New Roman"/>
          <w:noProof/>
          <w:sz w:val="24"/>
          <w:szCs w:val="24"/>
        </w:rPr>
        <w:instrText xml:space="preserve"> REF _Ref57737554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54</w:t>
      </w:r>
      <w:r>
        <w:rPr>
          <w:rFonts w:ascii="Times New Roman" w:hAnsi="Times New Roman"/>
          <w:noProof/>
          <w:sz w:val="24"/>
          <w:szCs w:val="24"/>
        </w:rPr>
        <w:fldChar w:fldCharType="end"/>
      </w:r>
      <w:r>
        <w:rPr>
          <w:rFonts w:ascii="Times New Roman" w:hAnsi="Times New Roman"/>
          <w:noProof/>
          <w:sz w:val="24"/>
          <w:szCs w:val="24"/>
        </w:rPr>
        <w:t xml:space="preserve"> shows for each route the percentage increase in charter rates that would offset the cost savings. Similarly, </w:t>
      </w:r>
      <w:r>
        <w:rPr>
          <w:rFonts w:ascii="Times New Roman" w:hAnsi="Times New Roman"/>
          <w:noProof/>
          <w:sz w:val="24"/>
          <w:szCs w:val="24"/>
        </w:rPr>
        <w:fldChar w:fldCharType="begin"/>
      </w:r>
      <w:r>
        <w:rPr>
          <w:rFonts w:ascii="Times New Roman" w:hAnsi="Times New Roman"/>
          <w:noProof/>
          <w:sz w:val="24"/>
          <w:szCs w:val="24"/>
        </w:rPr>
        <w:instrText xml:space="preserve"> REF _Ref57737572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55</w:t>
      </w:r>
      <w:r>
        <w:rPr>
          <w:rFonts w:ascii="Times New Roman" w:hAnsi="Times New Roman"/>
          <w:noProof/>
          <w:sz w:val="24"/>
          <w:szCs w:val="24"/>
        </w:rPr>
        <w:fldChar w:fldCharType="end"/>
      </w:r>
      <w:r>
        <w:rPr>
          <w:rFonts w:ascii="Times New Roman" w:hAnsi="Times New Roman"/>
          <w:noProof/>
          <w:sz w:val="24"/>
          <w:szCs w:val="24"/>
        </w:rPr>
        <w:t xml:space="preserve"> shows for each route the percentage increase in port costs that would offset the cost savings</w:t>
      </w:r>
      <w:r>
        <w:rPr>
          <w:rStyle w:val="FootnoteReference"/>
          <w:rFonts w:ascii="Times New Roman" w:hAnsi="Times New Roman"/>
          <w:noProof/>
          <w:sz w:val="24"/>
          <w:szCs w:val="24"/>
        </w:rPr>
        <w:footnoteReference w:id="220"/>
      </w:r>
      <w:r>
        <w:rPr>
          <w:rFonts w:ascii="Times New Roman" w:hAnsi="Times New Roman"/>
          <w:noProof/>
          <w:sz w:val="24"/>
          <w:szCs w:val="24"/>
        </w:rPr>
        <w:t xml:space="preserve">. </w:t>
      </w:r>
    </w:p>
    <w:p>
      <w:pPr>
        <w:pStyle w:val="Caption"/>
        <w:keepNext/>
        <w:spacing w:after="120"/>
        <w:rPr>
          <w:noProof/>
        </w:rPr>
      </w:pPr>
      <w:bookmarkStart w:id="657" w:name="_Ref57737554"/>
      <w:bookmarkStart w:id="658" w:name="_Toc57796860"/>
      <w:r>
        <w:rPr>
          <w:noProof/>
        </w:rPr>
        <w:t xml:space="preserve">Table </w:t>
      </w:r>
      <w:r>
        <w:rPr>
          <w:noProof/>
        </w:rPr>
        <w:fldChar w:fldCharType="begin"/>
      </w:r>
      <w:r>
        <w:rPr>
          <w:noProof/>
        </w:rPr>
        <w:instrText xml:space="preserve"> SEQ Table \* ARABIC </w:instrText>
      </w:r>
      <w:r>
        <w:rPr>
          <w:noProof/>
        </w:rPr>
        <w:fldChar w:fldCharType="separate"/>
      </w:r>
      <w:r>
        <w:rPr>
          <w:noProof/>
        </w:rPr>
        <w:t>54</w:t>
      </w:r>
      <w:r>
        <w:rPr>
          <w:noProof/>
        </w:rPr>
        <w:fldChar w:fldCharType="end"/>
      </w:r>
      <w:bookmarkEnd w:id="657"/>
      <w:r>
        <w:rPr>
          <w:noProof/>
        </w:rPr>
        <w:t xml:space="preserve">: Percentage increase in charter rates that would offset the cost savings in </w:t>
      </w:r>
      <w:bookmarkEnd w:id="658"/>
      <w:r>
        <w:rPr>
          <w:noProof/>
        </w:rPr>
        <w:t>PO3</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500"/>
        <w:gridCol w:w="1739"/>
        <w:gridCol w:w="1820"/>
        <w:gridCol w:w="2550"/>
        <w:gridCol w:w="1394"/>
      </w:tblGrid>
      <w:tr>
        <w:trPr>
          <w:trHeight w:val="645"/>
          <w:tblHeader/>
        </w:trPr>
        <w:tc>
          <w:tcPr>
            <w:tcW w:w="833"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966"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1011"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416"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Intermediate </w:t>
            </w:r>
          </w:p>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w:t>
            </w:r>
          </w:p>
        </w:tc>
        <w:tc>
          <w:tcPr>
            <w:tcW w:w="774" w:type="pct"/>
            <w:shd w:val="clear" w:color="auto" w:fill="FFFFFF" w:themeFill="background1"/>
            <w:vAlign w:val="center"/>
            <w:hideMark/>
          </w:tcPr>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Charter rates increase</w:t>
            </w:r>
          </w:p>
          <w:p>
            <w:pPr>
              <w:keepNext/>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 </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11%</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24%</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36%</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45%</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45%</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45%</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45%</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58%</w:t>
            </w:r>
          </w:p>
        </w:tc>
      </w:tr>
      <w:tr>
        <w:trPr>
          <w:trHeight w:val="225"/>
        </w:trPr>
        <w:tc>
          <w:tcPr>
            <w:tcW w:w="833"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keepNext/>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keepNext/>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59" w:name="_Ref57737572"/>
      <w:bookmarkStart w:id="660" w:name="_Toc57796861"/>
      <w:r>
        <w:rPr>
          <w:noProof/>
        </w:rPr>
        <w:t xml:space="preserve">Table </w:t>
      </w:r>
      <w:r>
        <w:rPr>
          <w:noProof/>
        </w:rPr>
        <w:fldChar w:fldCharType="begin"/>
      </w:r>
      <w:r>
        <w:rPr>
          <w:noProof/>
        </w:rPr>
        <w:instrText xml:space="preserve"> SEQ Table \* ARABIC </w:instrText>
      </w:r>
      <w:r>
        <w:rPr>
          <w:noProof/>
        </w:rPr>
        <w:fldChar w:fldCharType="separate"/>
      </w:r>
      <w:r>
        <w:rPr>
          <w:noProof/>
        </w:rPr>
        <w:t>55</w:t>
      </w:r>
      <w:r>
        <w:rPr>
          <w:noProof/>
        </w:rPr>
        <w:fldChar w:fldCharType="end"/>
      </w:r>
      <w:bookmarkEnd w:id="659"/>
      <w:r>
        <w:rPr>
          <w:noProof/>
        </w:rPr>
        <w:t xml:space="preserve">: Percentage increase in port costs that would offset the cost savings in </w:t>
      </w:r>
      <w:bookmarkEnd w:id="660"/>
      <w:r>
        <w:rPr>
          <w:noProof/>
        </w:rPr>
        <w:t>PO3</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500"/>
        <w:gridCol w:w="1739"/>
        <w:gridCol w:w="1820"/>
        <w:gridCol w:w="2550"/>
        <w:gridCol w:w="1394"/>
      </w:tblGrid>
      <w:tr>
        <w:trPr>
          <w:trHeight w:val="645"/>
          <w:tblHeader/>
        </w:trPr>
        <w:tc>
          <w:tcPr>
            <w:tcW w:w="833"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TEU</w:t>
            </w:r>
          </w:p>
        </w:tc>
        <w:tc>
          <w:tcPr>
            <w:tcW w:w="96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1011"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416"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Intermediate </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w:t>
            </w:r>
          </w:p>
        </w:tc>
        <w:tc>
          <w:tcPr>
            <w:tcW w:w="774" w:type="pct"/>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Port costs increase</w:t>
            </w:r>
          </w:p>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 </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3%</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3%</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3%</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4%</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14,000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19%</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19%</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Tangier (Morocco)</w:t>
            </w:r>
          </w:p>
        </w:tc>
        <w:tc>
          <w:tcPr>
            <w:tcW w:w="774" w:type="pct"/>
            <w:shd w:val="clear" w:color="auto" w:fill="FFFFFF" w:themeFill="background1"/>
            <w:noWrap/>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19%</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26%</w:t>
            </w:r>
          </w:p>
        </w:tc>
      </w:tr>
      <w:tr>
        <w:trPr>
          <w:trHeight w:val="225"/>
        </w:trPr>
        <w:tc>
          <w:tcPr>
            <w:tcW w:w="833"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21,000</w:t>
            </w:r>
          </w:p>
        </w:tc>
        <w:tc>
          <w:tcPr>
            <w:tcW w:w="966"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Shanghai</w:t>
            </w:r>
          </w:p>
        </w:tc>
        <w:tc>
          <w:tcPr>
            <w:tcW w:w="1011"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Hamburg</w:t>
            </w:r>
          </w:p>
        </w:tc>
        <w:tc>
          <w:tcPr>
            <w:tcW w:w="141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Felixstowe (UK)</w:t>
            </w:r>
          </w:p>
        </w:tc>
        <w:tc>
          <w:tcPr>
            <w:tcW w:w="774" w:type="pct"/>
            <w:shd w:val="clear" w:color="auto" w:fill="FFFFFF" w:themeFill="background1"/>
            <w:noWrap/>
            <w:vAlign w:val="center"/>
            <w:hideMark/>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lang w:eastAsia="en-GB"/>
              </w:rPr>
              <w:t>31%</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rPr>
          <w:rFonts w:ascii="Times New Roman" w:hAnsi="Times New Roman"/>
          <w:noProof/>
          <w:sz w:val="24"/>
          <w:szCs w:val="24"/>
        </w:rPr>
      </w:pPr>
      <w:r>
        <w:rPr>
          <w:rFonts w:ascii="Times New Roman" w:hAnsi="Times New Roman"/>
          <w:noProof/>
          <w:sz w:val="24"/>
          <w:szCs w:val="24"/>
        </w:rPr>
        <w:t xml:space="preserve">The analysis of the different cost components  reported in </w:t>
      </w:r>
      <w:r>
        <w:rPr>
          <w:rFonts w:ascii="Times New Roman" w:hAnsi="Times New Roman"/>
          <w:noProof/>
          <w:sz w:val="24"/>
          <w:szCs w:val="24"/>
        </w:rPr>
        <w:fldChar w:fldCharType="begin"/>
      </w:r>
      <w:r>
        <w:rPr>
          <w:rFonts w:ascii="Times New Roman" w:hAnsi="Times New Roman"/>
          <w:noProof/>
          <w:sz w:val="24"/>
          <w:szCs w:val="24"/>
        </w:rPr>
        <w:instrText xml:space="preserve"> REF _Ref56421856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59</w:t>
      </w:r>
      <w:r>
        <w:rPr>
          <w:rFonts w:ascii="Times New Roman" w:hAnsi="Times New Roman"/>
          <w:noProof/>
          <w:sz w:val="24"/>
          <w:szCs w:val="24"/>
        </w:rPr>
        <w:fldChar w:fldCharType="end"/>
      </w:r>
      <w:r>
        <w:rPr>
          <w:rFonts w:ascii="Times New Roman" w:hAnsi="Times New Roman"/>
          <w:noProof/>
          <w:sz w:val="24"/>
          <w:szCs w:val="24"/>
        </w:rPr>
        <w:t xml:space="preserve"> shows that although fuel costs in the case of an intermediate stop to a non-EU/EEA port are expected to reduce in the range of 1% to 6% (i.e. €26,000 to €238,600 depending on the route and the ship type), travel time costs are projected to increase in the range of 4% to 13% (i.e. €13,300 to €102,000) and costs at ports are expected to increase by 50% (i.e. € 47,500 to €137,000 according to the ship type).  As already mentioned above, this results in an increase of total travel costs ranging from about €17,000 for a 21,000 TEU ship travelling from Shanghai to North Europe (Antwerp, Rotterdam, Hamburg) and performing an intermediate stop in Egypt (Port Said) to near €201,000 if the intermediate stop is performed in Turkey (Mersin).</w:t>
      </w:r>
    </w:p>
    <w:p>
      <w:pPr>
        <w:pStyle w:val="Body"/>
        <w:rPr>
          <w:rFonts w:ascii="Times New Roman" w:hAnsi="Times New Roman"/>
          <w:noProof/>
          <w:sz w:val="24"/>
          <w:szCs w:val="24"/>
        </w:rPr>
      </w:pPr>
      <w:r>
        <w:rPr>
          <w:rFonts w:ascii="Times New Roman" w:hAnsi="Times New Roman"/>
          <w:noProof/>
          <w:sz w:val="24"/>
          <w:szCs w:val="24"/>
        </w:rPr>
        <w:t>These results suggest that also in PO3 the risk of leakage resulting from containers ships route diversion to reduce the amount of traffic that falls in scope of the initiative is low.</w:t>
      </w:r>
    </w:p>
    <w:p>
      <w:pPr>
        <w:pStyle w:val="Body"/>
        <w:rPr>
          <w:rFonts w:ascii="Times New Roman" w:hAnsi="Times New Roman"/>
          <w:i/>
          <w:noProof/>
          <w:sz w:val="24"/>
          <w:szCs w:val="24"/>
        </w:rPr>
      </w:pPr>
      <w:r>
        <w:rPr>
          <w:rFonts w:ascii="Times New Roman" w:hAnsi="Times New Roman"/>
          <w:i/>
          <w:noProof/>
          <w:sz w:val="24"/>
          <w:szCs w:val="24"/>
        </w:rPr>
        <w:t>Analysis for dry bulker routes</w:t>
      </w:r>
    </w:p>
    <w:p>
      <w:pPr>
        <w:pStyle w:val="Body"/>
        <w:rPr>
          <w:rFonts w:ascii="Times New Roman" w:hAnsi="Times New Roman"/>
          <w:noProof/>
          <w:sz w:val="24"/>
          <w:szCs w:val="24"/>
        </w:rPr>
      </w:pPr>
      <w:r>
        <w:rPr>
          <w:rFonts w:ascii="Times New Roman" w:hAnsi="Times New Roman"/>
          <w:noProof/>
          <w:sz w:val="24"/>
          <w:szCs w:val="24"/>
        </w:rPr>
        <w:fldChar w:fldCharType="begin"/>
      </w:r>
      <w:r>
        <w:rPr>
          <w:rFonts w:ascii="Times New Roman" w:hAnsi="Times New Roman"/>
          <w:noProof/>
          <w:sz w:val="24"/>
          <w:szCs w:val="24"/>
        </w:rPr>
        <w:instrText xml:space="preserve"> REF _Ref56422207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60</w:t>
      </w:r>
      <w:r>
        <w:rPr>
          <w:rFonts w:ascii="Times New Roman" w:hAnsi="Times New Roman"/>
          <w:noProof/>
          <w:sz w:val="24"/>
          <w:szCs w:val="24"/>
        </w:rPr>
        <w:fldChar w:fldCharType="end"/>
      </w:r>
      <w:r>
        <w:rPr>
          <w:rFonts w:ascii="Times New Roman" w:hAnsi="Times New Roman"/>
          <w:noProof/>
          <w:sz w:val="24"/>
          <w:szCs w:val="24"/>
        </w:rPr>
        <w:t xml:space="preserve"> and </w:t>
      </w:r>
      <w:r>
        <w:rPr>
          <w:rFonts w:ascii="Times New Roman" w:hAnsi="Times New Roman"/>
          <w:noProof/>
          <w:sz w:val="24"/>
          <w:szCs w:val="24"/>
        </w:rPr>
        <w:fldChar w:fldCharType="begin"/>
      </w:r>
      <w:r>
        <w:rPr>
          <w:rFonts w:ascii="Times New Roman" w:hAnsi="Times New Roman"/>
          <w:noProof/>
          <w:sz w:val="24"/>
          <w:szCs w:val="24"/>
        </w:rPr>
        <w:instrText xml:space="preserve"> REF _Ref56422219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61</w:t>
      </w:r>
      <w:r>
        <w:rPr>
          <w:rFonts w:ascii="Times New Roman" w:hAnsi="Times New Roman"/>
          <w:noProof/>
          <w:sz w:val="24"/>
          <w:szCs w:val="24"/>
        </w:rPr>
        <w:fldChar w:fldCharType="end"/>
      </w:r>
      <w:r>
        <w:rPr>
          <w:rFonts w:ascii="Times New Roman" w:hAnsi="Times New Roman"/>
          <w:noProof/>
          <w:sz w:val="24"/>
          <w:szCs w:val="24"/>
        </w:rPr>
        <w:t xml:space="preserve"> provide the analysis of travel time changes and related components for the analysed dry bulker ships along the direct route and the route with a stop to an intermediate non-EU/EEA port). In case of an additional stop, total travel time (navigation and time at ports) of dry bulkers is expected to increase in the range of 6% to 13%. </w:t>
      </w:r>
    </w:p>
    <w:p>
      <w:pPr>
        <w:pStyle w:val="Body"/>
        <w:rPr>
          <w:rFonts w:ascii="Times New Roman" w:eastAsia="Calibri" w:hAnsi="Times New Roman"/>
          <w:i/>
          <w:noProof/>
          <w:sz w:val="18"/>
          <w:szCs w:val="18"/>
        </w:rPr>
      </w:pPr>
      <w:r>
        <w:rPr>
          <w:rFonts w:ascii="Times New Roman" w:hAnsi="Times New Roman"/>
          <w:noProof/>
          <w:sz w:val="24"/>
          <w:szCs w:val="24"/>
        </w:rPr>
        <w:t xml:space="preserve">Looking at the costs reported in </w:t>
      </w:r>
      <w:r>
        <w:rPr>
          <w:rFonts w:ascii="Times New Roman" w:hAnsi="Times New Roman"/>
          <w:noProof/>
          <w:sz w:val="24"/>
          <w:szCs w:val="24"/>
        </w:rPr>
        <w:fldChar w:fldCharType="begin"/>
      </w:r>
      <w:r>
        <w:rPr>
          <w:rFonts w:ascii="Times New Roman" w:hAnsi="Times New Roman"/>
          <w:noProof/>
          <w:sz w:val="24"/>
          <w:szCs w:val="24"/>
        </w:rPr>
        <w:instrText xml:space="preserve"> REF _Ref56422473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 xml:space="preserve">Source: </w:t>
      </w:r>
      <w:r>
        <w:rPr>
          <w:rFonts w:ascii="Times New Roman" w:eastAsia="Calibri" w:hAnsi="Times New Roman"/>
          <w:i/>
          <w:noProof/>
          <w:sz w:val="18"/>
          <w:szCs w:val="18"/>
        </w:rPr>
        <w:t>TRUST model, TRT</w:t>
      </w:r>
    </w:p>
    <w:p>
      <w:pPr>
        <w:pStyle w:val="Body"/>
        <w:rPr>
          <w:rFonts w:ascii="Times New Roman" w:hAnsi="Times New Roman"/>
          <w:noProof/>
          <w:sz w:val="24"/>
          <w:szCs w:val="24"/>
        </w:rPr>
      </w:pPr>
      <w:r>
        <w:rPr>
          <w:noProof/>
        </w:rPr>
        <w:t>Table 62</w:t>
      </w:r>
      <w:r>
        <w:rPr>
          <w:rFonts w:ascii="Times New Roman" w:hAnsi="Times New Roman"/>
          <w:noProof/>
          <w:sz w:val="24"/>
          <w:szCs w:val="24"/>
        </w:rPr>
        <w:fldChar w:fldCharType="end"/>
      </w:r>
      <w:r>
        <w:rPr>
          <w:rFonts w:ascii="Times New Roman" w:hAnsi="Times New Roman"/>
          <w:noProof/>
          <w:sz w:val="24"/>
          <w:szCs w:val="24"/>
        </w:rPr>
        <w:t>, it can be seen that for all considered routes total travel costs are expected to increase in case of an additional stop. This increase is estimated in the range of 5% to 14%. The lowest relative increase of 5% occurs on the routes from North America (New Orleans) to the Mediterranean ports (Marseille, Livorno and Naples) with an intermediate stop in Algeria (Oran). The highest relative increase of 14% occurs on the route from South America (Ponta Da Madeira, Tubarao) to North Europe (Rotterdam) with an intermediate stop in United Kingdom (Grimsby). Overall, total travel costs increase in the range of €25,000 to €202,000 depending on the route and the ship type.</w:t>
      </w:r>
    </w:p>
    <w:p>
      <w:pPr>
        <w:pStyle w:val="Body"/>
        <w:rPr>
          <w:rFonts w:ascii="Times New Roman" w:hAnsi="Times New Roman"/>
          <w:noProof/>
          <w:sz w:val="24"/>
          <w:szCs w:val="24"/>
        </w:rPr>
      </w:pPr>
      <w:r>
        <w:rPr>
          <w:rFonts w:ascii="Times New Roman" w:hAnsi="Times New Roman"/>
          <w:noProof/>
          <w:sz w:val="24"/>
          <w:szCs w:val="24"/>
        </w:rPr>
        <w:t xml:space="preserve">The analysis of the different cost components reported in </w:t>
      </w:r>
      <w:r>
        <w:rPr>
          <w:rFonts w:ascii="Times New Roman" w:hAnsi="Times New Roman"/>
          <w:noProof/>
          <w:sz w:val="24"/>
          <w:szCs w:val="24"/>
        </w:rPr>
        <w:fldChar w:fldCharType="begin"/>
      </w:r>
      <w:r>
        <w:rPr>
          <w:rFonts w:ascii="Times New Roman" w:hAnsi="Times New Roman"/>
          <w:noProof/>
          <w:sz w:val="24"/>
          <w:szCs w:val="24"/>
        </w:rPr>
        <w:instrText xml:space="preserve"> REF _Ref56422638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63</w:t>
      </w:r>
      <w:r>
        <w:rPr>
          <w:rFonts w:ascii="Times New Roman" w:hAnsi="Times New Roman"/>
          <w:noProof/>
          <w:sz w:val="24"/>
          <w:szCs w:val="24"/>
        </w:rPr>
        <w:fldChar w:fldCharType="end"/>
      </w:r>
      <w:r>
        <w:rPr>
          <w:rFonts w:ascii="Times New Roman" w:hAnsi="Times New Roman"/>
          <w:noProof/>
          <w:sz w:val="24"/>
          <w:szCs w:val="24"/>
        </w:rPr>
        <w:t xml:space="preserve"> shows that although fuel costs in the case of an intermediate stop to a non-EU/EEA ports are expected to reduce by up to 5% (i.e. the overall reduction ranges between €2,200 and €32,600), travel time costs would increase in the range of 6% to 13% (i.e. €11,000 to €50,000) and costs at ports are projected to increase by 50% (i.e. €27,000 to €163,000). </w:t>
      </w:r>
    </w:p>
    <w:p>
      <w:pPr>
        <w:pStyle w:val="Body"/>
        <w:rPr>
          <w:rFonts w:ascii="Times New Roman" w:hAnsi="Times New Roman"/>
          <w:noProof/>
          <w:sz w:val="24"/>
          <w:szCs w:val="24"/>
        </w:rPr>
      </w:pPr>
      <w:r>
        <w:rPr>
          <w:rFonts w:ascii="Times New Roman" w:hAnsi="Times New Roman"/>
          <w:noProof/>
          <w:sz w:val="24"/>
          <w:szCs w:val="24"/>
        </w:rPr>
        <w:t>Similarly to PO1, also for PO3 it can be concluded that the risk of leakage resulting from dry bulkers’ route diversion to reduce the amount of traffic that falls in scope of the initiative is very low.</w:t>
      </w:r>
    </w:p>
    <w:p>
      <w:pPr>
        <w:pStyle w:val="Body"/>
        <w:rPr>
          <w:rFonts w:ascii="Times New Roman" w:hAnsi="Times New Roman"/>
          <w:i/>
          <w:noProof/>
          <w:sz w:val="24"/>
          <w:szCs w:val="24"/>
        </w:rPr>
      </w:pPr>
      <w:r>
        <w:rPr>
          <w:rFonts w:ascii="Times New Roman" w:hAnsi="Times New Roman"/>
          <w:i/>
          <w:noProof/>
          <w:sz w:val="24"/>
          <w:szCs w:val="24"/>
        </w:rPr>
        <w:t>Analysis for tankers routes</w:t>
      </w:r>
    </w:p>
    <w:p>
      <w:pPr>
        <w:pStyle w:val="Body"/>
        <w:spacing w:after="120"/>
        <w:rPr>
          <w:rFonts w:ascii="Times New Roman" w:hAnsi="Times New Roman"/>
          <w:noProof/>
          <w:sz w:val="24"/>
          <w:szCs w:val="24"/>
        </w:rPr>
      </w:pPr>
      <w:r>
        <w:rPr>
          <w:rFonts w:ascii="Times New Roman" w:hAnsi="Times New Roman"/>
          <w:noProof/>
          <w:sz w:val="24"/>
          <w:szCs w:val="24"/>
        </w:rPr>
        <w:t xml:space="preserve">In case of an additional stop performed to a non-EU/EEA port, total travel time (navigation and time at ports) of tankers for all considered routes is expected to grow in the range of 6% to 20% (see </w:t>
      </w:r>
      <w:r>
        <w:rPr>
          <w:rFonts w:ascii="Times New Roman" w:hAnsi="Times New Roman"/>
          <w:noProof/>
          <w:sz w:val="24"/>
          <w:szCs w:val="24"/>
        </w:rPr>
        <w:fldChar w:fldCharType="begin"/>
      </w:r>
      <w:r>
        <w:rPr>
          <w:rFonts w:ascii="Times New Roman" w:hAnsi="Times New Roman"/>
          <w:noProof/>
          <w:sz w:val="24"/>
          <w:szCs w:val="24"/>
        </w:rPr>
        <w:instrText xml:space="preserve"> REF _Ref56423364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64</w:t>
      </w:r>
      <w:r>
        <w:rPr>
          <w:rFonts w:ascii="Times New Roman" w:hAnsi="Times New Roman"/>
          <w:noProof/>
          <w:sz w:val="24"/>
          <w:szCs w:val="24"/>
        </w:rPr>
        <w:fldChar w:fldCharType="end"/>
      </w:r>
      <w:r>
        <w:rPr>
          <w:rFonts w:ascii="Times New Roman" w:hAnsi="Times New Roman"/>
          <w:noProof/>
          <w:sz w:val="24"/>
          <w:szCs w:val="24"/>
        </w:rPr>
        <w:t>). The same applies to total travel costs (</w:t>
      </w:r>
      <w:r>
        <w:rPr>
          <w:rFonts w:ascii="Times New Roman" w:hAnsi="Times New Roman"/>
          <w:noProof/>
          <w:sz w:val="24"/>
          <w:szCs w:val="24"/>
        </w:rPr>
        <w:fldChar w:fldCharType="begin"/>
      </w:r>
      <w:r>
        <w:rPr>
          <w:rFonts w:ascii="Times New Roman" w:hAnsi="Times New Roman"/>
          <w:noProof/>
          <w:sz w:val="24"/>
          <w:szCs w:val="24"/>
        </w:rPr>
        <w:instrText xml:space="preserve"> REF _Ref56423472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66</w:t>
      </w:r>
      <w:r>
        <w:rPr>
          <w:rFonts w:ascii="Times New Roman" w:hAnsi="Times New Roman"/>
          <w:noProof/>
          <w:sz w:val="24"/>
          <w:szCs w:val="24"/>
        </w:rPr>
        <w:fldChar w:fldCharType="end"/>
      </w:r>
      <w:r>
        <w:rPr>
          <w:rFonts w:ascii="Times New Roman" w:hAnsi="Times New Roman"/>
          <w:noProof/>
          <w:sz w:val="24"/>
          <w:szCs w:val="24"/>
        </w:rPr>
        <w:t>) that are expected to increase for all considered routes. Depending on the route and the ship type, this increase is estimated in the range of 7% to 23% (i.e. €71,000 to €133,000). The lowest relative increase of 7% occurs on the routes from the Arabian Gulf (Ju’aymah) to the Northern Europe ports (Antwerp, Rotterdam) with an intermediate stop in Egypt (Alexandria). The highest relative increase of 23% occurs on the route from North Africa (Arzew) to North Europe (Antwerp and Rotterdam) with an intermediate stop in United Kingdom (Medway).</w:t>
      </w:r>
    </w:p>
    <w:p>
      <w:pPr>
        <w:pStyle w:val="Body"/>
        <w:spacing w:after="120"/>
        <w:rPr>
          <w:rFonts w:ascii="Times New Roman" w:hAnsi="Times New Roman"/>
          <w:noProof/>
          <w:sz w:val="24"/>
          <w:szCs w:val="24"/>
        </w:rPr>
      </w:pPr>
      <w:r>
        <w:rPr>
          <w:rFonts w:ascii="Times New Roman" w:hAnsi="Times New Roman"/>
          <w:noProof/>
          <w:sz w:val="24"/>
          <w:szCs w:val="24"/>
        </w:rPr>
        <w:t>Looking at the different cost components (</w:t>
      </w:r>
      <w:r>
        <w:rPr>
          <w:rFonts w:ascii="Times New Roman" w:hAnsi="Times New Roman"/>
          <w:noProof/>
          <w:sz w:val="24"/>
          <w:szCs w:val="24"/>
        </w:rPr>
        <w:fldChar w:fldCharType="begin"/>
      </w:r>
      <w:r>
        <w:rPr>
          <w:rFonts w:ascii="Times New Roman" w:hAnsi="Times New Roman"/>
          <w:noProof/>
          <w:sz w:val="24"/>
          <w:szCs w:val="24"/>
        </w:rPr>
        <w:instrText xml:space="preserve"> REF _Ref56423566 \h  \* MERGEFORMAT </w:instrText>
      </w:r>
      <w:r>
        <w:rPr>
          <w:rFonts w:ascii="Times New Roman" w:hAnsi="Times New Roman"/>
          <w:noProof/>
          <w:sz w:val="24"/>
          <w:szCs w:val="24"/>
        </w:rPr>
      </w:r>
      <w:r>
        <w:rPr>
          <w:rFonts w:ascii="Times New Roman" w:hAnsi="Times New Roman"/>
          <w:noProof/>
          <w:sz w:val="24"/>
          <w:szCs w:val="24"/>
        </w:rPr>
        <w:fldChar w:fldCharType="separate"/>
      </w:r>
      <w:r>
        <w:rPr>
          <w:rFonts w:ascii="Times New Roman" w:hAnsi="Times New Roman"/>
          <w:noProof/>
          <w:sz w:val="24"/>
          <w:szCs w:val="24"/>
        </w:rPr>
        <w:t>Table 67</w:t>
      </w:r>
      <w:r>
        <w:rPr>
          <w:rFonts w:ascii="Times New Roman" w:hAnsi="Times New Roman"/>
          <w:noProof/>
          <w:sz w:val="24"/>
          <w:szCs w:val="24"/>
        </w:rPr>
        <w:fldChar w:fldCharType="end"/>
      </w:r>
      <w:r>
        <w:rPr>
          <w:rFonts w:ascii="Times New Roman" w:hAnsi="Times New Roman"/>
          <w:noProof/>
          <w:sz w:val="24"/>
          <w:szCs w:val="24"/>
        </w:rPr>
        <w:t xml:space="preserve">) it can be seen that although fuel costs are expected to reduce in the case of an intermediate stop by up to 5% (i.e. €1,800 to €21,200), travel time costs are projected to increase in the range of 6% to 20% (i.e. €26,000 to €50,000) and costs at ports would increase by 50% (i.e. €61,000 to €97,000). </w:t>
      </w:r>
    </w:p>
    <w:p>
      <w:pPr>
        <w:pStyle w:val="Body"/>
        <w:spacing w:after="120"/>
        <w:rPr>
          <w:rFonts w:ascii="Times New Roman" w:hAnsi="Times New Roman"/>
          <w:noProof/>
          <w:sz w:val="24"/>
          <w:szCs w:val="24"/>
        </w:rPr>
      </w:pPr>
      <w:r>
        <w:rPr>
          <w:rFonts w:ascii="Times New Roman" w:hAnsi="Times New Roman"/>
          <w:noProof/>
          <w:sz w:val="24"/>
          <w:szCs w:val="24"/>
        </w:rPr>
        <w:t>On the basis of this analysis it can be concluded that also for PO3 the risk of leakage resulting from tankers route diversion to reduce the amount of traffic that falls in scope of the requirements is very low.</w:t>
      </w:r>
    </w:p>
    <w:p>
      <w:pPr>
        <w:pStyle w:val="Body"/>
        <w:spacing w:after="120"/>
        <w:rPr>
          <w:rFonts w:ascii="Times New Roman" w:hAnsi="Times New Roman"/>
          <w:noProof/>
          <w:sz w:val="24"/>
          <w:szCs w:val="24"/>
        </w:rPr>
      </w:pPr>
      <w:r>
        <w:rPr>
          <w:rFonts w:ascii="Times New Roman" w:hAnsi="Times New Roman"/>
          <w:noProof/>
          <w:sz w:val="24"/>
          <w:szCs w:val="24"/>
        </w:rPr>
        <w:t>The detailed results for PO3 for all ship types are provided in the tables below.</w:t>
      </w:r>
    </w:p>
    <w:p>
      <w:pPr>
        <w:pStyle w:val="Body"/>
        <w:spacing w:after="120"/>
        <w:rPr>
          <w:rFonts w:ascii="Times New Roman" w:hAnsi="Times New Roman"/>
          <w:noProof/>
          <w:sz w:val="24"/>
          <w:szCs w:val="24"/>
        </w:rPr>
        <w:sectPr>
          <w:headerReference w:type="even" r:id="rId40"/>
          <w:headerReference w:type="default" r:id="rId41"/>
          <w:footerReference w:type="even" r:id="rId42"/>
          <w:footerReference w:type="default" r:id="rId43"/>
          <w:headerReference w:type="first" r:id="rId44"/>
          <w:footerReference w:type="first" r:id="rId45"/>
          <w:pgSz w:w="11906" w:h="16838"/>
          <w:pgMar w:top="1985" w:right="1418" w:bottom="1418" w:left="1701" w:header="283" w:footer="283" w:gutter="0"/>
          <w:cols w:space="720"/>
          <w:docGrid w:linePitch="299"/>
        </w:sectPr>
      </w:pPr>
    </w:p>
    <w:p>
      <w:pPr>
        <w:pStyle w:val="Body"/>
        <w:rPr>
          <w:rFonts w:ascii="Times New Roman" w:hAnsi="Times New Roman"/>
          <w:i/>
          <w:noProof/>
          <w:sz w:val="24"/>
          <w:szCs w:val="24"/>
        </w:rPr>
      </w:pPr>
      <w:bookmarkStart w:id="661" w:name="_Toc57796816"/>
      <w:r>
        <w:rPr>
          <w:rFonts w:ascii="Times New Roman" w:hAnsi="Times New Roman"/>
          <w:i/>
          <w:noProof/>
          <w:sz w:val="24"/>
          <w:szCs w:val="24"/>
        </w:rPr>
        <w:t>Container ship routes</w:t>
      </w:r>
      <w:bookmarkEnd w:id="661"/>
      <w:r>
        <w:rPr>
          <w:rFonts w:ascii="Times New Roman" w:hAnsi="Times New Roman"/>
          <w:i/>
          <w:noProof/>
          <w:sz w:val="24"/>
          <w:szCs w:val="24"/>
        </w:rPr>
        <w:t xml:space="preserve"> – detailed results for PO3</w:t>
      </w:r>
    </w:p>
    <w:p>
      <w:pPr>
        <w:pStyle w:val="Caption"/>
        <w:spacing w:after="120"/>
        <w:rPr>
          <w:noProof/>
        </w:rPr>
      </w:pPr>
      <w:bookmarkStart w:id="662" w:name="_Ref56419470"/>
      <w:bookmarkStart w:id="663" w:name="_Toc57796890"/>
      <w:r>
        <w:rPr>
          <w:noProof/>
        </w:rPr>
        <w:t xml:space="preserve">Table </w:t>
      </w:r>
      <w:r>
        <w:rPr>
          <w:noProof/>
        </w:rPr>
        <w:fldChar w:fldCharType="begin"/>
      </w:r>
      <w:r>
        <w:rPr>
          <w:noProof/>
        </w:rPr>
        <w:instrText xml:space="preserve"> SEQ Table \* ARABIC </w:instrText>
      </w:r>
      <w:r>
        <w:rPr>
          <w:noProof/>
        </w:rPr>
        <w:fldChar w:fldCharType="separate"/>
      </w:r>
      <w:r>
        <w:rPr>
          <w:noProof/>
        </w:rPr>
        <w:t>56</w:t>
      </w:r>
      <w:r>
        <w:rPr>
          <w:noProof/>
        </w:rPr>
        <w:fldChar w:fldCharType="end"/>
      </w:r>
      <w:bookmarkEnd w:id="662"/>
      <w:r>
        <w:rPr>
          <w:noProof/>
        </w:rPr>
        <w:t>: Container ship routes - Travel times</w:t>
      </w:r>
      <w:bookmarkEnd w:id="663"/>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991"/>
        <w:gridCol w:w="1453"/>
        <w:gridCol w:w="1319"/>
        <w:gridCol w:w="1322"/>
        <w:gridCol w:w="1322"/>
        <w:gridCol w:w="660"/>
        <w:gridCol w:w="793"/>
        <w:gridCol w:w="793"/>
        <w:gridCol w:w="1716"/>
        <w:gridCol w:w="641"/>
        <w:gridCol w:w="641"/>
        <w:gridCol w:w="700"/>
        <w:gridCol w:w="581"/>
        <w:gridCol w:w="643"/>
      </w:tblGrid>
      <w:tr>
        <w:trPr>
          <w:trHeight w:val="315"/>
          <w:tblHeader/>
        </w:trPr>
        <w:tc>
          <w:tcPr>
            <w:tcW w:w="365"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Ship size</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 TEU</w:t>
            </w:r>
          </w:p>
        </w:tc>
        <w:tc>
          <w:tcPr>
            <w:tcW w:w="535"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Region</w:t>
            </w:r>
          </w:p>
        </w:tc>
        <w:tc>
          <w:tcPr>
            <w:tcW w:w="486"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Port</w:t>
            </w:r>
          </w:p>
        </w:tc>
        <w:tc>
          <w:tcPr>
            <w:tcW w:w="487"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Region</w:t>
            </w:r>
          </w:p>
        </w:tc>
        <w:tc>
          <w:tcPr>
            <w:tcW w:w="487"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Port</w:t>
            </w:r>
          </w:p>
        </w:tc>
        <w:tc>
          <w:tcPr>
            <w:tcW w:w="827" w:type="pct"/>
            <w:gridSpan w:val="3"/>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time</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direct route</w:t>
            </w:r>
          </w:p>
        </w:tc>
        <w:tc>
          <w:tcPr>
            <w:tcW w:w="632"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Port</w:t>
            </w:r>
          </w:p>
        </w:tc>
        <w:tc>
          <w:tcPr>
            <w:tcW w:w="730" w:type="pct"/>
            <w:gridSpan w:val="3"/>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time</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stop</w:t>
            </w:r>
          </w:p>
        </w:tc>
        <w:tc>
          <w:tcPr>
            <w:tcW w:w="451" w:type="pct"/>
            <w:gridSpan w:val="2"/>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Diff. Travel time</w:t>
            </w:r>
          </w:p>
        </w:tc>
      </w:tr>
      <w:tr>
        <w:trPr>
          <w:trHeight w:val="575"/>
          <w:tblHeader/>
        </w:trPr>
        <w:tc>
          <w:tcPr>
            <w:tcW w:w="365"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535"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486"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487"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487"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243"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Days</w:t>
            </w:r>
          </w:p>
        </w:tc>
        <w:tc>
          <w:tcPr>
            <w:tcW w:w="292"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Hours</w:t>
            </w:r>
          </w:p>
        </w:tc>
        <w:tc>
          <w:tcPr>
            <w:tcW w:w="292"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[h]</w:t>
            </w:r>
          </w:p>
        </w:tc>
        <w:tc>
          <w:tcPr>
            <w:tcW w:w="632"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236"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Days</w:t>
            </w:r>
          </w:p>
        </w:tc>
        <w:tc>
          <w:tcPr>
            <w:tcW w:w="236"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Hours</w:t>
            </w:r>
          </w:p>
        </w:tc>
        <w:tc>
          <w:tcPr>
            <w:tcW w:w="258"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[h]</w:t>
            </w:r>
          </w:p>
        </w:tc>
        <w:tc>
          <w:tcPr>
            <w:tcW w:w="214"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w:t>
            </w:r>
          </w:p>
        </w:tc>
        <w:tc>
          <w:tcPr>
            <w:tcW w:w="237"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862</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873</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873</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37</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891</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845</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863</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849</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848</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865</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862</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873</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873</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37</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891</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845</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863</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849</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810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848</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865</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677</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29</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711</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684</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29</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718</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689</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30</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723</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677</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30</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739</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684</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31</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746</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689</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31</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752</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300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339</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13%</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300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337</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13%</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317</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378</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339</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377</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353</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382</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0</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336</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371</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324</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358</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382</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416</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405</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392</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431</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466</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454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407</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442</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638</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673</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627</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27</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661</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615</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27</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649</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34</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446</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485</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446</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484</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464</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501</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612</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27</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651</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612</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27</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649</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25"/>
        </w:trPr>
        <w:tc>
          <w:tcPr>
            <w:tcW w:w="365"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535"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486"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8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43"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92"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92"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630</w:t>
            </w:r>
          </w:p>
        </w:tc>
        <w:tc>
          <w:tcPr>
            <w:tcW w:w="632"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27</w:t>
            </w:r>
          </w:p>
        </w:tc>
        <w:tc>
          <w:tcPr>
            <w:tcW w:w="236"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58"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667</w:t>
            </w:r>
          </w:p>
        </w:tc>
        <w:tc>
          <w:tcPr>
            <w:tcW w:w="214"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w:t>
            </w:r>
          </w:p>
        </w:tc>
        <w:tc>
          <w:tcPr>
            <w:tcW w:w="237"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bl>
    <w:p>
      <w:pPr>
        <w:pStyle w:val="Body"/>
        <w:spacing w:line="276" w:lineRule="auto"/>
        <w:rPr>
          <w:rFonts w:ascii="Times New Roman" w:eastAsia="Calibri" w:hAnsi="Times New Roman"/>
          <w:i/>
          <w:noProof/>
          <w:sz w:val="18"/>
          <w:szCs w:val="18"/>
        </w:rPr>
      </w:pPr>
      <w:bookmarkStart w:id="664" w:name="_Ref56419481"/>
      <w:bookmarkStart w:id="665" w:name="_Toc57796891"/>
      <w:r>
        <w:rPr>
          <w:rFonts w:ascii="Times New Roman" w:eastAsia="Calibri" w:hAnsi="Times New Roman"/>
          <w:i/>
          <w:noProof/>
          <w:sz w:val="18"/>
          <w:szCs w:val="18"/>
        </w:rPr>
        <w:t>Source: TRUST model, TRT</w:t>
      </w:r>
    </w:p>
    <w:p>
      <w:pPr>
        <w:pStyle w:val="Caption"/>
        <w:rPr>
          <w:noProof/>
        </w:rPr>
      </w:pP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57</w:t>
      </w:r>
      <w:r>
        <w:rPr>
          <w:noProof/>
        </w:rPr>
        <w:fldChar w:fldCharType="end"/>
      </w:r>
      <w:bookmarkEnd w:id="664"/>
      <w:r>
        <w:rPr>
          <w:noProof/>
        </w:rPr>
        <w:t>: Container ship routes – Time comparison of the route with an intermediate stop relative to the direct route (% change in travel time components</w:t>
      </w:r>
      <w:bookmarkEnd w:id="665"/>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1054"/>
        <w:gridCol w:w="1369"/>
        <w:gridCol w:w="1230"/>
        <w:gridCol w:w="937"/>
        <w:gridCol w:w="937"/>
        <w:gridCol w:w="939"/>
        <w:gridCol w:w="1656"/>
        <w:gridCol w:w="766"/>
        <w:gridCol w:w="937"/>
        <w:gridCol w:w="939"/>
        <w:gridCol w:w="937"/>
        <w:gridCol w:w="937"/>
        <w:gridCol w:w="937"/>
      </w:tblGrid>
      <w:tr>
        <w:trPr>
          <w:trHeight w:val="405"/>
          <w:tblHeader/>
        </w:trPr>
        <w:tc>
          <w:tcPr>
            <w:tcW w:w="388"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Ship size TEU</w:t>
            </w:r>
          </w:p>
        </w:tc>
        <w:tc>
          <w:tcPr>
            <w:tcW w:w="504"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Origin Port</w:t>
            </w:r>
          </w:p>
        </w:tc>
        <w:tc>
          <w:tcPr>
            <w:tcW w:w="453"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Destination Port</w:t>
            </w:r>
          </w:p>
        </w:tc>
        <w:tc>
          <w:tcPr>
            <w:tcW w:w="1036" w:type="pct"/>
            <w:gridSpan w:val="3"/>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Total travel time </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direct route</w:t>
            </w:r>
          </w:p>
        </w:tc>
        <w:tc>
          <w:tcPr>
            <w:tcW w:w="610"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Intermediate Port</w:t>
            </w:r>
          </w:p>
        </w:tc>
        <w:tc>
          <w:tcPr>
            <w:tcW w:w="973" w:type="pct"/>
            <w:gridSpan w:val="3"/>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Total travel time </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stop</w:t>
            </w:r>
          </w:p>
        </w:tc>
        <w:tc>
          <w:tcPr>
            <w:tcW w:w="345"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Sailing time [%]</w:t>
            </w:r>
          </w:p>
        </w:tc>
        <w:tc>
          <w:tcPr>
            <w:tcW w:w="345"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Time at ports [%]</w:t>
            </w:r>
          </w:p>
        </w:tc>
        <w:tc>
          <w:tcPr>
            <w:tcW w:w="345"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Total [%]</w:t>
            </w:r>
          </w:p>
        </w:tc>
      </w:tr>
      <w:tr>
        <w:trPr>
          <w:trHeight w:val="451"/>
          <w:tblHeader/>
        </w:trPr>
        <w:tc>
          <w:tcPr>
            <w:tcW w:w="388" w:type="pct"/>
            <w:vMerge/>
            <w:shd w:val="clear" w:color="auto" w:fill="FFFFFF" w:themeFill="background1"/>
            <w:vAlign w:val="center"/>
            <w:hideMark/>
          </w:tcPr>
          <w:p>
            <w:pPr>
              <w:spacing w:after="0"/>
              <w:rPr>
                <w:rFonts w:ascii="Times New Roman" w:hAnsi="Times New Roman" w:cs="Times New Roman"/>
                <w:b/>
                <w:bCs/>
                <w:noProof/>
                <w:sz w:val="16"/>
                <w:szCs w:val="16"/>
                <w:lang w:val="it-IT" w:eastAsia="it-IT"/>
              </w:rPr>
            </w:pPr>
          </w:p>
        </w:tc>
        <w:tc>
          <w:tcPr>
            <w:tcW w:w="504" w:type="pct"/>
            <w:vMerge/>
            <w:shd w:val="clear" w:color="auto" w:fill="FFFFFF" w:themeFill="background1"/>
            <w:vAlign w:val="center"/>
            <w:hideMark/>
          </w:tcPr>
          <w:p>
            <w:pPr>
              <w:spacing w:after="0"/>
              <w:rPr>
                <w:rFonts w:ascii="Times New Roman" w:hAnsi="Times New Roman" w:cs="Times New Roman"/>
                <w:b/>
                <w:bCs/>
                <w:noProof/>
                <w:sz w:val="16"/>
                <w:szCs w:val="16"/>
                <w:lang w:val="it-IT" w:eastAsia="it-IT"/>
              </w:rPr>
            </w:pPr>
          </w:p>
        </w:tc>
        <w:tc>
          <w:tcPr>
            <w:tcW w:w="453" w:type="pct"/>
            <w:vMerge/>
            <w:shd w:val="clear" w:color="auto" w:fill="FFFFFF" w:themeFill="background1"/>
            <w:vAlign w:val="center"/>
            <w:hideMark/>
          </w:tcPr>
          <w:p>
            <w:pPr>
              <w:spacing w:after="0"/>
              <w:rPr>
                <w:rFonts w:ascii="Times New Roman" w:hAnsi="Times New Roman" w:cs="Times New Roman"/>
                <w:b/>
                <w:bCs/>
                <w:noProof/>
                <w:sz w:val="16"/>
                <w:szCs w:val="16"/>
                <w:lang w:val="it-IT" w:eastAsia="it-IT"/>
              </w:rPr>
            </w:pPr>
          </w:p>
        </w:tc>
        <w:tc>
          <w:tcPr>
            <w:tcW w:w="345" w:type="pc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Sailing time [h]</w:t>
            </w:r>
          </w:p>
        </w:tc>
        <w:tc>
          <w:tcPr>
            <w:tcW w:w="345" w:type="pc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Time at ports [h]</w:t>
            </w:r>
          </w:p>
        </w:tc>
        <w:tc>
          <w:tcPr>
            <w:tcW w:w="346" w:type="pc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Total [h]</w:t>
            </w:r>
          </w:p>
        </w:tc>
        <w:tc>
          <w:tcPr>
            <w:tcW w:w="610" w:type="pct"/>
            <w:vMerge/>
            <w:shd w:val="clear" w:color="auto" w:fill="FFFFFF" w:themeFill="background1"/>
            <w:vAlign w:val="center"/>
            <w:hideMark/>
          </w:tcPr>
          <w:p>
            <w:pPr>
              <w:spacing w:after="0"/>
              <w:rPr>
                <w:rFonts w:ascii="Times New Roman" w:hAnsi="Times New Roman" w:cs="Times New Roman"/>
                <w:b/>
                <w:bCs/>
                <w:noProof/>
                <w:sz w:val="16"/>
                <w:szCs w:val="16"/>
                <w:lang w:val="it-IT" w:eastAsia="it-IT"/>
              </w:rPr>
            </w:pPr>
          </w:p>
        </w:tc>
        <w:tc>
          <w:tcPr>
            <w:tcW w:w="282" w:type="pc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Sailing time [h]</w:t>
            </w:r>
          </w:p>
        </w:tc>
        <w:tc>
          <w:tcPr>
            <w:tcW w:w="345" w:type="pc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Time at ports [h]</w:t>
            </w:r>
          </w:p>
        </w:tc>
        <w:tc>
          <w:tcPr>
            <w:tcW w:w="346" w:type="pct"/>
            <w:shd w:val="clear" w:color="auto" w:fill="FFFFFF" w:themeFill="background1"/>
            <w:vAlign w:val="center"/>
            <w:hideMark/>
          </w:tcPr>
          <w:p>
            <w:pPr>
              <w:spacing w:after="0"/>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Total [h]</w:t>
            </w:r>
          </w:p>
        </w:tc>
        <w:tc>
          <w:tcPr>
            <w:tcW w:w="345" w:type="pct"/>
            <w:vMerge/>
            <w:shd w:val="clear" w:color="auto" w:fill="FFFFFF" w:themeFill="background1"/>
            <w:vAlign w:val="center"/>
            <w:hideMark/>
          </w:tcPr>
          <w:p>
            <w:pPr>
              <w:spacing w:after="0"/>
              <w:rPr>
                <w:rFonts w:ascii="Times New Roman" w:hAnsi="Times New Roman" w:cs="Times New Roman"/>
                <w:b/>
                <w:bCs/>
                <w:noProof/>
                <w:sz w:val="16"/>
                <w:szCs w:val="16"/>
                <w:lang w:val="it-IT" w:eastAsia="it-IT"/>
              </w:rPr>
            </w:pPr>
          </w:p>
        </w:tc>
        <w:tc>
          <w:tcPr>
            <w:tcW w:w="345" w:type="pct"/>
            <w:vMerge/>
            <w:shd w:val="clear" w:color="auto" w:fill="FFFFFF" w:themeFill="background1"/>
            <w:vAlign w:val="center"/>
            <w:hideMark/>
          </w:tcPr>
          <w:p>
            <w:pPr>
              <w:spacing w:after="0"/>
              <w:rPr>
                <w:rFonts w:ascii="Times New Roman" w:hAnsi="Times New Roman" w:cs="Times New Roman"/>
                <w:b/>
                <w:bCs/>
                <w:noProof/>
                <w:sz w:val="16"/>
                <w:szCs w:val="16"/>
                <w:lang w:val="it-IT" w:eastAsia="it-IT"/>
              </w:rPr>
            </w:pPr>
          </w:p>
        </w:tc>
        <w:tc>
          <w:tcPr>
            <w:tcW w:w="345" w:type="pct"/>
            <w:vMerge/>
            <w:shd w:val="clear" w:color="auto" w:fill="FFFFFF" w:themeFill="background1"/>
            <w:vAlign w:val="center"/>
            <w:hideMark/>
          </w:tcPr>
          <w:p>
            <w:pPr>
              <w:spacing w:after="0"/>
              <w:rPr>
                <w:rFonts w:ascii="Times New Roman" w:hAnsi="Times New Roman" w:cs="Times New Roman"/>
                <w:b/>
                <w:bCs/>
                <w:noProof/>
                <w:sz w:val="16"/>
                <w:szCs w:val="16"/>
                <w:lang w:val="it-IT" w:eastAsia="it-IT"/>
              </w:rPr>
            </w:pP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828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862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781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873</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781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873</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828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799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891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753</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845</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828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863</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757</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848</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828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773</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865</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828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862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781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873</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781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873</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828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799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891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753</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845</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828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863</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757</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810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756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848</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21,000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828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773</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865</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Genova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619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677</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619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711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Marseille</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626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684</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626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718</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Barcelona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631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689</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Port Said (Egypt)</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631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723</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Genova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619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677</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647</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739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Marseille</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626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684</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654</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746</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Shanghai</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Barcelona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631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689</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Mersin (Turkey)</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660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752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12,000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New York</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242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300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247</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339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13%</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12,000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New York</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242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300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245</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337</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13%</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12,000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New York</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259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317</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262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354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12%</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12,000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Savannah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282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340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286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378</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12,000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Savannah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281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339</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285</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377</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12,000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Savannah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295</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353</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302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394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12%</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8,000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New York</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Genova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290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348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290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382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10%</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8,000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New York</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Marseille</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278</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336</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279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371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10%</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8,000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New York</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Barcelona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266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324</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266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358</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8,000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Savannah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Genova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324</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382</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324</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416</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8,000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Savannah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Marseille</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312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370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313</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405</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8,000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Savannah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Barcelona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300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358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300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392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10%</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4,500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Santos</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Genova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373</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431</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374</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466</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4,500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Santos</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Marseille</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362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420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362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454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4,500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Santos</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Barcelona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349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407</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350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442</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4,500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Long Beach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Genova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580</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638</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581</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673</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4,500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Long Beach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Marseille</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569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627</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569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661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4,500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Long Beach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Barcelona</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557</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615</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Tangier (Morocco)</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557</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649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Santos</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388</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446</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393</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485</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Santos</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388</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446</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392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484</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Santos</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406</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464</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409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501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Long Beach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Antwerp</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554</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612</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559</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651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Long Beach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Rotterdam</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554</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612</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557</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649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r>
      <w:tr>
        <w:trPr>
          <w:trHeight w:val="225"/>
        </w:trPr>
        <w:tc>
          <w:tcPr>
            <w:tcW w:w="388"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4,000</w:t>
            </w:r>
          </w:p>
        </w:tc>
        <w:tc>
          <w:tcPr>
            <w:tcW w:w="504"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Long Beach</w:t>
            </w:r>
          </w:p>
        </w:tc>
        <w:tc>
          <w:tcPr>
            <w:tcW w:w="453" w:type="pct"/>
            <w:shd w:val="clear" w:color="auto" w:fill="FFFFFF" w:themeFill="background1"/>
            <w:noWrap/>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Hamburg</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572</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630</w:t>
            </w:r>
          </w:p>
        </w:tc>
        <w:tc>
          <w:tcPr>
            <w:tcW w:w="610" w:type="pct"/>
            <w:shd w:val="clear" w:color="auto" w:fill="FFFFFF" w:themeFill="background1"/>
            <w:vAlign w:val="center"/>
          </w:tcPr>
          <w:p>
            <w:pPr>
              <w:spacing w:after="0"/>
              <w:rPr>
                <w:rFonts w:ascii="Times New Roman" w:hAnsi="Times New Roman" w:cs="Times New Roman"/>
                <w:noProof/>
                <w:sz w:val="16"/>
                <w:szCs w:val="16"/>
                <w:lang w:val="it-IT" w:eastAsia="it-IT"/>
              </w:rPr>
            </w:pPr>
            <w:r>
              <w:rPr>
                <w:rFonts w:ascii="Times New Roman" w:hAnsi="Times New Roman" w:cs="Times New Roman"/>
                <w:noProof/>
                <w:sz w:val="16"/>
                <w:szCs w:val="16"/>
              </w:rPr>
              <w:t>Felixstowe (UK)</w:t>
            </w:r>
          </w:p>
        </w:tc>
        <w:tc>
          <w:tcPr>
            <w:tcW w:w="282"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575</w:t>
            </w:r>
          </w:p>
        </w:tc>
        <w:tc>
          <w:tcPr>
            <w:tcW w:w="345" w:type="pct"/>
            <w:shd w:val="clear" w:color="auto" w:fill="FFFFFF" w:themeFill="background1"/>
            <w:vAlign w:val="center"/>
          </w:tcPr>
          <w:p>
            <w:pPr>
              <w:spacing w:after="0"/>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346"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667</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345" w:type="pct"/>
            <w:shd w:val="clear" w:color="auto" w:fill="FFFFFF" w:themeFill="background1"/>
            <w:vAlign w:val="center"/>
          </w:tcPr>
          <w:p>
            <w:pPr>
              <w:spacing w:after="0"/>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66" w:name="_Ref56420022"/>
      <w:bookmarkStart w:id="667" w:name="_Toc57796892"/>
      <w:r>
        <w:rPr>
          <w:noProof/>
        </w:rPr>
        <w:t xml:space="preserve">Table </w:t>
      </w:r>
      <w:r>
        <w:rPr>
          <w:noProof/>
        </w:rPr>
        <w:fldChar w:fldCharType="begin"/>
      </w:r>
      <w:r>
        <w:rPr>
          <w:noProof/>
        </w:rPr>
        <w:instrText xml:space="preserve"> SEQ Table \* ARABIC </w:instrText>
      </w:r>
      <w:r>
        <w:rPr>
          <w:noProof/>
        </w:rPr>
        <w:fldChar w:fldCharType="separate"/>
      </w:r>
      <w:r>
        <w:rPr>
          <w:noProof/>
        </w:rPr>
        <w:t>58</w:t>
      </w:r>
      <w:r>
        <w:rPr>
          <w:noProof/>
        </w:rPr>
        <w:fldChar w:fldCharType="end"/>
      </w:r>
      <w:bookmarkEnd w:id="666"/>
      <w:r>
        <w:rPr>
          <w:noProof/>
        </w:rPr>
        <w:t>: Container ship routes - Travel costs</w:t>
      </w:r>
      <w:bookmarkEnd w:id="667"/>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1021"/>
        <w:gridCol w:w="1352"/>
        <w:gridCol w:w="1186"/>
        <w:gridCol w:w="912"/>
        <w:gridCol w:w="912"/>
        <w:gridCol w:w="891"/>
        <w:gridCol w:w="988"/>
        <w:gridCol w:w="1586"/>
        <w:gridCol w:w="912"/>
        <w:gridCol w:w="975"/>
        <w:gridCol w:w="975"/>
        <w:gridCol w:w="977"/>
        <w:gridCol w:w="888"/>
      </w:tblGrid>
      <w:tr>
        <w:trPr>
          <w:trHeight w:val="315"/>
          <w:tblHeader/>
        </w:trPr>
        <w:tc>
          <w:tcPr>
            <w:tcW w:w="376"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Ship size TEU</w:t>
            </w:r>
          </w:p>
        </w:tc>
        <w:tc>
          <w:tcPr>
            <w:tcW w:w="498"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Port</w:t>
            </w:r>
          </w:p>
        </w:tc>
        <w:tc>
          <w:tcPr>
            <w:tcW w:w="437"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Port</w:t>
            </w:r>
          </w:p>
        </w:tc>
        <w:tc>
          <w:tcPr>
            <w:tcW w:w="1364" w:type="pct"/>
            <w:gridSpan w:val="4"/>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cost</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direct route</w:t>
            </w:r>
          </w:p>
        </w:tc>
        <w:tc>
          <w:tcPr>
            <w:tcW w:w="584"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Port</w:t>
            </w:r>
          </w:p>
        </w:tc>
        <w:tc>
          <w:tcPr>
            <w:tcW w:w="1414" w:type="pct"/>
            <w:gridSpan w:val="4"/>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cost</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stop</w:t>
            </w:r>
          </w:p>
        </w:tc>
        <w:tc>
          <w:tcPr>
            <w:tcW w:w="327"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Diff. Travel cost [%]</w:t>
            </w:r>
          </w:p>
        </w:tc>
      </w:tr>
      <w:tr>
        <w:trPr>
          <w:trHeight w:val="263"/>
          <w:tblHeader/>
        </w:trPr>
        <w:tc>
          <w:tcPr>
            <w:tcW w:w="376"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498"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437"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336"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Fuel cost </w:t>
            </w:r>
            <w:r>
              <w:rPr>
                <w:rFonts w:ascii="Times New Roman" w:hAnsi="Times New Roman" w:cs="Times New Roman"/>
                <w:b/>
                <w:bCs/>
                <w:noProof/>
                <w:sz w:val="16"/>
                <w:szCs w:val="16"/>
                <w:lang w:eastAsia="it-IT"/>
              </w:rPr>
              <w:br/>
              <w:t>[€]</w:t>
            </w:r>
          </w:p>
        </w:tc>
        <w:tc>
          <w:tcPr>
            <w:tcW w:w="336"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Time cost </w:t>
            </w:r>
            <w:r>
              <w:rPr>
                <w:rFonts w:ascii="Times New Roman" w:hAnsi="Times New Roman" w:cs="Times New Roman"/>
                <w:b/>
                <w:bCs/>
                <w:noProof/>
                <w:sz w:val="16"/>
                <w:szCs w:val="16"/>
                <w:lang w:eastAsia="it-IT"/>
              </w:rPr>
              <w:br/>
              <w:t>[€]</w:t>
            </w:r>
          </w:p>
        </w:tc>
        <w:tc>
          <w:tcPr>
            <w:tcW w:w="328"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Ports cost </w:t>
            </w:r>
            <w:r>
              <w:rPr>
                <w:rFonts w:ascii="Times New Roman" w:hAnsi="Times New Roman" w:cs="Times New Roman"/>
                <w:b/>
                <w:bCs/>
                <w:noProof/>
                <w:sz w:val="16"/>
                <w:szCs w:val="16"/>
                <w:lang w:eastAsia="it-IT"/>
              </w:rPr>
              <w:br/>
              <w:t>[€]</w:t>
            </w:r>
          </w:p>
        </w:tc>
        <w:tc>
          <w:tcPr>
            <w:tcW w:w="364"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TOTAL </w:t>
            </w:r>
            <w:r>
              <w:rPr>
                <w:rFonts w:ascii="Times New Roman" w:hAnsi="Times New Roman" w:cs="Times New Roman"/>
                <w:b/>
                <w:bCs/>
                <w:noProof/>
                <w:sz w:val="16"/>
                <w:szCs w:val="16"/>
                <w:lang w:eastAsia="it-IT"/>
              </w:rPr>
              <w:br/>
              <w:t>[€]</w:t>
            </w:r>
          </w:p>
        </w:tc>
        <w:tc>
          <w:tcPr>
            <w:tcW w:w="584"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336"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Fuel cost </w:t>
            </w:r>
            <w:r>
              <w:rPr>
                <w:rFonts w:ascii="Times New Roman" w:hAnsi="Times New Roman" w:cs="Times New Roman"/>
                <w:b/>
                <w:bCs/>
                <w:noProof/>
                <w:sz w:val="16"/>
                <w:szCs w:val="16"/>
                <w:lang w:eastAsia="it-IT"/>
              </w:rPr>
              <w:br/>
              <w:t>[€]</w:t>
            </w:r>
          </w:p>
        </w:tc>
        <w:tc>
          <w:tcPr>
            <w:tcW w:w="359"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Time cost </w:t>
            </w:r>
            <w:r>
              <w:rPr>
                <w:rFonts w:ascii="Times New Roman" w:hAnsi="Times New Roman" w:cs="Times New Roman"/>
                <w:b/>
                <w:bCs/>
                <w:noProof/>
                <w:sz w:val="16"/>
                <w:szCs w:val="16"/>
                <w:lang w:eastAsia="it-IT"/>
              </w:rPr>
              <w:br/>
              <w:t>[€]</w:t>
            </w:r>
          </w:p>
        </w:tc>
        <w:tc>
          <w:tcPr>
            <w:tcW w:w="359"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Ports cost </w:t>
            </w:r>
            <w:r>
              <w:rPr>
                <w:rFonts w:ascii="Times New Roman" w:hAnsi="Times New Roman" w:cs="Times New Roman"/>
                <w:b/>
                <w:bCs/>
                <w:noProof/>
                <w:sz w:val="16"/>
                <w:szCs w:val="16"/>
                <w:lang w:eastAsia="it-IT"/>
              </w:rPr>
              <w:br/>
              <w:t>[€]</w:t>
            </w:r>
          </w:p>
        </w:tc>
        <w:tc>
          <w:tcPr>
            <w:tcW w:w="360"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TOTAL </w:t>
            </w:r>
            <w:r>
              <w:rPr>
                <w:rFonts w:ascii="Times New Roman" w:hAnsi="Times New Roman" w:cs="Times New Roman"/>
                <w:b/>
                <w:bCs/>
                <w:noProof/>
                <w:sz w:val="16"/>
                <w:szCs w:val="16"/>
                <w:lang w:eastAsia="it-IT"/>
              </w:rPr>
              <w:br/>
              <w:t>[€]</w:t>
            </w:r>
          </w:p>
        </w:tc>
        <w:tc>
          <w:tcPr>
            <w:tcW w:w="327"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2,863,144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945,167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4,049,966</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2,731,878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984,833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4,079,194</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2,861,785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944,750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4,048,189</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2,730,518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984,417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4,077,417</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2,930,576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965,833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4,138,064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2,799,310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1,005,500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4,167,292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2,863,144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945,167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4,049,966</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2,835,028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1,018,417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4,215,927</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2,861,785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944,750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4,048,189</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2,833,669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1,018,000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4,214,151</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2,930,576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965,833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4,138,064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2,902,461</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1,039,083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4,304,026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4.0%</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2,863,144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945,167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4,049,966</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2,699,187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985,583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4,047,252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2,861,785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944,750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4,048,189</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2,697,827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985,167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4,045,476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2,930,576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965,833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4,138,064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2,766,619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1,006,250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4,135,351</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2,863,144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945,167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4,049,966</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2,692,075</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990,417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4,044,974</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2,861,785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944,750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4,048,189</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2,686,637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988,750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4,037,869</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-0.3%</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2,930,576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965,833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4,138,064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2,751,622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1,008,667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4,122,771</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-0.4%</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3,817,526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1,316,482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5,407,917</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3,642,504</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1,371,732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5,425,100</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0.3%</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3,815,713</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1,315,902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5,405,524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3,640,691</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1,371,152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5,422,707</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0.3%</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3,907,435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1,345,268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5,526,612</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3,732,413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1,400,518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5,543,795</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0.3%</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3,817,526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1,316,482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5,407,917</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3,780,038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1,418,509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5,609,411</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3.7%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3,815,713</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1,315,902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5,405,524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3,778,225</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1,417,929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5,607,018</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3.7%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3,907,435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1,345,268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5,526,612</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3,869,947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1,447,295</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5,728,106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3.6%</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3,817,526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1,316,482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5,407,917</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3,598,916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1,372,777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5,382,557</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-0.5%</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3,815,713</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1,315,902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5,405,524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3,597,103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1,372,196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5,380,163</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-0.5%</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3,907,435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1,345,268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5,526,612</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3,688,825</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1,401,563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5,501,252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-0.5%</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3,817,526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1,316,482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5,407,917</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3,589,433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1,379,509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5,379,806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-0.5%</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3,815,713</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1,315,902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5,405,524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3,582,182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1,377,188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5,370,234</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3,907,435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1,345,268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273,909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5,526,612</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3,668,829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1,404,929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410,864</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5,484,621</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-0.8%</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2,357,404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790,167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3,389,225</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2,226,137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829,833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3,418,453</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0.9%</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2,382,691</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797,917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3,422,262</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2,251,424</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837,583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3,451,490</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0.9%</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2,403,355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804,250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3,449,260</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2,272,089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843,917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3,478,488</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0.8%</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2,357,404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790,167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3,389,225</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2,325,209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862,167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3,549,858</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2,382,691</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797,917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3,422,262</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2,350,496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869,917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3,582,895</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2,403,355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804,250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241,655</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3,449,260</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2,375,240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877,500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362,482</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3,615,222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4.8%</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745,741</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312,500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229,553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1,287,793</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711,922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352,902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344,329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1,409,152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9.4%</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744,640</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312,128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229,553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1,286,321</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707,520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351,414</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344,329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1,403,262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9.1%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796,807</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329,762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229,553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1,356,121</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760,126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369,196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344,329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1,473,652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8.7%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867,683</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353,720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229,553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1,450,956</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825,745</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394,122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344,329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1,564,196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7.8%</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866,582</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353,348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229,553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1,449,483</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821,343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392,634</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344,329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1,558,306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7.5%</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908,404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367,485</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229,553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1,505,441</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873,950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410,417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344,329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1,628,695</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8.2%</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577,251</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289,583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200,971</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1,067,805</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547,742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318,214</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301,456</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1,167,413</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9.3%</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554,890</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280,238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200,971</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1,036,099</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525,381</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308,869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301,456</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1,135,707</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9.6%</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529,966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269,821</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200,971</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1,000,758</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500,457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298,452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301,456</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1,100,366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10.0%</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645,331</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318,036</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200,971</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1,164,337</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611,289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346,667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301,456</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1,259,412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8.2%</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622,970</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308,690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200,971</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1,132,631</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588,928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337,321</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301,456</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1,227,706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8.4%</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598,045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298,274</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200,971</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1,097,290</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564,004</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326,905</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301,456</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1,192,365</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8.7%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473,475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247,907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117,399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838,781</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447,630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267,663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176,098</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891,391</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6.3%</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459,245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241,459</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117,399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818,103</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433,400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261,214</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176,098</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870,713</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6.4%</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443,384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234,271</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117,399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795,054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417,539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254,027</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176,098</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847,664</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6.6%</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736,224</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366,973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117,399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1,220,596</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692,886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386,729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176,098</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1,255,713</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2.9%</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721,995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360,525</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117,399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1,199,918</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678,656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380,280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176,098</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1,235,035</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2.9%</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706,133</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353,338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117,399</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1,176,870</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662,795</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373,093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176,098</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1,211,986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3.0%</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492,599</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161,753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94,893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749,244</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466,321</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175,813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142,339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784,472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4.7%</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492,145</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161,623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94,893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748,661</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464,508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175,295</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142,339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782,142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4.5%</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515,076</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168,174</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94,893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778,143</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486,170</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181,483</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142,339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809,992</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4.1%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703,052</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221,876</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94,893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1,019,820</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662,762</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235,936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142,339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1,041,037</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2.1%</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702,599</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221,746</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94,893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1,019,238</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660,949</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235,418</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142,339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1,038,706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1.9%</w:t>
            </w:r>
          </w:p>
        </w:tc>
      </w:tr>
      <w:tr>
        <w:trPr>
          <w:trHeight w:val="225"/>
        </w:trPr>
        <w:tc>
          <w:tcPr>
            <w:tcW w:w="376"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49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437"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725,529</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228,297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94,893</w:t>
            </w:r>
          </w:p>
        </w:tc>
        <w:tc>
          <w:tcPr>
            <w:tcW w:w="364"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1,048,719</w:t>
            </w:r>
          </w:p>
        </w:tc>
        <w:tc>
          <w:tcPr>
            <w:tcW w:w="584"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36"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682,611</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241,606</w:t>
            </w:r>
          </w:p>
        </w:tc>
        <w:tc>
          <w:tcPr>
            <w:tcW w:w="359"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142,339</w:t>
            </w:r>
          </w:p>
        </w:tc>
        <w:tc>
          <w:tcPr>
            <w:tcW w:w="36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1,066,556</w:t>
            </w:r>
          </w:p>
        </w:tc>
        <w:tc>
          <w:tcPr>
            <w:tcW w:w="327" w:type="pct"/>
            <w:shd w:val="clear" w:color="auto" w:fill="FFFFFF" w:themeFill="background1"/>
            <w:noWrap/>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rPr>
              <w:t>1.7%</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68" w:name="_Ref56421856"/>
      <w:bookmarkStart w:id="669" w:name="_Toc57796893"/>
      <w:r>
        <w:rPr>
          <w:noProof/>
        </w:rPr>
        <w:t xml:space="preserve">Table </w:t>
      </w:r>
      <w:r>
        <w:rPr>
          <w:noProof/>
        </w:rPr>
        <w:fldChar w:fldCharType="begin"/>
      </w:r>
      <w:r>
        <w:rPr>
          <w:noProof/>
        </w:rPr>
        <w:instrText xml:space="preserve"> SEQ Table \* ARABIC </w:instrText>
      </w:r>
      <w:r>
        <w:rPr>
          <w:noProof/>
        </w:rPr>
        <w:fldChar w:fldCharType="separate"/>
      </w:r>
      <w:r>
        <w:rPr>
          <w:noProof/>
        </w:rPr>
        <w:t>59</w:t>
      </w:r>
      <w:r>
        <w:rPr>
          <w:noProof/>
        </w:rPr>
        <w:fldChar w:fldCharType="end"/>
      </w:r>
      <w:bookmarkEnd w:id="668"/>
      <w:r>
        <w:rPr>
          <w:noProof/>
        </w:rPr>
        <w:t>: Containers routes – Costs comparison of the route with an intermediate stop relative to the direct route (% change in travel costs components</w:t>
      </w:r>
      <w:bookmarkEnd w:id="669"/>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1304"/>
        <w:gridCol w:w="1656"/>
        <w:gridCol w:w="1501"/>
        <w:gridCol w:w="1678"/>
        <w:gridCol w:w="1434"/>
        <w:gridCol w:w="1678"/>
        <w:gridCol w:w="1081"/>
        <w:gridCol w:w="1081"/>
        <w:gridCol w:w="1081"/>
        <w:gridCol w:w="1081"/>
      </w:tblGrid>
      <w:tr>
        <w:trPr>
          <w:trHeight w:val="645"/>
          <w:tblHeader/>
        </w:trPr>
        <w:tc>
          <w:tcPr>
            <w:tcW w:w="480"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Ship size TEU</w:t>
            </w:r>
          </w:p>
        </w:tc>
        <w:tc>
          <w:tcPr>
            <w:tcW w:w="610"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Region</w:t>
            </w:r>
          </w:p>
        </w:tc>
        <w:tc>
          <w:tcPr>
            <w:tcW w:w="553"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Port</w:t>
            </w:r>
          </w:p>
        </w:tc>
        <w:tc>
          <w:tcPr>
            <w:tcW w:w="618"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Region</w:t>
            </w:r>
          </w:p>
        </w:tc>
        <w:tc>
          <w:tcPr>
            <w:tcW w:w="528"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Port</w:t>
            </w:r>
          </w:p>
        </w:tc>
        <w:tc>
          <w:tcPr>
            <w:tcW w:w="618"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Port</w:t>
            </w:r>
          </w:p>
        </w:tc>
        <w:tc>
          <w:tcPr>
            <w:tcW w:w="398"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Fuel cost </w:t>
            </w:r>
            <w:r>
              <w:rPr>
                <w:rFonts w:ascii="Times New Roman" w:hAnsi="Times New Roman" w:cs="Times New Roman"/>
                <w:b/>
                <w:bCs/>
                <w:noProof/>
                <w:sz w:val="16"/>
                <w:szCs w:val="16"/>
                <w:lang w:eastAsia="it-IT"/>
              </w:rPr>
              <w:br/>
              <w:t>[%]</w:t>
            </w:r>
          </w:p>
        </w:tc>
        <w:tc>
          <w:tcPr>
            <w:tcW w:w="398"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Time cost </w:t>
            </w:r>
            <w:r>
              <w:rPr>
                <w:rFonts w:ascii="Times New Roman" w:hAnsi="Times New Roman" w:cs="Times New Roman"/>
                <w:b/>
                <w:bCs/>
                <w:noProof/>
                <w:sz w:val="16"/>
                <w:szCs w:val="16"/>
                <w:lang w:eastAsia="it-IT"/>
              </w:rPr>
              <w:br/>
              <w:t>[%]</w:t>
            </w:r>
          </w:p>
        </w:tc>
        <w:tc>
          <w:tcPr>
            <w:tcW w:w="398"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Ports cost </w:t>
            </w:r>
            <w:r>
              <w:rPr>
                <w:rFonts w:ascii="Times New Roman" w:hAnsi="Times New Roman" w:cs="Times New Roman"/>
                <w:b/>
                <w:bCs/>
                <w:noProof/>
                <w:sz w:val="16"/>
                <w:szCs w:val="16"/>
                <w:lang w:eastAsia="it-IT"/>
              </w:rPr>
              <w:br/>
              <w:t>[%]</w:t>
            </w:r>
          </w:p>
        </w:tc>
        <w:tc>
          <w:tcPr>
            <w:tcW w:w="398"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TOTAL </w:t>
            </w:r>
            <w:r>
              <w:rPr>
                <w:rFonts w:ascii="Times New Roman" w:hAnsi="Times New Roman" w:cs="Times New Roman"/>
                <w:b/>
                <w:bCs/>
                <w:noProof/>
                <w:sz w:val="16"/>
                <w:szCs w:val="16"/>
                <w:lang w:eastAsia="it-IT"/>
              </w:rPr>
              <w:br/>
              <w:t>[%]</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7.8%</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4.0%</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-0.3%</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4.4%</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-0.4%</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0.3%</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0.3%</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0.3%</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7.8%</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3.6%</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-0.5%</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-0.5%</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-0.5%</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-0.5%</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21,000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4.4%</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-0.8%</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0.9%</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0.9%</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Port Said (Egypt)</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4.9%</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0.8%</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-1.4%</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-1.4%</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East Asia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Shanghai</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Mersin (Turkey)</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12.9%</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9.4%</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11.4%</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7.8%</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7.5%</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12,000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9.9%</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9.3%</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9.6%</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York</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10.0%</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8,000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Savannah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6.4%</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8.4%</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6.6%</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Genova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-5.9%</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5.4%</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2.9%</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2.9%</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4,500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Mediterranean</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Barcelona</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Tangier (Morocco)</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3.0%</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8.5%</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4.5%</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7.9%</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2.1%</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-5.9%</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1.9%</w:t>
            </w:r>
          </w:p>
        </w:tc>
      </w:tr>
      <w:tr>
        <w:trPr>
          <w:trHeight w:val="225"/>
        </w:trPr>
        <w:tc>
          <w:tcPr>
            <w:tcW w:w="480"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4,000</w:t>
            </w:r>
          </w:p>
        </w:tc>
        <w:tc>
          <w:tcPr>
            <w:tcW w:w="610"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53"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Long Beach</w:t>
            </w:r>
          </w:p>
        </w:tc>
        <w:tc>
          <w:tcPr>
            <w:tcW w:w="61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28" w:type="pct"/>
            <w:shd w:val="clear" w:color="auto" w:fill="FFFFFF" w:themeFill="background1"/>
            <w:noWrap/>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8" w:type="pct"/>
            <w:shd w:val="clear" w:color="auto" w:fill="FFFFFF" w:themeFill="background1"/>
            <w:vAlign w:val="center"/>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Felixstowe (UK)</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-5.9%</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98"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1.7%</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rPr>
          <w:rFonts w:ascii="Times New Roman" w:hAnsi="Times New Roman"/>
          <w:i/>
          <w:noProof/>
          <w:sz w:val="24"/>
          <w:szCs w:val="24"/>
        </w:rPr>
      </w:pPr>
      <w:bookmarkStart w:id="670" w:name="_Toc57796817"/>
      <w:r>
        <w:rPr>
          <w:rFonts w:ascii="Times New Roman" w:hAnsi="Times New Roman"/>
          <w:i/>
          <w:noProof/>
          <w:sz w:val="24"/>
          <w:szCs w:val="24"/>
        </w:rPr>
        <w:t>Dry bulker ships routes</w:t>
      </w:r>
      <w:bookmarkEnd w:id="670"/>
      <w:r>
        <w:rPr>
          <w:rFonts w:ascii="Times New Roman" w:hAnsi="Times New Roman"/>
          <w:i/>
          <w:noProof/>
          <w:sz w:val="24"/>
          <w:szCs w:val="24"/>
        </w:rPr>
        <w:t xml:space="preserve"> – detailed results for PO3</w:t>
      </w:r>
    </w:p>
    <w:p>
      <w:pPr>
        <w:pStyle w:val="Caption"/>
        <w:spacing w:after="120"/>
        <w:rPr>
          <w:noProof/>
        </w:rPr>
      </w:pPr>
      <w:bookmarkStart w:id="671" w:name="_Ref56422207"/>
      <w:bookmarkStart w:id="672" w:name="_Toc57796894"/>
      <w:r>
        <w:rPr>
          <w:noProof/>
        </w:rPr>
        <w:t xml:space="preserve">Table </w:t>
      </w:r>
      <w:r>
        <w:rPr>
          <w:noProof/>
        </w:rPr>
        <w:fldChar w:fldCharType="begin"/>
      </w:r>
      <w:r>
        <w:rPr>
          <w:noProof/>
        </w:rPr>
        <w:instrText xml:space="preserve"> SEQ Table \* ARABIC </w:instrText>
      </w:r>
      <w:r>
        <w:rPr>
          <w:noProof/>
        </w:rPr>
        <w:fldChar w:fldCharType="separate"/>
      </w:r>
      <w:r>
        <w:rPr>
          <w:noProof/>
        </w:rPr>
        <w:t>60</w:t>
      </w:r>
      <w:r>
        <w:rPr>
          <w:noProof/>
        </w:rPr>
        <w:fldChar w:fldCharType="end"/>
      </w:r>
      <w:bookmarkEnd w:id="671"/>
      <w:r>
        <w:rPr>
          <w:noProof/>
        </w:rPr>
        <w:t>: Dry bulkers routes - Travel times</w:t>
      </w:r>
      <w:bookmarkEnd w:id="672"/>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1570"/>
        <w:gridCol w:w="1627"/>
        <w:gridCol w:w="1684"/>
        <w:gridCol w:w="1273"/>
        <w:gridCol w:w="1151"/>
        <w:gridCol w:w="567"/>
        <w:gridCol w:w="657"/>
        <w:gridCol w:w="581"/>
        <w:gridCol w:w="1303"/>
        <w:gridCol w:w="567"/>
        <w:gridCol w:w="657"/>
        <w:gridCol w:w="581"/>
        <w:gridCol w:w="681"/>
        <w:gridCol w:w="676"/>
      </w:tblGrid>
      <w:tr>
        <w:trPr>
          <w:trHeight w:val="20"/>
          <w:tblHeader/>
        </w:trPr>
        <w:tc>
          <w:tcPr>
            <w:tcW w:w="578"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Ship size [DWT]- Goods</w:t>
            </w:r>
          </w:p>
        </w:tc>
        <w:tc>
          <w:tcPr>
            <w:tcW w:w="599"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Region</w:t>
            </w:r>
          </w:p>
        </w:tc>
        <w:tc>
          <w:tcPr>
            <w:tcW w:w="620"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Port</w:t>
            </w:r>
          </w:p>
        </w:tc>
        <w:tc>
          <w:tcPr>
            <w:tcW w:w="469"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Region</w:t>
            </w:r>
          </w:p>
        </w:tc>
        <w:tc>
          <w:tcPr>
            <w:tcW w:w="424"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Port</w:t>
            </w:r>
          </w:p>
        </w:tc>
        <w:tc>
          <w:tcPr>
            <w:tcW w:w="665" w:type="pct"/>
            <w:gridSpan w:val="3"/>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time</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direct route</w:t>
            </w:r>
          </w:p>
        </w:tc>
        <w:tc>
          <w:tcPr>
            <w:tcW w:w="480"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Port</w:t>
            </w:r>
          </w:p>
        </w:tc>
        <w:tc>
          <w:tcPr>
            <w:tcW w:w="665" w:type="pct"/>
            <w:gridSpan w:val="3"/>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time intermediate stop</w:t>
            </w:r>
          </w:p>
        </w:tc>
        <w:tc>
          <w:tcPr>
            <w:tcW w:w="502" w:type="pct"/>
            <w:gridSpan w:val="2"/>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Diff. Travel time</w:t>
            </w:r>
          </w:p>
        </w:tc>
      </w:tr>
      <w:tr>
        <w:trPr>
          <w:trHeight w:val="20"/>
          <w:tblHeader/>
        </w:trPr>
        <w:tc>
          <w:tcPr>
            <w:tcW w:w="578"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599"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620"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469"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424"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209"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Days</w:t>
            </w:r>
          </w:p>
        </w:tc>
        <w:tc>
          <w:tcPr>
            <w:tcW w:w="242"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Hours</w:t>
            </w:r>
          </w:p>
        </w:tc>
        <w:tc>
          <w:tcPr>
            <w:tcW w:w="214"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[h]</w:t>
            </w:r>
          </w:p>
        </w:tc>
        <w:tc>
          <w:tcPr>
            <w:tcW w:w="480"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209"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Days</w:t>
            </w:r>
          </w:p>
        </w:tc>
        <w:tc>
          <w:tcPr>
            <w:tcW w:w="242"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Hours</w:t>
            </w:r>
          </w:p>
        </w:tc>
        <w:tc>
          <w:tcPr>
            <w:tcW w:w="214"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[h]</w:t>
            </w:r>
          </w:p>
        </w:tc>
        <w:tc>
          <w:tcPr>
            <w:tcW w:w="251" w:type="pct"/>
            <w:shd w:val="clear" w:color="auto" w:fill="FFFFFF" w:themeFill="background1"/>
            <w:vAlign w:val="center"/>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w:t>
            </w:r>
          </w:p>
        </w:tc>
        <w:tc>
          <w:tcPr>
            <w:tcW w:w="251"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500</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558</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499</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553</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54</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518</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569</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0</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552</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614</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552</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609</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575</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625</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500</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558</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499</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553</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54</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518</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569</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0</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552</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614</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552</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609</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575</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625</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Marseille</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536</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577</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Livorno</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552</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592</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Marseille</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519</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560</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Livorno</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534</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574</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Marseille</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536</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577</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Livorno</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552</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592</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Naples</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562</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599</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Marseille</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519</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560</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Livorno</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534</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574</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Naples</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545</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581</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200,000-iron ore</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Tubarao</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510</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568</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200,000-iron ore</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Tubarao</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533</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7</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583</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300,000-iron ore</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510</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568</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300,000-iron ore</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533</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7</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583</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Africa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Durban</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689</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747</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Africa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Durban</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29</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712</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763</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70,000-coal</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Taranto</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586</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622</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36</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Buenaventura</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530</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588</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Buenaventura</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553</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25</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603</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Ponta Da Madeira</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431</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9</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489</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57</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13%</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Ponta Da Madeira</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454</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505</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578"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200,000-iron ore</w:t>
            </w:r>
          </w:p>
        </w:tc>
        <w:tc>
          <w:tcPr>
            <w:tcW w:w="59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South America</w:t>
            </w:r>
          </w:p>
        </w:tc>
        <w:tc>
          <w:tcPr>
            <w:tcW w:w="62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Tubarao</w:t>
            </w:r>
          </w:p>
        </w:tc>
        <w:tc>
          <w:tcPr>
            <w:tcW w:w="46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Mediterranean </w:t>
            </w:r>
          </w:p>
        </w:tc>
        <w:tc>
          <w:tcPr>
            <w:tcW w:w="42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Taranto</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527</w:t>
            </w:r>
          </w:p>
        </w:tc>
        <w:tc>
          <w:tcPr>
            <w:tcW w:w="480"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209"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11</w:t>
            </w:r>
          </w:p>
        </w:tc>
        <w:tc>
          <w:tcPr>
            <w:tcW w:w="214"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563</w:t>
            </w:r>
          </w:p>
        </w:tc>
        <w:tc>
          <w:tcPr>
            <w:tcW w:w="251" w:type="pct"/>
            <w:shd w:val="clear" w:color="auto" w:fill="FFFFFF" w:themeFill="background1"/>
            <w:vAlign w:val="center"/>
            <w:hideMark/>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36</w:t>
            </w:r>
          </w:p>
        </w:tc>
        <w:tc>
          <w:tcPr>
            <w:tcW w:w="251" w:type="pct"/>
            <w:shd w:val="clear" w:color="auto" w:fill="FFFFFF" w:themeFill="background1"/>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rPr>
          <w:noProof/>
        </w:rPr>
      </w:pPr>
    </w:p>
    <w:p>
      <w:pPr>
        <w:pStyle w:val="Caption"/>
        <w:spacing w:after="120"/>
        <w:rPr>
          <w:noProof/>
        </w:rPr>
      </w:pPr>
      <w:bookmarkStart w:id="673" w:name="_Ref56422219"/>
      <w:bookmarkStart w:id="674" w:name="_Toc57796895"/>
      <w:r>
        <w:rPr>
          <w:noProof/>
        </w:rPr>
        <w:t xml:space="preserve">Table </w:t>
      </w:r>
      <w:r>
        <w:rPr>
          <w:noProof/>
        </w:rPr>
        <w:fldChar w:fldCharType="begin"/>
      </w:r>
      <w:r>
        <w:rPr>
          <w:noProof/>
        </w:rPr>
        <w:instrText xml:space="preserve"> SEQ Table \* ARABIC </w:instrText>
      </w:r>
      <w:r>
        <w:rPr>
          <w:noProof/>
        </w:rPr>
        <w:fldChar w:fldCharType="separate"/>
      </w:r>
      <w:r>
        <w:rPr>
          <w:noProof/>
        </w:rPr>
        <w:t>61</w:t>
      </w:r>
      <w:r>
        <w:rPr>
          <w:noProof/>
        </w:rPr>
        <w:fldChar w:fldCharType="end"/>
      </w:r>
      <w:bookmarkEnd w:id="673"/>
      <w:r>
        <w:rPr>
          <w:noProof/>
        </w:rPr>
        <w:t>: Dry bulkers routes – Time comparison of the route with an intermediate stop relative to the direct route (% change in travel time components</w:t>
      </w:r>
      <w:bookmarkEnd w:id="674"/>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1612"/>
        <w:gridCol w:w="2033"/>
        <w:gridCol w:w="1150"/>
        <w:gridCol w:w="841"/>
        <w:gridCol w:w="815"/>
        <w:gridCol w:w="812"/>
        <w:gridCol w:w="1377"/>
        <w:gridCol w:w="842"/>
        <w:gridCol w:w="815"/>
        <w:gridCol w:w="812"/>
        <w:gridCol w:w="842"/>
        <w:gridCol w:w="815"/>
        <w:gridCol w:w="809"/>
      </w:tblGrid>
      <w:tr>
        <w:trPr>
          <w:trHeight w:val="20"/>
          <w:tblHeader/>
        </w:trPr>
        <w:tc>
          <w:tcPr>
            <w:tcW w:w="594"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Ship size [DWT]- Goods</w:t>
            </w:r>
          </w:p>
        </w:tc>
        <w:tc>
          <w:tcPr>
            <w:tcW w:w="749"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Origin Port</w:t>
            </w:r>
          </w:p>
        </w:tc>
        <w:tc>
          <w:tcPr>
            <w:tcW w:w="424"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Destination Port</w:t>
            </w:r>
          </w:p>
        </w:tc>
        <w:tc>
          <w:tcPr>
            <w:tcW w:w="909" w:type="pct"/>
            <w:gridSpan w:val="3"/>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time direct route</w:t>
            </w:r>
          </w:p>
        </w:tc>
        <w:tc>
          <w:tcPr>
            <w:tcW w:w="507"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Intermediate Port</w:t>
            </w:r>
          </w:p>
        </w:tc>
        <w:tc>
          <w:tcPr>
            <w:tcW w:w="909" w:type="pct"/>
            <w:gridSpan w:val="3"/>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time intermediate stop</w:t>
            </w:r>
          </w:p>
        </w:tc>
        <w:tc>
          <w:tcPr>
            <w:tcW w:w="310"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Sailing time [%]</w:t>
            </w:r>
          </w:p>
        </w:tc>
        <w:tc>
          <w:tcPr>
            <w:tcW w:w="300"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Time at ports [%]</w:t>
            </w:r>
          </w:p>
        </w:tc>
        <w:tc>
          <w:tcPr>
            <w:tcW w:w="298"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Total [%]</w:t>
            </w:r>
          </w:p>
        </w:tc>
      </w:tr>
      <w:tr>
        <w:trPr>
          <w:trHeight w:val="20"/>
          <w:tblHeader/>
        </w:trPr>
        <w:tc>
          <w:tcPr>
            <w:tcW w:w="594"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val="it-IT" w:eastAsia="it-IT"/>
              </w:rPr>
            </w:pPr>
          </w:p>
        </w:tc>
        <w:tc>
          <w:tcPr>
            <w:tcW w:w="749"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val="it-IT" w:eastAsia="it-IT"/>
              </w:rPr>
            </w:pPr>
          </w:p>
        </w:tc>
        <w:tc>
          <w:tcPr>
            <w:tcW w:w="424"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val="it-IT" w:eastAsia="it-IT"/>
              </w:rPr>
            </w:pPr>
          </w:p>
        </w:tc>
        <w:tc>
          <w:tcPr>
            <w:tcW w:w="310"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Sailing time [h]</w:t>
            </w:r>
          </w:p>
        </w:tc>
        <w:tc>
          <w:tcPr>
            <w:tcW w:w="300"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Time at ports [h]</w:t>
            </w:r>
          </w:p>
        </w:tc>
        <w:tc>
          <w:tcPr>
            <w:tcW w:w="299"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Total [h]</w:t>
            </w:r>
          </w:p>
        </w:tc>
        <w:tc>
          <w:tcPr>
            <w:tcW w:w="507"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val="it-IT" w:eastAsia="it-IT"/>
              </w:rPr>
            </w:pPr>
          </w:p>
        </w:tc>
        <w:tc>
          <w:tcPr>
            <w:tcW w:w="310"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Sailing time [h]</w:t>
            </w:r>
          </w:p>
        </w:tc>
        <w:tc>
          <w:tcPr>
            <w:tcW w:w="300"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Time at ports [h]</w:t>
            </w:r>
          </w:p>
        </w:tc>
        <w:tc>
          <w:tcPr>
            <w:tcW w:w="299"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val="it-IT" w:eastAsia="it-IT"/>
              </w:rPr>
            </w:pPr>
            <w:r>
              <w:rPr>
                <w:rFonts w:ascii="Times New Roman" w:hAnsi="Times New Roman" w:cs="Times New Roman"/>
                <w:b/>
                <w:bCs/>
                <w:noProof/>
                <w:sz w:val="16"/>
                <w:szCs w:val="16"/>
                <w:lang w:val="it-IT" w:eastAsia="it-IT"/>
              </w:rPr>
              <w:t>Total [h]</w:t>
            </w:r>
          </w:p>
        </w:tc>
        <w:tc>
          <w:tcPr>
            <w:tcW w:w="310"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val="it-IT" w:eastAsia="it-IT"/>
              </w:rPr>
            </w:pPr>
          </w:p>
        </w:tc>
        <w:tc>
          <w:tcPr>
            <w:tcW w:w="300"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val="it-IT" w:eastAsia="it-IT"/>
              </w:rPr>
            </w:pPr>
          </w:p>
        </w:tc>
        <w:tc>
          <w:tcPr>
            <w:tcW w:w="298"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val="it-IT" w:eastAsia="it-IT"/>
              </w:rPr>
            </w:pP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65,000-grain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Antwerp</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442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500</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466</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558</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12%</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65,000-grain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441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499</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553</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65,000-grain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460</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518</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569</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10%</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65,000-grain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Antwerp</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494</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552</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522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614</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65,000-grain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494</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552</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517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609</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10%</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65,000-grain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517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575</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533</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625</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Antwerp</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442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500</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466</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558</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12%</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441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499</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553</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460</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518</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569</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10%</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Antwerp</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494</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552</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522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614</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494</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552</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517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609</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10%</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517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575</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533</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625</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Marseille</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478</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536</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485</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577</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Livorno</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494</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552</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500</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592</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Marseille</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519</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468</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560</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35,000-grain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Livorno</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476</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534</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482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574</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28,000-grain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Marseille</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478</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536</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485</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577</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28,000-grain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Livorno</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494</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552</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500</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592</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28,000-grain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Naples</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504</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562</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507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599</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28,000-grain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Marseille</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519</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468</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560</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28,000-grain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Livorno</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476</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534</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482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574</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28,000-grain</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Santos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Naples</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487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545</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489</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581</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200,000-iron ore</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Tubarao</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452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510</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476</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568</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200,000-iron ore</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Tubarao</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475</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533</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583</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300,000-iron ore</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Tubarao</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452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510</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476</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568</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300,000-iron ore</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Tubarao</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475</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533</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583</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165,000-coal</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Durban</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631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689</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655</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747</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8%</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165,000-coal</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Durban</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654</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712</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671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763</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2%</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70,000-coal</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New Orleans</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Taranto</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528</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586</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530</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622</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165,000-coal</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Buenaventura</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472</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530</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496</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588</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165,000-coal</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Buenaventura</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495</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553</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511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603</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3%</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9%</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165,000-coal</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Ponta Da Madeira</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Rotterdam</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373</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431</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397</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489</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6%</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13%</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165,000-coal</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Ponta Da Madeira</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Hamburg</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396</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454</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Grimsby (UK)</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413</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505</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4%</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11%</w:t>
            </w:r>
          </w:p>
        </w:tc>
      </w:tr>
      <w:tr>
        <w:trPr>
          <w:trHeight w:val="20"/>
        </w:trPr>
        <w:tc>
          <w:tcPr>
            <w:tcW w:w="594" w:type="pct"/>
            <w:shd w:val="clear" w:color="auto" w:fill="FFFFFF" w:themeFill="background1"/>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200,000-iron ore</w:t>
            </w:r>
          </w:p>
        </w:tc>
        <w:tc>
          <w:tcPr>
            <w:tcW w:w="749"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Tubarao</w:t>
            </w:r>
          </w:p>
        </w:tc>
        <w:tc>
          <w:tcPr>
            <w:tcW w:w="424" w:type="pct"/>
            <w:shd w:val="clear" w:color="auto" w:fill="FFFFFF" w:themeFill="background1"/>
            <w:noWrap/>
            <w:vAlign w:val="center"/>
            <w:hideMark/>
          </w:tcPr>
          <w:p>
            <w:pPr>
              <w:spacing w:after="0"/>
              <w:contextualSpacing/>
              <w:rPr>
                <w:rFonts w:ascii="Times New Roman" w:hAnsi="Times New Roman" w:cs="Times New Roman"/>
                <w:noProof/>
                <w:sz w:val="16"/>
                <w:szCs w:val="16"/>
                <w:lang w:val="it-IT" w:eastAsia="it-IT"/>
              </w:rPr>
            </w:pPr>
            <w:r>
              <w:rPr>
                <w:rFonts w:ascii="Times New Roman" w:hAnsi="Times New Roman" w:cs="Times New Roman"/>
                <w:noProof/>
                <w:sz w:val="16"/>
                <w:szCs w:val="16"/>
                <w:lang w:val="it-IT" w:eastAsia="it-IT"/>
              </w:rPr>
              <w:t>Taranto</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469</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58</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527</w:t>
            </w:r>
          </w:p>
        </w:tc>
        <w:tc>
          <w:tcPr>
            <w:tcW w:w="507"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Oran (Algeria)</w:t>
            </w:r>
          </w:p>
        </w:tc>
        <w:tc>
          <w:tcPr>
            <w:tcW w:w="31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471</w:t>
            </w:r>
          </w:p>
        </w:tc>
        <w:tc>
          <w:tcPr>
            <w:tcW w:w="300" w:type="pct"/>
            <w:shd w:val="clear" w:color="auto" w:fill="FFFFFF" w:themeFill="background1"/>
            <w:vAlign w:val="center"/>
          </w:tcPr>
          <w:p>
            <w:pPr>
              <w:spacing w:after="0"/>
              <w:contextualSpacing/>
              <w:jc w:val="center"/>
              <w:rPr>
                <w:rFonts w:ascii="Times New Roman" w:hAnsi="Times New Roman" w:cs="Times New Roman"/>
                <w:noProof/>
                <w:sz w:val="16"/>
                <w:szCs w:val="16"/>
                <w:lang w:val="it-IT" w:eastAsia="it-IT"/>
              </w:rPr>
            </w:pPr>
            <w:r>
              <w:rPr>
                <w:rFonts w:ascii="Times New Roman" w:hAnsi="Times New Roman" w:cs="Times New Roman"/>
                <w:noProof/>
                <w:sz w:val="16"/>
                <w:szCs w:val="16"/>
              </w:rPr>
              <w:t>92</w:t>
            </w:r>
          </w:p>
        </w:tc>
        <w:tc>
          <w:tcPr>
            <w:tcW w:w="299"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563</w:t>
            </w:r>
          </w:p>
        </w:tc>
        <w:tc>
          <w:tcPr>
            <w:tcW w:w="31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0%</w:t>
            </w:r>
          </w:p>
        </w:tc>
        <w:tc>
          <w:tcPr>
            <w:tcW w:w="300"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59%</w:t>
            </w:r>
          </w:p>
        </w:tc>
        <w:tc>
          <w:tcPr>
            <w:tcW w:w="298" w:type="pct"/>
            <w:shd w:val="clear" w:color="auto" w:fill="FFFFFF" w:themeFill="background1"/>
            <w:vAlign w:val="center"/>
          </w:tcPr>
          <w:p>
            <w:pPr>
              <w:spacing w:after="0"/>
              <w:contextualSpacing/>
              <w:jc w:val="center"/>
              <w:rPr>
                <w:rFonts w:ascii="Times New Roman" w:hAnsi="Times New Roman" w:cs="Times New Roman"/>
                <w:bCs/>
                <w:noProof/>
                <w:sz w:val="16"/>
                <w:szCs w:val="16"/>
                <w:lang w:val="it-IT" w:eastAsia="it-IT"/>
              </w:rPr>
            </w:pPr>
            <w:r>
              <w:rPr>
                <w:rFonts w:ascii="Times New Roman" w:hAnsi="Times New Roman" w:cs="Times New Roman"/>
                <w:bCs/>
                <w:noProof/>
                <w:sz w:val="16"/>
                <w:szCs w:val="16"/>
              </w:rPr>
              <w:t>7%</w:t>
            </w:r>
          </w:p>
        </w:tc>
      </w:tr>
    </w:tbl>
    <w:p>
      <w:pPr>
        <w:pStyle w:val="Body"/>
        <w:spacing w:line="276" w:lineRule="auto"/>
        <w:rPr>
          <w:rFonts w:ascii="Times New Roman" w:eastAsia="Calibri" w:hAnsi="Times New Roman"/>
          <w:i/>
          <w:noProof/>
          <w:sz w:val="18"/>
          <w:szCs w:val="18"/>
        </w:rPr>
      </w:pPr>
      <w:bookmarkStart w:id="675" w:name="_Ref56422473"/>
      <w:bookmarkStart w:id="676" w:name="_Toc57796896"/>
      <w:r>
        <w:rPr>
          <w:rFonts w:ascii="Times New Roman" w:eastAsia="Calibri" w:hAnsi="Times New Roman"/>
          <w:i/>
          <w:noProof/>
          <w:sz w:val="18"/>
          <w:szCs w:val="18"/>
        </w:rPr>
        <w:t>Source: TRUST model, TRT</w:t>
      </w:r>
    </w:p>
    <w:p>
      <w:pPr>
        <w:pStyle w:val="Caption"/>
        <w:spacing w:after="120"/>
        <w:rPr>
          <w:noProof/>
        </w:rPr>
      </w:pPr>
      <w:r>
        <w:rPr>
          <w:noProof/>
        </w:rPr>
        <w:t xml:space="preserve">Table </w:t>
      </w:r>
      <w:r>
        <w:rPr>
          <w:noProof/>
        </w:rPr>
        <w:fldChar w:fldCharType="begin"/>
      </w:r>
      <w:r>
        <w:rPr>
          <w:noProof/>
        </w:rPr>
        <w:instrText xml:space="preserve"> SEQ Table \* ARABIC </w:instrText>
      </w:r>
      <w:r>
        <w:rPr>
          <w:noProof/>
        </w:rPr>
        <w:fldChar w:fldCharType="separate"/>
      </w:r>
      <w:r>
        <w:rPr>
          <w:noProof/>
        </w:rPr>
        <w:t>62</w:t>
      </w:r>
      <w:r>
        <w:rPr>
          <w:noProof/>
        </w:rPr>
        <w:fldChar w:fldCharType="end"/>
      </w:r>
      <w:bookmarkEnd w:id="675"/>
      <w:r>
        <w:rPr>
          <w:noProof/>
        </w:rPr>
        <w:t>: Dry bulkers routes - Travel costs</w:t>
      </w:r>
      <w:bookmarkEnd w:id="676"/>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1519"/>
        <w:gridCol w:w="1586"/>
        <w:gridCol w:w="1056"/>
        <w:gridCol w:w="793"/>
        <w:gridCol w:w="923"/>
        <w:gridCol w:w="793"/>
        <w:gridCol w:w="926"/>
        <w:gridCol w:w="1586"/>
        <w:gridCol w:w="923"/>
        <w:gridCol w:w="926"/>
        <w:gridCol w:w="923"/>
        <w:gridCol w:w="926"/>
        <w:gridCol w:w="695"/>
      </w:tblGrid>
      <w:tr>
        <w:trPr>
          <w:trHeight w:val="227"/>
          <w:tblHeader/>
        </w:trPr>
        <w:tc>
          <w:tcPr>
            <w:tcW w:w="559"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Ship size [DWT]- Goods</w:t>
            </w:r>
          </w:p>
        </w:tc>
        <w:tc>
          <w:tcPr>
            <w:tcW w:w="584"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Port</w:t>
            </w:r>
          </w:p>
        </w:tc>
        <w:tc>
          <w:tcPr>
            <w:tcW w:w="389"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Port</w:t>
            </w:r>
          </w:p>
        </w:tc>
        <w:tc>
          <w:tcPr>
            <w:tcW w:w="1265" w:type="pct"/>
            <w:gridSpan w:val="4"/>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cost</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direct route</w:t>
            </w:r>
          </w:p>
        </w:tc>
        <w:tc>
          <w:tcPr>
            <w:tcW w:w="584"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Port</w:t>
            </w:r>
          </w:p>
        </w:tc>
        <w:tc>
          <w:tcPr>
            <w:tcW w:w="1362" w:type="pct"/>
            <w:gridSpan w:val="4"/>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cost</w:t>
            </w:r>
          </w:p>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stop</w:t>
            </w:r>
          </w:p>
        </w:tc>
        <w:tc>
          <w:tcPr>
            <w:tcW w:w="256"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Diff. Travel cost [%]</w:t>
            </w:r>
          </w:p>
        </w:tc>
      </w:tr>
      <w:tr>
        <w:trPr>
          <w:trHeight w:val="227"/>
          <w:tblHeader/>
        </w:trPr>
        <w:tc>
          <w:tcPr>
            <w:tcW w:w="559"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584"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389"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292"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Fuel cost </w:t>
            </w:r>
            <w:r>
              <w:rPr>
                <w:rFonts w:ascii="Times New Roman" w:hAnsi="Times New Roman" w:cs="Times New Roman"/>
                <w:b/>
                <w:bCs/>
                <w:noProof/>
                <w:sz w:val="16"/>
                <w:szCs w:val="16"/>
                <w:lang w:eastAsia="it-IT"/>
              </w:rPr>
              <w:br/>
              <w:t>[€]</w:t>
            </w:r>
          </w:p>
        </w:tc>
        <w:tc>
          <w:tcPr>
            <w:tcW w:w="340"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Time cost </w:t>
            </w:r>
            <w:r>
              <w:rPr>
                <w:rFonts w:ascii="Times New Roman" w:hAnsi="Times New Roman" w:cs="Times New Roman"/>
                <w:b/>
                <w:bCs/>
                <w:noProof/>
                <w:sz w:val="16"/>
                <w:szCs w:val="16"/>
                <w:lang w:eastAsia="it-IT"/>
              </w:rPr>
              <w:br/>
              <w:t>[€]</w:t>
            </w:r>
          </w:p>
        </w:tc>
        <w:tc>
          <w:tcPr>
            <w:tcW w:w="292"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Ports cost </w:t>
            </w:r>
            <w:r>
              <w:rPr>
                <w:rFonts w:ascii="Times New Roman" w:hAnsi="Times New Roman" w:cs="Times New Roman"/>
                <w:b/>
                <w:bCs/>
                <w:noProof/>
                <w:sz w:val="16"/>
                <w:szCs w:val="16"/>
                <w:lang w:eastAsia="it-IT"/>
              </w:rPr>
              <w:br/>
              <w:t>[€]</w:t>
            </w:r>
          </w:p>
        </w:tc>
        <w:tc>
          <w:tcPr>
            <w:tcW w:w="341"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TOTAL </w:t>
            </w:r>
            <w:r>
              <w:rPr>
                <w:rFonts w:ascii="Times New Roman" w:hAnsi="Times New Roman" w:cs="Times New Roman"/>
                <w:b/>
                <w:bCs/>
                <w:noProof/>
                <w:sz w:val="16"/>
                <w:szCs w:val="16"/>
                <w:lang w:eastAsia="it-IT"/>
              </w:rPr>
              <w:br/>
              <w:t>[€]</w:t>
            </w:r>
          </w:p>
        </w:tc>
        <w:tc>
          <w:tcPr>
            <w:tcW w:w="584" w:type="pct"/>
            <w:vMerge/>
            <w:shd w:val="clear" w:color="auto" w:fill="FFFFFF" w:themeFill="background1"/>
            <w:vAlign w:val="center"/>
            <w:hideMark/>
          </w:tcPr>
          <w:p>
            <w:pPr>
              <w:spacing w:after="0"/>
              <w:rPr>
                <w:rFonts w:ascii="Times New Roman" w:hAnsi="Times New Roman" w:cs="Times New Roman"/>
                <w:b/>
                <w:bCs/>
                <w:noProof/>
                <w:sz w:val="16"/>
                <w:szCs w:val="16"/>
                <w:lang w:eastAsia="it-IT"/>
              </w:rPr>
            </w:pPr>
          </w:p>
        </w:tc>
        <w:tc>
          <w:tcPr>
            <w:tcW w:w="340"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Fuel cost </w:t>
            </w:r>
            <w:r>
              <w:rPr>
                <w:rFonts w:ascii="Times New Roman" w:hAnsi="Times New Roman" w:cs="Times New Roman"/>
                <w:b/>
                <w:bCs/>
                <w:noProof/>
                <w:sz w:val="16"/>
                <w:szCs w:val="16"/>
                <w:lang w:eastAsia="it-IT"/>
              </w:rPr>
              <w:br/>
              <w:t>[€]</w:t>
            </w:r>
          </w:p>
        </w:tc>
        <w:tc>
          <w:tcPr>
            <w:tcW w:w="341"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Time cost </w:t>
            </w:r>
            <w:r>
              <w:rPr>
                <w:rFonts w:ascii="Times New Roman" w:hAnsi="Times New Roman" w:cs="Times New Roman"/>
                <w:b/>
                <w:bCs/>
                <w:noProof/>
                <w:sz w:val="16"/>
                <w:szCs w:val="16"/>
                <w:lang w:eastAsia="it-IT"/>
              </w:rPr>
              <w:br/>
              <w:t>[€]</w:t>
            </w:r>
          </w:p>
        </w:tc>
        <w:tc>
          <w:tcPr>
            <w:tcW w:w="340"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Ports cost </w:t>
            </w:r>
            <w:r>
              <w:rPr>
                <w:rFonts w:ascii="Times New Roman" w:hAnsi="Times New Roman" w:cs="Times New Roman"/>
                <w:b/>
                <w:bCs/>
                <w:noProof/>
                <w:sz w:val="16"/>
                <w:szCs w:val="16"/>
                <w:lang w:eastAsia="it-IT"/>
              </w:rPr>
              <w:br/>
              <w:t>[€]</w:t>
            </w:r>
          </w:p>
        </w:tc>
        <w:tc>
          <w:tcPr>
            <w:tcW w:w="341"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TOTAL </w:t>
            </w:r>
            <w:r>
              <w:rPr>
                <w:rFonts w:ascii="Times New Roman" w:hAnsi="Times New Roman" w:cs="Times New Roman"/>
                <w:b/>
                <w:bCs/>
                <w:noProof/>
                <w:sz w:val="16"/>
                <w:szCs w:val="16"/>
                <w:lang w:eastAsia="it-IT"/>
              </w:rPr>
              <w:br/>
              <w:t>[€]</w:t>
            </w:r>
          </w:p>
        </w:tc>
        <w:tc>
          <w:tcPr>
            <w:tcW w:w="256" w:type="pct"/>
            <w:vMerge/>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415,020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196,351</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116,099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727,470</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410,290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219,319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174,148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803,757</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10%</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414,593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196,173</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116,099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726,864</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405,336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217,247</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174,148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796,731</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10%</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432,529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203,674</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116,099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752,302</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420,198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223,462</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174,148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817,808</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9%</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464,218</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216,926</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116,099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797,242</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459,561</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241,394</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174,148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875,102</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10%</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463,791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216,747</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116,099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796,636</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454,607</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239,322</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174,148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868,077</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9%</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65,000-grain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485,400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225,784</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116,099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827,283</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469,469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245,537</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174,148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889,154</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7%</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292,189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154,083</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507,707</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288,859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172,106</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553,119</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9%</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291,888</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153,942</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507,266</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285,371</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170,480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548,005</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8%</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304,516</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159,829</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525,781</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295,835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175,358</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563,346</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7%</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326,826</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170,228</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558,490</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323,547</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189,429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605,130</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8%</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326,525</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170,088</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558,049</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320,060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187,803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600,016</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8%</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341,739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177,180</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580,354</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330,523</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192,680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615,357</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6%</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Marseille</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316,302</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165,323</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543,061</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301,815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178,020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571,990</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5%</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Livorno</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326,706</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170,172</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558,313</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311,437</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182,505</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586,096</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5%</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Marseille</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304,697</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159,913</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526,045</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290,982</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172,611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555,747</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6%</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35,000-grain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Livorno</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315,100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164,762</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61,436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541,298</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300,604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177,095</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92,154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569,853</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5%</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Marseille</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227,626</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157,615</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53,700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438,941</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217,201</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169,721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80,550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467,471</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6%</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Livorno</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235,113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162,238</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53,700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451,051</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224,125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173,997</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80,550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478,671</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6%</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Naples</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240,133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165,338</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53,700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459,171</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227,500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176,081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80,550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484,131</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5%</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Marseille</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219,274</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152,457</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53,700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425,432</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209,405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164,563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80,550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454,518</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7%</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Livorno</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226,761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157,081</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53,700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437,541</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216,329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168,839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80,550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465,717</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6%</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28,000-grain</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Santos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Naples</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231,781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160,181</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53,700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445,661</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219,704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170,923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80,550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471,177</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6%</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200,000-iron ore</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Tubarao</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590,347</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339,271</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244,599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1,174,217</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581,189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377,478</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366,898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1,325,566</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13%</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200,000-iron ore</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Tubarao</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620,375</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354,566</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244,599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1,219,540</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601,841</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387,997</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366,898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1,356,736</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11%</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300,000-iron ore</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688,311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442,476</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325,884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1,456,672</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677,634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492,306</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488,826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1,658,766</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14%</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300,000-iron ore</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723,322</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462,424</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325,884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1,511,630</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701,712</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506,025</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488,826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1,696,563</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12%</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Durban</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788,789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409,543</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199,705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1,398,037</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765,125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443,680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299,558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1,508,364</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8%</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Durban</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817,528</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423,209</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199,705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1,440,442</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784,890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453,079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299,558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1,537,527</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7%</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70,000-coal</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New Orleans</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Taranto</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495,649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235,438</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118,037</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849,125</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470,289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249,950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177,056</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897,295</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6%</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Buenaventura</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590,002</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315,016</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199,705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1,104,723</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579,573</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349,154</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299,558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1,228,285</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11%</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Buenaventura</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618,741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328,682</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199,705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1,147,128</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599,338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358,553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299,558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1,257,448</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10%</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Ponta Da Madeira</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466,640</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256,356</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199,705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922,701</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464,424</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290,493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299,558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1,054,476</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14%</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165,000-coal</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Ponta Da Madeira</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Hamburg</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495,379</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270,022</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199,705</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965,106</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484,189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299,892</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299,558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1,083,639</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12%</w:t>
            </w:r>
          </w:p>
        </w:tc>
      </w:tr>
      <w:tr>
        <w:trPr>
          <w:trHeight w:val="227"/>
        </w:trPr>
        <w:tc>
          <w:tcPr>
            <w:tcW w:w="559"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200,000-iron ore</w:t>
            </w:r>
          </w:p>
        </w:tc>
        <w:tc>
          <w:tcPr>
            <w:tcW w:w="584"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Tubarao</w:t>
            </w:r>
          </w:p>
        </w:tc>
        <w:tc>
          <w:tcPr>
            <w:tcW w:w="389"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lang w:eastAsia="it-IT"/>
              </w:rPr>
              <w:t>Taranto</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611,711</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350,153</w:t>
            </w:r>
          </w:p>
        </w:tc>
        <w:tc>
          <w:tcPr>
            <w:tcW w:w="292"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244,599</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1,206,463</w:t>
            </w:r>
          </w:p>
        </w:tc>
        <w:tc>
          <w:tcPr>
            <w:tcW w:w="584" w:type="pct"/>
            <w:shd w:val="clear" w:color="auto" w:fill="FFFFFF" w:themeFill="background1"/>
            <w:vAlign w:val="center"/>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581,600</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374,153</w:t>
            </w:r>
          </w:p>
        </w:tc>
        <w:tc>
          <w:tcPr>
            <w:tcW w:w="340"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366,898</w:t>
            </w:r>
          </w:p>
        </w:tc>
        <w:tc>
          <w:tcPr>
            <w:tcW w:w="341" w:type="pct"/>
            <w:shd w:val="clear" w:color="auto" w:fill="FFFFFF" w:themeFill="background1"/>
            <w:noWrap/>
            <w:vAlign w:val="center"/>
          </w:tcPr>
          <w:p>
            <w:pPr>
              <w:spacing w:after="0"/>
              <w:jc w:val="right"/>
              <w:rPr>
                <w:rFonts w:ascii="Times New Roman" w:hAnsi="Times New Roman" w:cs="Times New Roman"/>
                <w:noProof/>
                <w:sz w:val="16"/>
                <w:szCs w:val="16"/>
                <w:lang w:eastAsia="it-IT"/>
              </w:rPr>
            </w:pPr>
            <w:r>
              <w:rPr>
                <w:rFonts w:ascii="Times New Roman" w:hAnsi="Times New Roman" w:cs="Times New Roman"/>
                <w:noProof/>
                <w:sz w:val="16"/>
                <w:szCs w:val="16"/>
              </w:rPr>
              <w:t>1,322,651</w:t>
            </w:r>
          </w:p>
        </w:tc>
        <w:tc>
          <w:tcPr>
            <w:tcW w:w="256" w:type="pct"/>
            <w:shd w:val="clear" w:color="auto" w:fill="FFFFFF" w:themeFill="background1"/>
            <w:noWrap/>
            <w:vAlign w:val="center"/>
          </w:tcPr>
          <w:p>
            <w:pPr>
              <w:spacing w:after="0"/>
              <w:jc w:val="center"/>
              <w:rPr>
                <w:rFonts w:ascii="Times New Roman" w:hAnsi="Times New Roman" w:cs="Times New Roman"/>
                <w:b/>
                <w:noProof/>
                <w:sz w:val="16"/>
                <w:szCs w:val="16"/>
                <w:lang w:eastAsia="it-IT"/>
              </w:rPr>
            </w:pPr>
            <w:r>
              <w:rPr>
                <w:rFonts w:ascii="Times New Roman" w:hAnsi="Times New Roman" w:cs="Times New Roman"/>
                <w:b/>
                <w:bCs/>
                <w:noProof/>
                <w:sz w:val="16"/>
                <w:szCs w:val="16"/>
              </w:rPr>
              <w:t>10%</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77" w:name="_Ref56422638"/>
      <w:bookmarkStart w:id="678" w:name="_Toc57796897"/>
      <w:r>
        <w:rPr>
          <w:noProof/>
        </w:rPr>
        <w:t xml:space="preserve">Table </w:t>
      </w:r>
      <w:r>
        <w:rPr>
          <w:noProof/>
        </w:rPr>
        <w:fldChar w:fldCharType="begin"/>
      </w:r>
      <w:r>
        <w:rPr>
          <w:noProof/>
        </w:rPr>
        <w:instrText xml:space="preserve"> SEQ Table \* ARABIC </w:instrText>
      </w:r>
      <w:r>
        <w:rPr>
          <w:noProof/>
        </w:rPr>
        <w:fldChar w:fldCharType="separate"/>
      </w:r>
      <w:r>
        <w:rPr>
          <w:noProof/>
        </w:rPr>
        <w:t>63</w:t>
      </w:r>
      <w:r>
        <w:rPr>
          <w:noProof/>
        </w:rPr>
        <w:fldChar w:fldCharType="end"/>
      </w:r>
      <w:bookmarkEnd w:id="677"/>
      <w:r>
        <w:rPr>
          <w:noProof/>
        </w:rPr>
        <w:t>: Dry bulkers routes – Costs comparison of the route with an intermediate stop relative to the direct route (% change in travel costs components</w:t>
      </w:r>
      <w:bookmarkEnd w:id="678"/>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1809"/>
        <w:gridCol w:w="1398"/>
        <w:gridCol w:w="1621"/>
        <w:gridCol w:w="1710"/>
        <w:gridCol w:w="1501"/>
        <w:gridCol w:w="1662"/>
        <w:gridCol w:w="969"/>
        <w:gridCol w:w="969"/>
        <w:gridCol w:w="969"/>
        <w:gridCol w:w="967"/>
      </w:tblGrid>
      <w:tr>
        <w:trPr>
          <w:trHeight w:val="20"/>
          <w:tblHeader/>
        </w:trPr>
        <w:tc>
          <w:tcPr>
            <w:tcW w:w="666"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Ship size [DWT]- Goods</w:t>
            </w:r>
          </w:p>
        </w:tc>
        <w:tc>
          <w:tcPr>
            <w:tcW w:w="515"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Region</w:t>
            </w:r>
          </w:p>
        </w:tc>
        <w:tc>
          <w:tcPr>
            <w:tcW w:w="597"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Port</w:t>
            </w:r>
          </w:p>
        </w:tc>
        <w:tc>
          <w:tcPr>
            <w:tcW w:w="630"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Region</w:t>
            </w:r>
          </w:p>
        </w:tc>
        <w:tc>
          <w:tcPr>
            <w:tcW w:w="553"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Port</w:t>
            </w:r>
          </w:p>
        </w:tc>
        <w:tc>
          <w:tcPr>
            <w:tcW w:w="612" w:type="pct"/>
            <w:shd w:val="clear" w:color="auto" w:fill="FFFFFF" w:themeFill="background1"/>
            <w:vAlign w:val="center"/>
            <w:hideMark/>
          </w:tcPr>
          <w:p>
            <w:pPr>
              <w:spacing w:after="0"/>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Port</w:t>
            </w:r>
          </w:p>
        </w:tc>
        <w:tc>
          <w:tcPr>
            <w:tcW w:w="357"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Fuel cost </w:t>
            </w:r>
            <w:r>
              <w:rPr>
                <w:rFonts w:ascii="Times New Roman" w:hAnsi="Times New Roman" w:cs="Times New Roman"/>
                <w:b/>
                <w:bCs/>
                <w:noProof/>
                <w:sz w:val="16"/>
                <w:szCs w:val="16"/>
                <w:lang w:eastAsia="it-IT"/>
              </w:rPr>
              <w:br/>
              <w:t>[€]</w:t>
            </w:r>
          </w:p>
        </w:tc>
        <w:tc>
          <w:tcPr>
            <w:tcW w:w="357"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Time cost </w:t>
            </w:r>
            <w:r>
              <w:rPr>
                <w:rFonts w:ascii="Times New Roman" w:hAnsi="Times New Roman" w:cs="Times New Roman"/>
                <w:b/>
                <w:bCs/>
                <w:noProof/>
                <w:sz w:val="16"/>
                <w:szCs w:val="16"/>
                <w:lang w:eastAsia="it-IT"/>
              </w:rPr>
              <w:br/>
              <w:t>[€]</w:t>
            </w:r>
          </w:p>
        </w:tc>
        <w:tc>
          <w:tcPr>
            <w:tcW w:w="357"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Ports cost </w:t>
            </w:r>
            <w:r>
              <w:rPr>
                <w:rFonts w:ascii="Times New Roman" w:hAnsi="Times New Roman" w:cs="Times New Roman"/>
                <w:b/>
                <w:bCs/>
                <w:noProof/>
                <w:sz w:val="16"/>
                <w:szCs w:val="16"/>
                <w:lang w:eastAsia="it-IT"/>
              </w:rPr>
              <w:br/>
              <w:t>[€]</w:t>
            </w:r>
          </w:p>
        </w:tc>
        <w:tc>
          <w:tcPr>
            <w:tcW w:w="356" w:type="pct"/>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 xml:space="preserve">TOTAL </w:t>
            </w:r>
            <w:r>
              <w:rPr>
                <w:rFonts w:ascii="Times New Roman" w:hAnsi="Times New Roman" w:cs="Times New Roman"/>
                <w:b/>
                <w:bCs/>
                <w:noProof/>
                <w:sz w:val="16"/>
                <w:szCs w:val="16"/>
                <w:lang w:eastAsia="it-IT"/>
              </w:rPr>
              <w:br/>
              <w:t>[€]</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65,000-grain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65,000-grain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65,000-grain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65,000-grain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65,000-grain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65,000-grain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Antwerp</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Livorno</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35,000-grain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Livorno</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28,000-grain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28,000-grain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Livorno</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28,000-grain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Naples</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28,000-grain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Marseille</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28,000-grain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Livorno</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28,000-grain</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Santos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Naples</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200,000-iron ore</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13%</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200,000-iron ore</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300,000-iron ore</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14%</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300,000-iron ore</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165,000-coal</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Africa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Durban</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165,000-coal</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Africa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Durban</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70,000-coal</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New Orleans</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Taranto</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165,000-coal</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Buenaventura</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165,000-coal</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Buenaventura</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165,000-coal</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Ponta Da Madeira</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Rotterdam</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0%</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13%</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14%</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165,000-coal</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Ponta Da Madeira</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North Europe</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Hamburg</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Grimsby (UK)</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11%</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r>
      <w:tr>
        <w:trPr>
          <w:trHeight w:val="20"/>
        </w:trPr>
        <w:tc>
          <w:tcPr>
            <w:tcW w:w="666" w:type="pct"/>
            <w:shd w:val="clear" w:color="auto" w:fill="FFFFFF" w:themeFill="background1"/>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200,000-iron ore</w:t>
            </w:r>
          </w:p>
        </w:tc>
        <w:tc>
          <w:tcPr>
            <w:tcW w:w="515"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South America</w:t>
            </w:r>
          </w:p>
        </w:tc>
        <w:tc>
          <w:tcPr>
            <w:tcW w:w="597"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Tubarao</w:t>
            </w:r>
          </w:p>
        </w:tc>
        <w:tc>
          <w:tcPr>
            <w:tcW w:w="630"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 xml:space="preserve">Mediterranean </w:t>
            </w:r>
          </w:p>
        </w:tc>
        <w:tc>
          <w:tcPr>
            <w:tcW w:w="553" w:type="pct"/>
            <w:shd w:val="clear" w:color="auto" w:fill="FFFFFF" w:themeFill="background1"/>
            <w:noWrap/>
            <w:vAlign w:val="center"/>
            <w:hideMark/>
          </w:tcPr>
          <w:p>
            <w:pPr>
              <w:spacing w:after="0"/>
              <w:rPr>
                <w:rFonts w:ascii="Times New Roman" w:hAnsi="Times New Roman" w:cs="Times New Roman"/>
                <w:noProof/>
                <w:sz w:val="16"/>
                <w:szCs w:val="16"/>
                <w:lang w:eastAsia="it-IT"/>
              </w:rPr>
            </w:pPr>
            <w:r>
              <w:rPr>
                <w:rFonts w:ascii="Times New Roman" w:hAnsi="Times New Roman" w:cs="Times New Roman"/>
                <w:noProof/>
                <w:sz w:val="16"/>
                <w:szCs w:val="16"/>
              </w:rPr>
              <w:t>Taranto</w:t>
            </w:r>
          </w:p>
        </w:tc>
        <w:tc>
          <w:tcPr>
            <w:tcW w:w="612" w:type="pct"/>
            <w:shd w:val="clear" w:color="auto" w:fill="FFFFFF" w:themeFill="background1"/>
            <w:vAlign w:val="center"/>
            <w:hideMark/>
          </w:tcPr>
          <w:p>
            <w:pPr>
              <w:spacing w:after="0"/>
              <w:jc w:val="center"/>
              <w:rPr>
                <w:rFonts w:ascii="Times New Roman" w:hAnsi="Times New Roman" w:cs="Times New Roman"/>
                <w:noProof/>
                <w:sz w:val="16"/>
                <w:szCs w:val="16"/>
                <w:lang w:eastAsia="it-IT"/>
              </w:rPr>
            </w:pPr>
            <w:r>
              <w:rPr>
                <w:rFonts w:ascii="Times New Roman" w:hAnsi="Times New Roman" w:cs="Times New Roman"/>
                <w:noProof/>
                <w:sz w:val="16"/>
                <w:szCs w:val="16"/>
              </w:rPr>
              <w:t>Oran (Algeria)</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c>
          <w:tcPr>
            <w:tcW w:w="357"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w:t>
            </w:r>
          </w:p>
        </w:tc>
        <w:tc>
          <w:tcPr>
            <w:tcW w:w="356" w:type="pct"/>
            <w:shd w:val="clear" w:color="auto" w:fill="FFFFFF" w:themeFill="background1"/>
            <w:noWrap/>
            <w:vAlign w:val="center"/>
          </w:tcPr>
          <w:p>
            <w:pPr>
              <w:spacing w:after="0"/>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Body"/>
        <w:rPr>
          <w:rFonts w:ascii="Times New Roman" w:hAnsi="Times New Roman"/>
          <w:i/>
          <w:noProof/>
          <w:sz w:val="24"/>
          <w:szCs w:val="24"/>
        </w:rPr>
      </w:pPr>
      <w:bookmarkStart w:id="679" w:name="_Toc57796818"/>
      <w:r>
        <w:rPr>
          <w:rFonts w:ascii="Times New Roman" w:hAnsi="Times New Roman"/>
          <w:i/>
          <w:noProof/>
          <w:sz w:val="24"/>
          <w:szCs w:val="24"/>
        </w:rPr>
        <w:t>Liquid bulker ships routes</w:t>
      </w:r>
      <w:bookmarkEnd w:id="679"/>
      <w:r>
        <w:rPr>
          <w:rFonts w:ascii="Times New Roman" w:hAnsi="Times New Roman"/>
          <w:i/>
          <w:noProof/>
          <w:sz w:val="24"/>
          <w:szCs w:val="24"/>
        </w:rPr>
        <w:t xml:space="preserve"> – detailed results for PO3</w:t>
      </w:r>
    </w:p>
    <w:p>
      <w:pPr>
        <w:pStyle w:val="Caption"/>
        <w:spacing w:after="120"/>
        <w:rPr>
          <w:noProof/>
        </w:rPr>
      </w:pPr>
      <w:bookmarkStart w:id="680" w:name="_Ref56423364"/>
      <w:bookmarkStart w:id="681" w:name="_Toc57796898"/>
      <w:r>
        <w:rPr>
          <w:noProof/>
        </w:rPr>
        <w:t xml:space="preserve">Table </w:t>
      </w:r>
      <w:r>
        <w:rPr>
          <w:noProof/>
        </w:rPr>
        <w:fldChar w:fldCharType="begin"/>
      </w:r>
      <w:r>
        <w:rPr>
          <w:noProof/>
        </w:rPr>
        <w:instrText xml:space="preserve"> SEQ Table \* ARABIC </w:instrText>
      </w:r>
      <w:r>
        <w:rPr>
          <w:noProof/>
        </w:rPr>
        <w:fldChar w:fldCharType="separate"/>
      </w:r>
      <w:r>
        <w:rPr>
          <w:noProof/>
        </w:rPr>
        <w:t>64</w:t>
      </w:r>
      <w:r>
        <w:rPr>
          <w:noProof/>
        </w:rPr>
        <w:fldChar w:fldCharType="end"/>
      </w:r>
      <w:bookmarkEnd w:id="680"/>
      <w:r>
        <w:rPr>
          <w:noProof/>
        </w:rPr>
        <w:t>: Tankers routes - Travel times</w:t>
      </w:r>
      <w:bookmarkEnd w:id="681"/>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70" w:type="dxa"/>
          <w:right w:w="70" w:type="dxa"/>
        </w:tblCellMar>
        <w:tblLook w:val="04A0" w:firstRow="1" w:lastRow="0" w:firstColumn="1" w:lastColumn="0" w:noHBand="0" w:noVBand="1"/>
      </w:tblPr>
      <w:tblGrid>
        <w:gridCol w:w="1468"/>
        <w:gridCol w:w="1336"/>
        <w:gridCol w:w="1336"/>
        <w:gridCol w:w="1333"/>
        <w:gridCol w:w="1336"/>
        <w:gridCol w:w="665"/>
        <w:gridCol w:w="668"/>
        <w:gridCol w:w="668"/>
        <w:gridCol w:w="1778"/>
        <w:gridCol w:w="638"/>
        <w:gridCol w:w="638"/>
        <w:gridCol w:w="641"/>
        <w:gridCol w:w="519"/>
        <w:gridCol w:w="551"/>
      </w:tblGrid>
      <w:tr>
        <w:trPr>
          <w:trHeight w:val="20"/>
          <w:tblHeader/>
        </w:trPr>
        <w:tc>
          <w:tcPr>
            <w:tcW w:w="541"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Ship size [DWT]- Goods</w:t>
            </w:r>
          </w:p>
        </w:tc>
        <w:tc>
          <w:tcPr>
            <w:tcW w:w="492"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Region</w:t>
            </w:r>
          </w:p>
        </w:tc>
        <w:tc>
          <w:tcPr>
            <w:tcW w:w="492"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Origin Port</w:t>
            </w:r>
          </w:p>
        </w:tc>
        <w:tc>
          <w:tcPr>
            <w:tcW w:w="491"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Region</w:t>
            </w:r>
          </w:p>
        </w:tc>
        <w:tc>
          <w:tcPr>
            <w:tcW w:w="492"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Destination Port</w:t>
            </w:r>
          </w:p>
        </w:tc>
        <w:tc>
          <w:tcPr>
            <w:tcW w:w="737" w:type="pct"/>
            <w:gridSpan w:val="3"/>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time</w:t>
            </w:r>
          </w:p>
        </w:tc>
        <w:tc>
          <w:tcPr>
            <w:tcW w:w="655" w:type="pct"/>
            <w:vMerge w:val="restar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Intermediate Port</w:t>
            </w:r>
          </w:p>
        </w:tc>
        <w:tc>
          <w:tcPr>
            <w:tcW w:w="706" w:type="pct"/>
            <w:gridSpan w:val="3"/>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time</w:t>
            </w:r>
          </w:p>
        </w:tc>
        <w:tc>
          <w:tcPr>
            <w:tcW w:w="394" w:type="pct"/>
            <w:gridSpan w:val="2"/>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Diff. Travel time</w:t>
            </w:r>
          </w:p>
        </w:tc>
      </w:tr>
      <w:tr>
        <w:trPr>
          <w:trHeight w:val="20"/>
          <w:tblHeader/>
        </w:trPr>
        <w:tc>
          <w:tcPr>
            <w:tcW w:w="541"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p>
        </w:tc>
        <w:tc>
          <w:tcPr>
            <w:tcW w:w="492"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p>
        </w:tc>
        <w:tc>
          <w:tcPr>
            <w:tcW w:w="492"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p>
        </w:tc>
        <w:tc>
          <w:tcPr>
            <w:tcW w:w="491"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p>
        </w:tc>
        <w:tc>
          <w:tcPr>
            <w:tcW w:w="492"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p>
        </w:tc>
        <w:tc>
          <w:tcPr>
            <w:tcW w:w="245" w:type="pct"/>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Days</w:t>
            </w:r>
          </w:p>
        </w:tc>
        <w:tc>
          <w:tcPr>
            <w:tcW w:w="246" w:type="pct"/>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Hours</w:t>
            </w:r>
          </w:p>
        </w:tc>
        <w:tc>
          <w:tcPr>
            <w:tcW w:w="246" w:type="pct"/>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[h]</w:t>
            </w:r>
          </w:p>
        </w:tc>
        <w:tc>
          <w:tcPr>
            <w:tcW w:w="655" w:type="pct"/>
            <w:vMerge/>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p>
        </w:tc>
        <w:tc>
          <w:tcPr>
            <w:tcW w:w="235"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Days</w:t>
            </w:r>
          </w:p>
        </w:tc>
        <w:tc>
          <w:tcPr>
            <w:tcW w:w="235" w:type="pct"/>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Hours</w:t>
            </w:r>
          </w:p>
        </w:tc>
        <w:tc>
          <w:tcPr>
            <w:tcW w:w="236" w:type="pct"/>
            <w:shd w:val="clear" w:color="auto" w:fill="FFFFFF" w:themeFill="background1"/>
            <w:vAlign w:val="center"/>
            <w:hideMark/>
          </w:tcPr>
          <w:p>
            <w:pPr>
              <w:spacing w:after="0"/>
              <w:contextualSpacing/>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[h]</w:t>
            </w:r>
          </w:p>
        </w:tc>
        <w:tc>
          <w:tcPr>
            <w:tcW w:w="191"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[h]</w:t>
            </w:r>
          </w:p>
        </w:tc>
        <w:tc>
          <w:tcPr>
            <w:tcW w:w="203" w:type="pct"/>
            <w:shd w:val="clear" w:color="auto" w:fill="FFFFFF" w:themeFill="background1"/>
            <w:vAlign w:val="center"/>
            <w:hideMark/>
          </w:tcPr>
          <w:p>
            <w:pPr>
              <w:spacing w:after="0"/>
              <w:contextualSpacing/>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70,000-dirty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517</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Milford Haven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565</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70,000-dirty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517</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Milford Haven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565</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517</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Milford Haven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565</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517</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Milford Haven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565</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48</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135,000-dirty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West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Lagos</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436</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479</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135,000-dirty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West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Lagos</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435</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478</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135,000-dirty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West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Lagos</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438</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Medway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479</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135,000-dirty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West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Lagos</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5</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437</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Medway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478</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90,000-clean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Arabian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Ju’aymah</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27</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650</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Alexandria (Egypt)</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688</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90,000-clean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Arabian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Ju’aymah</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27</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650</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Alexandria (Egypt)</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688</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90,000-clean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Arabian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Ju’aymah</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646</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Milford Haven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29</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11</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707</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90,000-clean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Arabian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Ju’aymah</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646</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Milford Haven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29</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11</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707</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61</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80,000</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Arzew</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Antwerp</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206</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Medway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7</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247</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20%</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80,000</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Arzew</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North Europe</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Rotterdam</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8</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205</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Medway (UK)</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246</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20%</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70,000-dirty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Augusta</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589</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11</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635</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70,000-dirty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Cartagena </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516</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562</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70,000-dirty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Agioi Theodoroi</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630</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676</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Augusta</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24</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589</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11</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635</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Cartagena </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21</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516</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562</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US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Corpus Christi</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Agioi Theodoroi</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26</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630</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28</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4</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676</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46</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7%</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West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Lagos</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Savona</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17</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6</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414</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448</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West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Lagos</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Cartagena </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23</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359</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10</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394</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130,000-dirty</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West Africa</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Lagos</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Leixoes</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354</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Jorf-Lasfar (Morocco)</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396</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12%</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90,000-clean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Arabian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Ju’aymah</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Augusta</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0</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432</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Alexandria (Egypt)</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19</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15</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471</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9%</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90,000-clean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Arabian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Ju’aymah</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 xml:space="preserve">Cartagena </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502</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Alexandria (Egypt)</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22</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12</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540</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38</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8%</w:t>
            </w:r>
          </w:p>
        </w:tc>
      </w:tr>
      <w:tr>
        <w:trPr>
          <w:trHeight w:val="20"/>
        </w:trPr>
        <w:tc>
          <w:tcPr>
            <w:tcW w:w="541" w:type="pct"/>
            <w:shd w:val="clear" w:color="auto" w:fill="FFFFFF" w:themeFill="background1"/>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90,000-clean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Arabian Gulf</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Ju’aymah</w:t>
            </w:r>
          </w:p>
        </w:tc>
        <w:tc>
          <w:tcPr>
            <w:tcW w:w="491"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Mediterranean</w:t>
            </w:r>
          </w:p>
        </w:tc>
        <w:tc>
          <w:tcPr>
            <w:tcW w:w="492" w:type="pct"/>
            <w:shd w:val="clear" w:color="auto" w:fill="FFFFFF" w:themeFill="background1"/>
            <w:noWrap/>
            <w:vAlign w:val="center"/>
            <w:hideMark/>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lang w:eastAsia="it-IT"/>
              </w:rPr>
              <w:t>Agioi Theodoroi</w:t>
            </w:r>
          </w:p>
        </w:tc>
        <w:tc>
          <w:tcPr>
            <w:tcW w:w="24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16</w:t>
            </w:r>
          </w:p>
        </w:tc>
        <w:tc>
          <w:tcPr>
            <w:tcW w:w="246"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20</w:t>
            </w:r>
          </w:p>
        </w:tc>
        <w:tc>
          <w:tcPr>
            <w:tcW w:w="24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404</w:t>
            </w:r>
          </w:p>
        </w:tc>
        <w:tc>
          <w:tcPr>
            <w:tcW w:w="655" w:type="pct"/>
            <w:shd w:val="clear" w:color="auto" w:fill="FFFFFF" w:themeFill="background1"/>
            <w:vAlign w:val="center"/>
          </w:tcPr>
          <w:p>
            <w:pPr>
              <w:spacing w:after="0"/>
              <w:contextualSpacing/>
              <w:rPr>
                <w:rFonts w:ascii="Times New Roman" w:hAnsi="Times New Roman" w:cs="Times New Roman"/>
                <w:noProof/>
                <w:sz w:val="16"/>
                <w:szCs w:val="16"/>
                <w:lang w:eastAsia="it-IT"/>
              </w:rPr>
            </w:pPr>
            <w:r>
              <w:rPr>
                <w:rFonts w:ascii="Times New Roman" w:hAnsi="Times New Roman" w:cs="Times New Roman"/>
                <w:noProof/>
                <w:sz w:val="16"/>
                <w:szCs w:val="16"/>
              </w:rPr>
              <w:t>Alexandria (Egypt)</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18</w:t>
            </w:r>
          </w:p>
        </w:tc>
        <w:tc>
          <w:tcPr>
            <w:tcW w:w="235" w:type="pct"/>
            <w:shd w:val="clear" w:color="auto" w:fill="FFFFFF" w:themeFill="background1"/>
            <w:vAlign w:val="center"/>
          </w:tcPr>
          <w:p>
            <w:pPr>
              <w:spacing w:after="0"/>
              <w:contextualSpacing/>
              <w:jc w:val="center"/>
              <w:rPr>
                <w:rFonts w:ascii="Times New Roman" w:hAnsi="Times New Roman" w:cs="Times New Roman"/>
                <w:noProof/>
                <w:sz w:val="16"/>
                <w:szCs w:val="16"/>
                <w:lang w:eastAsia="it-IT"/>
              </w:rPr>
            </w:pPr>
            <w:r>
              <w:rPr>
                <w:rFonts w:ascii="Times New Roman" w:hAnsi="Times New Roman" w:cs="Times New Roman"/>
                <w:noProof/>
                <w:sz w:val="16"/>
                <w:szCs w:val="16"/>
              </w:rPr>
              <w:t>14</w:t>
            </w:r>
          </w:p>
        </w:tc>
        <w:tc>
          <w:tcPr>
            <w:tcW w:w="236"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446</w:t>
            </w:r>
          </w:p>
        </w:tc>
        <w:tc>
          <w:tcPr>
            <w:tcW w:w="191"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42</w:t>
            </w:r>
          </w:p>
        </w:tc>
        <w:tc>
          <w:tcPr>
            <w:tcW w:w="203" w:type="pct"/>
            <w:shd w:val="clear" w:color="auto" w:fill="FFFFFF" w:themeFill="background1"/>
            <w:vAlign w:val="center"/>
          </w:tcPr>
          <w:p>
            <w:pPr>
              <w:spacing w:after="0"/>
              <w:contextualSpacing/>
              <w:jc w:val="center"/>
              <w:rPr>
                <w:rFonts w:ascii="Times New Roman" w:hAnsi="Times New Roman" w:cs="Times New Roman"/>
                <w:bCs/>
                <w:noProof/>
                <w:sz w:val="16"/>
                <w:szCs w:val="16"/>
                <w:lang w:eastAsia="it-IT"/>
              </w:rPr>
            </w:pPr>
            <w:r>
              <w:rPr>
                <w:rFonts w:ascii="Times New Roman" w:hAnsi="Times New Roman" w:cs="Times New Roman"/>
                <w:bCs/>
                <w:noProof/>
                <w:sz w:val="16"/>
                <w:szCs w:val="16"/>
              </w:rPr>
              <w:t>10%</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82" w:name="_Toc57796899"/>
      <w:r>
        <w:rPr>
          <w:noProof/>
        </w:rPr>
        <w:t xml:space="preserve">Table </w:t>
      </w:r>
      <w:r>
        <w:rPr>
          <w:noProof/>
        </w:rPr>
        <w:fldChar w:fldCharType="begin"/>
      </w:r>
      <w:r>
        <w:rPr>
          <w:noProof/>
        </w:rPr>
        <w:instrText xml:space="preserve"> SEQ Table \* ARABIC </w:instrText>
      </w:r>
      <w:r>
        <w:rPr>
          <w:noProof/>
        </w:rPr>
        <w:fldChar w:fldCharType="separate"/>
      </w:r>
      <w:r>
        <w:rPr>
          <w:noProof/>
        </w:rPr>
        <w:t>65</w:t>
      </w:r>
      <w:r>
        <w:rPr>
          <w:noProof/>
        </w:rPr>
        <w:fldChar w:fldCharType="end"/>
      </w:r>
      <w:r>
        <w:rPr>
          <w:noProof/>
        </w:rPr>
        <w:t>: Tankers routes – Time comparison of the route with an intermediate stop relative to the direct route (% change in travel time components</w:t>
      </w:r>
      <w:bookmarkEnd w:id="682"/>
      <w:r>
        <w:rPr>
          <w:noProof/>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2239"/>
        <w:gridCol w:w="1278"/>
        <w:gridCol w:w="1387"/>
        <w:gridCol w:w="784"/>
        <w:gridCol w:w="751"/>
        <w:gridCol w:w="636"/>
        <w:gridCol w:w="1947"/>
        <w:gridCol w:w="784"/>
        <w:gridCol w:w="762"/>
        <w:gridCol w:w="775"/>
        <w:gridCol w:w="784"/>
        <w:gridCol w:w="762"/>
        <w:gridCol w:w="762"/>
      </w:tblGrid>
      <w:tr>
        <w:trPr>
          <w:trHeight w:val="624"/>
          <w:tblHeader/>
        </w:trPr>
        <w:tc>
          <w:tcPr>
            <w:tcW w:w="820"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Ship size [DWT]- </w:t>
            </w:r>
          </w:p>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Goods</w:t>
            </w:r>
          </w:p>
        </w:tc>
        <w:tc>
          <w:tcPr>
            <w:tcW w:w="468"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508"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795" w:type="pct"/>
            <w:gridSpan w:val="3"/>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travel time </w:t>
            </w:r>
          </w:p>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direct route</w:t>
            </w:r>
          </w:p>
        </w:tc>
        <w:tc>
          <w:tcPr>
            <w:tcW w:w="713"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Intermediate Port</w:t>
            </w:r>
          </w:p>
        </w:tc>
        <w:tc>
          <w:tcPr>
            <w:tcW w:w="850" w:type="pct"/>
            <w:gridSpan w:val="3"/>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Total travel time intermediate stop</w:t>
            </w:r>
          </w:p>
        </w:tc>
        <w:tc>
          <w:tcPr>
            <w:tcW w:w="287"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Sailing time [%]</w:t>
            </w:r>
          </w:p>
        </w:tc>
        <w:tc>
          <w:tcPr>
            <w:tcW w:w="279"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Time at ports [%]</w:t>
            </w:r>
          </w:p>
        </w:tc>
        <w:tc>
          <w:tcPr>
            <w:tcW w:w="279"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Total [%]</w:t>
            </w:r>
          </w:p>
        </w:tc>
      </w:tr>
      <w:tr>
        <w:trPr>
          <w:trHeight w:val="828"/>
        </w:trPr>
        <w:tc>
          <w:tcPr>
            <w:tcW w:w="820"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468"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508"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287"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Sailing time [h]</w:t>
            </w:r>
          </w:p>
        </w:tc>
        <w:tc>
          <w:tcPr>
            <w:tcW w:w="275"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Time at ports [h]</w:t>
            </w:r>
          </w:p>
        </w:tc>
        <w:tc>
          <w:tcPr>
            <w:tcW w:w="233"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Total [h]</w:t>
            </w:r>
          </w:p>
        </w:tc>
        <w:tc>
          <w:tcPr>
            <w:tcW w:w="713"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287"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Sailing time [h]</w:t>
            </w:r>
          </w:p>
        </w:tc>
        <w:tc>
          <w:tcPr>
            <w:tcW w:w="279"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Time at ports [h]</w:t>
            </w:r>
          </w:p>
        </w:tc>
        <w:tc>
          <w:tcPr>
            <w:tcW w:w="284"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Total [h]</w:t>
            </w:r>
          </w:p>
        </w:tc>
        <w:tc>
          <w:tcPr>
            <w:tcW w:w="287"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279"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279"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r>
      <w:tr>
        <w:trPr>
          <w:trHeight w:val="216"/>
        </w:trPr>
        <w:tc>
          <w:tcPr>
            <w:tcW w:w="820" w:type="pct"/>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459</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517</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473</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565</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40"/>
        </w:trPr>
        <w:tc>
          <w:tcPr>
            <w:tcW w:w="820" w:type="pct"/>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459</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517</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473</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565</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459</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517</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473</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565</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459</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517</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473</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565</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378</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436</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387</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479</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377</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435</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386</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478</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380</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438</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387</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479</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379</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437</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386</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478</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592</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650</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596</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688</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592</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650</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596</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688</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588</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646</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615</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707</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588</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646</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615</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707</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80,000</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Arzew</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148</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206</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155</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247</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20%</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80,000</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Arzew</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147</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205</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154</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246</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20%</w:t>
            </w:r>
          </w:p>
        </w:tc>
      </w:tr>
      <w:tr>
        <w:trPr>
          <w:trHeight w:val="255"/>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531</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589</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543</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635</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55"/>
        </w:trPr>
        <w:tc>
          <w:tcPr>
            <w:tcW w:w="820" w:type="pct"/>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458</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516</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470</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562</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55"/>
        </w:trPr>
        <w:tc>
          <w:tcPr>
            <w:tcW w:w="820" w:type="pct"/>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572</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630</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584</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676</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531</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589</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543</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635</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458</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516</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470</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562</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572</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630</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584</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676</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Savona</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356</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414</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356</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448</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301</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359</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302</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394</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0%</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Leixoes</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296</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354</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304</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396</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12%</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374</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432</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379</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471</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444</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502</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448</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540</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16"/>
        </w:trPr>
        <w:tc>
          <w:tcPr>
            <w:tcW w:w="820"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346</w:t>
            </w:r>
          </w:p>
        </w:tc>
        <w:tc>
          <w:tcPr>
            <w:tcW w:w="275"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58</w:t>
            </w:r>
          </w:p>
        </w:tc>
        <w:tc>
          <w:tcPr>
            <w:tcW w:w="233"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404</w:t>
            </w:r>
          </w:p>
        </w:tc>
        <w:tc>
          <w:tcPr>
            <w:tcW w:w="713"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287"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354</w:t>
            </w:r>
          </w:p>
        </w:tc>
        <w:tc>
          <w:tcPr>
            <w:tcW w:w="279" w:type="pct"/>
            <w:shd w:val="clear" w:color="auto" w:fill="FFFFFF" w:themeFill="background1"/>
            <w:vAlign w:val="center"/>
          </w:tcPr>
          <w:p>
            <w:pPr>
              <w:spacing w:after="0"/>
              <w:jc w:val="center"/>
              <w:rPr>
                <w:rFonts w:ascii="Times New Roman" w:hAnsi="Times New Roman" w:cs="Times New Roman"/>
                <w:noProof/>
                <w:sz w:val="16"/>
                <w:szCs w:val="16"/>
                <w:lang w:eastAsia="en-GB"/>
              </w:rPr>
            </w:pPr>
            <w:r>
              <w:rPr>
                <w:rFonts w:ascii="Times New Roman" w:hAnsi="Times New Roman" w:cs="Times New Roman"/>
                <w:noProof/>
                <w:sz w:val="16"/>
                <w:szCs w:val="16"/>
              </w:rPr>
              <w:t>92</w:t>
            </w:r>
          </w:p>
        </w:tc>
        <w:tc>
          <w:tcPr>
            <w:tcW w:w="284"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446</w:t>
            </w:r>
          </w:p>
        </w:tc>
        <w:tc>
          <w:tcPr>
            <w:tcW w:w="287"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59%</w:t>
            </w:r>
          </w:p>
        </w:tc>
        <w:tc>
          <w:tcPr>
            <w:tcW w:w="279" w:type="pct"/>
            <w:shd w:val="clear" w:color="auto" w:fill="FFFFFF" w:themeFill="background1"/>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83" w:name="_Ref56423472"/>
      <w:bookmarkStart w:id="684" w:name="_Toc57796900"/>
      <w:r>
        <w:rPr>
          <w:noProof/>
        </w:rPr>
        <w:t xml:space="preserve">Table </w:t>
      </w:r>
      <w:r>
        <w:rPr>
          <w:noProof/>
        </w:rPr>
        <w:fldChar w:fldCharType="begin"/>
      </w:r>
      <w:r>
        <w:rPr>
          <w:noProof/>
        </w:rPr>
        <w:instrText xml:space="preserve"> SEQ Table \* ARABIC </w:instrText>
      </w:r>
      <w:r>
        <w:rPr>
          <w:noProof/>
        </w:rPr>
        <w:fldChar w:fldCharType="separate"/>
      </w:r>
      <w:r>
        <w:rPr>
          <w:noProof/>
        </w:rPr>
        <w:t>66</w:t>
      </w:r>
      <w:r>
        <w:rPr>
          <w:noProof/>
        </w:rPr>
        <w:fldChar w:fldCharType="end"/>
      </w:r>
      <w:bookmarkEnd w:id="683"/>
      <w:r>
        <w:rPr>
          <w:noProof/>
        </w:rPr>
        <w:t>: Tankers routes - Travel costs</w:t>
      </w:r>
      <w:bookmarkEnd w:id="684"/>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490"/>
        <w:gridCol w:w="1278"/>
        <w:gridCol w:w="1387"/>
        <w:gridCol w:w="838"/>
        <w:gridCol w:w="896"/>
        <w:gridCol w:w="838"/>
        <w:gridCol w:w="977"/>
        <w:gridCol w:w="1614"/>
        <w:gridCol w:w="838"/>
        <w:gridCol w:w="934"/>
        <w:gridCol w:w="838"/>
        <w:gridCol w:w="991"/>
        <w:gridCol w:w="732"/>
      </w:tblGrid>
      <w:tr>
        <w:trPr>
          <w:trHeight w:val="413"/>
          <w:tblHeader/>
        </w:trPr>
        <w:tc>
          <w:tcPr>
            <w:tcW w:w="546"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[DWT]- Goods</w:t>
            </w:r>
          </w:p>
        </w:tc>
        <w:tc>
          <w:tcPr>
            <w:tcW w:w="468"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508"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1300" w:type="pct"/>
            <w:gridSpan w:val="4"/>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cost</w:t>
            </w:r>
          </w:p>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it-IT"/>
              </w:rPr>
              <w:t>direct route</w:t>
            </w:r>
          </w:p>
        </w:tc>
        <w:tc>
          <w:tcPr>
            <w:tcW w:w="591"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Intermediate Port</w:t>
            </w:r>
          </w:p>
        </w:tc>
        <w:tc>
          <w:tcPr>
            <w:tcW w:w="1319" w:type="pct"/>
            <w:gridSpan w:val="4"/>
            <w:shd w:val="clear" w:color="auto" w:fill="FFFFFF" w:themeFill="background1"/>
            <w:vAlign w:val="center"/>
            <w:hideMark/>
          </w:tcPr>
          <w:p>
            <w:pPr>
              <w:spacing w:after="0"/>
              <w:jc w:val="center"/>
              <w:rPr>
                <w:rFonts w:ascii="Times New Roman" w:hAnsi="Times New Roman" w:cs="Times New Roman"/>
                <w:b/>
                <w:bCs/>
                <w:noProof/>
                <w:sz w:val="16"/>
                <w:szCs w:val="16"/>
                <w:lang w:eastAsia="it-IT"/>
              </w:rPr>
            </w:pPr>
            <w:r>
              <w:rPr>
                <w:rFonts w:ascii="Times New Roman" w:hAnsi="Times New Roman" w:cs="Times New Roman"/>
                <w:b/>
                <w:bCs/>
                <w:noProof/>
                <w:sz w:val="16"/>
                <w:szCs w:val="16"/>
                <w:lang w:eastAsia="it-IT"/>
              </w:rPr>
              <w:t>Total travel cost</w:t>
            </w:r>
          </w:p>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it-IT"/>
              </w:rPr>
              <w:t>intermediate stop</w:t>
            </w:r>
          </w:p>
        </w:tc>
        <w:tc>
          <w:tcPr>
            <w:tcW w:w="268" w:type="pct"/>
            <w:vMerge w:val="restar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Diff. Travel cost [%]</w:t>
            </w:r>
          </w:p>
        </w:tc>
      </w:tr>
      <w:tr>
        <w:trPr>
          <w:trHeight w:val="479"/>
        </w:trPr>
        <w:tc>
          <w:tcPr>
            <w:tcW w:w="546"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468"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508"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307"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t>[€]</w:t>
            </w:r>
          </w:p>
        </w:tc>
        <w:tc>
          <w:tcPr>
            <w:tcW w:w="328"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Time cost</w:t>
            </w:r>
            <w:r>
              <w:rPr>
                <w:rFonts w:ascii="Times New Roman" w:hAnsi="Times New Roman" w:cs="Times New Roman"/>
                <w:b/>
                <w:bCs/>
                <w:noProof/>
                <w:sz w:val="16"/>
                <w:szCs w:val="16"/>
                <w:lang w:eastAsia="en-GB"/>
              </w:rPr>
              <w:br/>
              <w:t>[€]</w:t>
            </w:r>
          </w:p>
        </w:tc>
        <w:tc>
          <w:tcPr>
            <w:tcW w:w="307"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t>[€]</w:t>
            </w:r>
          </w:p>
        </w:tc>
        <w:tc>
          <w:tcPr>
            <w:tcW w:w="358"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t>[€]</w:t>
            </w:r>
          </w:p>
        </w:tc>
        <w:tc>
          <w:tcPr>
            <w:tcW w:w="591"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c>
          <w:tcPr>
            <w:tcW w:w="307"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t>[€]</w:t>
            </w:r>
          </w:p>
        </w:tc>
        <w:tc>
          <w:tcPr>
            <w:tcW w:w="342"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Time cost</w:t>
            </w:r>
            <w:r>
              <w:rPr>
                <w:rFonts w:ascii="Times New Roman" w:hAnsi="Times New Roman" w:cs="Times New Roman"/>
                <w:b/>
                <w:bCs/>
                <w:noProof/>
                <w:sz w:val="16"/>
                <w:szCs w:val="16"/>
                <w:lang w:eastAsia="en-GB"/>
              </w:rPr>
              <w:br/>
              <w:t>[€]</w:t>
            </w:r>
          </w:p>
        </w:tc>
        <w:tc>
          <w:tcPr>
            <w:tcW w:w="307"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t>[€]</w:t>
            </w:r>
          </w:p>
        </w:tc>
        <w:tc>
          <w:tcPr>
            <w:tcW w:w="363" w:type="pct"/>
            <w:shd w:val="clear" w:color="auto" w:fill="FFFFFF" w:themeFill="background1"/>
            <w:vAlign w:val="center"/>
            <w:hideMark/>
          </w:tcPr>
          <w:p>
            <w:pPr>
              <w:spacing w:after="0"/>
              <w:jc w:val="center"/>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t>[€]</w:t>
            </w:r>
          </w:p>
        </w:tc>
        <w:tc>
          <w:tcPr>
            <w:tcW w:w="268" w:type="pct"/>
            <w:vMerge/>
            <w:shd w:val="clear" w:color="auto" w:fill="FFFFFF" w:themeFill="background1"/>
            <w:vAlign w:val="center"/>
            <w:hideMark/>
          </w:tcPr>
          <w:p>
            <w:pPr>
              <w:spacing w:after="0"/>
              <w:rPr>
                <w:rFonts w:ascii="Times New Roman" w:hAnsi="Times New Roman" w:cs="Times New Roman"/>
                <w:b/>
                <w:bCs/>
                <w:noProof/>
                <w:sz w:val="16"/>
                <w:szCs w:val="16"/>
                <w:lang w:eastAsia="en-GB"/>
              </w:rPr>
            </w:pPr>
          </w:p>
        </w:tc>
      </w:tr>
      <w:tr>
        <w:trPr>
          <w:trHeight w:val="216"/>
        </w:trPr>
        <w:tc>
          <w:tcPr>
            <w:tcW w:w="546" w:type="pct"/>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445,407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292,812</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122,675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860,894</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431,932</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320,167</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184,013</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936,111</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40"/>
        </w:trPr>
        <w:tc>
          <w:tcPr>
            <w:tcW w:w="546" w:type="pct"/>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445,407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292,812</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122,675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860,894</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431,844</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320,115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184,013</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935,971</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548,590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530,722</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186,815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1,266,127</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531,993</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580,302</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280,222</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1,392,517</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548,590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530,722</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186,815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1,266,127</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531,884</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580,209</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280,222</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1,392,315</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451,505</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462,767</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194,000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1,108,272</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441,762</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508,455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291,000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1,241,216</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12%</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451,396</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462,670</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194,000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1,108,067</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441,653</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508,358</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291,000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1,241,011</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12%</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454,005</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464,989</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194,000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1,112,994</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433,381</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509,131</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291,000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1,233,511</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453,462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464,506</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194,000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1,111,968</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432,294</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508,165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291,000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1,231,458</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594,492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488,383</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1,223,075</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577,776</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516,642</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1,304,718</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594,492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488,383</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1,223,075</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577,776</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516,642</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1,304,718</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590,113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485,107</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1,215,420</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579,465</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530,907</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1,320,673</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590,022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485,038</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1,215,260</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579,374</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530,839</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1,320,513</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80,000</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Arzew</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145,637</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131,035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416,872</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143,867</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157,520</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511,687</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23%</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80,000</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Arzew</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145,189</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130,745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416,134</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142,969</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156,941</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510,210</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23%</w:t>
            </w:r>
          </w:p>
        </w:tc>
      </w:tr>
      <w:tr>
        <w:trPr>
          <w:trHeight w:val="255"/>
        </w:trPr>
        <w:tc>
          <w:tcPr>
            <w:tcW w:w="546" w:type="pct"/>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515,405</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333,664</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122,675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971,743</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499,382</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359,627</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184,013</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1,043,021</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55"/>
        </w:trPr>
        <w:tc>
          <w:tcPr>
            <w:tcW w:w="546" w:type="pct"/>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444,966</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292,555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122,675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860,195</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428,855</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318,467</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184,013</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931,334</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55"/>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555,832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357,258</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122,675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1,035,765</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539,809</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383,221</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184,013</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1,107,043</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634,803</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604,765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186,815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1,426,383</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615,068</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651,824</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280,222</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1,547,115</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548,046</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530,255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186,815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1,265,116</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528,203</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577,221</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280,222</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1,385,646</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684,596</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647,529</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186,815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1,518,940</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664,861</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694,588</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280,222</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1,639,672</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Savona</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425,195</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424,746</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186,815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1,036,756</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405,450</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460,320</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280,222</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1,145,992</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360,508</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369,190</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186,815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916,513</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340,872</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404,858</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280,222</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1,025,951</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12%</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Leixoes</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353,659</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363,307</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186,815</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903,781</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342,502</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406,258</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280,222</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1,028,983</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14%</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375,560</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324,565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840,324</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359,574</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353,369</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923,243</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445,892</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377,191</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963,283</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429,632</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405,791</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1,045,723</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546" w:type="pct"/>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46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508" w:type="pct"/>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347,281</w:t>
            </w:r>
          </w:p>
        </w:tc>
        <w:tc>
          <w:tcPr>
            <w:tcW w:w="32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303,405</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140,200</w:t>
            </w:r>
          </w:p>
        </w:tc>
        <w:tc>
          <w:tcPr>
            <w:tcW w:w="358"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790,886</w:t>
            </w:r>
          </w:p>
        </w:tc>
        <w:tc>
          <w:tcPr>
            <w:tcW w:w="591" w:type="pct"/>
            <w:shd w:val="clear" w:color="auto" w:fill="FFFFFF" w:themeFill="background1"/>
            <w:vAlign w:val="center"/>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334,579</w:t>
            </w:r>
          </w:p>
        </w:tc>
        <w:tc>
          <w:tcPr>
            <w:tcW w:w="342"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334,667</w:t>
            </w:r>
          </w:p>
        </w:tc>
        <w:tc>
          <w:tcPr>
            <w:tcW w:w="307"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210,300</w:t>
            </w:r>
          </w:p>
        </w:tc>
        <w:tc>
          <w:tcPr>
            <w:tcW w:w="363" w:type="pct"/>
            <w:shd w:val="clear" w:color="auto" w:fill="FFFFFF" w:themeFill="background1"/>
            <w:noWrap/>
            <w:vAlign w:val="center"/>
          </w:tcPr>
          <w:p>
            <w:pPr>
              <w:spacing w:after="0"/>
              <w:jc w:val="right"/>
              <w:rPr>
                <w:rFonts w:ascii="Times New Roman" w:hAnsi="Times New Roman" w:cs="Times New Roman"/>
                <w:noProof/>
                <w:sz w:val="16"/>
                <w:szCs w:val="16"/>
                <w:lang w:eastAsia="en-GB"/>
              </w:rPr>
            </w:pPr>
            <w:r>
              <w:rPr>
                <w:rFonts w:ascii="Times New Roman" w:hAnsi="Times New Roman" w:cs="Times New Roman"/>
                <w:noProof/>
                <w:sz w:val="16"/>
                <w:szCs w:val="16"/>
              </w:rPr>
              <w:t>879,546</w:t>
            </w:r>
          </w:p>
        </w:tc>
        <w:tc>
          <w:tcPr>
            <w:tcW w:w="268" w:type="pct"/>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r>
    </w:tbl>
    <w:p>
      <w:pPr>
        <w:pStyle w:val="Body"/>
        <w:spacing w:line="276" w:lineRule="auto"/>
        <w:rPr>
          <w:rFonts w:ascii="Times New Roman" w:eastAsia="Calibri" w:hAnsi="Times New Roman"/>
          <w:i/>
          <w:noProof/>
          <w:sz w:val="18"/>
          <w:szCs w:val="18"/>
        </w:rPr>
      </w:pPr>
      <w:r>
        <w:rPr>
          <w:rFonts w:ascii="Times New Roman" w:eastAsia="Calibri" w:hAnsi="Times New Roman"/>
          <w:i/>
          <w:noProof/>
          <w:sz w:val="18"/>
          <w:szCs w:val="18"/>
        </w:rPr>
        <w:t>Source: TRUST model, TRT</w:t>
      </w:r>
    </w:p>
    <w:p>
      <w:pPr>
        <w:pStyle w:val="Caption"/>
        <w:spacing w:after="120"/>
        <w:rPr>
          <w:noProof/>
        </w:rPr>
      </w:pPr>
      <w:bookmarkStart w:id="685" w:name="_Ref56423566"/>
      <w:bookmarkStart w:id="686" w:name="_Toc57796901"/>
      <w:r>
        <w:rPr>
          <w:noProof/>
        </w:rPr>
        <w:t xml:space="preserve">Table </w:t>
      </w:r>
      <w:r>
        <w:rPr>
          <w:noProof/>
        </w:rPr>
        <w:fldChar w:fldCharType="begin"/>
      </w:r>
      <w:r>
        <w:rPr>
          <w:noProof/>
        </w:rPr>
        <w:instrText xml:space="preserve"> SEQ Table \* ARABIC </w:instrText>
      </w:r>
      <w:r>
        <w:rPr>
          <w:noProof/>
        </w:rPr>
        <w:fldChar w:fldCharType="separate"/>
      </w:r>
      <w:r>
        <w:rPr>
          <w:noProof/>
        </w:rPr>
        <w:t>67</w:t>
      </w:r>
      <w:r>
        <w:rPr>
          <w:noProof/>
        </w:rPr>
        <w:fldChar w:fldCharType="end"/>
      </w:r>
      <w:bookmarkEnd w:id="685"/>
      <w:r>
        <w:rPr>
          <w:noProof/>
        </w:rPr>
        <w:t>: Tankers routes – Costs comparison of the route with an intermediate stop relative to the direct route (% change in travel costs components</w:t>
      </w:r>
      <w:bookmarkEnd w:id="686"/>
      <w:r>
        <w:rPr>
          <w:noProof/>
        </w:rPr>
        <w:t>)</w:t>
      </w:r>
    </w:p>
    <w:tbl>
      <w:tblPr>
        <w:tblW w:w="14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ayout w:type="fixed"/>
        <w:tblLook w:val="04A0" w:firstRow="1" w:lastRow="0" w:firstColumn="1" w:lastColumn="0" w:noHBand="0" w:noVBand="1"/>
      </w:tblPr>
      <w:tblGrid>
        <w:gridCol w:w="3017"/>
        <w:gridCol w:w="1540"/>
        <w:gridCol w:w="1360"/>
        <w:gridCol w:w="1560"/>
        <w:gridCol w:w="1595"/>
        <w:gridCol w:w="2031"/>
        <w:gridCol w:w="874"/>
        <w:gridCol w:w="875"/>
        <w:gridCol w:w="874"/>
        <w:gridCol w:w="875"/>
      </w:tblGrid>
      <w:tr>
        <w:trPr>
          <w:trHeight w:val="828"/>
          <w:tblHeader/>
        </w:trPr>
        <w:tc>
          <w:tcPr>
            <w:tcW w:w="3017"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Ship size [DWT]- Goods</w:t>
            </w:r>
          </w:p>
        </w:tc>
        <w:tc>
          <w:tcPr>
            <w:tcW w:w="1540"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Region</w:t>
            </w:r>
          </w:p>
        </w:tc>
        <w:tc>
          <w:tcPr>
            <w:tcW w:w="1360"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Origin Port</w:t>
            </w:r>
          </w:p>
        </w:tc>
        <w:tc>
          <w:tcPr>
            <w:tcW w:w="1560"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Region</w:t>
            </w:r>
          </w:p>
        </w:tc>
        <w:tc>
          <w:tcPr>
            <w:tcW w:w="1595"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Destination Port</w:t>
            </w:r>
          </w:p>
        </w:tc>
        <w:tc>
          <w:tcPr>
            <w:tcW w:w="2031"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Intermediate Port</w:t>
            </w:r>
          </w:p>
        </w:tc>
        <w:tc>
          <w:tcPr>
            <w:tcW w:w="874"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Fuel cost </w:t>
            </w:r>
            <w:r>
              <w:rPr>
                <w:rFonts w:ascii="Times New Roman" w:hAnsi="Times New Roman" w:cs="Times New Roman"/>
                <w:b/>
                <w:bCs/>
                <w:noProof/>
                <w:sz w:val="16"/>
                <w:szCs w:val="16"/>
                <w:lang w:eastAsia="en-GB"/>
              </w:rPr>
              <w:br/>
              <w:t>[%]</w:t>
            </w:r>
          </w:p>
        </w:tc>
        <w:tc>
          <w:tcPr>
            <w:tcW w:w="875"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Time cost </w:t>
            </w:r>
            <w:r>
              <w:rPr>
                <w:rFonts w:ascii="Times New Roman" w:hAnsi="Times New Roman" w:cs="Times New Roman"/>
                <w:b/>
                <w:bCs/>
                <w:noProof/>
                <w:sz w:val="16"/>
                <w:szCs w:val="16"/>
                <w:lang w:eastAsia="en-GB"/>
              </w:rPr>
              <w:br/>
              <w:t>[%]</w:t>
            </w:r>
          </w:p>
        </w:tc>
        <w:tc>
          <w:tcPr>
            <w:tcW w:w="874"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Ports cost </w:t>
            </w:r>
            <w:r>
              <w:rPr>
                <w:rFonts w:ascii="Times New Roman" w:hAnsi="Times New Roman" w:cs="Times New Roman"/>
                <w:b/>
                <w:bCs/>
                <w:noProof/>
                <w:sz w:val="16"/>
                <w:szCs w:val="16"/>
                <w:lang w:eastAsia="en-GB"/>
              </w:rPr>
              <w:br/>
              <w:t>[%]</w:t>
            </w:r>
          </w:p>
        </w:tc>
        <w:tc>
          <w:tcPr>
            <w:tcW w:w="875" w:type="dxa"/>
            <w:shd w:val="clear" w:color="auto" w:fill="FFFFFF" w:themeFill="background1"/>
            <w:vAlign w:val="center"/>
            <w:hideMark/>
          </w:tcPr>
          <w:p>
            <w:pPr>
              <w:spacing w:after="0"/>
              <w:rPr>
                <w:rFonts w:ascii="Times New Roman" w:hAnsi="Times New Roman" w:cs="Times New Roman"/>
                <w:b/>
                <w:bCs/>
                <w:noProof/>
                <w:sz w:val="16"/>
                <w:szCs w:val="16"/>
                <w:lang w:eastAsia="en-GB"/>
              </w:rPr>
            </w:pPr>
            <w:r>
              <w:rPr>
                <w:rFonts w:ascii="Times New Roman" w:hAnsi="Times New Roman" w:cs="Times New Roman"/>
                <w:b/>
                <w:bCs/>
                <w:noProof/>
                <w:sz w:val="16"/>
                <w:szCs w:val="16"/>
                <w:lang w:eastAsia="en-GB"/>
              </w:rPr>
              <w:t xml:space="preserve">TOTAL </w:t>
            </w:r>
            <w:r>
              <w:rPr>
                <w:rFonts w:ascii="Times New Roman" w:hAnsi="Times New Roman" w:cs="Times New Roman"/>
                <w:b/>
                <w:bCs/>
                <w:noProof/>
                <w:sz w:val="16"/>
                <w:szCs w:val="16"/>
                <w:lang w:eastAsia="en-GB"/>
              </w:rPr>
              <w:br/>
              <w:t>[%]</w:t>
            </w:r>
          </w:p>
        </w:tc>
      </w:tr>
      <w:tr>
        <w:trPr>
          <w:trHeight w:val="216"/>
        </w:trPr>
        <w:tc>
          <w:tcPr>
            <w:tcW w:w="3017" w:type="dxa"/>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40"/>
        </w:trPr>
        <w:tc>
          <w:tcPr>
            <w:tcW w:w="3017" w:type="dxa"/>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West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12%</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West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12%</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West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135,000-dirty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West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Arabian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Arabian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6%</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Arabian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Arabian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Milford Haven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80,000</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Arzew</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Antwerp</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20%</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23%</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80,000</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Arzew</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North Europe</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Rotterdam</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Medway (UK)</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20%</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23%</w:t>
            </w:r>
          </w:p>
        </w:tc>
      </w:tr>
      <w:tr>
        <w:trPr>
          <w:trHeight w:val="255"/>
        </w:trPr>
        <w:tc>
          <w:tcPr>
            <w:tcW w:w="3017" w:type="dxa"/>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55"/>
        </w:trPr>
        <w:tc>
          <w:tcPr>
            <w:tcW w:w="3017" w:type="dxa"/>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55"/>
        </w:trPr>
        <w:tc>
          <w:tcPr>
            <w:tcW w:w="3017" w:type="dxa"/>
            <w:shd w:val="clear" w:color="auto" w:fill="FFFFFF" w:themeFill="background1"/>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70,000-dirty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US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Corpus Christi</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7%</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West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Savona</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West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12%</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130,000-dirty</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West Africa</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Lagos</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Leixoes</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Jorf-Lasfar (Morocco)</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-3%</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12%</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14%</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Arabian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Augusta</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Arabian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 xml:space="preserve">Cartagena </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8%</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9%</w:t>
            </w:r>
          </w:p>
        </w:tc>
      </w:tr>
      <w:tr>
        <w:trPr>
          <w:trHeight w:val="216"/>
        </w:trPr>
        <w:tc>
          <w:tcPr>
            <w:tcW w:w="3017"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90,000-clean</w:t>
            </w:r>
          </w:p>
        </w:tc>
        <w:tc>
          <w:tcPr>
            <w:tcW w:w="154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Arabian Gulf</w:t>
            </w:r>
          </w:p>
        </w:tc>
        <w:tc>
          <w:tcPr>
            <w:tcW w:w="13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Ju’aymah</w:t>
            </w:r>
          </w:p>
        </w:tc>
        <w:tc>
          <w:tcPr>
            <w:tcW w:w="1560"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Mediterranean</w:t>
            </w:r>
          </w:p>
        </w:tc>
        <w:tc>
          <w:tcPr>
            <w:tcW w:w="1595" w:type="dxa"/>
            <w:shd w:val="clear" w:color="auto" w:fill="FFFFFF" w:themeFill="background1"/>
            <w:noWrap/>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lang w:eastAsia="en-GB"/>
              </w:rPr>
              <w:t>Agioi Theodoroi</w:t>
            </w:r>
          </w:p>
        </w:tc>
        <w:tc>
          <w:tcPr>
            <w:tcW w:w="2031" w:type="dxa"/>
            <w:shd w:val="clear" w:color="auto" w:fill="FFFFFF" w:themeFill="background1"/>
            <w:vAlign w:val="center"/>
            <w:hideMark/>
          </w:tcPr>
          <w:p>
            <w:pPr>
              <w:spacing w:after="0"/>
              <w:rPr>
                <w:rFonts w:ascii="Times New Roman" w:hAnsi="Times New Roman" w:cs="Times New Roman"/>
                <w:noProof/>
                <w:sz w:val="16"/>
                <w:szCs w:val="16"/>
                <w:lang w:eastAsia="en-GB"/>
              </w:rPr>
            </w:pPr>
            <w:r>
              <w:rPr>
                <w:rFonts w:ascii="Times New Roman" w:hAnsi="Times New Roman" w:cs="Times New Roman"/>
                <w:noProof/>
                <w:sz w:val="16"/>
                <w:szCs w:val="16"/>
              </w:rPr>
              <w:t>Alexandria (Egypt)</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-4%</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10%</w:t>
            </w:r>
          </w:p>
        </w:tc>
        <w:tc>
          <w:tcPr>
            <w:tcW w:w="874"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50%</w:t>
            </w:r>
          </w:p>
        </w:tc>
        <w:tc>
          <w:tcPr>
            <w:tcW w:w="875" w:type="dxa"/>
            <w:shd w:val="clear" w:color="auto" w:fill="FFFFFF" w:themeFill="background1"/>
            <w:noWrap/>
            <w:vAlign w:val="center"/>
          </w:tcPr>
          <w:p>
            <w:pPr>
              <w:spacing w:after="0"/>
              <w:jc w:val="center"/>
              <w:rPr>
                <w:rFonts w:ascii="Times New Roman" w:hAnsi="Times New Roman" w:cs="Times New Roman"/>
                <w:bCs/>
                <w:noProof/>
                <w:sz w:val="16"/>
                <w:szCs w:val="16"/>
                <w:lang w:eastAsia="en-GB"/>
              </w:rPr>
            </w:pPr>
            <w:r>
              <w:rPr>
                <w:rFonts w:ascii="Times New Roman" w:hAnsi="Times New Roman" w:cs="Times New Roman"/>
                <w:bCs/>
                <w:noProof/>
                <w:sz w:val="16"/>
                <w:szCs w:val="16"/>
              </w:rPr>
              <w:t>11%</w:t>
            </w:r>
          </w:p>
        </w:tc>
      </w:tr>
    </w:tbl>
    <w:p>
      <w:pPr>
        <w:pStyle w:val="Body"/>
        <w:rPr>
          <w:noProof/>
        </w:rPr>
        <w:sectPr>
          <w:headerReference w:type="even" r:id="rId46"/>
          <w:headerReference w:type="default" r:id="rId47"/>
          <w:footerReference w:type="even" r:id="rId48"/>
          <w:footerReference w:type="default" r:id="rId49"/>
          <w:headerReference w:type="first" r:id="rId50"/>
          <w:footerReference w:type="first" r:id="rId51"/>
          <w:pgSz w:w="16838" w:h="11906" w:orient="landscape"/>
          <w:pgMar w:top="1701" w:right="1985" w:bottom="1418" w:left="1418" w:header="567" w:footer="283" w:gutter="0"/>
          <w:cols w:space="720"/>
          <w:docGrid w:linePitch="299"/>
        </w:sectPr>
      </w:pPr>
    </w:p>
    <w:p>
      <w:pPr>
        <w:rPr>
          <w:rFonts w:ascii="Times New Roman" w:hAnsi="Times New Roman" w:cs="Times New Roman"/>
          <w:noProof/>
        </w:rPr>
      </w:pPr>
    </w:p>
    <w:p>
      <w:pPr>
        <w:rPr>
          <w:rFonts w:ascii="Times New Roman" w:hAnsi="Times New Roman" w:cs="Times New Roman"/>
          <w:noProof/>
        </w:rPr>
        <w:sectPr>
          <w:headerReference w:type="even" r:id="rId52"/>
          <w:headerReference w:type="default" r:id="rId53"/>
          <w:footerReference w:type="even" r:id="rId54"/>
          <w:footerReference w:type="default" r:id="rId55"/>
          <w:headerReference w:type="first" r:id="rId56"/>
          <w:footerReference w:type="first" r:id="rId57"/>
          <w:pgSz w:w="11906" w:h="16838"/>
          <w:pgMar w:top="1020" w:right="1701" w:bottom="1020" w:left="1587" w:header="601" w:footer="1077" w:gutter="0"/>
          <w:cols w:space="720"/>
          <w:titlePg/>
        </w:sectPr>
      </w:pPr>
    </w:p>
    <w:p>
      <w:pPr>
        <w:pStyle w:val="AnnexTitle"/>
        <w:rPr>
          <w:noProof/>
        </w:rPr>
      </w:pPr>
      <w:bookmarkStart w:id="687" w:name="_Toc54042173"/>
      <w:bookmarkStart w:id="688" w:name="_Toc57907329"/>
      <w:bookmarkStart w:id="689" w:name="_Toc59152675"/>
      <w:bookmarkStart w:id="690" w:name="_Toc63426190"/>
      <w:bookmarkStart w:id="691" w:name="_Toc63438536"/>
      <w:r>
        <w:rPr>
          <w:noProof/>
        </w:rPr>
        <w:t xml:space="preserve">Annex 5: </w:t>
      </w:r>
      <w:bookmarkEnd w:id="687"/>
      <w:r>
        <w:rPr>
          <w:noProof/>
        </w:rPr>
        <w:t>Current maritime fuel mix and overview of available alternative fuels for maritime transport and their maturity</w:t>
      </w:r>
      <w:bookmarkEnd w:id="688"/>
      <w:bookmarkEnd w:id="689"/>
      <w:bookmarkEnd w:id="690"/>
      <w:bookmarkEnd w:id="691"/>
    </w:p>
    <w:p>
      <w:pPr>
        <w:jc w:val="both"/>
        <w:rPr>
          <w:rFonts w:ascii="Times New Roman" w:hAnsi="Times New Roman" w:cs="Times New Roman"/>
          <w:noProof/>
          <w:sz w:val="24"/>
        </w:rPr>
      </w:pPr>
      <w:r>
        <w:rPr>
          <w:rFonts w:ascii="Times New Roman" w:hAnsi="Times New Roman" w:cs="Times New Roman"/>
          <w:noProof/>
          <w:sz w:val="24"/>
        </w:rPr>
        <w:t xml:space="preserve">The purpose of this annex is to provide an overview of the current maritime fuel mix and to explore the range of technical possibilities to use alternative fuels in maritime transport. The content of this annex builds upon the support study carried out for this impact assessment (Ecorys / CE Delft </w:t>
      </w:r>
      <w:r>
        <w:rPr>
          <w:rFonts w:ascii="Times New Roman" w:hAnsi="Times New Roman" w:cs="Times New Roman"/>
          <w:noProof/>
          <w:sz w:val="24"/>
          <w:szCs w:val="24"/>
        </w:rPr>
        <w:t>forthcoming</w:t>
      </w:r>
      <w:r>
        <w:rPr>
          <w:rFonts w:ascii="Times New Roman" w:hAnsi="Times New Roman" w:cs="Times New Roman"/>
          <w:noProof/>
          <w:sz w:val="24"/>
        </w:rPr>
        <w:t>), a literature review carried out with the support of EMSA on ten different alternative fuels possibilities as well as the work carried out by the sub-group on Sustainable Alternative Power for Shipping (SAPS SUB-GROUP) of the European Sustainable Shipping Forum (ESSF)</w:t>
      </w:r>
      <w:r>
        <w:rPr>
          <w:rStyle w:val="FootnoteReference"/>
          <w:rFonts w:ascii="Times New Roman" w:hAnsi="Times New Roman" w:cs="Times New Roman"/>
          <w:noProof/>
          <w:sz w:val="24"/>
        </w:rPr>
        <w:footnoteReference w:id="221"/>
      </w:r>
      <w:r>
        <w:rPr>
          <w:rFonts w:ascii="Times New Roman" w:hAnsi="Times New Roman" w:cs="Times New Roman"/>
          <w:noProof/>
          <w:sz w:val="24"/>
        </w:rPr>
        <w:t xml:space="preserve">. </w:t>
      </w:r>
    </w:p>
    <w:p>
      <w:pPr>
        <w:jc w:val="both"/>
        <w:rPr>
          <w:rFonts w:ascii="Times New Roman" w:hAnsi="Times New Roman" w:cs="Times New Roman"/>
          <w:b/>
          <w:noProof/>
        </w:rPr>
      </w:pPr>
      <w:r>
        <w:rPr>
          <w:rFonts w:ascii="Times New Roman" w:hAnsi="Times New Roman" w:cs="Times New Roman"/>
          <w:b/>
          <w:noProof/>
        </w:rPr>
        <w:t>Current energy usage in maritime transport</w:t>
      </w:r>
    </w:p>
    <w:p>
      <w:pPr>
        <w:jc w:val="both"/>
        <w:rPr>
          <w:rFonts w:ascii="Times New Roman" w:hAnsi="Times New Roman" w:cs="Times New Roman"/>
          <w:noProof/>
          <w:sz w:val="24"/>
        </w:rPr>
      </w:pP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_Ref63435040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Table 68</w:t>
      </w:r>
      <w:r>
        <w:rPr>
          <w:rFonts w:ascii="Times New Roman" w:hAnsi="Times New Roman" w:cs="Times New Roman"/>
          <w:noProof/>
          <w:sz w:val="24"/>
          <w:szCs w:val="24"/>
        </w:rPr>
        <w:fldChar w:fldCharType="end"/>
      </w:r>
      <w:r>
        <w:rPr>
          <w:rFonts w:ascii="Times New Roman" w:hAnsi="Times New Roman" w:cs="Times New Roman"/>
          <w:noProof/>
          <w:sz w:val="24"/>
        </w:rPr>
        <w:t xml:space="preserve"> presents the fuel mix of the fleet as reported under the 2018 EU MRV reporting period. Data from the 2019 MRV reporting period were not yet verified at the time of finalising this report. However, preliminary estimates from the 2019 reporting show very similar shares to the ones observed in 2018.</w:t>
      </w:r>
    </w:p>
    <w:p>
      <w:pPr>
        <w:jc w:val="both"/>
        <w:rPr>
          <w:rFonts w:ascii="Times New Roman" w:hAnsi="Times New Roman" w:cs="Times New Roman"/>
          <w:noProof/>
          <w:sz w:val="2"/>
        </w:rPr>
      </w:pPr>
    </w:p>
    <w:p>
      <w:pPr>
        <w:pStyle w:val="Caption"/>
        <w:keepNext/>
        <w:rPr>
          <w:noProof/>
        </w:rPr>
      </w:pPr>
      <w:bookmarkStart w:id="692" w:name="_Ref63435040"/>
      <w:r>
        <w:rPr>
          <w:noProof/>
        </w:rPr>
        <w:t xml:space="preserve">Table </w:t>
      </w:r>
      <w:r>
        <w:rPr>
          <w:noProof/>
        </w:rPr>
        <w:fldChar w:fldCharType="begin"/>
      </w:r>
      <w:r>
        <w:rPr>
          <w:noProof/>
        </w:rPr>
        <w:instrText xml:space="preserve"> SEQ Table \* ARABIC </w:instrText>
      </w:r>
      <w:r>
        <w:rPr>
          <w:noProof/>
        </w:rPr>
        <w:fldChar w:fldCharType="separate"/>
      </w:r>
      <w:r>
        <w:rPr>
          <w:noProof/>
        </w:rPr>
        <w:t>68</w:t>
      </w:r>
      <w:r>
        <w:rPr>
          <w:noProof/>
        </w:rPr>
        <w:fldChar w:fldCharType="end"/>
      </w:r>
      <w:bookmarkEnd w:id="692"/>
      <w:r>
        <w:rPr>
          <w:noProof/>
        </w:rPr>
        <w:t xml:space="preserve"> Share of various fuel types</w:t>
      </w:r>
    </w:p>
    <w:tbl>
      <w:tblPr>
        <w:tblStyle w:val="CV11"/>
        <w:tblW w:w="7006" w:type="dxa"/>
        <w:jc w:val="center"/>
        <w:tblLook w:val="04A0" w:firstRow="1" w:lastRow="0" w:firstColumn="1" w:lastColumn="0" w:noHBand="0" w:noVBand="1"/>
      </w:tblPr>
      <w:tblGrid>
        <w:gridCol w:w="5086"/>
        <w:gridCol w:w="1920"/>
      </w:tblGrid>
      <w:tr>
        <w:trPr>
          <w:trHeight w:val="20"/>
          <w:jc w:val="center"/>
        </w:trPr>
        <w:tc>
          <w:tcPr>
            <w:tcW w:w="5086" w:type="dxa"/>
            <w:noWrap/>
            <w:hideMark/>
          </w:tcPr>
          <w:p>
            <w:pPr>
              <w:rPr>
                <w:b/>
                <w:noProof/>
                <w:sz w:val="22"/>
                <w:szCs w:val="24"/>
              </w:rPr>
            </w:pPr>
            <w:r>
              <w:rPr>
                <w:b/>
                <w:noProof/>
                <w:sz w:val="22"/>
                <w:szCs w:val="24"/>
              </w:rPr>
              <w:t>Type of fuel</w:t>
            </w:r>
          </w:p>
        </w:tc>
        <w:tc>
          <w:tcPr>
            <w:tcW w:w="1920" w:type="dxa"/>
            <w:noWrap/>
            <w:hideMark/>
          </w:tcPr>
          <w:p>
            <w:pPr>
              <w:jc w:val="right"/>
              <w:rPr>
                <w:b/>
                <w:noProof/>
                <w:sz w:val="22"/>
                <w:szCs w:val="24"/>
              </w:rPr>
            </w:pPr>
            <w:r>
              <w:rPr>
                <w:b/>
                <w:noProof/>
                <w:sz w:val="22"/>
                <w:szCs w:val="24"/>
              </w:rPr>
              <w:t>Share in fuel mix</w:t>
            </w:r>
          </w:p>
        </w:tc>
      </w:tr>
      <w:tr>
        <w:trPr>
          <w:trHeight w:val="20"/>
          <w:jc w:val="center"/>
        </w:trPr>
        <w:tc>
          <w:tcPr>
            <w:tcW w:w="5086" w:type="dxa"/>
            <w:noWrap/>
            <w:hideMark/>
          </w:tcPr>
          <w:p>
            <w:pPr>
              <w:rPr>
                <w:noProof/>
                <w:sz w:val="22"/>
                <w:szCs w:val="24"/>
              </w:rPr>
            </w:pPr>
            <w:r>
              <w:rPr>
                <w:noProof/>
                <w:sz w:val="22"/>
                <w:szCs w:val="24"/>
              </w:rPr>
              <w:t>Heavy fuel oil (HFO)</w:t>
            </w:r>
          </w:p>
        </w:tc>
        <w:tc>
          <w:tcPr>
            <w:tcW w:w="1920" w:type="dxa"/>
            <w:noWrap/>
            <w:hideMark/>
          </w:tcPr>
          <w:p>
            <w:pPr>
              <w:jc w:val="right"/>
              <w:rPr>
                <w:noProof/>
                <w:sz w:val="22"/>
                <w:szCs w:val="24"/>
              </w:rPr>
            </w:pPr>
            <w:r>
              <w:rPr>
                <w:noProof/>
                <w:sz w:val="22"/>
                <w:szCs w:val="24"/>
              </w:rPr>
              <w:t>72.11%</w:t>
            </w:r>
          </w:p>
        </w:tc>
      </w:tr>
      <w:tr>
        <w:trPr>
          <w:trHeight w:val="20"/>
          <w:jc w:val="center"/>
        </w:trPr>
        <w:tc>
          <w:tcPr>
            <w:tcW w:w="5086" w:type="dxa"/>
            <w:noWrap/>
            <w:hideMark/>
          </w:tcPr>
          <w:p>
            <w:pPr>
              <w:rPr>
                <w:noProof/>
                <w:sz w:val="22"/>
                <w:szCs w:val="24"/>
              </w:rPr>
            </w:pPr>
            <w:r>
              <w:rPr>
                <w:noProof/>
                <w:sz w:val="22"/>
                <w:szCs w:val="24"/>
              </w:rPr>
              <w:t>Marine gas oil (MGO)</w:t>
            </w:r>
          </w:p>
        </w:tc>
        <w:tc>
          <w:tcPr>
            <w:tcW w:w="1920" w:type="dxa"/>
            <w:noWrap/>
            <w:hideMark/>
          </w:tcPr>
          <w:p>
            <w:pPr>
              <w:jc w:val="right"/>
              <w:rPr>
                <w:noProof/>
                <w:sz w:val="22"/>
                <w:szCs w:val="24"/>
              </w:rPr>
            </w:pPr>
            <w:r>
              <w:rPr>
                <w:noProof/>
                <w:sz w:val="22"/>
                <w:szCs w:val="24"/>
              </w:rPr>
              <w:t>12.46%</w:t>
            </w:r>
          </w:p>
        </w:tc>
      </w:tr>
      <w:tr>
        <w:trPr>
          <w:trHeight w:val="20"/>
          <w:jc w:val="center"/>
        </w:trPr>
        <w:tc>
          <w:tcPr>
            <w:tcW w:w="5086" w:type="dxa"/>
            <w:noWrap/>
            <w:hideMark/>
          </w:tcPr>
          <w:p>
            <w:pPr>
              <w:rPr>
                <w:noProof/>
                <w:sz w:val="22"/>
                <w:szCs w:val="24"/>
              </w:rPr>
            </w:pPr>
            <w:r>
              <w:rPr>
                <w:noProof/>
                <w:sz w:val="22"/>
                <w:szCs w:val="24"/>
              </w:rPr>
              <w:t>Light fuel oil (LFO)</w:t>
            </w:r>
          </w:p>
        </w:tc>
        <w:tc>
          <w:tcPr>
            <w:tcW w:w="1920" w:type="dxa"/>
            <w:noWrap/>
            <w:hideMark/>
          </w:tcPr>
          <w:p>
            <w:pPr>
              <w:jc w:val="right"/>
              <w:rPr>
                <w:noProof/>
                <w:sz w:val="22"/>
                <w:szCs w:val="24"/>
              </w:rPr>
            </w:pPr>
            <w:r>
              <w:rPr>
                <w:noProof/>
                <w:sz w:val="22"/>
                <w:szCs w:val="24"/>
              </w:rPr>
              <w:t>7.63%</w:t>
            </w:r>
          </w:p>
        </w:tc>
      </w:tr>
      <w:tr>
        <w:trPr>
          <w:trHeight w:val="20"/>
          <w:jc w:val="center"/>
        </w:trPr>
        <w:tc>
          <w:tcPr>
            <w:tcW w:w="5086" w:type="dxa"/>
            <w:noWrap/>
            <w:hideMark/>
          </w:tcPr>
          <w:p>
            <w:pPr>
              <w:rPr>
                <w:noProof/>
                <w:sz w:val="22"/>
                <w:szCs w:val="24"/>
              </w:rPr>
            </w:pPr>
            <w:r>
              <w:rPr>
                <w:noProof/>
                <w:sz w:val="22"/>
                <w:szCs w:val="24"/>
              </w:rPr>
              <w:t>Marine diesel oil (MDO)</w:t>
            </w:r>
          </w:p>
        </w:tc>
        <w:tc>
          <w:tcPr>
            <w:tcW w:w="1920" w:type="dxa"/>
            <w:noWrap/>
            <w:hideMark/>
          </w:tcPr>
          <w:p>
            <w:pPr>
              <w:jc w:val="right"/>
              <w:rPr>
                <w:noProof/>
                <w:sz w:val="22"/>
                <w:szCs w:val="24"/>
              </w:rPr>
            </w:pPr>
            <w:r>
              <w:rPr>
                <w:noProof/>
                <w:sz w:val="22"/>
                <w:szCs w:val="24"/>
              </w:rPr>
              <w:t>4.02%</w:t>
            </w:r>
          </w:p>
        </w:tc>
      </w:tr>
      <w:tr>
        <w:trPr>
          <w:trHeight w:val="20"/>
          <w:jc w:val="center"/>
        </w:trPr>
        <w:tc>
          <w:tcPr>
            <w:tcW w:w="5086" w:type="dxa"/>
            <w:noWrap/>
            <w:hideMark/>
          </w:tcPr>
          <w:p>
            <w:pPr>
              <w:rPr>
                <w:noProof/>
                <w:sz w:val="22"/>
                <w:szCs w:val="24"/>
              </w:rPr>
            </w:pPr>
            <w:r>
              <w:rPr>
                <w:noProof/>
                <w:sz w:val="22"/>
                <w:szCs w:val="24"/>
              </w:rPr>
              <w:t>Liquefied natural gas (LNG)</w:t>
            </w:r>
          </w:p>
        </w:tc>
        <w:tc>
          <w:tcPr>
            <w:tcW w:w="1920" w:type="dxa"/>
            <w:noWrap/>
            <w:hideMark/>
          </w:tcPr>
          <w:p>
            <w:pPr>
              <w:jc w:val="right"/>
              <w:rPr>
                <w:noProof/>
                <w:sz w:val="22"/>
                <w:szCs w:val="24"/>
              </w:rPr>
            </w:pPr>
            <w:r>
              <w:rPr>
                <w:noProof/>
                <w:sz w:val="22"/>
                <w:szCs w:val="24"/>
              </w:rPr>
              <w:t>3.17%</w:t>
            </w:r>
          </w:p>
        </w:tc>
      </w:tr>
      <w:tr>
        <w:trPr>
          <w:trHeight w:val="20"/>
          <w:jc w:val="center"/>
        </w:trPr>
        <w:tc>
          <w:tcPr>
            <w:tcW w:w="5086" w:type="dxa"/>
            <w:noWrap/>
            <w:hideMark/>
          </w:tcPr>
          <w:p>
            <w:pPr>
              <w:rPr>
                <w:noProof/>
                <w:sz w:val="22"/>
                <w:szCs w:val="24"/>
              </w:rPr>
            </w:pPr>
            <w:r>
              <w:rPr>
                <w:noProof/>
                <w:sz w:val="22"/>
                <w:szCs w:val="24"/>
              </w:rPr>
              <w:t>Other*</w:t>
            </w:r>
          </w:p>
        </w:tc>
        <w:tc>
          <w:tcPr>
            <w:tcW w:w="1920" w:type="dxa"/>
            <w:noWrap/>
            <w:hideMark/>
          </w:tcPr>
          <w:p>
            <w:pPr>
              <w:jc w:val="right"/>
              <w:rPr>
                <w:noProof/>
                <w:sz w:val="22"/>
                <w:szCs w:val="24"/>
              </w:rPr>
            </w:pPr>
            <w:r>
              <w:rPr>
                <w:noProof/>
                <w:sz w:val="22"/>
                <w:szCs w:val="24"/>
              </w:rPr>
              <w:t>0.60%</w:t>
            </w:r>
          </w:p>
        </w:tc>
      </w:tr>
      <w:tr>
        <w:trPr>
          <w:trHeight w:val="20"/>
          <w:jc w:val="center"/>
        </w:trPr>
        <w:tc>
          <w:tcPr>
            <w:tcW w:w="5086" w:type="dxa"/>
            <w:noWrap/>
            <w:hideMark/>
          </w:tcPr>
          <w:p>
            <w:pPr>
              <w:rPr>
                <w:noProof/>
                <w:sz w:val="22"/>
                <w:szCs w:val="24"/>
              </w:rPr>
            </w:pPr>
            <w:r>
              <w:rPr>
                <w:noProof/>
                <w:sz w:val="22"/>
                <w:szCs w:val="24"/>
              </w:rPr>
              <w:t>Methanol</w:t>
            </w:r>
          </w:p>
        </w:tc>
        <w:tc>
          <w:tcPr>
            <w:tcW w:w="1920" w:type="dxa"/>
            <w:noWrap/>
            <w:hideMark/>
          </w:tcPr>
          <w:p>
            <w:pPr>
              <w:jc w:val="right"/>
              <w:rPr>
                <w:noProof/>
                <w:sz w:val="22"/>
                <w:szCs w:val="24"/>
              </w:rPr>
            </w:pPr>
            <w:r>
              <w:rPr>
                <w:noProof/>
                <w:sz w:val="22"/>
                <w:szCs w:val="24"/>
              </w:rPr>
              <w:t>0.01%</w:t>
            </w:r>
          </w:p>
        </w:tc>
      </w:tr>
      <w:tr>
        <w:trPr>
          <w:trHeight w:val="20"/>
          <w:jc w:val="center"/>
        </w:trPr>
        <w:tc>
          <w:tcPr>
            <w:tcW w:w="5086" w:type="dxa"/>
            <w:noWrap/>
            <w:hideMark/>
          </w:tcPr>
          <w:p>
            <w:pPr>
              <w:rPr>
                <w:noProof/>
                <w:sz w:val="22"/>
                <w:szCs w:val="24"/>
              </w:rPr>
            </w:pPr>
            <w:r>
              <w:rPr>
                <w:noProof/>
                <w:sz w:val="22"/>
                <w:szCs w:val="24"/>
              </w:rPr>
              <w:t>Liquefied petroleum gas (LPG) -  Butane</w:t>
            </w:r>
          </w:p>
        </w:tc>
        <w:tc>
          <w:tcPr>
            <w:tcW w:w="1920" w:type="dxa"/>
            <w:noWrap/>
            <w:hideMark/>
          </w:tcPr>
          <w:p>
            <w:pPr>
              <w:jc w:val="right"/>
              <w:rPr>
                <w:noProof/>
                <w:sz w:val="22"/>
                <w:szCs w:val="24"/>
              </w:rPr>
            </w:pPr>
            <w:r>
              <w:rPr>
                <w:noProof/>
                <w:sz w:val="22"/>
                <w:szCs w:val="24"/>
              </w:rPr>
              <w:t>0.00%**</w:t>
            </w:r>
          </w:p>
        </w:tc>
      </w:tr>
      <w:tr>
        <w:trPr>
          <w:trHeight w:val="255"/>
          <w:jc w:val="center"/>
        </w:trPr>
        <w:tc>
          <w:tcPr>
            <w:tcW w:w="5086" w:type="dxa"/>
            <w:noWrap/>
            <w:hideMark/>
          </w:tcPr>
          <w:p>
            <w:pPr>
              <w:rPr>
                <w:b/>
                <w:noProof/>
                <w:sz w:val="22"/>
                <w:szCs w:val="24"/>
              </w:rPr>
            </w:pPr>
            <w:r>
              <w:rPr>
                <w:b/>
                <w:noProof/>
                <w:sz w:val="22"/>
                <w:szCs w:val="24"/>
              </w:rPr>
              <w:t>Total</w:t>
            </w:r>
          </w:p>
        </w:tc>
        <w:tc>
          <w:tcPr>
            <w:tcW w:w="1920" w:type="dxa"/>
            <w:noWrap/>
            <w:hideMark/>
          </w:tcPr>
          <w:p>
            <w:pPr>
              <w:jc w:val="right"/>
              <w:rPr>
                <w:b/>
                <w:noProof/>
                <w:sz w:val="22"/>
                <w:szCs w:val="24"/>
              </w:rPr>
            </w:pPr>
            <w:r>
              <w:rPr>
                <w:b/>
                <w:noProof/>
                <w:sz w:val="22"/>
                <w:szCs w:val="24"/>
              </w:rPr>
              <w:t>100.00%</w:t>
            </w:r>
          </w:p>
        </w:tc>
      </w:tr>
    </w:tbl>
    <w:p>
      <w:pPr>
        <w:pStyle w:val="NoSpacing"/>
        <w:ind w:left="993" w:right="1088"/>
        <w:rPr>
          <w:rFonts w:ascii="Times New Roman" w:hAnsi="Times New Roman" w:cs="Times New Roman"/>
          <w:noProof/>
          <w:sz w:val="16"/>
          <w:szCs w:val="16"/>
        </w:rPr>
      </w:pPr>
      <w:r>
        <w:rPr>
          <w:rFonts w:ascii="Times New Roman" w:hAnsi="Times New Roman" w:cs="Times New Roman"/>
          <w:noProof/>
          <w:sz w:val="16"/>
          <w:szCs w:val="16"/>
        </w:rPr>
        <w:t xml:space="preserve">* This category covers other fuels with non-standard emission factors. In 2018, the average emission factor of the fuels reported under this category corresponded to 3.07 t-CO2 / t-fuel.  </w:t>
      </w:r>
    </w:p>
    <w:p>
      <w:pPr>
        <w:pStyle w:val="NoSpacing"/>
        <w:ind w:left="993" w:right="1088"/>
        <w:rPr>
          <w:rFonts w:ascii="Times New Roman" w:hAnsi="Times New Roman" w:cs="Times New Roman"/>
          <w:noProof/>
          <w:sz w:val="16"/>
          <w:szCs w:val="16"/>
        </w:rPr>
      </w:pPr>
      <w:r>
        <w:rPr>
          <w:rFonts w:ascii="Times New Roman" w:hAnsi="Times New Roman" w:cs="Times New Roman"/>
          <w:noProof/>
          <w:sz w:val="16"/>
          <w:szCs w:val="16"/>
        </w:rPr>
        <w:t xml:space="preserve">** While the percentage of LPG usage is at 0%, there was a very limited amount of LP volume used by the fleet in 2018. However, this is too small to be reflected in any percentage of fuel mix. Nevertheless, this category was added here to provide a complete picture of the fuel use within MRV in 2018. </w:t>
      </w:r>
    </w:p>
    <w:p>
      <w:pPr>
        <w:pStyle w:val="NoSpacing"/>
        <w:ind w:left="993" w:right="1088"/>
        <w:rPr>
          <w:rFonts w:ascii="Times New Roman" w:hAnsi="Times New Roman" w:cs="Times New Roman"/>
          <w:noProof/>
          <w:sz w:val="16"/>
          <w:szCs w:val="16"/>
        </w:rPr>
      </w:pPr>
    </w:p>
    <w:p>
      <w:pPr>
        <w:pStyle w:val="NoSpacing"/>
        <w:ind w:left="993" w:right="1088"/>
        <w:rPr>
          <w:rFonts w:ascii="Times New Roman" w:hAnsi="Times New Roman" w:cs="Times New Roman"/>
          <w:noProof/>
          <w:sz w:val="16"/>
          <w:szCs w:val="16"/>
        </w:rPr>
      </w:pPr>
      <w:r>
        <w:rPr>
          <w:rFonts w:ascii="Times New Roman" w:hAnsi="Times New Roman" w:cs="Times New Roman"/>
          <w:noProof/>
          <w:sz w:val="16"/>
          <w:szCs w:val="16"/>
          <w:u w:val="single"/>
        </w:rPr>
        <w:t>Source:</w:t>
      </w:r>
      <w:r>
        <w:rPr>
          <w:rFonts w:ascii="Times New Roman" w:hAnsi="Times New Roman" w:cs="Times New Roman"/>
          <w:noProof/>
          <w:sz w:val="16"/>
          <w:szCs w:val="16"/>
        </w:rPr>
        <w:t xml:space="preserve"> MRV Data 2018</w:t>
      </w:r>
    </w:p>
    <w:p>
      <w:pPr>
        <w:pStyle w:val="NoSpacing"/>
        <w:rPr>
          <w:rFonts w:ascii="Times New Roman" w:hAnsi="Times New Roman" w:cs="Times New Roman"/>
          <w:noProof/>
          <w:sz w:val="16"/>
          <w:szCs w:val="16"/>
        </w:rPr>
      </w:pPr>
    </w:p>
    <w:p>
      <w:pPr>
        <w:jc w:val="both"/>
        <w:rPr>
          <w:rFonts w:ascii="Times New Roman" w:hAnsi="Times New Roman" w:cs="Times New Roman"/>
          <w:noProof/>
          <w:sz w:val="24"/>
        </w:rPr>
      </w:pPr>
      <w:r>
        <w:rPr>
          <w:rFonts w:ascii="Times New Roman" w:hAnsi="Times New Roman" w:cs="Times New Roman"/>
          <w:noProof/>
          <w:sz w:val="24"/>
        </w:rPr>
        <w:t xml:space="preserve">As already highlighted in Section 2 of this report, the current maritime fuel mix almost entirely relies on fossil fuels, with the vast majority of the fuel mix being concentrated on liquid fuel products such as HFO, MGO, light fuel oil and MDO. Gaseous fuels, in the form of LNG or liquefied petroleum gas are only a very small fraction of the energy mix. </w:t>
      </w:r>
    </w:p>
    <w:p>
      <w:pPr>
        <w:jc w:val="both"/>
        <w:rPr>
          <w:rFonts w:ascii="Times New Roman" w:hAnsi="Times New Roman" w:cs="Times New Roman"/>
          <w:b/>
          <w:noProof/>
          <w:sz w:val="24"/>
        </w:rPr>
      </w:pPr>
      <w:r>
        <w:rPr>
          <w:rFonts w:ascii="Times New Roman" w:hAnsi="Times New Roman" w:cs="Times New Roman"/>
          <w:b/>
          <w:noProof/>
          <w:sz w:val="24"/>
        </w:rPr>
        <w:t>Possible alternative fuel options</w:t>
      </w:r>
    </w:p>
    <w:p>
      <w:pPr>
        <w:jc w:val="both"/>
        <w:rPr>
          <w:rFonts w:ascii="Times New Roman" w:hAnsi="Times New Roman" w:cs="Times New Roman"/>
          <w:noProof/>
          <w:sz w:val="24"/>
        </w:rPr>
      </w:pPr>
      <w:r>
        <w:rPr>
          <w:rFonts w:ascii="Times New Roman" w:hAnsi="Times New Roman" w:cs="Times New Roman"/>
          <w:noProof/>
          <w:sz w:val="24"/>
        </w:rPr>
        <w:t xml:space="preserve">In order to analyse the performance and maturity of the different possible alternative fuels options available to the maritime sector (and be able to compare them), it is important to consider the different stages from initial resources to energy carriers (the fuel itself), energy conversion on board (type of “engines”) and ship propulsion. These elements are summarised graphically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_Ref63433271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16</w:t>
      </w:r>
      <w:r>
        <w:rPr>
          <w:rFonts w:ascii="Times New Roman" w:hAnsi="Times New Roman" w:cs="Times New Roman"/>
          <w:noProof/>
          <w:sz w:val="24"/>
          <w:szCs w:val="24"/>
        </w:rPr>
        <w:fldChar w:fldCharType="end"/>
      </w:r>
      <w:r>
        <w:rPr>
          <w:rFonts w:ascii="Times New Roman" w:hAnsi="Times New Roman" w:cs="Times New Roman"/>
          <w:noProof/>
          <w:sz w:val="24"/>
          <w:szCs w:val="24"/>
        </w:rPr>
        <w:t>.</w:t>
      </w:r>
      <w:r>
        <w:rPr>
          <w:rFonts w:ascii="Times New Roman" w:hAnsi="Times New Roman" w:cs="Times New Roman"/>
          <w:noProof/>
          <w:sz w:val="24"/>
        </w:rPr>
        <w:t xml:space="preserve"> This simplified diagram presents only an overview of the main elements to be taken into account, but the database developed in the framework of the ESSF SAPS </w:t>
      </w:r>
      <w:r>
        <w:rPr>
          <w:rFonts w:ascii="Times New Roman" w:hAnsi="Times New Roman" w:cs="Times New Roman"/>
          <w:noProof/>
          <w:sz w:val="24"/>
          <w:szCs w:val="24"/>
        </w:rPr>
        <w:t>sub-group</w:t>
      </w:r>
      <w:r>
        <w:rPr>
          <w:rFonts w:ascii="Times New Roman" w:hAnsi="Times New Roman" w:cs="Times New Roman"/>
          <w:noProof/>
          <w:sz w:val="24"/>
        </w:rPr>
        <w:t xml:space="preserve"> identified already 53 solutions (possibilities of combination) between these elements (resources, energy carriers and energy conversion), including the options relying on fossil resources.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_Ref63433316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17</w:t>
      </w:r>
      <w:r>
        <w:rPr>
          <w:rFonts w:ascii="Times New Roman" w:hAnsi="Times New Roman" w:cs="Times New Roman"/>
          <w:noProof/>
          <w:sz w:val="24"/>
          <w:szCs w:val="24"/>
        </w:rPr>
        <w:fldChar w:fldCharType="end"/>
      </w:r>
      <w:r>
        <w:rPr>
          <w:rFonts w:ascii="Times New Roman" w:hAnsi="Times New Roman" w:cs="Times New Roman"/>
          <w:noProof/>
          <w:sz w:val="24"/>
        </w:rPr>
        <w:t xml:space="preserve"> summarises a graphic presentation of the possible options (presented as Sankey-like diagram for the four categories of resources identified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_Ref63433271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16</w:t>
      </w:r>
      <w:r>
        <w:rPr>
          <w:rFonts w:ascii="Times New Roman" w:hAnsi="Times New Roman" w:cs="Times New Roman"/>
          <w:noProof/>
          <w:sz w:val="24"/>
          <w:szCs w:val="24"/>
        </w:rPr>
        <w:fldChar w:fldCharType="end"/>
      </w:r>
      <w:r>
        <w:rPr>
          <w:rFonts w:ascii="Times New Roman" w:hAnsi="Times New Roman" w:cs="Times New Roman"/>
          <w:noProof/>
          <w:sz w:val="24"/>
        </w:rPr>
        <w:t xml:space="preserve">). </w:t>
      </w:r>
    </w:p>
    <w:p>
      <w:pPr>
        <w:pStyle w:val="Caption"/>
        <w:rPr>
          <w:noProof/>
        </w:rPr>
        <w:sectPr>
          <w:headerReference w:type="even" r:id="rId58"/>
          <w:headerReference w:type="default" r:id="rId59"/>
          <w:footerReference w:type="even" r:id="rId60"/>
          <w:footerReference w:type="default" r:id="rId61"/>
          <w:headerReference w:type="first" r:id="rId62"/>
          <w:footerReference w:type="first" r:id="rId63"/>
          <w:pgSz w:w="11906" w:h="16838"/>
          <w:pgMar w:top="1440" w:right="1440" w:bottom="1440" w:left="1440" w:header="708" w:footer="708" w:gutter="0"/>
          <w:cols w:space="708"/>
          <w:docGrid w:linePitch="360"/>
        </w:sectPr>
      </w:pPr>
    </w:p>
    <w:p>
      <w:pPr>
        <w:pStyle w:val="Caption"/>
        <w:rPr>
          <w:noProof/>
        </w:rPr>
      </w:pPr>
      <w:bookmarkStart w:id="693" w:name="_Ref63433271"/>
      <w:r>
        <w:rPr>
          <w:noProof/>
        </w:rPr>
        <w:t xml:space="preserve">Figure </w:t>
      </w:r>
      <w:r>
        <w:rPr>
          <w:noProof/>
        </w:rPr>
        <w:fldChar w:fldCharType="begin"/>
      </w:r>
      <w:r>
        <w:rPr>
          <w:noProof/>
        </w:rPr>
        <w:instrText xml:space="preserve"> SEQ Figure \* ARABIC </w:instrText>
      </w:r>
      <w:r>
        <w:rPr>
          <w:noProof/>
        </w:rPr>
        <w:fldChar w:fldCharType="separate"/>
      </w:r>
      <w:r>
        <w:rPr>
          <w:noProof/>
        </w:rPr>
        <w:t>16</w:t>
      </w:r>
      <w:r>
        <w:rPr>
          <w:noProof/>
        </w:rPr>
        <w:fldChar w:fldCharType="end"/>
      </w:r>
      <w:bookmarkEnd w:id="693"/>
      <w:r>
        <w:rPr>
          <w:noProof/>
        </w:rPr>
        <w:t xml:space="preserve"> Simplified overview of the main components of the "energy diagram" for marine fuels</w:t>
      </w:r>
    </w:p>
    <w:p>
      <w:pPr>
        <w:jc w:val="center"/>
        <w:rPr>
          <w:noProof/>
        </w:rPr>
      </w:pPr>
      <w:r>
        <w:rPr>
          <w:rFonts w:ascii="Times New Roman" w:hAnsi="Times New Roman" w:cs="Times New Roman"/>
          <w:noProof/>
          <w:lang w:eastAsia="en-GB"/>
        </w:rPr>
        <w:drawing>
          <wp:inline distT="0" distB="0" distL="0" distR="0">
            <wp:extent cx="8332546" cy="4166273"/>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350740" cy="4175370"/>
                    </a:xfrm>
                    <a:prstGeom prst="rect">
                      <a:avLst/>
                    </a:prstGeom>
                  </pic:spPr>
                </pic:pic>
              </a:graphicData>
            </a:graphic>
          </wp:inline>
        </w:drawing>
      </w:r>
    </w:p>
    <w:p>
      <w:pPr>
        <w:pStyle w:val="NoSpacing"/>
        <w:ind w:left="993" w:right="1088"/>
        <w:rPr>
          <w:rFonts w:ascii="Times New Roman" w:hAnsi="Times New Roman" w:cs="Times New Roman"/>
          <w:noProof/>
          <w:sz w:val="16"/>
          <w:szCs w:val="16"/>
        </w:rPr>
      </w:pPr>
      <w:r>
        <w:rPr>
          <w:rFonts w:ascii="Times New Roman" w:hAnsi="Times New Roman" w:cs="Times New Roman"/>
          <w:noProof/>
          <w:sz w:val="16"/>
          <w:szCs w:val="16"/>
          <w:u w:val="single"/>
        </w:rPr>
        <w:t>Source:</w:t>
      </w:r>
      <w:r>
        <w:rPr>
          <w:rFonts w:ascii="Times New Roman" w:hAnsi="Times New Roman" w:cs="Times New Roman"/>
          <w:noProof/>
          <w:sz w:val="16"/>
          <w:szCs w:val="16"/>
        </w:rPr>
        <w:t xml:space="preserve"> MARIN (2020), ESSF SAPS SUB-GROUP.</w:t>
      </w:r>
    </w:p>
    <w:p>
      <w:pPr>
        <w:rPr>
          <w:noProof/>
        </w:rPr>
      </w:pPr>
    </w:p>
    <w:p>
      <w:pPr>
        <w:pStyle w:val="Caption"/>
        <w:rPr>
          <w:noProof/>
        </w:rPr>
      </w:pPr>
      <w:r>
        <w:rPr>
          <w:noProof/>
        </w:rPr>
        <w:br w:type="page"/>
      </w:r>
    </w:p>
    <w:p>
      <w:pPr>
        <w:pStyle w:val="Caption"/>
        <w:rPr>
          <w:noProof/>
        </w:rPr>
      </w:pPr>
      <w:bookmarkStart w:id="694" w:name="_Ref63433316"/>
      <w:r>
        <w:rPr>
          <w:noProof/>
        </w:rPr>
        <w:t xml:space="preserve">Figure </w:t>
      </w:r>
      <w:r>
        <w:rPr>
          <w:noProof/>
        </w:rPr>
        <w:fldChar w:fldCharType="begin"/>
      </w:r>
      <w:r>
        <w:rPr>
          <w:noProof/>
        </w:rPr>
        <w:instrText xml:space="preserve"> SEQ Figure \* ARABIC </w:instrText>
      </w:r>
      <w:r>
        <w:rPr>
          <w:noProof/>
        </w:rPr>
        <w:fldChar w:fldCharType="separate"/>
      </w:r>
      <w:r>
        <w:rPr>
          <w:noProof/>
        </w:rPr>
        <w:t>17</w:t>
      </w:r>
      <w:r>
        <w:rPr>
          <w:noProof/>
        </w:rPr>
        <w:fldChar w:fldCharType="end"/>
      </w:r>
      <w:bookmarkEnd w:id="694"/>
      <w:r>
        <w:rPr>
          <w:noProof/>
        </w:rPr>
        <w:t xml:space="preserve"> Sankey diagram of the possible fuel combinations for the main resources categories</w:t>
      </w:r>
    </w:p>
    <w:p>
      <w:pPr>
        <w:jc w:val="center"/>
        <w:rPr>
          <w:noProof/>
        </w:rPr>
      </w:pPr>
      <w:r>
        <w:rPr>
          <w:noProof/>
          <w:lang w:eastAsia="en-GB"/>
        </w:rPr>
        <w:drawing>
          <wp:inline distT="0" distB="0" distL="0" distR="0">
            <wp:extent cx="8290963" cy="4517499"/>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327647" cy="4537487"/>
                    </a:xfrm>
                    <a:prstGeom prst="rect">
                      <a:avLst/>
                    </a:prstGeom>
                  </pic:spPr>
                </pic:pic>
              </a:graphicData>
            </a:graphic>
          </wp:inline>
        </w:drawing>
      </w:r>
    </w:p>
    <w:p>
      <w:pPr>
        <w:pStyle w:val="NoSpacing"/>
        <w:ind w:left="993" w:right="1088"/>
        <w:rPr>
          <w:rFonts w:ascii="Times New Roman" w:hAnsi="Times New Roman" w:cs="Times New Roman"/>
          <w:noProof/>
          <w:sz w:val="16"/>
          <w:szCs w:val="16"/>
        </w:rPr>
      </w:pPr>
      <w:r>
        <w:rPr>
          <w:rFonts w:ascii="Times New Roman" w:hAnsi="Times New Roman" w:cs="Times New Roman"/>
          <w:noProof/>
          <w:sz w:val="16"/>
          <w:szCs w:val="16"/>
          <w:u w:val="single"/>
        </w:rPr>
        <w:t>Source:</w:t>
      </w:r>
      <w:r>
        <w:rPr>
          <w:rFonts w:ascii="Times New Roman" w:hAnsi="Times New Roman" w:cs="Times New Roman"/>
          <w:noProof/>
          <w:sz w:val="16"/>
          <w:szCs w:val="16"/>
        </w:rPr>
        <w:t xml:space="preserve"> MARIN (2020), ESSF SAPS SUB-GROUP.</w:t>
      </w:r>
    </w:p>
    <w:p>
      <w:pPr>
        <w:rPr>
          <w:rFonts w:ascii="Times New Roman" w:hAnsi="Times New Roman" w:cs="Times New Roman"/>
          <w:noProof/>
        </w:rPr>
        <w:sectPr>
          <w:headerReference w:type="even" r:id="rId66"/>
          <w:headerReference w:type="default" r:id="rId67"/>
          <w:footerReference w:type="even" r:id="rId68"/>
          <w:footerReference w:type="default" r:id="rId69"/>
          <w:headerReference w:type="first" r:id="rId70"/>
          <w:footerReference w:type="first" r:id="rId71"/>
          <w:pgSz w:w="16838" w:h="11906" w:orient="landscape"/>
          <w:pgMar w:top="1440" w:right="1440" w:bottom="1440" w:left="1440" w:header="708" w:footer="708" w:gutter="0"/>
          <w:cols w:space="708"/>
          <w:docGrid w:linePitch="360"/>
        </w:sectPr>
      </w:pPr>
    </w:p>
    <w:p>
      <w:pPr>
        <w:ind w:firstLine="720"/>
        <w:rPr>
          <w:rFonts w:ascii="Times New Roman" w:hAnsi="Times New Roman" w:cs="Times New Roman"/>
          <w:i/>
          <w:noProof/>
          <w:sz w:val="24"/>
          <w:szCs w:val="24"/>
          <w:u w:val="single"/>
        </w:rPr>
      </w:pPr>
      <w:r>
        <w:rPr>
          <w:rFonts w:ascii="Times New Roman" w:hAnsi="Times New Roman" w:cs="Times New Roman"/>
          <w:i/>
          <w:noProof/>
          <w:sz w:val="24"/>
          <w:szCs w:val="24"/>
          <w:u w:val="single"/>
        </w:rPr>
        <w:t xml:space="preserve">Primary energy sources / resources: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current maritime fuel mix relies almost entirely on fossil resources, either in the form of oil products or gaseous fuels. The main alternative fuels presented in this annex are options deriving from non-fossil origins. The three main alternative sources of energy which have been identified are biomass, metal or renewable energy. Given the relatively limited amount of options provided by metals, the analysis carried out in the context of the FuelEU Maritime initiative has mainly focussed on biomass and renewable energy / electricity, which have also been identified by the stakeholders as the most promising options. </w:t>
      </w:r>
    </w:p>
    <w:p>
      <w:pPr>
        <w:pStyle w:val="ListParagraph"/>
        <w:numPr>
          <w:ilvl w:val="0"/>
          <w:numId w:val="12"/>
        </w:numPr>
        <w:spacing w:after="160" w:line="259"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Biomass is expected to lead to three main fuel types (that can be used also in blends with fuels of other origin, including fossil): liquid biofuels (such as biodiesel), biogas (that can be used as bio-LNG or bio-CNG), and alcohol products (e.g. bio-ethanol). </w:t>
      </w:r>
    </w:p>
    <w:p>
      <w:pPr>
        <w:pStyle w:val="ListParagraph"/>
        <w:numPr>
          <w:ilvl w:val="0"/>
          <w:numId w:val="12"/>
        </w:numPr>
        <w:spacing w:after="160" w:line="259" w:lineRule="auto"/>
        <w:jc w:val="both"/>
        <w:rPr>
          <w:rFonts w:ascii="Times New Roman" w:hAnsi="Times New Roman" w:cs="Times New Roman"/>
          <w:noProof/>
          <w:sz w:val="24"/>
          <w:szCs w:val="24"/>
        </w:rPr>
      </w:pPr>
      <w:r>
        <w:rPr>
          <w:rFonts w:ascii="Times New Roman" w:hAnsi="Times New Roman" w:cs="Times New Roman"/>
          <w:noProof/>
          <w:sz w:val="24"/>
          <w:szCs w:val="24"/>
        </w:rPr>
        <w:t>Renewable energy / electricity can be used directly for charging on-board batteries in vessels using fully electric propulsion systems or hybrid engines. Renewable energy can also serve the production of renewable hydrogen to directly power fuel cells (either carried as hydrogen or ammonia) or be blended for use in internal combustion engines. It can also be used for the production of synthetic liquid fuels (e-diesel), gas (e-LNG) or alcohols (e.g. e-methanol), which may also be blended with similar products of other origin, including fossil. Wind-assisted propulsion is today considered a means to reduce a ship’s consumption of fossil energy. As efforts to reduce GHG emissions and climate change intensify, the commercial shipping world is looking at wind as an inexhaustible power source, at least in a supporting role, with renewed interest.</w:t>
      </w:r>
    </w:p>
    <w:p>
      <w:pPr>
        <w:jc w:val="both"/>
        <w:rPr>
          <w:rFonts w:ascii="Times New Roman" w:hAnsi="Times New Roman" w:cs="Times New Roman"/>
          <w:b/>
          <w:noProof/>
          <w:sz w:val="24"/>
          <w:szCs w:val="24"/>
        </w:rPr>
      </w:pPr>
      <w:r>
        <w:rPr>
          <w:rFonts w:ascii="Times New Roman" w:hAnsi="Times New Roman" w:cs="Times New Roman"/>
          <w:b/>
          <w:noProof/>
          <w:sz w:val="24"/>
          <w:szCs w:val="24"/>
        </w:rPr>
        <w:t>GHG saving potential, sustainability and availability of resources</w:t>
      </w:r>
      <w:r>
        <w:rPr>
          <w:rStyle w:val="FootnoteReference"/>
          <w:noProof/>
          <w:sz w:val="24"/>
          <w:szCs w:val="24"/>
        </w:rPr>
        <w:footnoteReference w:id="222"/>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consideration of the primary source of energy is important to determine the fuel’s overall environmental performance. As a result, a well-to-wake approach is preferable to reflect the overall GHG performance of fuels/technologies as it takes into account the impacts of production, transport, distribution and use on-board. Such an approach is also more likely to incentivise technology options and production pathways that provide real benefits compared to the existing conventional fuels. As presented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_Ref63433316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17</w:t>
      </w:r>
      <w:r>
        <w:rPr>
          <w:rFonts w:ascii="Times New Roman" w:hAnsi="Times New Roman" w:cs="Times New Roman"/>
          <w:noProof/>
          <w:sz w:val="24"/>
          <w:szCs w:val="24"/>
        </w:rPr>
        <w:fldChar w:fldCharType="end"/>
      </w:r>
      <w:r>
        <w:rPr>
          <w:rFonts w:ascii="Times New Roman" w:hAnsi="Times New Roman" w:cs="Times New Roman"/>
          <w:noProof/>
          <w:sz w:val="24"/>
          <w:szCs w:val="24"/>
        </w:rPr>
        <w:t>, an energy carrier like LNG can be produced from fossil origin, bio-origin or synthetically using renewable energy, similarly hydrogen can be produced from fossil energy or renewable electricity. All these different production pathways will have a significant impact on the fuel’s performance. For instance, fossil LNG in a four stroke engine would have a GHG performance of 709.49 g-CO</w:t>
      </w:r>
      <w:r>
        <w:rPr>
          <w:rFonts w:ascii="Times New Roman" w:hAnsi="Times New Roman" w:cs="Times New Roman"/>
          <w:noProof/>
          <w:sz w:val="24"/>
          <w:szCs w:val="24"/>
          <w:vertAlign w:val="subscript"/>
        </w:rPr>
        <w:t>2</w:t>
      </w:r>
      <w:r>
        <w:rPr>
          <w:rFonts w:ascii="Times New Roman" w:hAnsi="Times New Roman" w:cs="Times New Roman"/>
          <w:noProof/>
          <w:sz w:val="24"/>
          <w:szCs w:val="24"/>
        </w:rPr>
        <w:t>e/kWh, a biogas produced from organic waste of 248.39 g-CO</w:t>
      </w:r>
      <w:r>
        <w:rPr>
          <w:rFonts w:ascii="Times New Roman" w:hAnsi="Times New Roman" w:cs="Times New Roman"/>
          <w:noProof/>
          <w:sz w:val="24"/>
          <w:szCs w:val="24"/>
          <w:vertAlign w:val="subscript"/>
        </w:rPr>
        <w:t>2</w:t>
      </w:r>
      <w:r>
        <w:rPr>
          <w:rFonts w:ascii="Times New Roman" w:hAnsi="Times New Roman" w:cs="Times New Roman"/>
          <w:noProof/>
          <w:sz w:val="24"/>
          <w:szCs w:val="24"/>
        </w:rPr>
        <w:t>e/kWh, and a synthetic gas from renewable sources a value of 75.19 g-CO</w:t>
      </w:r>
      <w:r>
        <w:rPr>
          <w:rFonts w:ascii="Times New Roman" w:hAnsi="Times New Roman" w:cs="Times New Roman"/>
          <w:noProof/>
          <w:sz w:val="24"/>
          <w:szCs w:val="24"/>
          <w:vertAlign w:val="subscript"/>
        </w:rPr>
        <w:t>2</w:t>
      </w:r>
      <w:r>
        <w:rPr>
          <w:rFonts w:ascii="Times New Roman" w:hAnsi="Times New Roman" w:cs="Times New Roman"/>
          <w:noProof/>
          <w:sz w:val="24"/>
          <w:szCs w:val="24"/>
        </w:rPr>
        <w:t>e/kWh on a well-to-wake calculation (GWP100). There is a factor 9.5 difference between the worst case scenario and the best case for LNG. The variation between these values can be even greater, in particular when considering the production of the same energy carriers from fossil or non-fossil resources: renewable ammonia use in fuel cells would have a value of 0 g-CO</w:t>
      </w:r>
      <w:r>
        <w:rPr>
          <w:rFonts w:ascii="Times New Roman" w:hAnsi="Times New Roman" w:cs="Times New Roman"/>
          <w:noProof/>
          <w:sz w:val="24"/>
          <w:szCs w:val="24"/>
          <w:vertAlign w:val="subscript"/>
        </w:rPr>
        <w:t>2</w:t>
      </w:r>
      <w:r>
        <w:rPr>
          <w:rFonts w:ascii="Times New Roman" w:hAnsi="Times New Roman" w:cs="Times New Roman"/>
          <w:noProof/>
          <w:sz w:val="24"/>
          <w:szCs w:val="24"/>
        </w:rPr>
        <w:t>e/kWh while its equivalent produced from fossil resources (natural gas) would reach 2630.08 g-CO</w:t>
      </w:r>
      <w:r>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e/kWh on a well-to-wake basis (GWP100). </w:t>
      </w:r>
    </w:p>
    <w:p>
      <w:pPr>
        <w:jc w:val="both"/>
        <w:rPr>
          <w:rFonts w:ascii="Times New Roman" w:hAnsi="Times New Roman" w:cs="Times New Roman"/>
          <w:noProof/>
          <w:sz w:val="24"/>
          <w:szCs w:val="24"/>
        </w:rPr>
      </w:pPr>
      <w:r>
        <w:rPr>
          <w:rFonts w:ascii="Times New Roman" w:hAnsi="Times New Roman" w:cs="Times New Roman"/>
          <w:noProof/>
          <w:sz w:val="24"/>
          <w:szCs w:val="24"/>
        </w:rPr>
        <w:t>Similarly, even within the same group of resources, different production pathways are possible and would have ultimately an impact on the fuel’s GHG saving potential and overall sustainability record. The most known example of this concerns the biofuels, which can be produced from different feedstocks. While a 100% biodiesel form waste (crop residues and municipal solid waste) can achieve substantial savings, the contribution of biofuels produced from food and feed crops is usually lower and uncertain due to the issue of indirect and use change. Biofuels produced from high ILUC-risk feedstock are unlikely to achieve any savings.</w:t>
      </w:r>
      <w:r>
        <w:rPr>
          <w:rStyle w:val="FootnoteReference"/>
          <w:rFonts w:ascii="Times New Roman" w:hAnsi="Times New Roman" w:cs="Times New Roman"/>
          <w:noProof/>
          <w:sz w:val="24"/>
          <w:szCs w:val="24"/>
        </w:rPr>
        <w:footnoteReference w:id="223"/>
      </w:r>
      <w:r>
        <w:rPr>
          <w:rFonts w:ascii="Times New Roman" w:hAnsi="Times New Roman" w:cs="Times New Roman"/>
          <w:noProof/>
          <w:sz w:val="24"/>
          <w:szCs w:val="24"/>
        </w:rPr>
        <w:t>Given that the contribution of first generation of biofuels (food and feed-based ones) towards decarbonisation is limited , it is not foreseen that they would be eligible under this initiative.</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From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_Ref63433316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17</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it is apparent that the number of truly zero-emission options is limited on a well-to-wake analysis. Additional incentives for these zero-emissions options are therefore needed to make sure that implementing WTW approach does not entrench HFO and MGO and paves the way for gradual transition to alternative fuels that are zero-emission on the well-to-wake perspective.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_Ref63433468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18</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presents the upstream, operational and net CO2 emissions for selected fuel options, including produced from different initial energy resource. The overall net CO2 impact hence depends not only on the operational (tank-to-wake) emissions but also on the upstream (well-to-tank) savings. </w:t>
      </w:r>
    </w:p>
    <w:p>
      <w:pPr>
        <w:pStyle w:val="Caption"/>
        <w:rPr>
          <w:rFonts w:ascii="Times New Roman" w:hAnsi="Times New Roman" w:cs="Times New Roman"/>
          <w:noProof/>
          <w:sz w:val="24"/>
          <w:szCs w:val="24"/>
        </w:rPr>
      </w:pPr>
      <w:bookmarkStart w:id="695" w:name="_Ref63433468"/>
      <w:r>
        <w:rPr>
          <w:noProof/>
        </w:rPr>
        <w:t xml:space="preserve">Figure </w:t>
      </w:r>
      <w:r>
        <w:rPr>
          <w:noProof/>
        </w:rPr>
        <w:fldChar w:fldCharType="begin"/>
      </w:r>
      <w:r>
        <w:rPr>
          <w:noProof/>
        </w:rPr>
        <w:instrText xml:space="preserve"> SEQ Figure \* ARABIC </w:instrText>
      </w:r>
      <w:r>
        <w:rPr>
          <w:noProof/>
        </w:rPr>
        <w:fldChar w:fldCharType="separate"/>
      </w:r>
      <w:r>
        <w:rPr>
          <w:noProof/>
        </w:rPr>
        <w:t>18</w:t>
      </w:r>
      <w:r>
        <w:rPr>
          <w:noProof/>
        </w:rPr>
        <w:fldChar w:fldCharType="end"/>
      </w:r>
      <w:bookmarkEnd w:id="695"/>
      <w:r>
        <w:rPr>
          <w:noProof/>
        </w:rPr>
        <w:t xml:space="preserve"> Upstream, operational and net CO2 emissions for selected fuel options</w:t>
      </w:r>
    </w:p>
    <w:p>
      <w:pPr>
        <w:jc w:val="center"/>
        <w:rPr>
          <w:rFonts w:ascii="Times New Roman" w:hAnsi="Times New Roman" w:cs="Times New Roman"/>
          <w:noProof/>
          <w:sz w:val="24"/>
          <w:szCs w:val="24"/>
        </w:rPr>
      </w:pPr>
      <w:r>
        <w:rPr>
          <w:noProof/>
          <w:lang w:eastAsia="en-GB"/>
        </w:rPr>
        <w:drawing>
          <wp:inline distT="0" distB="0" distL="0" distR="0">
            <wp:extent cx="3860536" cy="2147960"/>
            <wp:effectExtent l="0" t="0" r="6985" b="5080"/>
            <wp:docPr id="11" name="Picture 11" descr="L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r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74288" cy="2155611"/>
                    </a:xfrm>
                    <a:prstGeom prst="rect">
                      <a:avLst/>
                    </a:prstGeom>
                    <a:noFill/>
                    <a:ln>
                      <a:noFill/>
                    </a:ln>
                  </pic:spPr>
                </pic:pic>
              </a:graphicData>
            </a:graphic>
          </wp:inline>
        </w:drawing>
      </w:r>
    </w:p>
    <w:p>
      <w:pPr>
        <w:pStyle w:val="NoSpacing"/>
        <w:ind w:left="993" w:right="1088"/>
        <w:rPr>
          <w:rFonts w:ascii="Times New Roman" w:hAnsi="Times New Roman" w:cs="Times New Roman"/>
          <w:noProof/>
          <w:sz w:val="18"/>
          <w:szCs w:val="18"/>
        </w:rPr>
      </w:pPr>
      <w:r>
        <w:rPr>
          <w:rFonts w:ascii="Times New Roman" w:hAnsi="Times New Roman" w:cs="Times New Roman"/>
          <w:noProof/>
          <w:sz w:val="18"/>
          <w:szCs w:val="18"/>
          <w:u w:val="single"/>
        </w:rPr>
        <w:t>Source:</w:t>
      </w:r>
      <w:r>
        <w:rPr>
          <w:rFonts w:ascii="Times New Roman" w:hAnsi="Times New Roman" w:cs="Times New Roman"/>
          <w:noProof/>
          <w:sz w:val="18"/>
          <w:szCs w:val="18"/>
        </w:rPr>
        <w:t xml:space="preserve"> LR/UMAS (2020) “Techno-economic assessment of zero-carbon fuels”</w:t>
      </w:r>
    </w:p>
    <w:p>
      <w:pPr>
        <w:jc w:val="both"/>
        <w:rPr>
          <w:rFonts w:ascii="Times New Roman" w:hAnsi="Times New Roman" w:cs="Times New Roman"/>
          <w:noProof/>
          <w:sz w:val="24"/>
          <w:szCs w:val="24"/>
        </w:rPr>
      </w:pP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In addition to the GHG saving potential, the availability of sufficient quantities of feedstocks is an important aspect to determine how a certain fuel option can be sustainably scaled-up and deployed in the future, ensuring sufficient production levels on the most appropriate and performant pathways. </w:t>
      </w:r>
    </w:p>
    <w:p>
      <w:pPr>
        <w:jc w:val="both"/>
        <w:rPr>
          <w:rFonts w:ascii="Times New Roman" w:hAnsi="Times New Roman" w:cs="Times New Roman"/>
          <w:b/>
          <w:noProof/>
          <w:sz w:val="24"/>
          <w:szCs w:val="24"/>
        </w:rPr>
      </w:pPr>
      <w:r>
        <w:rPr>
          <w:rFonts w:ascii="Times New Roman" w:hAnsi="Times New Roman" w:cs="Times New Roman"/>
          <w:b/>
          <w:noProof/>
          <w:sz w:val="24"/>
          <w:szCs w:val="24"/>
        </w:rPr>
        <w:t>Energy carriers and energy conversion</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Different energy carriers (fuels) are presented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_Ref63433271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16</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and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_Ref63433316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17</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and have already been presented compared to their potential primary energy source. There are however other criteria that can be used to group these in different categories and highlight specific attributes of the different fuel options or to limit the number of alternative fuel options based on certain technical characteristics or constraints that need to be met on the ship. In this context, it also worth considering the interaction with the energy conversion (engine) system on-board, which provides a set of conditions / constraints that need to be met by chose energy solution (compatibility of the engine and fuel storage system to a given technical option). Another determining aspect in the fuel choice concerns the operating conditions of the ship itself (constraints in terms of necessary range, available storage capacity, etc.). </w:t>
      </w:r>
    </w:p>
    <w:p>
      <w:pPr>
        <w:ind w:firstLine="720"/>
        <w:jc w:val="both"/>
        <w:rPr>
          <w:rFonts w:ascii="Times New Roman" w:hAnsi="Times New Roman" w:cs="Times New Roman"/>
          <w:i/>
          <w:noProof/>
          <w:sz w:val="24"/>
          <w:szCs w:val="24"/>
          <w:u w:val="single"/>
        </w:rPr>
      </w:pPr>
      <w:r>
        <w:rPr>
          <w:rFonts w:ascii="Times New Roman" w:hAnsi="Times New Roman" w:cs="Times New Roman"/>
          <w:i/>
          <w:noProof/>
          <w:sz w:val="24"/>
          <w:szCs w:val="24"/>
          <w:u w:val="single"/>
        </w:rPr>
        <w:t>Compatibility with the existing infrastructure and machinery</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 first aspect concerns the compatibility of the fuel with the existing infrastructure and the existing machinery on-board. Drop-in fuels are defined as the fuel options that are functionally equivalent to the fossil fuels currently in use and fully compatible with the distribution infrastructure.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For maritime transport, the identified drop-in fuels will be bio-diesel or e-diesel, bio-gas or synthetic gas, bio-methanol or e-methanol.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One of the important advantages of drop-in fuels is to allow for lower capital costs on ramping-up of the fuel solution as the existing ship machinery is compatible with these fuels and because it does not require a dedicated infrastructure. As a result, the deployment can also be more rapid as the uptake of the option is not dependent on the deployment of a dedicated infrastructure nor on specific fleet characteristics, removing some of the interdependency issues that exist in developing new fuel solutions (chicken and egg). In addition, as these fuels are usually similar to the existing fossil options they are meant to replace, they can usually be safely blended allowing a gradual uptake of more sustainable energy options, while still providing some first GHG savings. </w:t>
      </w:r>
    </w:p>
    <w:p>
      <w:pPr>
        <w:jc w:val="both"/>
        <w:rPr>
          <w:rFonts w:ascii="Times New Roman" w:hAnsi="Times New Roman" w:cs="Times New Roman"/>
          <w:noProof/>
          <w:sz w:val="24"/>
          <w:szCs w:val="24"/>
        </w:rPr>
      </w:pPr>
      <w:r>
        <w:rPr>
          <w:rFonts w:ascii="Times New Roman" w:hAnsi="Times New Roman" w:cs="Times New Roman"/>
          <w:noProof/>
          <w:sz w:val="24"/>
          <w:szCs w:val="24"/>
        </w:rPr>
        <w:t>While drop-in fuels may be low or zero-carbon fuels on a well-to-wake perspective, when used either 100% or in very high blends, this is very dependent on the overall production pathway and the type of feedstock used. Furthermore, they have emissions on the tank-to-wake basis, as well as air pollution such as NOx and black carbon, which require additional attention and after-treatment. In comparison, hydrogen or ammonia eliminate such emissions if used in fuel cells as energy converters. When used in internal combustion engines, NOx emissions cannot be avoided and require after-treatment.</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However, these fuels may not automatically be compatible with the existing infrastructure nor stored and used with existing vessels without specific adaptation of the equipment (on-board and/or on-shore). The type and complexity of the required modification depend on the current fuel system and the alternative carrier to be used. On board, they concern modification to the engine, the storage tanks and the piping system. Similar compatibility issues (or possible needs for modification) can be observed for the current distribution infrastructure (either HFO-MGO bunkering or LNG infrastructure).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These aspects related to the compatibility of the existing infrastructure and the fleet will undoubtedly affect the lead time for the uptake of the different fuel options.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In addition to this, the maturity of on-board energy conversion systems has also to be considered in looking at the different available pathways. The fleet currently consists almost entirely of internal combustion engines powered either by liquid of gaseous fuels. According to the fourth IMO greenhouse gas study, 98.4% of all engines used in the fleet in 2018 were oil engines and 0.52% were LNG engines (including dual-fuel engines).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_Ref63433316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17</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also indicates the possibility of using fuel cells, which is an attractive solution to reduce GHG emissions.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However, while already available at commercial scale, this technology have so far been demonstrated in small, low speed vessels with relatively low power needs (of up to a few hundred kW), the technology has not yet reached a sufficient level of maturity to be largely deployed on the entire fleet, in particular when involved in deep-sea traffic. Considering the typical power requirements of the fleet, the technology needs to be significantly scaled-up to become a mature alternative for maritime transport. As an example, the average main engine power installed on containerships range between 5 and 60 MW depending on the size of the ship and its cargo capacity. Considering the data provided by the fourth IMO greenhouse gas study, vessels above 5000 GT (corresponding to the MRV scope) are usually using multi-megawatt engines. There are several challenges associated with scaling-up fuel cells to the desired MW scale while simultaneously addressing durability, compatibility with maritime conditions (saline air, shock, rolling &amp; vibration). These challenges are currently being addressed by different research and innovation projects, as well as by commercial demonstration projects. A similar situation can be depicted when it comes to the development and deployment of fully electric propulsion by batteries. Nevertheless, ongoing projects on fleet hybridisation have allowed the sector to gain more experience and knowledge with the use of large battery installation in support of maritime activities (propulsion or ancillary power).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technology maturity of the different options, expressed in technology readiness levels (TRLs), is summarised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_Ref63433567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19</w:t>
      </w:r>
      <w:r>
        <w:rPr>
          <w:rFonts w:ascii="Times New Roman" w:hAnsi="Times New Roman" w:cs="Times New Roman"/>
          <w:noProof/>
          <w:sz w:val="24"/>
          <w:szCs w:val="24"/>
        </w:rPr>
        <w:fldChar w:fldCharType="end"/>
      </w:r>
      <w:r>
        <w:rPr>
          <w:rFonts w:ascii="Times New Roman" w:hAnsi="Times New Roman" w:cs="Times New Roman"/>
          <w:noProof/>
          <w:sz w:val="24"/>
          <w:szCs w:val="24"/>
        </w:rPr>
        <w:t>.</w:t>
      </w:r>
    </w:p>
    <w:p>
      <w:pPr>
        <w:pStyle w:val="Caption"/>
        <w:rPr>
          <w:noProof/>
        </w:rPr>
      </w:pPr>
      <w:bookmarkStart w:id="696" w:name="_Ref63433567"/>
      <w:r>
        <w:rPr>
          <w:noProof/>
        </w:rPr>
        <w:t xml:space="preserve">Figure </w:t>
      </w:r>
      <w:r>
        <w:rPr>
          <w:noProof/>
        </w:rPr>
        <w:fldChar w:fldCharType="begin"/>
      </w:r>
      <w:r>
        <w:rPr>
          <w:noProof/>
        </w:rPr>
        <w:instrText xml:space="preserve"> SEQ Figure \* ARABIC </w:instrText>
      </w:r>
      <w:r>
        <w:rPr>
          <w:noProof/>
        </w:rPr>
        <w:fldChar w:fldCharType="separate"/>
      </w:r>
      <w:r>
        <w:rPr>
          <w:noProof/>
        </w:rPr>
        <w:t>19</w:t>
      </w:r>
      <w:r>
        <w:rPr>
          <w:noProof/>
        </w:rPr>
        <w:fldChar w:fldCharType="end"/>
      </w:r>
      <w:bookmarkEnd w:id="696"/>
      <w:r>
        <w:rPr>
          <w:noProof/>
        </w:rPr>
        <w:t xml:space="preserve"> TRL ranking for zero-emissions technologies</w:t>
      </w:r>
    </w:p>
    <w:p>
      <w:pPr>
        <w:jc w:val="center"/>
        <w:rPr>
          <w:rFonts w:ascii="Times New Roman" w:hAnsi="Times New Roman" w:cs="Times New Roman"/>
          <w:noProof/>
          <w:sz w:val="24"/>
          <w:szCs w:val="24"/>
        </w:rPr>
      </w:pPr>
      <w:r>
        <w:rPr>
          <w:noProof/>
          <w:sz w:val="24"/>
          <w:szCs w:val="24"/>
          <w:lang w:eastAsia="en-GB"/>
        </w:rPr>
        <w:drawing>
          <wp:inline distT="0" distB="0" distL="0" distR="0">
            <wp:extent cx="4775200" cy="483907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extLst>
                        <a:ext uri="{28A0092B-C50C-407E-A947-70E740481C1C}">
                          <a14:useLocalDpi xmlns:a14="http://schemas.microsoft.com/office/drawing/2010/main"/>
                        </a:ext>
                      </a:extLst>
                    </a:blip>
                    <a:srcRect/>
                    <a:stretch/>
                  </pic:blipFill>
                  <pic:spPr bwMode="auto">
                    <a:xfrm>
                      <a:off x="0" y="0"/>
                      <a:ext cx="4775703" cy="4839588"/>
                    </a:xfrm>
                    <a:prstGeom prst="rect">
                      <a:avLst/>
                    </a:prstGeom>
                    <a:ln>
                      <a:noFill/>
                    </a:ln>
                    <a:extLst>
                      <a:ext uri="{53640926-AAD7-44D8-BBD7-CCE9431645EC}">
                        <a14:shadowObscured xmlns:a14="http://schemas.microsoft.com/office/drawing/2010/main"/>
                      </a:ext>
                    </a:extLst>
                  </pic:spPr>
                </pic:pic>
              </a:graphicData>
            </a:graphic>
          </wp:inline>
        </w:drawing>
      </w:r>
    </w:p>
    <w:p>
      <w:pPr>
        <w:pStyle w:val="NoSpacing"/>
        <w:ind w:left="993" w:right="1088"/>
        <w:rPr>
          <w:rFonts w:ascii="Times New Roman" w:hAnsi="Times New Roman" w:cs="Times New Roman"/>
          <w:noProof/>
          <w:sz w:val="18"/>
          <w:szCs w:val="18"/>
        </w:rPr>
      </w:pPr>
      <w:r>
        <w:rPr>
          <w:rFonts w:ascii="Times New Roman" w:hAnsi="Times New Roman" w:cs="Times New Roman"/>
          <w:noProof/>
          <w:sz w:val="18"/>
          <w:szCs w:val="18"/>
          <w:u w:val="single"/>
        </w:rPr>
        <w:t>Source:</w:t>
      </w:r>
      <w:r>
        <w:rPr>
          <w:rFonts w:ascii="Times New Roman" w:hAnsi="Times New Roman" w:cs="Times New Roman"/>
          <w:noProof/>
          <w:sz w:val="18"/>
          <w:szCs w:val="18"/>
        </w:rPr>
        <w:t xml:space="preserve"> LR/UMAS (2020) “Techno-economic assessment of zero-carbon fuels”</w:t>
      </w:r>
    </w:p>
    <w:p>
      <w:pPr>
        <w:pStyle w:val="NoSpacing"/>
        <w:ind w:left="993" w:right="1088"/>
        <w:rPr>
          <w:rFonts w:ascii="Times New Roman" w:hAnsi="Times New Roman" w:cs="Times New Roman"/>
          <w:noProof/>
          <w:sz w:val="24"/>
          <w:szCs w:val="24"/>
        </w:rPr>
      </w:pPr>
    </w:p>
    <w:p>
      <w:pPr>
        <w:ind w:firstLine="720"/>
        <w:jc w:val="both"/>
        <w:rPr>
          <w:rFonts w:ascii="Times New Roman" w:hAnsi="Times New Roman" w:cs="Times New Roman"/>
          <w:i/>
          <w:noProof/>
          <w:sz w:val="24"/>
          <w:szCs w:val="24"/>
          <w:u w:val="single"/>
        </w:rPr>
      </w:pPr>
      <w:r>
        <w:rPr>
          <w:rFonts w:ascii="Times New Roman" w:hAnsi="Times New Roman" w:cs="Times New Roman"/>
          <w:i/>
          <w:noProof/>
          <w:sz w:val="24"/>
          <w:szCs w:val="24"/>
          <w:u w:val="single"/>
        </w:rPr>
        <w:t>Energy density</w:t>
      </w:r>
    </w:p>
    <w:p>
      <w:pPr>
        <w:jc w:val="both"/>
        <w:rPr>
          <w:rFonts w:ascii="Times New Roman" w:hAnsi="Times New Roman" w:cs="Times New Roman"/>
          <w:noProof/>
          <w:sz w:val="24"/>
          <w:szCs w:val="24"/>
        </w:rPr>
      </w:pPr>
      <w:r>
        <w:rPr>
          <w:rFonts w:ascii="Times New Roman" w:hAnsi="Times New Roman" w:cs="Times New Roman"/>
          <w:noProof/>
          <w:sz w:val="24"/>
          <w:szCs w:val="24"/>
        </w:rPr>
        <w:t>The maritime sector is characterised by high power needs, which, in turn, require fuels with high energy density. While short-sea shipping (defined as maritime transport between ports in the EU and ports situated in geographical Europe, on the Mediterranean and Black Seas) is characterised by relatively short routes with frequent port calls and can include a number of fixed-schedule routes, deep-sea traffic represents long distance journeys (trans-oceanic) without necessarily a fixed schedule. The fuel energy density is therefore an important aspect affecting the possibility of ships to safely carry out long distance journeys without compromising on the cargo carrying capacity (in volume or weight). Presently, bulk carriers can sail more than 30,000 nautical miles (nm) on average on full tanks, containerships up to 50,000 nm and tankers between 10,000 nm and 30,000 nm on average. To put this into perspective, a transatlantic journey from Europe would cover around 6,000-7,000 nm and a journey to South-East Asia around 10,000 nm.</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Among the possible alternative fuels, liquid biofuels and electrically synthesised hydrocarbons have the highest energy density followed by bio-gas. In practice, LNG has roughly 45 % lower volumetric energy density than diesel, while ammonia and hydrogen-based fuels have an even lower density. Both the volumetric and gravimetric density of the fuels have to be considered as they will impact potentially the range of a given ship or aspects related to vessel’s design, including impacts on the cargo capacity (in volume or weight). </w:t>
      </w:r>
    </w:p>
    <w:p>
      <w:pPr>
        <w:jc w:val="both"/>
        <w:rPr>
          <w:rFonts w:ascii="Times New Roman" w:hAnsi="Times New Roman" w:cs="Times New Roman"/>
          <w:noProof/>
          <w:sz w:val="24"/>
          <w:szCs w:val="24"/>
        </w:rPr>
      </w:pPr>
      <w:r>
        <w:rPr>
          <w:rFonts w:ascii="Times New Roman" w:hAnsi="Times New Roman" w:cs="Times New Roman"/>
          <w:noProof/>
          <w:sz w:val="24"/>
          <w:szCs w:val="24"/>
        </w:rPr>
        <w:t>Indeed, the adoption of alternative fuels that require more volume and mass than HFO and MGO will inevitably lead to a reduction in deadweight and available volume for cargo. Alternatively, the lower energy density of alternative fuels may lead to potentially larger ships for similar deadweight capacities, impacting directly on resistance and power requirements.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When looking at energy densities for alternative fuel options for ships, in addition to the energy density characteristic to the energy carrier, it is necessary to also consider the impact of the weight and volume of containment system. This represents an important addition, in particular for options such as liquefied hydrogen, where the containment system may represent a decrease in the density of the energy carried by almost half, from 9.2 to 5MJ/l. An important focus to improve feasibility for such technology options will need to take into account the optimization of containment strategies, including materials technologies. </w:t>
      </w:r>
    </w:p>
    <w:p>
      <w:pPr>
        <w:jc w:val="both"/>
        <w:rPr>
          <w:rFonts w:ascii="Times New Roman" w:hAnsi="Times New Roman" w:cs="Times New Roman"/>
          <w:noProof/>
          <w:sz w:val="24"/>
          <w:szCs w:val="24"/>
        </w:rPr>
      </w:pP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_Ref63433596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20</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provides an overview of the possible alternative fuel options in terms of energy density (volumetric and gravimetric). </w:t>
      </w:r>
    </w:p>
    <w:p>
      <w:pPr>
        <w:pStyle w:val="Caption"/>
        <w:rPr>
          <w:rFonts w:ascii="Times New Roman" w:hAnsi="Times New Roman" w:cs="Times New Roman"/>
          <w:noProof/>
        </w:rPr>
      </w:pPr>
      <w:bookmarkStart w:id="697" w:name="_Ref63433596"/>
      <w:r>
        <w:rPr>
          <w:noProof/>
        </w:rPr>
        <w:t xml:space="preserve">Figure </w:t>
      </w:r>
      <w:r>
        <w:rPr>
          <w:noProof/>
        </w:rPr>
        <w:fldChar w:fldCharType="begin"/>
      </w:r>
      <w:r>
        <w:rPr>
          <w:noProof/>
        </w:rPr>
        <w:instrText xml:space="preserve"> SEQ Figure \* ARABIC </w:instrText>
      </w:r>
      <w:r>
        <w:rPr>
          <w:noProof/>
        </w:rPr>
        <w:fldChar w:fldCharType="separate"/>
      </w:r>
      <w:r>
        <w:rPr>
          <w:noProof/>
        </w:rPr>
        <w:t>20</w:t>
      </w:r>
      <w:r>
        <w:rPr>
          <w:noProof/>
        </w:rPr>
        <w:fldChar w:fldCharType="end"/>
      </w:r>
      <w:bookmarkEnd w:id="697"/>
      <w:r>
        <w:rPr>
          <w:noProof/>
        </w:rPr>
        <w:t xml:space="preserve"> Overview of fuel options in terms of energy density</w:t>
      </w:r>
    </w:p>
    <w:p>
      <w:pPr>
        <w:jc w:val="center"/>
        <w:rPr>
          <w:rFonts w:ascii="Times New Roman" w:hAnsi="Times New Roman" w:cs="Times New Roman"/>
          <w:b/>
          <w:noProof/>
          <w:sz w:val="24"/>
          <w:szCs w:val="24"/>
        </w:rPr>
      </w:pPr>
      <w:r>
        <w:rPr>
          <w:noProof/>
          <w:lang w:eastAsia="en-GB"/>
        </w:rPr>
        <w:drawing>
          <wp:inline distT="0" distB="0" distL="0" distR="0">
            <wp:extent cx="3990150" cy="3306373"/>
            <wp:effectExtent l="0" t="0" r="0" b="889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74"/>
                    <a:srcRect l="5062" b="5571"/>
                    <a:stretch/>
                  </pic:blipFill>
                  <pic:spPr bwMode="auto">
                    <a:xfrm>
                      <a:off x="0" y="0"/>
                      <a:ext cx="4009949" cy="332277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szCs w:val="24"/>
        </w:rPr>
        <w:t xml:space="preserve"> </w:t>
      </w:r>
    </w:p>
    <w:p>
      <w:pPr>
        <w:pStyle w:val="NoSpacing"/>
        <w:ind w:left="993" w:right="1088"/>
        <w:rPr>
          <w:rFonts w:ascii="Times New Roman" w:hAnsi="Times New Roman" w:cs="Times New Roman"/>
          <w:noProof/>
          <w:sz w:val="20"/>
          <w:szCs w:val="24"/>
        </w:rPr>
      </w:pPr>
      <w:r>
        <w:rPr>
          <w:rFonts w:ascii="Times New Roman" w:hAnsi="Times New Roman" w:cs="Times New Roman"/>
          <w:noProof/>
          <w:sz w:val="20"/>
          <w:szCs w:val="24"/>
          <w:u w:val="single"/>
        </w:rPr>
        <w:t>Source:</w:t>
      </w:r>
      <w:r>
        <w:rPr>
          <w:rFonts w:ascii="Times New Roman" w:hAnsi="Times New Roman" w:cs="Times New Roman"/>
          <w:noProof/>
          <w:sz w:val="20"/>
          <w:szCs w:val="24"/>
        </w:rPr>
        <w:t xml:space="preserve"> MARIN (2020), ESSF SAPS SUB-GROUP.</w:t>
      </w:r>
    </w:p>
    <w:p>
      <w:pPr>
        <w:jc w:val="both"/>
        <w:rPr>
          <w:rFonts w:ascii="Times New Roman" w:hAnsi="Times New Roman" w:cs="Times New Roman"/>
          <w:noProof/>
          <w:sz w:val="24"/>
          <w:szCs w:val="24"/>
        </w:rPr>
      </w:pP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Any fuel alternative moving from the current fuel (MDO) towards the bottom-left corner of the graph would result in further constraints and potential trade-off between fuel storage and cargo. </w:t>
      </w:r>
    </w:p>
    <w:p>
      <w:pPr>
        <w:jc w:val="both"/>
        <w:rPr>
          <w:rFonts w:ascii="Times New Roman" w:hAnsi="Times New Roman" w:cs="Times New Roman"/>
          <w:b/>
          <w:noProof/>
          <w:sz w:val="24"/>
          <w:szCs w:val="24"/>
        </w:rPr>
      </w:pPr>
      <w:r>
        <w:rPr>
          <w:rFonts w:ascii="Times New Roman" w:hAnsi="Times New Roman" w:cs="Times New Roman"/>
          <w:b/>
          <w:noProof/>
          <w:sz w:val="24"/>
          <w:szCs w:val="24"/>
        </w:rPr>
        <w:t>Safety and standardization aspects</w:t>
      </w:r>
      <w:r>
        <w:rPr>
          <w:rStyle w:val="FootnoteReference"/>
          <w:noProof/>
          <w:sz w:val="24"/>
          <w:szCs w:val="24"/>
        </w:rPr>
        <w:footnoteReference w:id="224"/>
      </w:r>
    </w:p>
    <w:p>
      <w:pPr>
        <w:jc w:val="both"/>
        <w:rPr>
          <w:rFonts w:ascii="Times New Roman" w:hAnsi="Times New Roman" w:cs="Times New Roman"/>
          <w:noProof/>
          <w:sz w:val="24"/>
          <w:szCs w:val="24"/>
        </w:rPr>
      </w:pPr>
      <w:r>
        <w:rPr>
          <w:rFonts w:ascii="Times New Roman" w:hAnsi="Times New Roman" w:cs="Times New Roman"/>
          <w:noProof/>
          <w:sz w:val="24"/>
          <w:szCs w:val="24"/>
        </w:rPr>
        <w:t>In addition to the inherent characteristics of the different fuel options, their production pathways and energy conversion technology, it is also considered important to highlight the relevance of safety and standardization as important enablers to ensure the deployment of safe and operable solution within a harmonized regulatory framework. The IGF Code, having entered into force on 1</w:t>
      </w:r>
      <w:r>
        <w:rPr>
          <w:rFonts w:ascii="Times New Roman" w:hAnsi="Times New Roman" w:cs="Times New Roman"/>
          <w:noProof/>
          <w:sz w:val="24"/>
          <w:szCs w:val="24"/>
          <w:vertAlign w:val="superscript"/>
        </w:rPr>
        <w:t xml:space="preserve">st </w:t>
      </w:r>
      <w:r>
        <w:rPr>
          <w:rFonts w:ascii="Times New Roman" w:hAnsi="Times New Roman" w:cs="Times New Roman"/>
          <w:noProof/>
          <w:sz w:val="24"/>
          <w:szCs w:val="24"/>
        </w:rPr>
        <w:t xml:space="preserve">January 2017, established a harmonized set of goals and functional requirements which are currently the regulatory backbone for the design, installation and operation of LNG fuelled ships. Work has continued to cover Ethyl/Methyl alcohols, with a set of Interim Guidelines approved at IMO, at MSC102. Fuel Cell installations, LPG and low flashpoint diesel fuels are currently the object of work within the IGF Code development agenda. Interim Guidelines appear to be the most flexible solution to develop harmonized goal-based requirements for specific technologies. They take however, on average, about 5 years to develop and this is a time pace which has to be taken into consideration in the context of any alternative fuel technology deployment. </w:t>
      </w:r>
    </w:p>
    <w:p>
      <w:pPr>
        <w:jc w:val="both"/>
        <w:rPr>
          <w:rFonts w:ascii="Times New Roman" w:hAnsi="Times New Roman" w:cs="Times New Roman"/>
          <w:noProof/>
          <w:sz w:val="24"/>
          <w:szCs w:val="24"/>
        </w:rPr>
      </w:pPr>
      <w:r>
        <w:rPr>
          <w:rFonts w:ascii="Times New Roman" w:hAnsi="Times New Roman" w:cs="Times New Roman"/>
          <w:noProof/>
          <w:sz w:val="24"/>
          <w:szCs w:val="24"/>
        </w:rPr>
        <w:t>As of today, in most of the cases, safety and technical requirements for alternative fuel and power installations, otherwise not covered in SOLAS/IGF, will be established by IMO MSC.1/Circ.1455 (</w:t>
      </w:r>
      <w:r>
        <w:rPr>
          <w:rFonts w:ascii="Times New Roman" w:hAnsi="Times New Roman" w:cs="Times New Roman"/>
          <w:i/>
          <w:iCs/>
          <w:noProof/>
          <w:sz w:val="24"/>
          <w:szCs w:val="24"/>
        </w:rPr>
        <w:t>Guidelines for the approval of alternative and equivalents as provided for in various IMO instruments</w:t>
      </w:r>
      <w:r>
        <w:rPr>
          <w:rFonts w:ascii="Times New Roman" w:hAnsi="Times New Roman" w:cs="Times New Roman"/>
          <w:noProof/>
          <w:sz w:val="24"/>
          <w:szCs w:val="24"/>
        </w:rPr>
        <w:t>). The use of this important IMO instrument, despite its relevance in a context of less mature technologies and innovative applications, is not preferred for continued application. Elements such as containment and fuel distribution, structural protection, detection or fire suppression technologies have to be designed in accordance to technology-specific requirements. Developing this at a pace which is coherent and consistent with the technology development and user needs is an important challenge to address at both IMO and standardization organizations such as ISO, IEEE or IEC.</w:t>
      </w: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Different Classification Societies have already important class rules and guidance covering design, installation and safety aspects for alternative fuels and power technologies. The challenge to have a harmonized framework is however best addressed at IMO where a consolidation of current experience can take place in the form of interim guidelines. These need to be sufficiently flexible to allow technology development whilst, at the same time, supported by robust goals and functional requirements.</w:t>
      </w:r>
    </w:p>
    <w:p>
      <w:pPr>
        <w:jc w:val="both"/>
        <w:rPr>
          <w:rFonts w:ascii="Times New Roman" w:hAnsi="Times New Roman" w:cs="Times New Roman"/>
          <w:b/>
          <w:noProof/>
          <w:sz w:val="24"/>
          <w:szCs w:val="24"/>
        </w:rPr>
      </w:pPr>
      <w:r>
        <w:rPr>
          <w:rFonts w:ascii="Times New Roman" w:hAnsi="Times New Roman" w:cs="Times New Roman"/>
          <w:b/>
          <w:noProof/>
          <w:sz w:val="24"/>
          <w:szCs w:val="24"/>
        </w:rPr>
        <w:t>Economic aspects affecting fuel choice</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In addition to the technical aspects presented above, there are important economic elements, which will have the possible choice of alternative fuels. </w:t>
      </w:r>
    </w:p>
    <w:p>
      <w:pPr>
        <w:ind w:firstLine="720"/>
        <w:jc w:val="both"/>
        <w:rPr>
          <w:rFonts w:ascii="Times New Roman" w:hAnsi="Times New Roman" w:cs="Times New Roman"/>
          <w:i/>
          <w:noProof/>
          <w:sz w:val="24"/>
          <w:szCs w:val="24"/>
          <w:u w:val="single"/>
        </w:rPr>
      </w:pPr>
      <w:r>
        <w:rPr>
          <w:rFonts w:ascii="Times New Roman" w:hAnsi="Times New Roman" w:cs="Times New Roman"/>
          <w:i/>
          <w:noProof/>
          <w:sz w:val="24"/>
          <w:szCs w:val="24"/>
          <w:u w:val="single"/>
        </w:rPr>
        <w:t>Costs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An important reason behind the low uptake of zero-emission fuels and power by ships calling EU ports is that the costs of these fuels are generally higher than the costs of fossil fuels. This is confirmed by stakeholders’ feedback received in the consultation activities on FuelEU maritime. For instance, in response to the public consultation, 48.1% of the respondents (65/136) indicated the higher price of RLF as one of the most important barrier to their uptake. </w:t>
      </w:r>
    </w:p>
    <w:p>
      <w:pPr>
        <w:jc w:val="both"/>
        <w:rPr>
          <w:rFonts w:ascii="Times New Roman" w:hAnsi="Times New Roman" w:cs="Times New Roman"/>
          <w:noProof/>
          <w:sz w:val="24"/>
          <w:szCs w:val="24"/>
        </w:rPr>
      </w:pP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_Ref63433633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Figure 21</w:t>
      </w:r>
      <w:r>
        <w:rPr>
          <w:rFonts w:ascii="Times New Roman" w:hAnsi="Times New Roman" w:cs="Times New Roman"/>
          <w:noProof/>
          <w:sz w:val="24"/>
          <w:szCs w:val="24"/>
        </w:rPr>
        <w:fldChar w:fldCharType="end"/>
      </w:r>
      <w:r>
        <w:rPr>
          <w:rFonts w:ascii="Times New Roman" w:hAnsi="Times New Roman" w:cs="Times New Roman"/>
          <w:noProof/>
          <w:sz w:val="24"/>
          <w:szCs w:val="24"/>
        </w:rPr>
        <w:t xml:space="preserve"> presents a comparison of the costs associated to the different fuels options per unit of energy (€/kWh). </w:t>
      </w:r>
    </w:p>
    <w:p>
      <w:pPr>
        <w:pStyle w:val="Caption"/>
        <w:rPr>
          <w:rFonts w:ascii="Times New Roman" w:hAnsi="Times New Roman" w:cs="Times New Roman"/>
          <w:noProof/>
        </w:rPr>
      </w:pPr>
      <w:bookmarkStart w:id="698" w:name="_Ref63433633"/>
      <w:r>
        <w:rPr>
          <w:noProof/>
        </w:rPr>
        <w:t xml:space="preserve">Figure </w:t>
      </w:r>
      <w:r>
        <w:rPr>
          <w:noProof/>
        </w:rPr>
        <w:fldChar w:fldCharType="begin"/>
      </w:r>
      <w:r>
        <w:rPr>
          <w:noProof/>
        </w:rPr>
        <w:instrText xml:space="preserve"> SEQ Figure \* ARABIC </w:instrText>
      </w:r>
      <w:r>
        <w:rPr>
          <w:noProof/>
        </w:rPr>
        <w:fldChar w:fldCharType="separate"/>
      </w:r>
      <w:r>
        <w:rPr>
          <w:noProof/>
        </w:rPr>
        <w:t>21</w:t>
      </w:r>
      <w:r>
        <w:rPr>
          <w:noProof/>
        </w:rPr>
        <w:fldChar w:fldCharType="end"/>
      </w:r>
      <w:bookmarkEnd w:id="698"/>
      <w:r>
        <w:rPr>
          <w:noProof/>
        </w:rPr>
        <w:t xml:space="preserve"> Costs comparison of different alternative fuel options</w:t>
      </w:r>
    </w:p>
    <w:p>
      <w:pPr>
        <w:jc w:val="both"/>
        <w:rPr>
          <w:rFonts w:ascii="Times New Roman" w:hAnsi="Times New Roman" w:cs="Times New Roman"/>
          <w:noProof/>
          <w:sz w:val="24"/>
          <w:szCs w:val="24"/>
        </w:rPr>
      </w:pPr>
      <w:r>
        <w:rPr>
          <w:rFonts w:ascii="Times New Roman" w:hAnsi="Times New Roman" w:cs="Times New Roman"/>
          <w:noProof/>
          <w:sz w:val="24"/>
          <w:szCs w:val="24"/>
          <w:lang w:eastAsia="en-GB"/>
        </w:rPr>
        <w:drawing>
          <wp:inline distT="0" distB="0" distL="0" distR="0">
            <wp:extent cx="5731510" cy="304038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5"/>
                    <a:stretch>
                      <a:fillRect/>
                    </a:stretch>
                  </pic:blipFill>
                  <pic:spPr>
                    <a:xfrm>
                      <a:off x="0" y="0"/>
                      <a:ext cx="5731510" cy="3040380"/>
                    </a:xfrm>
                    <a:prstGeom prst="rect">
                      <a:avLst/>
                    </a:prstGeom>
                  </pic:spPr>
                </pic:pic>
              </a:graphicData>
            </a:graphic>
          </wp:inline>
        </w:drawing>
      </w:r>
    </w:p>
    <w:p>
      <w:pPr>
        <w:pStyle w:val="NoSpacing"/>
        <w:ind w:left="993" w:right="1088"/>
        <w:rPr>
          <w:rFonts w:ascii="Times New Roman" w:hAnsi="Times New Roman" w:cs="Times New Roman"/>
          <w:noProof/>
          <w:sz w:val="20"/>
          <w:szCs w:val="24"/>
        </w:rPr>
      </w:pPr>
      <w:r>
        <w:rPr>
          <w:rFonts w:ascii="Times New Roman" w:hAnsi="Times New Roman" w:cs="Times New Roman"/>
          <w:noProof/>
          <w:sz w:val="20"/>
          <w:szCs w:val="24"/>
          <w:u w:val="single"/>
        </w:rPr>
        <w:t>Source:</w:t>
      </w:r>
      <w:r>
        <w:rPr>
          <w:rFonts w:ascii="Times New Roman" w:hAnsi="Times New Roman" w:cs="Times New Roman"/>
          <w:noProof/>
          <w:sz w:val="20"/>
          <w:szCs w:val="24"/>
        </w:rPr>
        <w:t xml:space="preserve"> MARIN (2020), ESSF SAPS SUB-GROUP.</w:t>
      </w:r>
    </w:p>
    <w:p>
      <w:pPr>
        <w:jc w:val="both"/>
        <w:rPr>
          <w:rFonts w:ascii="Times New Roman" w:hAnsi="Times New Roman" w:cs="Times New Roman"/>
          <w:noProof/>
          <w:sz w:val="24"/>
          <w:szCs w:val="24"/>
        </w:rPr>
      </w:pPr>
    </w:p>
    <w:p>
      <w:pPr>
        <w:jc w:val="both"/>
        <w:rPr>
          <w:noProof/>
          <w:sz w:val="24"/>
          <w:szCs w:val="24"/>
        </w:rPr>
      </w:pPr>
      <w:r>
        <w:rPr>
          <w:rFonts w:ascii="Times New Roman" w:hAnsi="Times New Roman" w:cs="Times New Roman"/>
          <w:noProof/>
          <w:sz w:val="24"/>
          <w:szCs w:val="24"/>
        </w:rPr>
        <w:t xml:space="preserve">The production cost ranges of biofuels and e-fuels are larger than those of fossil fuels. To some extent, this is caused by the fact that production systems for biofuels and e-fuels are newer and subject of on-going research. For biofuels, this also relates to the variety of biomass feedstocks and feedstock prices and the variety of production technologies in existence. For e-fuels the wide ranges also relate to the uncertainty about renewable electricity costs, which are linked to electricity market price developments and which form a major part of the production costs of e-fuels. </w:t>
      </w:r>
    </w:p>
    <w:p>
      <w:pPr>
        <w:ind w:firstLine="720"/>
        <w:jc w:val="both"/>
        <w:rPr>
          <w:rFonts w:ascii="Times New Roman" w:hAnsi="Times New Roman" w:cs="Times New Roman"/>
          <w:i/>
          <w:noProof/>
          <w:sz w:val="24"/>
          <w:szCs w:val="24"/>
          <w:u w:val="single"/>
        </w:rPr>
      </w:pPr>
      <w:r>
        <w:rPr>
          <w:rFonts w:ascii="Times New Roman" w:hAnsi="Times New Roman" w:cs="Times New Roman"/>
          <w:i/>
          <w:noProof/>
          <w:sz w:val="24"/>
          <w:szCs w:val="24"/>
          <w:u w:val="single"/>
        </w:rPr>
        <w:t>Production and fuel availability</w:t>
      </w:r>
    </w:p>
    <w:p>
      <w:pPr>
        <w:jc w:val="both"/>
        <w:rPr>
          <w:rFonts w:ascii="Times New Roman" w:hAnsi="Times New Roman" w:cs="Times New Roman"/>
          <w:noProof/>
          <w:sz w:val="24"/>
          <w:szCs w:val="24"/>
        </w:rPr>
      </w:pPr>
      <w:r>
        <w:rPr>
          <w:rFonts w:ascii="Times New Roman" w:hAnsi="Times New Roman" w:cs="Times New Roman"/>
          <w:noProof/>
          <w:sz w:val="24"/>
          <w:szCs w:val="24"/>
        </w:rPr>
        <w:t>When reviewing the initial energy resources to be used for fuel production, the availability of sufficient quantities of feedstocks is an important aspect to determine how a certain fuel option can be sustainably scaled-up and deployed in the future, ensuring sufficient production levels on the most appropriate and performant pathways.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Another important dimension for maritime transport concerns the wide availability of alternative options, not only in different European ports but also on a global scale. Indeed, a transition towards new sources of energy can only be sustained if these are deployed on a large scale allowing vessels engaged in international trade to cater for their fuel needs. </w:t>
      </w:r>
    </w:p>
    <w:p>
      <w:pPr>
        <w:jc w:val="both"/>
        <w:rPr>
          <w:rFonts w:ascii="Times New Roman" w:hAnsi="Times New Roman" w:cs="Times New Roman"/>
          <w:b/>
          <w:noProof/>
          <w:sz w:val="24"/>
          <w:szCs w:val="24"/>
        </w:rPr>
      </w:pPr>
      <w:r>
        <w:rPr>
          <w:rFonts w:ascii="Times New Roman" w:hAnsi="Times New Roman" w:cs="Times New Roman"/>
          <w:b/>
          <w:noProof/>
          <w:sz w:val="24"/>
          <w:szCs w:val="24"/>
        </w:rPr>
        <w:t>Possible evolutions and stakeholders’ views</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study carried out by Ecorys and CE Delft in support of this impact assessment has provided an overview of different pilot projects and research and innovation initiatives carried out with respect to the use of alternative fuels in maritime transport. </w:t>
      </w:r>
    </w:p>
    <w:p>
      <w:pPr>
        <w:jc w:val="both"/>
        <w:rPr>
          <w:rFonts w:ascii="Times New Roman" w:hAnsi="Times New Roman" w:cs="Times New Roman"/>
          <w:noProof/>
          <w:sz w:val="24"/>
          <w:szCs w:val="24"/>
        </w:rPr>
      </w:pPr>
      <w:r>
        <w:rPr>
          <w:rFonts w:ascii="Times New Roman" w:hAnsi="Times New Roman" w:cs="Times New Roman"/>
          <w:noProof/>
          <w:sz w:val="24"/>
          <w:szCs w:val="24"/>
        </w:rPr>
        <w:t xml:space="preserve">The diversity of the sector in terms of ship type, age distribution, size, power required or operating conditions will result in different constraints determining the optimal fuel choice for a given economic actor. After reviewing existing literature and compiling the feedback received during the consultation activities on this initiative, it becomes apparent that a variety of different fuels with no dominant source of energy will be the most likely composition of the maritime fuel mix by 2050. </w:t>
      </w:r>
    </w:p>
    <w:p>
      <w:pPr>
        <w:jc w:val="both"/>
        <w:rPr>
          <w:rFonts w:ascii="Times New Roman" w:hAnsi="Times New Roman" w:cs="Times New Roman"/>
          <w:noProof/>
          <w:sz w:val="24"/>
          <w:szCs w:val="24"/>
        </w:rPr>
      </w:pPr>
      <w:r>
        <w:rPr>
          <w:rFonts w:ascii="Times New Roman" w:hAnsi="Times New Roman" w:cs="Times New Roman"/>
          <w:noProof/>
          <w:sz w:val="24"/>
          <w:szCs w:val="24"/>
        </w:rPr>
        <w:t>The respondents of the targeted consultation survey have indicated their expectations on what fuels are most likely to be used in 2030 and 2050, both during navigation and at berth. Concerning 2030, it can be concluded that biofuels are perceived as most promising for use in navigation, followed by batteries. Looking at 2050, the expectations focus rather ‘other decarbonised hydrogen-derived fuels (including ammonia)’ and ‘Decarbonized hydrogen (including fuel cells)’, which are the categories that received the highest scores. For emissions at berth, the alternative fuel option that stands out in being promising for 2030 is on-shore power supply (OPS). Looking at the survey results for 2050, OPS still is perceived as most promising compared to the alternatives.</w:t>
      </w:r>
    </w:p>
    <w:p>
      <w:pPr>
        <w:rPr>
          <w:rFonts w:ascii="Times New Roman" w:hAnsi="Times New Roman" w:cs="Times New Roman"/>
          <w:noProof/>
          <w:sz w:val="24"/>
          <w:szCs w:val="24"/>
        </w:rPr>
      </w:pPr>
      <w:r>
        <w:rPr>
          <w:rFonts w:ascii="Times New Roman" w:hAnsi="Times New Roman" w:cs="Times New Roman"/>
          <w:noProof/>
          <w:sz w:val="24"/>
          <w:szCs w:val="24"/>
        </w:rPr>
        <w:br w:type="page"/>
      </w:r>
    </w:p>
    <w:p>
      <w:pPr>
        <w:pStyle w:val="AnnexTitle"/>
        <w:rPr>
          <w:i/>
          <w:iCs/>
          <w:noProof/>
        </w:rPr>
      </w:pPr>
      <w:bookmarkStart w:id="699" w:name="_Toc57907330"/>
      <w:bookmarkStart w:id="700" w:name="_Toc59152676"/>
      <w:bookmarkStart w:id="701" w:name="_Toc63426191"/>
      <w:bookmarkStart w:id="702" w:name="_Toc63438537"/>
      <w:r>
        <w:rPr>
          <w:noProof/>
        </w:rPr>
        <w:t>Annex 6: Methodology followed for the definition of the policy options</w:t>
      </w:r>
      <w:bookmarkEnd w:id="699"/>
      <w:bookmarkEnd w:id="700"/>
      <w:bookmarkEnd w:id="701"/>
      <w:bookmarkEnd w:id="702"/>
    </w:p>
    <w:p>
      <w:pPr>
        <w:rPr>
          <w:noProof/>
        </w:rPr>
      </w:pPr>
    </w:p>
    <w:p>
      <w:pPr>
        <w:pStyle w:val="Text1"/>
        <w:spacing w:line="276" w:lineRule="auto"/>
        <w:ind w:left="0"/>
        <w:rPr>
          <w:noProof/>
          <w:szCs w:val="24"/>
          <w:lang w:val="en-IE"/>
        </w:rPr>
      </w:pPr>
      <w:r>
        <w:rPr>
          <w:noProof/>
        </w:rPr>
        <w:t xml:space="preserve">This annex presents the </w:t>
      </w:r>
      <w:r>
        <w:rPr>
          <w:noProof/>
          <w:szCs w:val="24"/>
          <w:lang w:val="en-IE"/>
        </w:rPr>
        <w:t xml:space="preserve">comprehensive list of policy measures that was established for this initiative after extensive consultations with stakeholders, expert meetings, independent research and the Commission’s own analysis.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This also includes policy measures that would not be focussed on addressing solely the technology barriers related to fuel uptake but could provide comparable level of CO</w:t>
      </w:r>
      <w:r>
        <w:rPr>
          <w:rFonts w:ascii="Times New Roman" w:hAnsi="Times New Roman" w:cs="Times New Roman"/>
          <w:noProof/>
          <w:sz w:val="24"/>
          <w:szCs w:val="24"/>
          <w:vertAlign w:val="subscript"/>
          <w:lang w:val="en-IE"/>
        </w:rPr>
        <w:t>2</w:t>
      </w:r>
      <w:r>
        <w:rPr>
          <w:rFonts w:ascii="Times New Roman" w:hAnsi="Times New Roman" w:cs="Times New Roman"/>
          <w:noProof/>
          <w:sz w:val="24"/>
          <w:szCs w:val="24"/>
          <w:lang w:val="en-IE"/>
        </w:rPr>
        <w:t xml:space="preserve"> or GHG savings (including carbon pricing mechanisms or carbon intensity standards of ship operations). Their likely effectiveness in increasing the penetration of RLF was assessed qualitatively. Based on this initial screening, a number of policy measures were not considered apt to address all the SOs or were identified as complementary measures included in the “basket of measures”.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Based on this assessment, the Commission also refined the general policy approach to narrow down the proposed intervention to a limited number of characteristics allowing to effectively address the problem drivers in a coherent manner. </w:t>
      </w:r>
    </w:p>
    <w:p>
      <w:p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Two principal characteristics were identified for the policy measure to fulfil the given objectives: </w:t>
      </w:r>
    </w:p>
    <w:p>
      <w:pPr>
        <w:pStyle w:val="ListParagraph"/>
        <w:numPr>
          <w:ilvl w:val="0"/>
          <w:numId w:val="56"/>
        </w:num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They should provide certainty on the future short to long-term policy targets for the carbon intensity of the energy used by ships. Such targets should preferably be mandatory and enforceable, thus providing legal certainty.</w:t>
      </w:r>
    </w:p>
    <w:p>
      <w:pPr>
        <w:pStyle w:val="ListParagraph"/>
        <w:numPr>
          <w:ilvl w:val="0"/>
          <w:numId w:val="56"/>
        </w:numPr>
        <w:spacing w:after="120"/>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They should address the demand side component, by incentivising or prescribing minimum performance requirements of the marine energy mix. This is necessary for complementing existing supply-side measures and solving the interdependency issue, as well as for avoiding carbon leakage.</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In the next step, the retained policy measures were classified according to their approach and characteristics in relation to three areas of policy intervention: i) improve the penetration rate of RLF, ii) stimulate the introduction of zero-emissions energy solutions, and iii) certification, reporting and enforcement.</w:t>
      </w:r>
    </w:p>
    <w:p>
      <w:pPr>
        <w:spacing w:after="120"/>
        <w:jc w:val="both"/>
        <w:rPr>
          <w:rFonts w:ascii="Times New Roman" w:hAnsi="Times New Roman" w:cs="Times New Roman"/>
          <w:noProof/>
          <w:sz w:val="24"/>
          <w:szCs w:val="24"/>
        </w:rPr>
      </w:pPr>
      <w:r>
        <w:rPr>
          <w:rFonts w:ascii="Times New Roman" w:hAnsi="Times New Roman" w:cs="Times New Roman"/>
          <w:noProof/>
          <w:sz w:val="24"/>
          <w:szCs w:val="24"/>
        </w:rPr>
        <w:t xml:space="preserve">The correspondence between the SOs and the areas of policy intervention are illustrated in </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REF _Ref63433653 \h  \* MERGEFORMAT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p>
    <w:p>
      <w:pPr>
        <w:spacing w:after="120"/>
        <w:jc w:val="both"/>
        <w:rPr>
          <w:rFonts w:ascii="Times New Roman" w:hAnsi="Times New Roman" w:cs="Times New Roman"/>
          <w:noProof/>
          <w:sz w:val="24"/>
          <w:szCs w:val="24"/>
        </w:rPr>
      </w:pPr>
    </w:p>
    <w:p>
      <w:pPr>
        <w:spacing w:after="120"/>
        <w:jc w:val="both"/>
        <w:rPr>
          <w:rFonts w:ascii="Times New Roman" w:hAnsi="Times New Roman" w:cs="Times New Roman"/>
          <w:noProof/>
          <w:sz w:val="24"/>
          <w:szCs w:val="24"/>
        </w:rPr>
      </w:pPr>
    </w:p>
    <w:p>
      <w:pPr>
        <w:pStyle w:val="Caption"/>
        <w:rPr>
          <w:noProof/>
        </w:rPr>
      </w:pPr>
    </w:p>
    <w:p>
      <w:pPr>
        <w:spacing w:after="120"/>
        <w:jc w:val="both"/>
        <w:rPr>
          <w:rFonts w:ascii="Times New Roman" w:hAnsi="Times New Roman" w:cs="Times New Roman"/>
          <w:noProof/>
          <w:sz w:val="24"/>
          <w:szCs w:val="24"/>
        </w:rPr>
      </w:pPr>
      <w:r>
        <w:rPr>
          <w:noProof/>
        </w:rPr>
        <w:t>Figure 22</w:t>
      </w:r>
      <w:r>
        <w:rPr>
          <w:rFonts w:ascii="Times New Roman" w:hAnsi="Times New Roman" w:cs="Times New Roman"/>
          <w:noProof/>
          <w:sz w:val="24"/>
          <w:szCs w:val="24"/>
        </w:rPr>
        <w:fldChar w:fldCharType="end"/>
      </w:r>
      <w:r>
        <w:rPr>
          <w:rFonts w:ascii="Times New Roman" w:hAnsi="Times New Roman" w:cs="Times New Roman"/>
          <w:noProof/>
          <w:sz w:val="24"/>
          <w:szCs w:val="24"/>
        </w:rPr>
        <w:t>:</w:t>
      </w:r>
    </w:p>
    <w:p>
      <w:pPr>
        <w:pStyle w:val="Caption"/>
        <w:rPr>
          <w:noProof/>
        </w:rPr>
      </w:pPr>
      <w:bookmarkStart w:id="703" w:name="_Ref63433653"/>
    </w:p>
    <w:p>
      <w:pPr>
        <w:pStyle w:val="Caption"/>
        <w:rPr>
          <w:noProof/>
        </w:rPr>
      </w:pPr>
    </w:p>
    <w:p>
      <w:pPr>
        <w:pStyle w:val="Caption"/>
        <w:rPr>
          <w:noProof/>
        </w:rPr>
      </w:pPr>
    </w:p>
    <w:p>
      <w:pPr>
        <w:pStyle w:val="Caption"/>
        <w:rPr>
          <w:noProof/>
        </w:rPr>
      </w:pPr>
    </w:p>
    <w:p>
      <w:pPr>
        <w:pStyle w:val="Caption"/>
        <w:rPr>
          <w:noProof/>
        </w:rPr>
      </w:pPr>
      <w:r>
        <w:rPr>
          <w:noProof/>
        </w:rPr>
        <w:t xml:space="preserve">Figure </w:t>
      </w:r>
      <w:r>
        <w:rPr>
          <w:noProof/>
        </w:rPr>
        <w:fldChar w:fldCharType="begin"/>
      </w:r>
      <w:r>
        <w:rPr>
          <w:noProof/>
        </w:rPr>
        <w:instrText xml:space="preserve"> SEQ Figure \* ARABIC </w:instrText>
      </w:r>
      <w:r>
        <w:rPr>
          <w:noProof/>
        </w:rPr>
        <w:fldChar w:fldCharType="separate"/>
      </w:r>
      <w:r>
        <w:rPr>
          <w:noProof/>
        </w:rPr>
        <w:t>22</w:t>
      </w:r>
      <w:r>
        <w:rPr>
          <w:noProof/>
        </w:rPr>
        <w:fldChar w:fldCharType="end"/>
      </w:r>
      <w:bookmarkEnd w:id="703"/>
      <w:r>
        <w:rPr>
          <w:noProof/>
        </w:rPr>
        <w:t xml:space="preserve"> Correspondence between the specific objectives and the identified areas of policy interventions</w:t>
      </w:r>
    </w:p>
    <w:p>
      <w:pPr>
        <w:rPr>
          <w:noProof/>
        </w:rPr>
      </w:pPr>
      <w:r>
        <w:rPr>
          <w:noProof/>
          <w:lang w:eastAsia="en-GB"/>
        </w:rPr>
        <w:drawing>
          <wp:inline distT="0" distB="0" distL="0" distR="0">
            <wp:extent cx="5480345" cy="1906606"/>
            <wp:effectExtent l="0" t="0" r="635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62021" cy="1935021"/>
                    </a:xfrm>
                    <a:prstGeom prst="rect">
                      <a:avLst/>
                    </a:prstGeom>
                    <a:noFill/>
                  </pic:spPr>
                </pic:pic>
              </a:graphicData>
            </a:graphic>
          </wp:inline>
        </w:drawing>
      </w:r>
    </w:p>
    <w:p>
      <w:pPr>
        <w:pStyle w:val="Text1"/>
        <w:spacing w:line="276" w:lineRule="auto"/>
        <w:ind w:left="0"/>
        <w:rPr>
          <w:noProof/>
          <w:szCs w:val="24"/>
          <w:lang w:val="en-IE"/>
        </w:rPr>
      </w:pPr>
      <w:r>
        <w:rPr>
          <w:noProof/>
          <w:szCs w:val="24"/>
          <w:lang w:val="en-IE"/>
        </w:rPr>
        <w:t xml:space="preserve">The full list of identified policy measures is presented in the </w:t>
      </w:r>
      <w:r>
        <w:rPr>
          <w:noProof/>
          <w:szCs w:val="24"/>
          <w:lang w:val="en-IE"/>
        </w:rPr>
        <w:fldChar w:fldCharType="begin"/>
      </w:r>
      <w:r>
        <w:rPr>
          <w:noProof/>
          <w:szCs w:val="24"/>
          <w:lang w:val="en-IE"/>
        </w:rPr>
        <w:instrText xml:space="preserve"> REF _Ref63433751 \h </w:instrText>
      </w:r>
      <w:r>
        <w:rPr>
          <w:noProof/>
          <w:szCs w:val="24"/>
          <w:lang w:val="en-IE"/>
        </w:rPr>
      </w:r>
      <w:r>
        <w:rPr>
          <w:noProof/>
          <w:szCs w:val="24"/>
          <w:lang w:val="en-IE"/>
        </w:rPr>
        <w:fldChar w:fldCharType="separate"/>
      </w:r>
      <w:r>
        <w:rPr>
          <w:noProof/>
        </w:rPr>
        <w:t>Table 1</w:t>
      </w:r>
      <w:r>
        <w:rPr>
          <w:noProof/>
          <w:szCs w:val="24"/>
          <w:lang w:val="en-IE"/>
        </w:rPr>
        <w:fldChar w:fldCharType="end"/>
      </w:r>
      <w:r>
        <w:rPr>
          <w:noProof/>
          <w:szCs w:val="24"/>
          <w:lang w:val="en-IE"/>
        </w:rPr>
        <w:fldChar w:fldCharType="begin"/>
      </w:r>
      <w:r>
        <w:rPr>
          <w:noProof/>
          <w:szCs w:val="24"/>
          <w:lang w:val="en-IE"/>
        </w:rPr>
        <w:instrText xml:space="preserve"> REF _Ref63423378 \h </w:instrText>
      </w:r>
      <w:r>
        <w:rPr>
          <w:noProof/>
          <w:szCs w:val="24"/>
          <w:lang w:val="en-IE"/>
        </w:rPr>
      </w:r>
      <w:r>
        <w:rPr>
          <w:noProof/>
          <w:szCs w:val="24"/>
          <w:lang w:val="en-IE"/>
        </w:rPr>
        <w:fldChar w:fldCharType="separate"/>
      </w:r>
      <w:r>
        <w:rPr>
          <w:noProof/>
        </w:rPr>
        <w:t>Table 69</w:t>
      </w:r>
      <w:r>
        <w:rPr>
          <w:noProof/>
          <w:szCs w:val="24"/>
          <w:lang w:val="en-IE"/>
        </w:rPr>
        <w:fldChar w:fldCharType="end"/>
      </w:r>
      <w:r>
        <w:rPr>
          <w:noProof/>
          <w:szCs w:val="24"/>
          <w:lang w:val="en-IE"/>
        </w:rPr>
        <w:t xml:space="preserve">. This table clearly indicates if these measures have been retained or are considered as flanking measures or complementary measures. Only retained measures have been included in policy options and were subject to a thorough analysis. </w:t>
      </w:r>
    </w:p>
    <w:p>
      <w:pPr>
        <w:pStyle w:val="Text1"/>
        <w:spacing w:line="276" w:lineRule="auto"/>
        <w:ind w:left="0"/>
        <w:rPr>
          <w:noProof/>
        </w:rPr>
      </w:pPr>
      <w:r>
        <w:rPr>
          <w:noProof/>
        </w:rPr>
        <w:t xml:space="preserve">It indicates if the policy measure has been retained (R), dismissed (D) or is considered to be only a complementary measure (C) not assessed in the framework of this impact assessment. The table also highlights the flanking measures (F), which are not necessarily of regulatory nature nor resulting from this initiative but will contribute to meeting its objectives. To be noted that only </w:t>
      </w:r>
      <w:r>
        <w:rPr>
          <w:noProof/>
          <w:szCs w:val="24"/>
          <w:lang w:val="en-IE"/>
        </w:rPr>
        <w:t xml:space="preserve">retained measures (R) have been included in policy options and were subject to a thorough analysis. </w:t>
      </w:r>
    </w:p>
    <w:p>
      <w:pPr>
        <w:pStyle w:val="Text1"/>
        <w:spacing w:line="276" w:lineRule="auto"/>
        <w:ind w:left="0"/>
        <w:rPr>
          <w:noProof/>
          <w:szCs w:val="24"/>
        </w:rPr>
      </w:pPr>
    </w:p>
    <w:p>
      <w:pPr>
        <w:rPr>
          <w:noProof/>
        </w:rPr>
        <w:sectPr>
          <w:headerReference w:type="even" r:id="rId76"/>
          <w:headerReference w:type="default" r:id="rId77"/>
          <w:footerReference w:type="even" r:id="rId78"/>
          <w:footerReference w:type="default" r:id="rId79"/>
          <w:headerReference w:type="first" r:id="rId80"/>
          <w:footerReference w:type="first" r:id="rId81"/>
          <w:type w:val="continuous"/>
          <w:pgSz w:w="11906" w:h="16838"/>
          <w:pgMar w:top="1440" w:right="1440" w:bottom="1440" w:left="1440" w:header="708" w:footer="708" w:gutter="0"/>
          <w:cols w:space="708"/>
          <w:docGrid w:linePitch="360"/>
        </w:sectPr>
      </w:pPr>
    </w:p>
    <w:p>
      <w:pPr>
        <w:pStyle w:val="Caption"/>
        <w:keepNext/>
        <w:rPr>
          <w:noProof/>
        </w:rPr>
      </w:pPr>
      <w:bookmarkStart w:id="704" w:name="_Ref63423378"/>
      <w:bookmarkStart w:id="705" w:name="_Ref63423358"/>
      <w:r>
        <w:rPr>
          <w:noProof/>
        </w:rPr>
        <w:t xml:space="preserve">Table </w:t>
      </w:r>
      <w:r>
        <w:rPr>
          <w:noProof/>
        </w:rPr>
        <w:fldChar w:fldCharType="begin"/>
      </w:r>
      <w:r>
        <w:rPr>
          <w:noProof/>
        </w:rPr>
        <w:instrText xml:space="preserve"> SEQ Table \* ARABIC </w:instrText>
      </w:r>
      <w:r>
        <w:rPr>
          <w:noProof/>
        </w:rPr>
        <w:fldChar w:fldCharType="separate"/>
      </w:r>
      <w:r>
        <w:rPr>
          <w:noProof/>
        </w:rPr>
        <w:t>69</w:t>
      </w:r>
      <w:r>
        <w:rPr>
          <w:noProof/>
        </w:rPr>
        <w:fldChar w:fldCharType="end"/>
      </w:r>
      <w:bookmarkEnd w:id="704"/>
      <w:r>
        <w:rPr>
          <w:noProof/>
        </w:rPr>
        <w:t xml:space="preserve"> Full list of identified policy measures</w:t>
      </w:r>
      <w:bookmarkEnd w:id="705"/>
    </w:p>
    <w:tbl>
      <w:tblPr>
        <w:tblStyle w:val="TableGrid"/>
        <w:tblW w:w="5024" w:type="pct"/>
        <w:tblLook w:val="04A0" w:firstRow="1" w:lastRow="0" w:firstColumn="1" w:lastColumn="0" w:noHBand="0" w:noVBand="1"/>
      </w:tblPr>
      <w:tblGrid>
        <w:gridCol w:w="549"/>
        <w:gridCol w:w="6354"/>
        <w:gridCol w:w="945"/>
        <w:gridCol w:w="7238"/>
      </w:tblGrid>
      <w:tr>
        <w:trPr>
          <w:trHeight w:val="588"/>
        </w:trPr>
        <w:tc>
          <w:tcPr>
            <w:tcW w:w="2288" w:type="pct"/>
            <w:gridSpan w:val="2"/>
            <w:tcBorders>
              <w:top w:val="single" w:sz="4" w:space="0" w:color="auto"/>
              <w:left w:val="single" w:sz="4" w:space="0" w:color="auto"/>
              <w:bottom w:val="single" w:sz="4" w:space="0" w:color="auto"/>
              <w:right w:val="single" w:sz="4" w:space="0" w:color="auto"/>
            </w:tcBorders>
            <w:vAlign w:val="center"/>
            <w:hideMark/>
          </w:tcPr>
          <w:p>
            <w:pPr>
              <w:spacing w:after="60"/>
              <w:rPr>
                <w:b/>
                <w:bCs/>
                <w:noProof/>
              </w:rPr>
            </w:pPr>
            <w:r>
              <w:rPr>
                <w:b/>
                <w:bCs/>
                <w:noProof/>
              </w:rPr>
              <w:t>Policy measure</w:t>
            </w:r>
          </w:p>
        </w:tc>
        <w:tc>
          <w:tcPr>
            <w:tcW w:w="313" w:type="pct"/>
            <w:tcBorders>
              <w:top w:val="single" w:sz="4" w:space="0" w:color="auto"/>
              <w:left w:val="single" w:sz="4" w:space="0" w:color="auto"/>
              <w:bottom w:val="single" w:sz="4" w:space="0" w:color="auto"/>
              <w:right w:val="single" w:sz="4" w:space="0" w:color="auto"/>
            </w:tcBorders>
            <w:vAlign w:val="center"/>
          </w:tcPr>
          <w:p>
            <w:pPr>
              <w:spacing w:after="60"/>
              <w:jc w:val="center"/>
              <w:rPr>
                <w:b/>
                <w:bCs/>
                <w:noProof/>
              </w:rPr>
            </w:pPr>
            <w:r>
              <w:rPr>
                <w:b/>
                <w:bCs/>
                <w:noProof/>
              </w:rPr>
              <w:t>Status</w:t>
            </w:r>
            <w:r>
              <w:rPr>
                <w:rStyle w:val="FootnoteReference"/>
                <w:b/>
                <w:bCs/>
                <w:noProof/>
              </w:rPr>
              <w:footnoteReference w:id="225"/>
            </w:r>
          </w:p>
        </w:tc>
        <w:tc>
          <w:tcPr>
            <w:tcW w:w="2399" w:type="pct"/>
            <w:tcBorders>
              <w:top w:val="single" w:sz="4" w:space="0" w:color="auto"/>
              <w:left w:val="single" w:sz="4" w:space="0" w:color="auto"/>
              <w:bottom w:val="single" w:sz="4" w:space="0" w:color="auto"/>
              <w:right w:val="single" w:sz="4" w:space="0" w:color="auto"/>
            </w:tcBorders>
            <w:vAlign w:val="center"/>
          </w:tcPr>
          <w:p>
            <w:pPr>
              <w:spacing w:after="60"/>
              <w:jc w:val="center"/>
              <w:rPr>
                <w:b/>
                <w:bCs/>
                <w:noProof/>
              </w:rPr>
            </w:pPr>
            <w:r>
              <w:rPr>
                <w:b/>
                <w:bCs/>
                <w:noProof/>
              </w:rPr>
              <w:t>Comments</w:t>
            </w:r>
          </w:p>
        </w:tc>
      </w:tr>
      <w:tr>
        <w:trPr>
          <w:trHeight w:val="429"/>
        </w:trPr>
        <w:tc>
          <w:tcPr>
            <w:tcW w:w="5000" w:type="pct"/>
            <w:gridSpan w:val="4"/>
            <w:tcBorders>
              <w:top w:val="single" w:sz="4" w:space="0" w:color="auto"/>
              <w:left w:val="single" w:sz="4" w:space="0" w:color="auto"/>
              <w:bottom w:val="single" w:sz="4" w:space="0" w:color="auto"/>
              <w:right w:val="single" w:sz="4" w:space="0" w:color="auto"/>
            </w:tcBorders>
            <w:shd w:val="clear" w:color="auto" w:fill="4F81BD" w:themeFill="accent1"/>
            <w:hideMark/>
          </w:tcPr>
          <w:p>
            <w:pPr>
              <w:rPr>
                <w:b/>
                <w:bCs/>
                <w:noProof/>
              </w:rPr>
            </w:pPr>
            <w:r>
              <w:rPr>
                <w:b/>
                <w:bCs/>
                <w:noProof/>
              </w:rPr>
              <w:t>Field of policy intervention 1: Improve the penetration rate of already mature sustainable alternative fuels</w:t>
            </w:r>
          </w:p>
        </w:tc>
      </w:tr>
      <w:tr>
        <w:trPr>
          <w:trHeight w:val="288"/>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1</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Obligation to produce minimum quantities of marine RLF for EU fuel suppliers</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C</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 xml:space="preserve">While incentives on fuel suppliers, such as the ones introduced within RED II (multipliers for marine fuels) tend to provide positive results, they are currently limited to specific, contained, markets and subject to a system of incentives (remain voluntary). Changing this approach to mandatory target for minimum marine RLF production could provide a more structural trajectory. However, given the nature of the maritime sector and the possibility for ships to cover very large distances on a single bunkering, this measure could be easily circumvented by ships bunkering in third countries. </w:t>
            </w:r>
          </w:p>
        </w:tc>
      </w:tr>
      <w:tr>
        <w:trPr>
          <w:trHeight w:val="288"/>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2</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Obligation to distribute minimum level of distribution of marine RLF in all EU ports</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C</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 xml:space="preserve">The distribution of RLF through the appropriate infrastructure is an important condition for the success of the policy. However, the approach is not likely to be sufficient to result in a significant uptake of RLF. The possibility of ships to bunker in third countries reduces the effectiveness of such a measure. Even if RLF were the only marine fuel distributed in the EU, this could result in a limited uptake as ships could decide to bunker in third countires to avoid the costs related to RLF. </w:t>
            </w:r>
          </w:p>
        </w:tc>
      </w:tr>
      <w:tr>
        <w:trPr>
          <w:trHeight w:val="288"/>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3</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Prioritise at the IMO level discussions on the uptake of RLFs as a measure to implement the IMO GHG strategy</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C</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 xml:space="preserve">The uptake of RLF is clearly recognised as an important measure by the IMO. However, the discussion on the uptake of alternative fuels as well as market-based measures is expected to start at IMO only in the course of 2021, among others based on the EU proposal on fuel lifecycle guidelines based on sustainability and GHG emissions saving criteria. While international measures are necessary, it is important to also rapidly provide the sector with the definition of the long term trajectory for RLF uptake. </w:t>
            </w:r>
          </w:p>
        </w:tc>
      </w:tr>
      <w:tr>
        <w:trPr>
          <w:trHeight w:val="288"/>
        </w:trPr>
        <w:tc>
          <w:tcPr>
            <w:tcW w:w="182" w:type="pct"/>
            <w:tcBorders>
              <w:top w:val="single" w:sz="4" w:space="0" w:color="auto"/>
              <w:left w:val="single" w:sz="4" w:space="0" w:color="auto"/>
              <w:bottom w:val="single" w:sz="4" w:space="0" w:color="auto"/>
              <w:right w:val="single" w:sz="4" w:space="0" w:color="auto"/>
            </w:tcBorders>
          </w:tcPr>
          <w:p>
            <w:pPr>
              <w:spacing w:after="60"/>
              <w:jc w:val="center"/>
              <w:rPr>
                <w:b/>
                <w:noProof/>
              </w:rPr>
            </w:pPr>
            <w:r>
              <w:rPr>
                <w:b/>
                <w:noProof/>
              </w:rPr>
              <w:t>4</w:t>
            </w:r>
          </w:p>
        </w:tc>
        <w:tc>
          <w:tcPr>
            <w:tcW w:w="2106" w:type="pct"/>
            <w:tcBorders>
              <w:top w:val="single" w:sz="4" w:space="0" w:color="auto"/>
              <w:left w:val="single" w:sz="4" w:space="0" w:color="auto"/>
              <w:bottom w:val="single" w:sz="4" w:space="0" w:color="auto"/>
              <w:right w:val="single" w:sz="4" w:space="0" w:color="auto"/>
            </w:tcBorders>
          </w:tcPr>
          <w:p>
            <w:pPr>
              <w:rPr>
                <w:b/>
                <w:bCs/>
                <w:noProof/>
              </w:rPr>
            </w:pPr>
            <w:r>
              <w:rPr>
                <w:b/>
                <w:noProof/>
              </w:rPr>
              <w:t>Establish minimum share / volumes of selected RLF for ships in navigation calling EU ports (blending mandate)</w:t>
            </w:r>
          </w:p>
        </w:tc>
        <w:tc>
          <w:tcPr>
            <w:tcW w:w="313" w:type="pct"/>
            <w:tcBorders>
              <w:top w:val="single" w:sz="4" w:space="0" w:color="auto"/>
              <w:left w:val="single" w:sz="4" w:space="0" w:color="auto"/>
              <w:bottom w:val="single" w:sz="4" w:space="0" w:color="auto"/>
              <w:right w:val="single" w:sz="4" w:space="0" w:color="auto"/>
            </w:tcBorders>
          </w:tcPr>
          <w:p>
            <w:pPr>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rPr>
                <w:b/>
                <w:noProof/>
              </w:rPr>
            </w:pPr>
            <w:r>
              <w:rPr>
                <w:b/>
                <w:noProof/>
              </w:rPr>
              <w:t xml:space="preserve">Retained measure. As described in the report, the measure implies that a technology choice is made. </w:t>
            </w:r>
          </w:p>
        </w:tc>
      </w:tr>
      <w:tr>
        <w:trPr>
          <w:trHeight w:val="511"/>
        </w:trPr>
        <w:tc>
          <w:tcPr>
            <w:tcW w:w="182" w:type="pct"/>
            <w:tcBorders>
              <w:top w:val="single" w:sz="4" w:space="0" w:color="auto"/>
              <w:left w:val="single" w:sz="4" w:space="0" w:color="auto"/>
              <w:bottom w:val="single" w:sz="4" w:space="0" w:color="auto"/>
              <w:right w:val="single" w:sz="4" w:space="0" w:color="auto"/>
            </w:tcBorders>
            <w:hideMark/>
          </w:tcPr>
          <w:p>
            <w:pPr>
              <w:spacing w:after="60"/>
              <w:jc w:val="center"/>
              <w:rPr>
                <w:b/>
                <w:noProof/>
              </w:rPr>
            </w:pPr>
            <w:r>
              <w:rPr>
                <w:b/>
                <w:noProof/>
              </w:rPr>
              <w:t>5</w:t>
            </w:r>
          </w:p>
        </w:tc>
        <w:tc>
          <w:tcPr>
            <w:tcW w:w="2106" w:type="pct"/>
            <w:tcBorders>
              <w:top w:val="single" w:sz="4" w:space="0" w:color="auto"/>
              <w:left w:val="single" w:sz="4" w:space="0" w:color="auto"/>
              <w:bottom w:val="single" w:sz="4" w:space="0" w:color="auto"/>
              <w:right w:val="single" w:sz="4" w:space="0" w:color="auto"/>
            </w:tcBorders>
            <w:hideMark/>
          </w:tcPr>
          <w:p>
            <w:pPr>
              <w:rPr>
                <w:b/>
                <w:bCs/>
                <w:noProof/>
              </w:rPr>
            </w:pPr>
            <w:r>
              <w:rPr>
                <w:b/>
                <w:noProof/>
              </w:rPr>
              <w:t>Set maximum targets on the GHG intensity (meaning the  GHG emissions per unit of energy) of the energy used by vessels (the fuel / energy emission factor per kWh).</w:t>
            </w:r>
          </w:p>
        </w:tc>
        <w:tc>
          <w:tcPr>
            <w:tcW w:w="313" w:type="pct"/>
            <w:tcBorders>
              <w:top w:val="single" w:sz="4" w:space="0" w:color="auto"/>
              <w:left w:val="single" w:sz="4" w:space="0" w:color="auto"/>
              <w:bottom w:val="single" w:sz="4" w:space="0" w:color="auto"/>
              <w:right w:val="single" w:sz="4" w:space="0" w:color="auto"/>
            </w:tcBorders>
          </w:tcPr>
          <w:p>
            <w:pPr>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rPr>
                <w:b/>
                <w:noProof/>
              </w:rPr>
            </w:pPr>
            <w:r>
              <w:rPr>
                <w:b/>
                <w:noProof/>
              </w:rPr>
              <w:t xml:space="preserve">Retained measure. As described in the report, the measure implies a goal-based approach leaving the flexibility to the sector to identify the most appropriate compliance option. </w:t>
            </w:r>
          </w:p>
        </w:tc>
      </w:tr>
      <w:tr>
        <w:trPr>
          <w:trHeight w:val="418"/>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6</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Set maximum targets on the GHG intensity of operations of a vessel (limit for GHG emissions per ton nautical mile)</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C</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 xml:space="preserve">This measure is expected to provide emissions reductions that could be comparable to the uptake of alternative fuels. It is expected that in response to the GHG emission limits, the sector will focus on achieving compliance by using options with the lowest marginal abatement costs. However, RLF have a comparatively higher marginal abatement costs to other measures such as energy efficiency. In conclusion while such a measure will allow emission reductions in sector, it is unlikely to sufficiently address the identified barrier on the low uptake of RLF. Setting a specific (sub-)target of RLF uptake within this context would be equal to measure 5 plus an additional element on energy efficiency that goes beyond the objectives of this intervention and is likely to to overalp with other initiatives within the ‘basket of measures’. </w:t>
            </w:r>
          </w:p>
        </w:tc>
      </w:tr>
      <w:tr>
        <w:trPr>
          <w:trHeight w:val="479"/>
        </w:trPr>
        <w:tc>
          <w:tcPr>
            <w:tcW w:w="182" w:type="pct"/>
            <w:tcBorders>
              <w:top w:val="single" w:sz="4" w:space="0" w:color="auto"/>
              <w:left w:val="single" w:sz="4" w:space="0" w:color="auto"/>
              <w:bottom w:val="single" w:sz="4" w:space="0" w:color="auto"/>
              <w:right w:val="single" w:sz="4" w:space="0" w:color="auto"/>
            </w:tcBorders>
            <w:hideMark/>
          </w:tcPr>
          <w:p>
            <w:pPr>
              <w:spacing w:after="60"/>
              <w:jc w:val="center"/>
              <w:rPr>
                <w:b/>
                <w:noProof/>
              </w:rPr>
            </w:pPr>
            <w:r>
              <w:rPr>
                <w:b/>
                <w:noProof/>
              </w:rPr>
              <w:t>7</w:t>
            </w:r>
          </w:p>
        </w:tc>
        <w:tc>
          <w:tcPr>
            <w:tcW w:w="2106" w:type="pct"/>
            <w:tcBorders>
              <w:top w:val="single" w:sz="4" w:space="0" w:color="auto"/>
              <w:left w:val="single" w:sz="4" w:space="0" w:color="auto"/>
              <w:bottom w:val="single" w:sz="4" w:space="0" w:color="auto"/>
              <w:right w:val="single" w:sz="4" w:space="0" w:color="auto"/>
            </w:tcBorders>
            <w:hideMark/>
          </w:tcPr>
          <w:p>
            <w:pPr>
              <w:keepNext/>
              <w:keepLines/>
              <w:spacing w:after="60"/>
              <w:rPr>
                <w:b/>
                <w:noProof/>
              </w:rPr>
            </w:pPr>
            <w:r>
              <w:rPr>
                <w:b/>
                <w:noProof/>
              </w:rPr>
              <w:t>Mandate the use of on-shore power supply (or equally performant alternatives such as batteries or renewable hydrogen) for the most polluting ships in ports, gradually extending to the entire fleet over time</w:t>
            </w:r>
          </w:p>
        </w:tc>
        <w:tc>
          <w:tcPr>
            <w:tcW w:w="313" w:type="pct"/>
            <w:tcBorders>
              <w:top w:val="single" w:sz="4" w:space="0" w:color="auto"/>
              <w:left w:val="single" w:sz="4" w:space="0" w:color="auto"/>
              <w:bottom w:val="single" w:sz="4" w:space="0" w:color="auto"/>
              <w:right w:val="single" w:sz="4" w:space="0" w:color="auto"/>
            </w:tcBorders>
          </w:tcPr>
          <w:p>
            <w:pPr>
              <w:keepNext/>
              <w:keepLines/>
              <w:spacing w:after="60"/>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keepNext/>
              <w:keepLines/>
              <w:spacing w:after="60"/>
              <w:rPr>
                <w:b/>
                <w:noProof/>
              </w:rPr>
            </w:pPr>
            <w:r>
              <w:rPr>
                <w:b/>
                <w:noProof/>
              </w:rPr>
              <w:t>Retained measure. In this context OPS is considered as the main available compliance option (also allowing significant emissions reductions of air pollutants). Nevertheless, flexibility would be left to the sector to use equally performant alternative to OPS. In this case, specific criteria will be set to define what options can be considered equally performant.</w:t>
            </w:r>
          </w:p>
        </w:tc>
      </w:tr>
      <w:tr>
        <w:trPr>
          <w:trHeight w:val="232"/>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8</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Increase the uptake of sustainable alternative fuels in the sector through a carbon price</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C</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Similarly to measure 6, this measure is complementary to the proposed inteverntion but is unlikely to sufficiently address the technology barrier related to fuels as operators are likely to respond to such an instrument by implementing solutions with the lowest marginal abatement costs.</w:t>
            </w:r>
          </w:p>
        </w:tc>
      </w:tr>
      <w:tr>
        <w:trPr>
          <w:trHeight w:val="232"/>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9</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Facilitate access to funding on low- and zero-emission vessels as well as advanced fuel distribution infrastructure</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F</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As presented in Section 6 of the report, the proposed intervention will lead to increased investment costs for the sector. Aside from private investments, which are expected to play a major role, public funding from Member States and the EU budget could be put to contribution to support the uptake of RLF through research funding, deployment of the necessary infrastructure, de-risking investments on vessels through financial instruments, etc.</w:t>
            </w:r>
          </w:p>
        </w:tc>
      </w:tr>
      <w:tr>
        <w:trPr>
          <w:trHeight w:val="232"/>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10</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Differentiation of port fees</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C</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 xml:space="preserve">The definition of port fees is a prerogative of port authorities / operators. Differentiating port fees to reward low- and zero-emission ships could be a complementary policy measure but it is unlikely to be sufficiently effective to break the chicken-and-egg situation, ensure an increasing demand for sustainable alternative fuels and remove the price differential, in particular or ships in navigation. </w:t>
            </w:r>
          </w:p>
        </w:tc>
      </w:tr>
      <w:tr>
        <w:trPr>
          <w:trHeight w:val="232"/>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11</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Introduce a preferential tax treatment for marine RLF</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C</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 xml:space="preserve">A preferential tax treatment for marine RLF could help reducing the price gap between conventional fuels and RLF. The Energy Taxation Directive currently provides for a mandatory exemption of marine bunker fuel. The ETD is currently being revised and could further strenghen the objectives of FuelEU maritime. It must be noted that, in the same vein as for measures 1 and 2, the risk of leakage through bunkering in third countries needs to be fully analysed. </w:t>
            </w:r>
          </w:p>
        </w:tc>
      </w:tr>
      <w:tr>
        <w:trPr>
          <w:trHeight w:val="504"/>
        </w:trPr>
        <w:tc>
          <w:tcPr>
            <w:tcW w:w="182" w:type="pct"/>
            <w:tcBorders>
              <w:top w:val="single" w:sz="4" w:space="0" w:color="auto"/>
              <w:left w:val="single" w:sz="4" w:space="0" w:color="auto"/>
              <w:bottom w:val="single" w:sz="4" w:space="0" w:color="auto"/>
              <w:right w:val="single" w:sz="4" w:space="0" w:color="auto"/>
            </w:tcBorders>
            <w:hideMark/>
          </w:tcPr>
          <w:p>
            <w:pPr>
              <w:spacing w:after="60"/>
              <w:jc w:val="center"/>
              <w:rPr>
                <w:b/>
                <w:noProof/>
              </w:rPr>
            </w:pPr>
            <w:r>
              <w:rPr>
                <w:b/>
                <w:noProof/>
              </w:rPr>
              <w:t>12</w:t>
            </w:r>
          </w:p>
        </w:tc>
        <w:tc>
          <w:tcPr>
            <w:tcW w:w="2106" w:type="pct"/>
            <w:tcBorders>
              <w:top w:val="single" w:sz="4" w:space="0" w:color="auto"/>
              <w:left w:val="single" w:sz="4" w:space="0" w:color="auto"/>
              <w:bottom w:val="single" w:sz="4" w:space="0" w:color="auto"/>
              <w:right w:val="single" w:sz="4" w:space="0" w:color="auto"/>
            </w:tcBorders>
            <w:hideMark/>
          </w:tcPr>
          <w:p>
            <w:pPr>
              <w:rPr>
                <w:b/>
                <w:bCs/>
                <w:noProof/>
              </w:rPr>
            </w:pPr>
            <w:r>
              <w:rPr>
                <w:b/>
                <w:noProof/>
              </w:rPr>
              <w:t>Provide guidance to facilitate testing and uptake of technology, including on the deployment of the necessary supply infrastructure</w:t>
            </w:r>
          </w:p>
        </w:tc>
        <w:tc>
          <w:tcPr>
            <w:tcW w:w="313" w:type="pct"/>
            <w:tcBorders>
              <w:top w:val="single" w:sz="4" w:space="0" w:color="auto"/>
              <w:left w:val="single" w:sz="4" w:space="0" w:color="auto"/>
              <w:bottom w:val="single" w:sz="4" w:space="0" w:color="auto"/>
              <w:right w:val="single" w:sz="4" w:space="0" w:color="auto"/>
            </w:tcBorders>
          </w:tcPr>
          <w:p>
            <w:pPr>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rPr>
                <w:b/>
                <w:noProof/>
              </w:rPr>
            </w:pPr>
            <w:r>
              <w:rPr>
                <w:b/>
                <w:noProof/>
              </w:rPr>
              <w:t xml:space="preserve">Retained measure. Similarly to guidance provided in the past on LNG bunkering or the one on OPS currently being developed by EMSA, such non-mandatory document can help accelerating the provision of the necessary infrastructure and ultimately boost the uptake of advanced technical solutions. </w:t>
            </w:r>
          </w:p>
        </w:tc>
      </w:tr>
      <w:tr>
        <w:trPr>
          <w:trHeight w:val="429"/>
        </w:trPr>
        <w:tc>
          <w:tcPr>
            <w:tcW w:w="5000" w:type="pct"/>
            <w:gridSpan w:val="4"/>
            <w:tcBorders>
              <w:top w:val="single" w:sz="4" w:space="0" w:color="auto"/>
              <w:left w:val="single" w:sz="4" w:space="0" w:color="auto"/>
              <w:bottom w:val="single" w:sz="4" w:space="0" w:color="auto"/>
              <w:right w:val="single" w:sz="4" w:space="0" w:color="auto"/>
            </w:tcBorders>
            <w:shd w:val="clear" w:color="auto" w:fill="4F81BD" w:themeFill="accent1"/>
            <w:hideMark/>
          </w:tcPr>
          <w:p>
            <w:pPr>
              <w:rPr>
                <w:b/>
                <w:bCs/>
                <w:noProof/>
              </w:rPr>
            </w:pPr>
            <w:r>
              <w:rPr>
                <w:b/>
                <w:bCs/>
                <w:noProof/>
              </w:rPr>
              <w:t>Field of policy intervention 2: Stimulate the introduction of new low- and zero-emissions energy solutions</w:t>
            </w:r>
          </w:p>
        </w:tc>
      </w:tr>
      <w:tr>
        <w:trPr>
          <w:trHeight w:val="429"/>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13</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Allow shipping companies to comply by fleet averaging</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D</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This measure would in principle increase the degree of flexibility offered to the industry by allowing companies to average compliance at fleet level instead of ship level. This measure could potentially favour the uptake of more advanced / performant solutions to compensate the non-compliance from other ships. However, by limiting the averaging to company fleet, the measure could also distort the level playing field in the sense that larger companies will benefit a much larger flexibility compared to smaller entities or single-ship operators.</w:t>
            </w:r>
          </w:p>
        </w:tc>
      </w:tr>
      <w:tr>
        <w:trPr>
          <w:trHeight w:val="429"/>
        </w:trPr>
        <w:tc>
          <w:tcPr>
            <w:tcW w:w="182" w:type="pct"/>
            <w:tcBorders>
              <w:top w:val="single" w:sz="4" w:space="0" w:color="auto"/>
              <w:left w:val="single" w:sz="4" w:space="0" w:color="auto"/>
              <w:bottom w:val="single" w:sz="4" w:space="0" w:color="auto"/>
              <w:right w:val="single" w:sz="4" w:space="0" w:color="auto"/>
            </w:tcBorders>
          </w:tcPr>
          <w:p>
            <w:pPr>
              <w:spacing w:after="60"/>
              <w:jc w:val="center"/>
              <w:rPr>
                <w:b/>
                <w:noProof/>
              </w:rPr>
            </w:pPr>
            <w:r>
              <w:rPr>
                <w:b/>
                <w:noProof/>
              </w:rPr>
              <w:t>14</w:t>
            </w:r>
          </w:p>
        </w:tc>
        <w:tc>
          <w:tcPr>
            <w:tcW w:w="2106" w:type="pct"/>
            <w:tcBorders>
              <w:top w:val="single" w:sz="4" w:space="0" w:color="auto"/>
              <w:left w:val="single" w:sz="4" w:space="0" w:color="auto"/>
              <w:bottom w:val="single" w:sz="4" w:space="0" w:color="auto"/>
              <w:right w:val="single" w:sz="4" w:space="0" w:color="auto"/>
            </w:tcBorders>
          </w:tcPr>
          <w:p>
            <w:pPr>
              <w:rPr>
                <w:b/>
                <w:noProof/>
              </w:rPr>
            </w:pPr>
            <w:r>
              <w:rPr>
                <w:b/>
                <w:noProof/>
              </w:rPr>
              <w:t>Allow ships to enter into pools with overachieving ships and comply on average within the pool by establishing a scheme of balancing for over- and under-compliance, in which excess compliance points can be exchanged between ships</w:t>
            </w:r>
          </w:p>
        </w:tc>
        <w:tc>
          <w:tcPr>
            <w:tcW w:w="313" w:type="pct"/>
            <w:tcBorders>
              <w:top w:val="single" w:sz="4" w:space="0" w:color="auto"/>
              <w:left w:val="single" w:sz="4" w:space="0" w:color="auto"/>
              <w:bottom w:val="single" w:sz="4" w:space="0" w:color="auto"/>
              <w:right w:val="single" w:sz="4" w:space="0" w:color="auto"/>
            </w:tcBorders>
          </w:tcPr>
          <w:p>
            <w:pPr>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rPr>
                <w:b/>
                <w:noProof/>
              </w:rPr>
            </w:pPr>
            <w:r>
              <w:rPr>
                <w:b/>
                <w:noProof/>
              </w:rPr>
              <w:t xml:space="preserve">Retained measure. This measure is very similar to measure 13 in its intention. It provides a system to reward the over-achievers and allow fleet-wide averaging. However, instead of limiting the averaging possibility to a single company, it allows through the establishment of a system to record excess compliance points to average compliance among a wider fleet, including from different companies, regardless of their size. Arrangements for transfer of the excess compliance points will be subject to private-law agreements between the concerned parties. This mechanism will mostly be used intra-company and only concern a modest number of transactions between companies. Those few transactions will not be capable of determining a transparent and uniform ‘market’ price. Also, the balances will not be purchasable by intermediaries. Since this mechanism is meant to provide additional flexibility rather than act as a primary means of compliance and is not expected to lead to the creation of a specific and significant market, it is not considered as a “market-based” measure. </w:t>
            </w:r>
          </w:p>
        </w:tc>
      </w:tr>
      <w:tr>
        <w:trPr>
          <w:trHeight w:val="429"/>
        </w:trPr>
        <w:tc>
          <w:tcPr>
            <w:tcW w:w="182" w:type="pct"/>
            <w:tcBorders>
              <w:top w:val="single" w:sz="4" w:space="0" w:color="auto"/>
              <w:left w:val="single" w:sz="4" w:space="0" w:color="auto"/>
              <w:bottom w:val="single" w:sz="4" w:space="0" w:color="auto"/>
              <w:right w:val="single" w:sz="4" w:space="0" w:color="auto"/>
            </w:tcBorders>
          </w:tcPr>
          <w:p>
            <w:pPr>
              <w:spacing w:after="60"/>
              <w:jc w:val="center"/>
              <w:rPr>
                <w:b/>
                <w:noProof/>
              </w:rPr>
            </w:pPr>
            <w:r>
              <w:rPr>
                <w:b/>
                <w:noProof/>
              </w:rPr>
              <w:t>15</w:t>
            </w:r>
          </w:p>
        </w:tc>
        <w:tc>
          <w:tcPr>
            <w:tcW w:w="2106" w:type="pct"/>
            <w:tcBorders>
              <w:top w:val="single" w:sz="4" w:space="0" w:color="auto"/>
              <w:left w:val="single" w:sz="4" w:space="0" w:color="auto"/>
              <w:bottom w:val="single" w:sz="4" w:space="0" w:color="auto"/>
              <w:right w:val="single" w:sz="4" w:space="0" w:color="auto"/>
            </w:tcBorders>
          </w:tcPr>
          <w:p>
            <w:pPr>
              <w:rPr>
                <w:b/>
                <w:noProof/>
                <w:lang w:val="fr-BE"/>
              </w:rPr>
            </w:pPr>
            <w:r>
              <w:rPr>
                <w:b/>
                <w:noProof/>
                <w:lang w:val="fr-BE"/>
              </w:rPr>
              <w:t xml:space="preserve">Provide multipliers for zero-emission technologies </w:t>
            </w:r>
          </w:p>
        </w:tc>
        <w:tc>
          <w:tcPr>
            <w:tcW w:w="313" w:type="pct"/>
            <w:tcBorders>
              <w:top w:val="single" w:sz="4" w:space="0" w:color="auto"/>
              <w:left w:val="single" w:sz="4" w:space="0" w:color="auto"/>
              <w:bottom w:val="single" w:sz="4" w:space="0" w:color="auto"/>
              <w:right w:val="single" w:sz="4" w:space="0" w:color="auto"/>
            </w:tcBorders>
          </w:tcPr>
          <w:p>
            <w:pPr>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rPr>
                <w:b/>
                <w:noProof/>
              </w:rPr>
            </w:pPr>
            <w:r>
              <w:rPr>
                <w:b/>
                <w:noProof/>
              </w:rPr>
              <w:t xml:space="preserve">Retained measure. Multipliers (adjustment factors) for zero-emission technologies are designed to provide an additional incentive to reward over-achievers. </w:t>
            </w:r>
          </w:p>
        </w:tc>
      </w:tr>
      <w:tr>
        <w:trPr>
          <w:trHeight w:val="429"/>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16</w:t>
            </w:r>
          </w:p>
        </w:tc>
        <w:tc>
          <w:tcPr>
            <w:tcW w:w="2106" w:type="pct"/>
            <w:tcBorders>
              <w:top w:val="single" w:sz="4" w:space="0" w:color="auto"/>
              <w:left w:val="single" w:sz="4" w:space="0" w:color="auto"/>
              <w:bottom w:val="single" w:sz="4" w:space="0" w:color="auto"/>
              <w:right w:val="single" w:sz="4" w:space="0" w:color="auto"/>
            </w:tcBorders>
          </w:tcPr>
          <w:p>
            <w:pPr>
              <w:rPr>
                <w:noProof/>
              </w:rPr>
            </w:pPr>
            <w:r>
              <w:rPr>
                <w:noProof/>
              </w:rPr>
              <w:t xml:space="preserve">Distinguish standards for the new fleet (compared to the existing ships) </w:t>
            </w:r>
          </w:p>
        </w:tc>
        <w:tc>
          <w:tcPr>
            <w:tcW w:w="313" w:type="pct"/>
            <w:tcBorders>
              <w:top w:val="single" w:sz="4" w:space="0" w:color="auto"/>
              <w:left w:val="single" w:sz="4" w:space="0" w:color="auto"/>
              <w:bottom w:val="single" w:sz="4" w:space="0" w:color="auto"/>
              <w:right w:val="single" w:sz="4" w:space="0" w:color="auto"/>
            </w:tcBorders>
          </w:tcPr>
          <w:p>
            <w:pPr>
              <w:jc w:val="center"/>
              <w:rPr>
                <w:noProof/>
              </w:rPr>
            </w:pPr>
            <w:r>
              <w:rPr>
                <w:noProof/>
              </w:rPr>
              <w:t>D</w:t>
            </w:r>
          </w:p>
        </w:tc>
        <w:tc>
          <w:tcPr>
            <w:tcW w:w="2399" w:type="pct"/>
            <w:tcBorders>
              <w:top w:val="single" w:sz="4" w:space="0" w:color="auto"/>
              <w:left w:val="single" w:sz="4" w:space="0" w:color="auto"/>
              <w:bottom w:val="single" w:sz="4" w:space="0" w:color="auto"/>
              <w:right w:val="single" w:sz="4" w:space="0" w:color="auto"/>
            </w:tcBorders>
          </w:tcPr>
          <w:p>
            <w:pPr>
              <w:rPr>
                <w:noProof/>
              </w:rPr>
            </w:pPr>
            <w:r>
              <w:rPr>
                <w:noProof/>
              </w:rPr>
              <w:t>The measure would in principle allow to establish stricter standards to the new fleet, taking into consideration the possibility for new ships to be equipped with new propulsion systems or designed specifically for more advanced fuel options (in particular when specific storage and piping is required). The effects of such a measure are very much dependent on fleet renewal. In addition, it may lead to an indirect effect that older fleet remains in operation (or is diverted to the regulated region) to avoid stricter standards. For these reasons, this measure was not retained as a policy measure for full assessment.</w:t>
            </w:r>
          </w:p>
        </w:tc>
      </w:tr>
      <w:tr>
        <w:trPr>
          <w:trHeight w:val="467"/>
        </w:trPr>
        <w:tc>
          <w:tcPr>
            <w:tcW w:w="182" w:type="pct"/>
            <w:tcBorders>
              <w:top w:val="single" w:sz="4" w:space="0" w:color="auto"/>
              <w:left w:val="single" w:sz="4" w:space="0" w:color="auto"/>
              <w:bottom w:val="single" w:sz="4" w:space="0" w:color="auto"/>
              <w:right w:val="single" w:sz="4" w:space="0" w:color="auto"/>
            </w:tcBorders>
            <w:hideMark/>
          </w:tcPr>
          <w:p>
            <w:pPr>
              <w:spacing w:after="60"/>
              <w:jc w:val="center"/>
              <w:rPr>
                <w:b/>
                <w:bCs/>
                <w:noProof/>
              </w:rPr>
            </w:pPr>
            <w:r>
              <w:rPr>
                <w:b/>
                <w:noProof/>
              </w:rPr>
              <w:t>17</w:t>
            </w:r>
          </w:p>
        </w:tc>
        <w:tc>
          <w:tcPr>
            <w:tcW w:w="2106" w:type="pct"/>
            <w:tcBorders>
              <w:top w:val="single" w:sz="4" w:space="0" w:color="auto"/>
              <w:left w:val="single" w:sz="4" w:space="0" w:color="auto"/>
              <w:bottom w:val="single" w:sz="4" w:space="0" w:color="auto"/>
              <w:right w:val="single" w:sz="4" w:space="0" w:color="auto"/>
            </w:tcBorders>
            <w:hideMark/>
          </w:tcPr>
          <w:p>
            <w:pPr>
              <w:spacing w:after="60"/>
              <w:rPr>
                <w:b/>
                <w:bCs/>
                <w:noProof/>
              </w:rPr>
            </w:pPr>
            <w:r>
              <w:rPr>
                <w:b/>
                <w:noProof/>
              </w:rPr>
              <w:t>Increase awareness raising, exchange of experience, encouragement and promotion of industry-led programmes in support of the uptake of alternative fuels</w:t>
            </w:r>
          </w:p>
        </w:tc>
        <w:tc>
          <w:tcPr>
            <w:tcW w:w="313" w:type="pct"/>
            <w:tcBorders>
              <w:top w:val="single" w:sz="4" w:space="0" w:color="auto"/>
              <w:left w:val="single" w:sz="4" w:space="0" w:color="auto"/>
              <w:bottom w:val="single" w:sz="4" w:space="0" w:color="auto"/>
              <w:right w:val="single" w:sz="4" w:space="0" w:color="auto"/>
            </w:tcBorders>
          </w:tcPr>
          <w:p>
            <w:pPr>
              <w:spacing w:after="60"/>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spacing w:after="60"/>
              <w:rPr>
                <w:b/>
                <w:noProof/>
              </w:rPr>
            </w:pPr>
            <w:r>
              <w:rPr>
                <w:b/>
                <w:noProof/>
              </w:rPr>
              <w:t>Retained measure that should continue in the long term. On the one hand, it can rely on exchanges on technical issues organised in the context of expert groups such as the ESSF of the EPF. On the other hand, standalone industry alliances could be established between operators, ports and fuel suppliers to foster the deployment of specific options or in the context of on-shore power supply.</w:t>
            </w:r>
          </w:p>
        </w:tc>
      </w:tr>
      <w:tr>
        <w:trPr>
          <w:trHeight w:val="467"/>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18</w:t>
            </w:r>
          </w:p>
        </w:tc>
        <w:tc>
          <w:tcPr>
            <w:tcW w:w="2106" w:type="pct"/>
            <w:tcBorders>
              <w:top w:val="single" w:sz="4" w:space="0" w:color="auto"/>
              <w:left w:val="single" w:sz="4" w:space="0" w:color="auto"/>
              <w:bottom w:val="single" w:sz="4" w:space="0" w:color="auto"/>
              <w:right w:val="single" w:sz="4" w:space="0" w:color="auto"/>
            </w:tcBorders>
          </w:tcPr>
          <w:p>
            <w:pPr>
              <w:spacing w:after="60"/>
              <w:rPr>
                <w:noProof/>
              </w:rPr>
            </w:pPr>
            <w:r>
              <w:rPr>
                <w:noProof/>
              </w:rPr>
              <w:t>Issue recommendations on zero-emission technology requirements in public procurement of vessels</w:t>
            </w:r>
          </w:p>
        </w:tc>
        <w:tc>
          <w:tcPr>
            <w:tcW w:w="313"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C</w:t>
            </w:r>
          </w:p>
        </w:tc>
        <w:tc>
          <w:tcPr>
            <w:tcW w:w="2399" w:type="pct"/>
            <w:tcBorders>
              <w:top w:val="single" w:sz="4" w:space="0" w:color="auto"/>
              <w:left w:val="single" w:sz="4" w:space="0" w:color="auto"/>
              <w:bottom w:val="single" w:sz="4" w:space="0" w:color="auto"/>
              <w:right w:val="single" w:sz="4" w:space="0" w:color="auto"/>
            </w:tcBorders>
          </w:tcPr>
          <w:p>
            <w:pPr>
              <w:spacing w:after="60"/>
              <w:rPr>
                <w:noProof/>
              </w:rPr>
            </w:pPr>
            <w:r>
              <w:rPr>
                <w:noProof/>
              </w:rPr>
              <w:t>Public procurement can be an interesting tool to support the rapid deployment of advanced vessels technologies, including electric propulsion or fuel-cell systems. While this measure would be limited to the fleet of vessels subject to public procurement rules, this measure can be an interesting complementary measure to accelerate the deployment of the most advanced solutions.</w:t>
            </w:r>
          </w:p>
        </w:tc>
      </w:tr>
      <w:tr>
        <w:trPr>
          <w:trHeight w:val="467"/>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19</w:t>
            </w:r>
          </w:p>
        </w:tc>
        <w:tc>
          <w:tcPr>
            <w:tcW w:w="2106" w:type="pct"/>
            <w:tcBorders>
              <w:top w:val="single" w:sz="4" w:space="0" w:color="auto"/>
              <w:left w:val="single" w:sz="4" w:space="0" w:color="auto"/>
              <w:bottom w:val="single" w:sz="4" w:space="0" w:color="auto"/>
              <w:right w:val="single" w:sz="4" w:space="0" w:color="auto"/>
            </w:tcBorders>
          </w:tcPr>
          <w:p>
            <w:pPr>
              <w:spacing w:after="60"/>
              <w:rPr>
                <w:noProof/>
              </w:rPr>
            </w:pPr>
            <w:r>
              <w:rPr>
                <w:noProof/>
              </w:rPr>
              <w:t>Fund research and innovation activities in zero-emission technologies</w:t>
            </w:r>
          </w:p>
        </w:tc>
        <w:tc>
          <w:tcPr>
            <w:tcW w:w="313"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F</w:t>
            </w:r>
          </w:p>
        </w:tc>
        <w:tc>
          <w:tcPr>
            <w:tcW w:w="2399" w:type="pct"/>
            <w:tcBorders>
              <w:top w:val="single" w:sz="4" w:space="0" w:color="auto"/>
              <w:left w:val="single" w:sz="4" w:space="0" w:color="auto"/>
              <w:bottom w:val="single" w:sz="4" w:space="0" w:color="auto"/>
              <w:right w:val="single" w:sz="4" w:space="0" w:color="auto"/>
            </w:tcBorders>
          </w:tcPr>
          <w:p>
            <w:pPr>
              <w:spacing w:after="60"/>
              <w:rPr>
                <w:noProof/>
              </w:rPr>
            </w:pPr>
            <w:r>
              <w:rPr>
                <w:noProof/>
              </w:rPr>
              <w:t xml:space="preserve">Certain fuel solutions still need to mature to reach a sufficient techonology readiness level allowing market deployment (see Annex 5). Continuous focus on reseach and innovation is therefore critical for a successful RLF uptake. The preparation of the ‘Zero Emissions Waterborne Transport’ partnership under Horizon Europe, proposed by the Waterborne Technology Platform would therefore be an important flanking measure to support the uptake of advanced fuel solutions in maritime transport. </w:t>
            </w:r>
          </w:p>
        </w:tc>
      </w:tr>
      <w:tr>
        <w:trPr>
          <w:trHeight w:val="496"/>
        </w:trPr>
        <w:tc>
          <w:tcPr>
            <w:tcW w:w="5000" w:type="pct"/>
            <w:gridSpan w:val="4"/>
            <w:tcBorders>
              <w:top w:val="single" w:sz="4" w:space="0" w:color="auto"/>
              <w:left w:val="single" w:sz="4" w:space="0" w:color="auto"/>
              <w:bottom w:val="single" w:sz="4" w:space="0" w:color="auto"/>
              <w:right w:val="single" w:sz="4" w:space="0" w:color="auto"/>
            </w:tcBorders>
            <w:shd w:val="clear" w:color="auto" w:fill="4F81BD" w:themeFill="accent1"/>
            <w:hideMark/>
          </w:tcPr>
          <w:p>
            <w:pPr>
              <w:spacing w:after="60"/>
              <w:rPr>
                <w:b/>
                <w:bCs/>
                <w:noProof/>
              </w:rPr>
            </w:pPr>
            <w:r>
              <w:rPr>
                <w:b/>
                <w:bCs/>
                <w:noProof/>
              </w:rPr>
              <w:t xml:space="preserve">Field of policy intervention 3: </w:t>
            </w:r>
            <w:r>
              <w:rPr>
                <w:b/>
                <w:bCs/>
                <w:noProof/>
                <w:lang w:val="en-US"/>
              </w:rPr>
              <w:t>Certification, reporting and enforcement</w:t>
            </w:r>
          </w:p>
        </w:tc>
      </w:tr>
      <w:tr>
        <w:trPr>
          <w:trHeight w:val="288"/>
        </w:trPr>
        <w:tc>
          <w:tcPr>
            <w:tcW w:w="182" w:type="pct"/>
            <w:tcBorders>
              <w:top w:val="single" w:sz="4" w:space="0" w:color="auto"/>
              <w:left w:val="single" w:sz="4" w:space="0" w:color="auto"/>
              <w:bottom w:val="single" w:sz="4" w:space="0" w:color="auto"/>
              <w:right w:val="single" w:sz="4" w:space="0" w:color="auto"/>
            </w:tcBorders>
            <w:hideMark/>
          </w:tcPr>
          <w:p>
            <w:pPr>
              <w:spacing w:after="60"/>
              <w:jc w:val="center"/>
              <w:rPr>
                <w:b/>
                <w:noProof/>
              </w:rPr>
            </w:pPr>
            <w:r>
              <w:rPr>
                <w:b/>
                <w:noProof/>
              </w:rPr>
              <w:t>20</w:t>
            </w:r>
          </w:p>
        </w:tc>
        <w:tc>
          <w:tcPr>
            <w:tcW w:w="2106" w:type="pct"/>
            <w:tcBorders>
              <w:top w:val="single" w:sz="4" w:space="0" w:color="auto"/>
              <w:left w:val="single" w:sz="4" w:space="0" w:color="auto"/>
              <w:bottom w:val="single" w:sz="4" w:space="0" w:color="auto"/>
              <w:right w:val="single" w:sz="4" w:space="0" w:color="auto"/>
            </w:tcBorders>
            <w:hideMark/>
          </w:tcPr>
          <w:p>
            <w:pPr>
              <w:spacing w:after="60"/>
              <w:rPr>
                <w:b/>
                <w:noProof/>
              </w:rPr>
            </w:pPr>
            <w:r>
              <w:rPr>
                <w:b/>
                <w:noProof/>
              </w:rPr>
              <w:t>Establish an EU-wide methodology to certify the well-to-wake performance of fuels, reflecting all relevant GHG emissions and define the related documents to certify compliance</w:t>
            </w:r>
          </w:p>
        </w:tc>
        <w:tc>
          <w:tcPr>
            <w:tcW w:w="313" w:type="pct"/>
            <w:tcBorders>
              <w:top w:val="single" w:sz="4" w:space="0" w:color="auto"/>
              <w:left w:val="single" w:sz="4" w:space="0" w:color="auto"/>
              <w:bottom w:val="single" w:sz="4" w:space="0" w:color="auto"/>
              <w:right w:val="single" w:sz="4" w:space="0" w:color="auto"/>
            </w:tcBorders>
          </w:tcPr>
          <w:p>
            <w:pPr>
              <w:spacing w:after="60"/>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spacing w:after="60"/>
              <w:rPr>
                <w:b/>
                <w:noProof/>
              </w:rPr>
            </w:pPr>
            <w:r>
              <w:rPr>
                <w:b/>
                <w:noProof/>
              </w:rPr>
              <w:t xml:space="preserve">Retained measure. It is important that all fuels are subject to the same methodology to define their GHG performance. Since this initative is looking at emisisons on a well-to-wake basis (including emissions / savings from production, transport, etc.), the methodology should indicate all relevant steps to follow to establish and certify fuel performance and build on existing requiremens under REDII. It will also clarify what documents are necessary to demonstrate (and consequently check) compliance. </w:t>
            </w:r>
          </w:p>
        </w:tc>
      </w:tr>
      <w:tr>
        <w:trPr>
          <w:trHeight w:val="288"/>
        </w:trPr>
        <w:tc>
          <w:tcPr>
            <w:tcW w:w="182" w:type="pct"/>
            <w:tcBorders>
              <w:top w:val="single" w:sz="4" w:space="0" w:color="auto"/>
              <w:left w:val="single" w:sz="4" w:space="0" w:color="auto"/>
              <w:bottom w:val="single" w:sz="4" w:space="0" w:color="auto"/>
              <w:right w:val="single" w:sz="4" w:space="0" w:color="auto"/>
            </w:tcBorders>
            <w:hideMark/>
          </w:tcPr>
          <w:p>
            <w:pPr>
              <w:spacing w:after="60"/>
              <w:jc w:val="center"/>
              <w:rPr>
                <w:b/>
                <w:noProof/>
              </w:rPr>
            </w:pPr>
            <w:r>
              <w:rPr>
                <w:b/>
                <w:noProof/>
              </w:rPr>
              <w:t>21</w:t>
            </w:r>
          </w:p>
        </w:tc>
        <w:tc>
          <w:tcPr>
            <w:tcW w:w="2106" w:type="pct"/>
            <w:tcBorders>
              <w:top w:val="single" w:sz="4" w:space="0" w:color="auto"/>
              <w:left w:val="single" w:sz="4" w:space="0" w:color="auto"/>
              <w:bottom w:val="single" w:sz="4" w:space="0" w:color="auto"/>
              <w:right w:val="single" w:sz="4" w:space="0" w:color="auto"/>
            </w:tcBorders>
            <w:hideMark/>
          </w:tcPr>
          <w:p>
            <w:pPr>
              <w:spacing w:after="60"/>
              <w:rPr>
                <w:b/>
                <w:bCs/>
                <w:noProof/>
              </w:rPr>
            </w:pPr>
            <w:r>
              <w:rPr>
                <w:b/>
                <w:noProof/>
              </w:rPr>
              <w:t>Establish requirements for certification and acceptance of bunker supplied in third countries</w:t>
            </w:r>
          </w:p>
        </w:tc>
        <w:tc>
          <w:tcPr>
            <w:tcW w:w="313" w:type="pct"/>
            <w:tcBorders>
              <w:top w:val="single" w:sz="4" w:space="0" w:color="auto"/>
              <w:left w:val="single" w:sz="4" w:space="0" w:color="auto"/>
              <w:bottom w:val="single" w:sz="4" w:space="0" w:color="auto"/>
              <w:right w:val="single" w:sz="4" w:space="0" w:color="auto"/>
            </w:tcBorders>
          </w:tcPr>
          <w:p>
            <w:pPr>
              <w:spacing w:after="60"/>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spacing w:after="60"/>
              <w:rPr>
                <w:b/>
                <w:noProof/>
              </w:rPr>
            </w:pPr>
            <w:r>
              <w:rPr>
                <w:b/>
                <w:noProof/>
              </w:rPr>
              <w:t xml:space="preserve">Retained measure. Given the international nature of maritime transport, it is important to recall that vessels can bunker fuels in non-EU countries; Specific rules should be set up to provide for GHG certification of fuels bunkered in third countries. This methodology shuld build upon existing practice such as the fuel import certification under REDII. </w:t>
            </w:r>
          </w:p>
        </w:tc>
      </w:tr>
      <w:tr>
        <w:trPr>
          <w:trHeight w:val="288"/>
        </w:trPr>
        <w:tc>
          <w:tcPr>
            <w:tcW w:w="182"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22</w:t>
            </w:r>
          </w:p>
        </w:tc>
        <w:tc>
          <w:tcPr>
            <w:tcW w:w="2106" w:type="pct"/>
            <w:tcBorders>
              <w:top w:val="single" w:sz="4" w:space="0" w:color="auto"/>
              <w:left w:val="single" w:sz="4" w:space="0" w:color="auto"/>
              <w:bottom w:val="single" w:sz="4" w:space="0" w:color="auto"/>
              <w:right w:val="single" w:sz="4" w:space="0" w:color="auto"/>
            </w:tcBorders>
          </w:tcPr>
          <w:p>
            <w:pPr>
              <w:spacing w:after="60"/>
              <w:rPr>
                <w:noProof/>
              </w:rPr>
            </w:pPr>
            <w:r>
              <w:rPr>
                <w:noProof/>
              </w:rPr>
              <w:t>Intensify the IMO work on the Fuel LCA guidelines and the promotion of the RLF uptake</w:t>
            </w:r>
          </w:p>
        </w:tc>
        <w:tc>
          <w:tcPr>
            <w:tcW w:w="313" w:type="pct"/>
            <w:tcBorders>
              <w:top w:val="single" w:sz="4" w:space="0" w:color="auto"/>
              <w:left w:val="single" w:sz="4" w:space="0" w:color="auto"/>
              <w:bottom w:val="single" w:sz="4" w:space="0" w:color="auto"/>
              <w:right w:val="single" w:sz="4" w:space="0" w:color="auto"/>
            </w:tcBorders>
          </w:tcPr>
          <w:p>
            <w:pPr>
              <w:spacing w:after="60"/>
              <w:jc w:val="center"/>
              <w:rPr>
                <w:noProof/>
              </w:rPr>
            </w:pPr>
            <w:r>
              <w:rPr>
                <w:noProof/>
              </w:rPr>
              <w:t>F</w:t>
            </w:r>
          </w:p>
        </w:tc>
        <w:tc>
          <w:tcPr>
            <w:tcW w:w="2399" w:type="pct"/>
            <w:tcBorders>
              <w:top w:val="single" w:sz="4" w:space="0" w:color="auto"/>
              <w:left w:val="single" w:sz="4" w:space="0" w:color="auto"/>
              <w:bottom w:val="single" w:sz="4" w:space="0" w:color="auto"/>
              <w:right w:val="single" w:sz="4" w:space="0" w:color="auto"/>
            </w:tcBorders>
          </w:tcPr>
          <w:p>
            <w:pPr>
              <w:spacing w:after="60"/>
              <w:rPr>
                <w:noProof/>
              </w:rPr>
            </w:pPr>
            <w:r>
              <w:rPr>
                <w:noProof/>
              </w:rPr>
              <w:t>The intensification of the work at international level (IMO) on the development of lifecycle GHG/carbon intensity guidelines for all types of fuels is an important element to provide global coherence to the shift towards RLF and to pave the way for future measures at global level.</w:t>
            </w:r>
          </w:p>
        </w:tc>
      </w:tr>
      <w:tr>
        <w:trPr>
          <w:trHeight w:val="432"/>
        </w:trPr>
        <w:tc>
          <w:tcPr>
            <w:tcW w:w="182" w:type="pct"/>
            <w:tcBorders>
              <w:top w:val="single" w:sz="4" w:space="0" w:color="auto"/>
              <w:left w:val="single" w:sz="4" w:space="0" w:color="auto"/>
              <w:bottom w:val="single" w:sz="4" w:space="0" w:color="auto"/>
              <w:right w:val="single" w:sz="4" w:space="0" w:color="auto"/>
            </w:tcBorders>
            <w:hideMark/>
          </w:tcPr>
          <w:p>
            <w:pPr>
              <w:spacing w:after="60"/>
              <w:jc w:val="center"/>
              <w:rPr>
                <w:b/>
                <w:bCs/>
                <w:noProof/>
              </w:rPr>
            </w:pPr>
            <w:r>
              <w:rPr>
                <w:b/>
                <w:noProof/>
              </w:rPr>
              <w:t>23</w:t>
            </w:r>
          </w:p>
        </w:tc>
        <w:tc>
          <w:tcPr>
            <w:tcW w:w="2106" w:type="pct"/>
            <w:tcBorders>
              <w:top w:val="single" w:sz="4" w:space="0" w:color="auto"/>
              <w:left w:val="single" w:sz="4" w:space="0" w:color="auto"/>
              <w:bottom w:val="single" w:sz="4" w:space="0" w:color="auto"/>
              <w:right w:val="single" w:sz="4" w:space="0" w:color="auto"/>
            </w:tcBorders>
            <w:hideMark/>
          </w:tcPr>
          <w:p>
            <w:pPr>
              <w:rPr>
                <w:b/>
                <w:bCs/>
                <w:noProof/>
              </w:rPr>
            </w:pPr>
            <w:r>
              <w:rPr>
                <w:b/>
                <w:noProof/>
              </w:rPr>
              <w:t>Establish a set of rules to follow for monitoring, reporting and verification of consumption of RLF in the context of the EU MRV</w:t>
            </w:r>
          </w:p>
        </w:tc>
        <w:tc>
          <w:tcPr>
            <w:tcW w:w="313" w:type="pct"/>
            <w:tcBorders>
              <w:top w:val="single" w:sz="4" w:space="0" w:color="auto"/>
              <w:left w:val="single" w:sz="4" w:space="0" w:color="auto"/>
              <w:bottom w:val="single" w:sz="4" w:space="0" w:color="auto"/>
              <w:right w:val="single" w:sz="4" w:space="0" w:color="auto"/>
            </w:tcBorders>
          </w:tcPr>
          <w:p>
            <w:pPr>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rPr>
                <w:b/>
                <w:noProof/>
              </w:rPr>
            </w:pPr>
            <w:r>
              <w:rPr>
                <w:b/>
                <w:noProof/>
              </w:rPr>
              <w:t>Retained measure. As the MRV reporting already relies on the reporting of fuel consumption and the type of fuel used, integrating the monitoring of RLF utpake in the framework of the EU MRV allows to greatly reduce the administrative burden for operators.</w:t>
            </w:r>
          </w:p>
        </w:tc>
      </w:tr>
      <w:tr>
        <w:trPr>
          <w:trHeight w:val="432"/>
        </w:trPr>
        <w:tc>
          <w:tcPr>
            <w:tcW w:w="182" w:type="pct"/>
            <w:tcBorders>
              <w:top w:val="single" w:sz="4" w:space="0" w:color="auto"/>
              <w:left w:val="single" w:sz="4" w:space="0" w:color="auto"/>
              <w:bottom w:val="single" w:sz="4" w:space="0" w:color="auto"/>
              <w:right w:val="single" w:sz="4" w:space="0" w:color="auto"/>
            </w:tcBorders>
            <w:hideMark/>
          </w:tcPr>
          <w:p>
            <w:pPr>
              <w:spacing w:after="60"/>
              <w:jc w:val="center"/>
              <w:rPr>
                <w:b/>
                <w:noProof/>
              </w:rPr>
            </w:pPr>
            <w:r>
              <w:rPr>
                <w:b/>
                <w:noProof/>
              </w:rPr>
              <w:t>24</w:t>
            </w:r>
          </w:p>
        </w:tc>
        <w:tc>
          <w:tcPr>
            <w:tcW w:w="2106" w:type="pct"/>
            <w:tcBorders>
              <w:top w:val="single" w:sz="4" w:space="0" w:color="auto"/>
              <w:left w:val="single" w:sz="4" w:space="0" w:color="auto"/>
              <w:bottom w:val="single" w:sz="4" w:space="0" w:color="auto"/>
              <w:right w:val="single" w:sz="4" w:space="0" w:color="auto"/>
            </w:tcBorders>
            <w:hideMark/>
          </w:tcPr>
          <w:p>
            <w:pPr>
              <w:rPr>
                <w:b/>
                <w:bCs/>
                <w:noProof/>
              </w:rPr>
            </w:pPr>
            <w:r>
              <w:rPr>
                <w:b/>
                <w:noProof/>
              </w:rPr>
              <w:t>Establish Port State Control procedures and guidelines for the use of RLF (including upskilling and training of PSC officers), in view of enforcement</w:t>
            </w:r>
          </w:p>
        </w:tc>
        <w:tc>
          <w:tcPr>
            <w:tcW w:w="313" w:type="pct"/>
            <w:tcBorders>
              <w:top w:val="single" w:sz="4" w:space="0" w:color="auto"/>
              <w:left w:val="single" w:sz="4" w:space="0" w:color="auto"/>
              <w:bottom w:val="single" w:sz="4" w:space="0" w:color="auto"/>
              <w:right w:val="single" w:sz="4" w:space="0" w:color="auto"/>
            </w:tcBorders>
          </w:tcPr>
          <w:p>
            <w:pPr>
              <w:jc w:val="center"/>
              <w:rPr>
                <w:b/>
                <w:noProof/>
              </w:rPr>
            </w:pPr>
            <w:r>
              <w:rPr>
                <w:b/>
                <w:noProof/>
              </w:rPr>
              <w:t>R</w:t>
            </w:r>
          </w:p>
        </w:tc>
        <w:tc>
          <w:tcPr>
            <w:tcW w:w="2399" w:type="pct"/>
            <w:tcBorders>
              <w:top w:val="single" w:sz="4" w:space="0" w:color="auto"/>
              <w:left w:val="single" w:sz="4" w:space="0" w:color="auto"/>
              <w:bottom w:val="single" w:sz="4" w:space="0" w:color="auto"/>
              <w:right w:val="single" w:sz="4" w:space="0" w:color="auto"/>
            </w:tcBorders>
          </w:tcPr>
          <w:p>
            <w:pPr>
              <w:rPr>
                <w:b/>
                <w:noProof/>
              </w:rPr>
            </w:pPr>
            <w:r>
              <w:rPr>
                <w:b/>
                <w:noProof/>
              </w:rPr>
              <w:t xml:space="preserve">Retained measure. If necessary, specific Port State procedures and guidelines may need to be developed to enforce the RLF requirements. </w:t>
            </w:r>
          </w:p>
        </w:tc>
      </w:tr>
      <w:tr>
        <w:trPr>
          <w:trHeight w:val="432"/>
        </w:trPr>
        <w:tc>
          <w:tcPr>
            <w:tcW w:w="182" w:type="pct"/>
            <w:tcBorders>
              <w:top w:val="single" w:sz="4" w:space="0" w:color="auto"/>
              <w:left w:val="single" w:sz="4" w:space="0" w:color="auto"/>
              <w:bottom w:val="single" w:sz="4" w:space="0" w:color="auto"/>
              <w:right w:val="single" w:sz="4" w:space="0" w:color="auto"/>
            </w:tcBorders>
          </w:tcPr>
          <w:p>
            <w:pPr>
              <w:spacing w:after="60"/>
              <w:jc w:val="center"/>
              <w:rPr>
                <w:b/>
                <w:noProof/>
              </w:rPr>
            </w:pPr>
            <w:r>
              <w:rPr>
                <w:bCs/>
                <w:noProof/>
              </w:rPr>
              <w:t>25</w:t>
            </w:r>
          </w:p>
        </w:tc>
        <w:tc>
          <w:tcPr>
            <w:tcW w:w="2106" w:type="pct"/>
            <w:tcBorders>
              <w:top w:val="single" w:sz="4" w:space="0" w:color="auto"/>
              <w:left w:val="single" w:sz="4" w:space="0" w:color="auto"/>
              <w:bottom w:val="single" w:sz="4" w:space="0" w:color="auto"/>
              <w:right w:val="single" w:sz="4" w:space="0" w:color="auto"/>
            </w:tcBorders>
          </w:tcPr>
          <w:p>
            <w:pPr>
              <w:rPr>
                <w:bCs/>
                <w:noProof/>
              </w:rPr>
            </w:pPr>
            <w:r>
              <w:rPr>
                <w:bCs/>
                <w:noProof/>
              </w:rPr>
              <w:t xml:space="preserve">Intensify IMO work on the IGF Code development and associated Interim Guidelines for the safety use of alternative fuels </w:t>
            </w:r>
          </w:p>
          <w:p>
            <w:pPr>
              <w:rPr>
                <w:b/>
                <w:noProof/>
              </w:rPr>
            </w:pPr>
          </w:p>
        </w:tc>
        <w:tc>
          <w:tcPr>
            <w:tcW w:w="313" w:type="pct"/>
            <w:tcBorders>
              <w:top w:val="single" w:sz="4" w:space="0" w:color="auto"/>
              <w:left w:val="single" w:sz="4" w:space="0" w:color="auto"/>
              <w:bottom w:val="single" w:sz="4" w:space="0" w:color="auto"/>
              <w:right w:val="single" w:sz="4" w:space="0" w:color="auto"/>
            </w:tcBorders>
          </w:tcPr>
          <w:p>
            <w:pPr>
              <w:jc w:val="center"/>
              <w:rPr>
                <w:b/>
                <w:noProof/>
              </w:rPr>
            </w:pPr>
            <w:r>
              <w:rPr>
                <w:bCs/>
                <w:noProof/>
              </w:rPr>
              <w:t>F</w:t>
            </w:r>
          </w:p>
        </w:tc>
        <w:tc>
          <w:tcPr>
            <w:tcW w:w="2399" w:type="pct"/>
            <w:tcBorders>
              <w:top w:val="single" w:sz="4" w:space="0" w:color="auto"/>
              <w:left w:val="single" w:sz="4" w:space="0" w:color="auto"/>
              <w:bottom w:val="single" w:sz="4" w:space="0" w:color="auto"/>
              <w:right w:val="single" w:sz="4" w:space="0" w:color="auto"/>
            </w:tcBorders>
          </w:tcPr>
          <w:p>
            <w:pPr>
              <w:rPr>
                <w:bCs/>
                <w:noProof/>
              </w:rPr>
            </w:pPr>
            <w:r>
              <w:rPr>
                <w:bCs/>
                <w:noProof/>
              </w:rPr>
              <w:t xml:space="preserve">IGF Code, associated SOLAS amendments and interim guidelines on the use of alternative fuels and technologies are considered to be important pillars for the construction of increased certainty in the adoption of RLF. </w:t>
            </w:r>
          </w:p>
          <w:p>
            <w:pPr>
              <w:rPr>
                <w:bCs/>
                <w:noProof/>
              </w:rPr>
            </w:pPr>
            <w:r>
              <w:rPr>
                <w:bCs/>
                <w:noProof/>
              </w:rPr>
              <w:t>It is important to further intensify work pertaining shaping of the IGF Code revision and development agenda with a view to ensure adequate close alignment of the regulatory and standardization framework with the development and evolution of RLF-specific TRL.</w:t>
            </w:r>
          </w:p>
          <w:p>
            <w:pPr>
              <w:rPr>
                <w:b/>
                <w:noProof/>
              </w:rPr>
            </w:pPr>
            <w:r>
              <w:rPr>
                <w:bCs/>
                <w:noProof/>
              </w:rPr>
              <w:t>In parallel to the IGF work, consistently, ensure adequate confirmation of supporting international standards for the relevant technologies in consideration, always preferring ISO, IEC, IEEE or any similar relevant international-reaching standardization references.</w:t>
            </w:r>
          </w:p>
        </w:tc>
      </w:tr>
    </w:tbl>
    <w:p>
      <w:pPr>
        <w:rPr>
          <w:noProof/>
        </w:rPr>
        <w:sectPr>
          <w:headerReference w:type="even" r:id="rId82"/>
          <w:headerReference w:type="default" r:id="rId83"/>
          <w:footerReference w:type="even" r:id="rId84"/>
          <w:footerReference w:type="default" r:id="rId85"/>
          <w:headerReference w:type="first" r:id="rId86"/>
          <w:footerReference w:type="first" r:id="rId87"/>
          <w:pgSz w:w="16838" w:h="11906" w:orient="landscape"/>
          <w:pgMar w:top="1587" w:right="1020" w:bottom="1701" w:left="1020" w:header="601" w:footer="1077" w:gutter="0"/>
          <w:cols w:space="720"/>
          <w:titlePg/>
          <w:docGrid w:linePitch="299"/>
        </w:sectPr>
      </w:pPr>
    </w:p>
    <w:p>
      <w:pPr>
        <w:pStyle w:val="Text1"/>
        <w:ind w:left="0"/>
        <w:rPr>
          <w:noProof/>
          <w:lang w:val="en-IE"/>
        </w:rPr>
      </w:pPr>
      <w:bookmarkStart w:id="706" w:name="_Toc59152678"/>
    </w:p>
    <w:bookmarkEnd w:id="706"/>
    <w:p>
      <w:pPr>
        <w:rPr>
          <w:noProof/>
          <w:lang w:val="en-IE"/>
        </w:rPr>
        <w:sectPr>
          <w:headerReference w:type="even" r:id="rId88"/>
          <w:headerReference w:type="default" r:id="rId89"/>
          <w:footerReference w:type="even" r:id="rId90"/>
          <w:footerReference w:type="default" r:id="rId91"/>
          <w:headerReference w:type="first" r:id="rId92"/>
          <w:footerReference w:type="first" r:id="rId93"/>
          <w:pgSz w:w="11906" w:h="16838"/>
          <w:pgMar w:top="1020" w:right="1701" w:bottom="1020" w:left="1587" w:header="601" w:footer="1077" w:gutter="0"/>
          <w:cols w:space="720"/>
          <w:titlePg/>
          <w:docGrid w:linePitch="299"/>
        </w:sectPr>
      </w:pPr>
    </w:p>
    <w:p>
      <w:pPr>
        <w:pStyle w:val="AnnexTitle"/>
        <w:rPr>
          <w:noProof/>
        </w:rPr>
      </w:pPr>
      <w:bookmarkStart w:id="707" w:name="_Toc59152682"/>
      <w:bookmarkStart w:id="708" w:name="_Toc63426193"/>
      <w:bookmarkStart w:id="709" w:name="_Toc63438539"/>
      <w:r>
        <w:rPr>
          <w:noProof/>
        </w:rPr>
        <w:t>Annex 7: Overview of the monitoring and evaluation framework</w:t>
      </w:r>
      <w:bookmarkEnd w:id="707"/>
      <w:bookmarkEnd w:id="708"/>
      <w:bookmarkEnd w:id="709"/>
    </w:p>
    <w:p>
      <w:pPr>
        <w:rPr>
          <w:noProof/>
        </w:rPr>
      </w:pPr>
    </w:p>
    <w:p>
      <w:pPr>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 xml:space="preserve">The detailed list of operational objectives, indicators and data sources is presented in </w:t>
      </w:r>
      <w:r>
        <w:rPr>
          <w:rFonts w:ascii="Times New Roman" w:hAnsi="Times New Roman" w:cs="Times New Roman"/>
          <w:noProof/>
          <w:sz w:val="24"/>
          <w:szCs w:val="24"/>
          <w:lang w:val="en-IE"/>
        </w:rPr>
        <w:fldChar w:fldCharType="begin"/>
      </w:r>
      <w:r>
        <w:rPr>
          <w:rFonts w:ascii="Times New Roman" w:hAnsi="Times New Roman" w:cs="Times New Roman"/>
          <w:noProof/>
          <w:sz w:val="24"/>
          <w:szCs w:val="24"/>
          <w:lang w:val="en-IE"/>
        </w:rPr>
        <w:instrText xml:space="preserve"> REF _Ref63423492 \h  \* MERGEFORMAT </w:instrText>
      </w:r>
      <w:r>
        <w:rPr>
          <w:rFonts w:ascii="Times New Roman" w:hAnsi="Times New Roman" w:cs="Times New Roman"/>
          <w:noProof/>
          <w:sz w:val="24"/>
          <w:szCs w:val="24"/>
          <w:lang w:val="en-IE"/>
        </w:rPr>
      </w:r>
      <w:r>
        <w:rPr>
          <w:rFonts w:ascii="Times New Roman" w:hAnsi="Times New Roman" w:cs="Times New Roman"/>
          <w:noProof/>
          <w:sz w:val="24"/>
          <w:szCs w:val="24"/>
          <w:lang w:val="en-IE"/>
        </w:rPr>
        <w:fldChar w:fldCharType="separate"/>
      </w:r>
      <w:r>
        <w:rPr>
          <w:rFonts w:ascii="Times New Roman" w:hAnsi="Times New Roman" w:cs="Times New Roman"/>
          <w:noProof/>
          <w:sz w:val="24"/>
          <w:szCs w:val="24"/>
        </w:rPr>
        <w:t>Table 70</w:t>
      </w:r>
      <w:r>
        <w:rPr>
          <w:rFonts w:ascii="Times New Roman" w:hAnsi="Times New Roman" w:cs="Times New Roman"/>
          <w:noProof/>
          <w:sz w:val="24"/>
          <w:szCs w:val="24"/>
          <w:lang w:val="en-IE"/>
        </w:rPr>
        <w:fldChar w:fldCharType="end"/>
      </w:r>
      <w:r>
        <w:rPr>
          <w:rFonts w:ascii="Times New Roman" w:hAnsi="Times New Roman" w:cs="Times New Roman"/>
          <w:noProof/>
          <w:sz w:val="24"/>
          <w:szCs w:val="24"/>
          <w:lang w:val="en-IE"/>
        </w:rPr>
        <w:t>. Some of these monitoring arrangements will be established more in detail only after thorough discussion with Member States and key stakeholders.</w:t>
      </w:r>
    </w:p>
    <w:p>
      <w:pPr>
        <w:rPr>
          <w:noProof/>
        </w:rPr>
        <w:sectPr>
          <w:headerReference w:type="even" r:id="rId94"/>
          <w:headerReference w:type="default" r:id="rId95"/>
          <w:footerReference w:type="even" r:id="rId96"/>
          <w:footerReference w:type="default" r:id="rId97"/>
          <w:headerReference w:type="first" r:id="rId98"/>
          <w:footerReference w:type="first" r:id="rId99"/>
          <w:pgSz w:w="11906" w:h="16838"/>
          <w:pgMar w:top="1020" w:right="1701" w:bottom="1020" w:left="1587" w:header="601" w:footer="1077" w:gutter="0"/>
          <w:cols w:space="720"/>
          <w:titlePg/>
          <w:docGrid w:linePitch="299"/>
        </w:sectPr>
      </w:pPr>
    </w:p>
    <w:p>
      <w:pPr>
        <w:pStyle w:val="Caption"/>
        <w:rPr>
          <w:rFonts w:ascii="Times New Roman" w:hAnsi="Times New Roman" w:cs="Times New Roman"/>
          <w:noProof/>
          <w:sz w:val="24"/>
          <w:szCs w:val="24"/>
          <w:lang w:val="en-IE"/>
        </w:rPr>
      </w:pPr>
      <w:bookmarkStart w:id="710" w:name="_Ref63423492"/>
      <w:r>
        <w:rPr>
          <w:noProof/>
        </w:rPr>
        <w:t xml:space="preserve">Table </w:t>
      </w:r>
      <w:r>
        <w:rPr>
          <w:noProof/>
        </w:rPr>
        <w:fldChar w:fldCharType="begin"/>
      </w:r>
      <w:r>
        <w:rPr>
          <w:noProof/>
        </w:rPr>
        <w:instrText xml:space="preserve"> SEQ Table \* ARABIC </w:instrText>
      </w:r>
      <w:r>
        <w:rPr>
          <w:noProof/>
        </w:rPr>
        <w:fldChar w:fldCharType="separate"/>
      </w:r>
      <w:r>
        <w:rPr>
          <w:noProof/>
        </w:rPr>
        <w:t>70</w:t>
      </w:r>
      <w:r>
        <w:rPr>
          <w:noProof/>
        </w:rPr>
        <w:fldChar w:fldCharType="end"/>
      </w:r>
      <w:bookmarkEnd w:id="710"/>
      <w:r>
        <w:rPr>
          <w:noProof/>
        </w:rPr>
        <w:t xml:space="preserve"> Proposed monitoring and evaluation framework</w:t>
      </w:r>
    </w:p>
    <w:tbl>
      <w:tblPr>
        <w:tblStyle w:val="TableGrid"/>
        <w:tblW w:w="0" w:type="auto"/>
        <w:jc w:val="center"/>
        <w:tblLook w:val="04A0" w:firstRow="1" w:lastRow="0" w:firstColumn="1" w:lastColumn="0" w:noHBand="0" w:noVBand="1"/>
      </w:tblPr>
      <w:tblGrid>
        <w:gridCol w:w="1951"/>
        <w:gridCol w:w="2835"/>
        <w:gridCol w:w="3260"/>
        <w:gridCol w:w="3326"/>
        <w:gridCol w:w="2802"/>
      </w:tblGrid>
      <w:tr>
        <w:trPr>
          <w:trHeight w:val="421"/>
          <w:jc w:val="center"/>
        </w:trPr>
        <w:tc>
          <w:tcPr>
            <w:tcW w:w="1951" w:type="dxa"/>
          </w:tcPr>
          <w:p>
            <w:pPr>
              <w:jc w:val="center"/>
              <w:rPr>
                <w:b/>
                <w:noProof/>
                <w:sz w:val="19"/>
                <w:szCs w:val="19"/>
              </w:rPr>
            </w:pPr>
            <w:r>
              <w:rPr>
                <w:b/>
                <w:noProof/>
                <w:sz w:val="19"/>
                <w:szCs w:val="19"/>
              </w:rPr>
              <w:t>General objective</w:t>
            </w:r>
          </w:p>
        </w:tc>
        <w:tc>
          <w:tcPr>
            <w:tcW w:w="2835" w:type="dxa"/>
          </w:tcPr>
          <w:p>
            <w:pPr>
              <w:jc w:val="center"/>
              <w:rPr>
                <w:b/>
                <w:noProof/>
                <w:sz w:val="19"/>
                <w:szCs w:val="19"/>
              </w:rPr>
            </w:pPr>
            <w:r>
              <w:rPr>
                <w:b/>
                <w:noProof/>
                <w:sz w:val="19"/>
                <w:szCs w:val="19"/>
              </w:rPr>
              <w:t>Specific objectives</w:t>
            </w:r>
          </w:p>
        </w:tc>
        <w:tc>
          <w:tcPr>
            <w:tcW w:w="3260" w:type="dxa"/>
          </w:tcPr>
          <w:p>
            <w:pPr>
              <w:jc w:val="center"/>
              <w:rPr>
                <w:b/>
                <w:noProof/>
                <w:sz w:val="19"/>
                <w:szCs w:val="19"/>
              </w:rPr>
            </w:pPr>
            <w:r>
              <w:rPr>
                <w:b/>
                <w:noProof/>
                <w:sz w:val="19"/>
                <w:szCs w:val="19"/>
              </w:rPr>
              <w:t>Operational objectives</w:t>
            </w:r>
          </w:p>
        </w:tc>
        <w:tc>
          <w:tcPr>
            <w:tcW w:w="3326" w:type="dxa"/>
          </w:tcPr>
          <w:p>
            <w:pPr>
              <w:jc w:val="center"/>
              <w:rPr>
                <w:b/>
                <w:noProof/>
                <w:sz w:val="19"/>
                <w:szCs w:val="19"/>
              </w:rPr>
            </w:pPr>
            <w:r>
              <w:rPr>
                <w:b/>
                <w:noProof/>
                <w:sz w:val="19"/>
                <w:szCs w:val="19"/>
              </w:rPr>
              <w:t>Indicators</w:t>
            </w:r>
          </w:p>
        </w:tc>
        <w:tc>
          <w:tcPr>
            <w:tcW w:w="2802" w:type="dxa"/>
          </w:tcPr>
          <w:p>
            <w:pPr>
              <w:jc w:val="center"/>
              <w:rPr>
                <w:b/>
                <w:noProof/>
                <w:sz w:val="19"/>
                <w:szCs w:val="19"/>
              </w:rPr>
            </w:pPr>
            <w:r>
              <w:rPr>
                <w:b/>
                <w:noProof/>
                <w:sz w:val="19"/>
                <w:szCs w:val="19"/>
              </w:rPr>
              <w:t>Data source</w:t>
            </w:r>
          </w:p>
        </w:tc>
      </w:tr>
      <w:tr>
        <w:trPr>
          <w:jc w:val="center"/>
        </w:trPr>
        <w:tc>
          <w:tcPr>
            <w:tcW w:w="1951" w:type="dxa"/>
            <w:vMerge w:val="restart"/>
          </w:tcPr>
          <w:p>
            <w:pPr>
              <w:rPr>
                <w:noProof/>
                <w:sz w:val="19"/>
                <w:szCs w:val="19"/>
              </w:rPr>
            </w:pPr>
            <w:r>
              <w:rPr>
                <w:noProof/>
                <w:sz w:val="19"/>
                <w:szCs w:val="19"/>
              </w:rPr>
              <w:t>Increase the uptake of RLF in EU maritime transport with a view to reducing emissions from the sector in navigation and at berth.</w:t>
            </w:r>
          </w:p>
        </w:tc>
        <w:tc>
          <w:tcPr>
            <w:tcW w:w="2835" w:type="dxa"/>
          </w:tcPr>
          <w:p>
            <w:pPr>
              <w:rPr>
                <w:noProof/>
                <w:sz w:val="19"/>
                <w:szCs w:val="19"/>
              </w:rPr>
            </w:pPr>
            <w:r>
              <w:rPr>
                <w:noProof/>
                <w:sz w:val="19"/>
                <w:szCs w:val="19"/>
                <w:lang w:val="en-IE"/>
              </w:rPr>
              <w:t>Enhance predictability through the setting of a clear regulatory environment concerning the use of alternative fuels in maritime transport</w:t>
            </w:r>
          </w:p>
        </w:tc>
        <w:tc>
          <w:tcPr>
            <w:tcW w:w="3260" w:type="dxa"/>
          </w:tcPr>
          <w:p>
            <w:pPr>
              <w:pStyle w:val="ListParagraph"/>
              <w:numPr>
                <w:ilvl w:val="0"/>
                <w:numId w:val="9"/>
              </w:numPr>
              <w:rPr>
                <w:noProof/>
                <w:sz w:val="19"/>
                <w:szCs w:val="19"/>
              </w:rPr>
            </w:pPr>
            <w:r>
              <w:rPr>
                <w:noProof/>
                <w:sz w:val="19"/>
                <w:szCs w:val="19"/>
              </w:rPr>
              <w:t>Provide clearly identified long-term targets (up to 2050) on the minimum use of RLF in maritime transport</w:t>
            </w:r>
          </w:p>
        </w:tc>
        <w:tc>
          <w:tcPr>
            <w:tcW w:w="3326" w:type="dxa"/>
          </w:tcPr>
          <w:p>
            <w:pPr>
              <w:pStyle w:val="ListParagraph"/>
              <w:numPr>
                <w:ilvl w:val="0"/>
                <w:numId w:val="9"/>
              </w:numPr>
              <w:rPr>
                <w:noProof/>
                <w:sz w:val="19"/>
                <w:szCs w:val="19"/>
              </w:rPr>
            </w:pPr>
            <w:r>
              <w:rPr>
                <w:noProof/>
                <w:sz w:val="19"/>
                <w:szCs w:val="19"/>
              </w:rPr>
              <w:t>Regulatory framework established</w:t>
            </w:r>
          </w:p>
          <w:p>
            <w:pPr>
              <w:pStyle w:val="ListParagraph"/>
              <w:numPr>
                <w:ilvl w:val="0"/>
                <w:numId w:val="9"/>
              </w:numPr>
              <w:rPr>
                <w:noProof/>
                <w:sz w:val="19"/>
                <w:szCs w:val="19"/>
              </w:rPr>
            </w:pPr>
            <w:r>
              <w:rPr>
                <w:noProof/>
                <w:sz w:val="19"/>
                <w:szCs w:val="19"/>
              </w:rPr>
              <w:t>Investment levels in RLF production and distribution</w:t>
            </w:r>
          </w:p>
          <w:p>
            <w:pPr>
              <w:pStyle w:val="ListParagraph"/>
              <w:numPr>
                <w:ilvl w:val="0"/>
                <w:numId w:val="9"/>
              </w:numPr>
              <w:rPr>
                <w:noProof/>
                <w:sz w:val="19"/>
                <w:szCs w:val="19"/>
              </w:rPr>
            </w:pPr>
            <w:r>
              <w:rPr>
                <w:noProof/>
                <w:sz w:val="19"/>
                <w:szCs w:val="19"/>
              </w:rPr>
              <w:t>Penetration of RLF in the maritime fuel mix</w:t>
            </w:r>
          </w:p>
        </w:tc>
        <w:tc>
          <w:tcPr>
            <w:tcW w:w="2802" w:type="dxa"/>
          </w:tcPr>
          <w:p>
            <w:pPr>
              <w:pStyle w:val="ListParagraph"/>
              <w:numPr>
                <w:ilvl w:val="0"/>
                <w:numId w:val="9"/>
              </w:numPr>
              <w:rPr>
                <w:noProof/>
                <w:sz w:val="19"/>
                <w:szCs w:val="19"/>
              </w:rPr>
            </w:pPr>
            <w:r>
              <w:rPr>
                <w:noProof/>
                <w:sz w:val="19"/>
                <w:szCs w:val="19"/>
              </w:rPr>
              <w:t>Evaluation (survey targeted at fuel suppliers)</w:t>
            </w:r>
          </w:p>
          <w:p>
            <w:pPr>
              <w:pStyle w:val="ListParagraph"/>
              <w:numPr>
                <w:ilvl w:val="0"/>
                <w:numId w:val="9"/>
              </w:numPr>
              <w:rPr>
                <w:noProof/>
                <w:sz w:val="19"/>
                <w:szCs w:val="19"/>
              </w:rPr>
            </w:pPr>
            <w:r>
              <w:rPr>
                <w:noProof/>
                <w:sz w:val="19"/>
                <w:szCs w:val="19"/>
              </w:rPr>
              <w:t>EU MRV data</w:t>
            </w:r>
          </w:p>
        </w:tc>
      </w:tr>
      <w:tr>
        <w:trPr>
          <w:jc w:val="center"/>
        </w:trPr>
        <w:tc>
          <w:tcPr>
            <w:tcW w:w="1951" w:type="dxa"/>
            <w:vMerge/>
          </w:tcPr>
          <w:p>
            <w:pPr>
              <w:rPr>
                <w:noProof/>
                <w:sz w:val="19"/>
                <w:szCs w:val="19"/>
              </w:rPr>
            </w:pPr>
          </w:p>
        </w:tc>
        <w:tc>
          <w:tcPr>
            <w:tcW w:w="2835" w:type="dxa"/>
          </w:tcPr>
          <w:p>
            <w:pPr>
              <w:rPr>
                <w:noProof/>
                <w:sz w:val="19"/>
                <w:szCs w:val="19"/>
              </w:rPr>
            </w:pPr>
            <w:r>
              <w:rPr>
                <w:noProof/>
                <w:sz w:val="19"/>
                <w:szCs w:val="19"/>
                <w:lang w:val="en-IE"/>
              </w:rPr>
              <w:t>Stimulate technology development</w:t>
            </w:r>
          </w:p>
        </w:tc>
        <w:tc>
          <w:tcPr>
            <w:tcW w:w="3260" w:type="dxa"/>
          </w:tcPr>
          <w:p>
            <w:pPr>
              <w:pStyle w:val="ListParagraph"/>
              <w:numPr>
                <w:ilvl w:val="0"/>
                <w:numId w:val="9"/>
              </w:numPr>
              <w:rPr>
                <w:noProof/>
                <w:sz w:val="19"/>
                <w:szCs w:val="19"/>
              </w:rPr>
            </w:pPr>
            <w:r>
              <w:rPr>
                <w:noProof/>
                <w:sz w:val="19"/>
                <w:szCs w:val="19"/>
              </w:rPr>
              <w:t>Encourage R&amp;I and the development of new, advanced, types of RLF for maritime transport</w:t>
            </w:r>
          </w:p>
        </w:tc>
        <w:tc>
          <w:tcPr>
            <w:tcW w:w="3326" w:type="dxa"/>
          </w:tcPr>
          <w:p>
            <w:pPr>
              <w:pStyle w:val="ListParagraph"/>
              <w:numPr>
                <w:ilvl w:val="0"/>
                <w:numId w:val="9"/>
              </w:numPr>
              <w:rPr>
                <w:noProof/>
                <w:sz w:val="19"/>
                <w:szCs w:val="19"/>
              </w:rPr>
            </w:pPr>
            <w:r>
              <w:rPr>
                <w:noProof/>
                <w:sz w:val="19"/>
                <w:szCs w:val="19"/>
              </w:rPr>
              <w:t>Investment levels in RLF-related R&amp;I in maritime transport</w:t>
            </w:r>
          </w:p>
          <w:p>
            <w:pPr>
              <w:pStyle w:val="ListParagraph"/>
              <w:numPr>
                <w:ilvl w:val="0"/>
                <w:numId w:val="9"/>
              </w:numPr>
              <w:rPr>
                <w:noProof/>
                <w:sz w:val="19"/>
                <w:szCs w:val="19"/>
              </w:rPr>
            </w:pPr>
            <w:r>
              <w:rPr>
                <w:noProof/>
                <w:sz w:val="19"/>
                <w:szCs w:val="19"/>
              </w:rPr>
              <w:t>Share of e-fuels, hydrogen, ammonia and electricity in the maritime fuel mix</w:t>
            </w:r>
          </w:p>
        </w:tc>
        <w:tc>
          <w:tcPr>
            <w:tcW w:w="2802" w:type="dxa"/>
          </w:tcPr>
          <w:p>
            <w:pPr>
              <w:pStyle w:val="ListParagraph"/>
              <w:numPr>
                <w:ilvl w:val="0"/>
                <w:numId w:val="9"/>
              </w:numPr>
              <w:rPr>
                <w:noProof/>
                <w:sz w:val="19"/>
                <w:szCs w:val="19"/>
              </w:rPr>
            </w:pPr>
            <w:r>
              <w:rPr>
                <w:noProof/>
                <w:sz w:val="19"/>
                <w:szCs w:val="19"/>
              </w:rPr>
              <w:t>Evaluation (survey targeted at ship-owners and technology providers)</w:t>
            </w:r>
          </w:p>
          <w:p>
            <w:pPr>
              <w:pStyle w:val="ListParagraph"/>
              <w:numPr>
                <w:ilvl w:val="0"/>
                <w:numId w:val="9"/>
              </w:numPr>
              <w:rPr>
                <w:noProof/>
                <w:sz w:val="19"/>
                <w:szCs w:val="19"/>
              </w:rPr>
            </w:pPr>
            <w:r>
              <w:rPr>
                <w:noProof/>
                <w:sz w:val="19"/>
                <w:szCs w:val="19"/>
              </w:rPr>
              <w:t>EU MRV data</w:t>
            </w:r>
          </w:p>
        </w:tc>
      </w:tr>
      <w:tr>
        <w:trPr>
          <w:jc w:val="center"/>
        </w:trPr>
        <w:tc>
          <w:tcPr>
            <w:tcW w:w="1951" w:type="dxa"/>
            <w:vMerge/>
          </w:tcPr>
          <w:p>
            <w:pPr>
              <w:rPr>
                <w:noProof/>
                <w:sz w:val="19"/>
                <w:szCs w:val="19"/>
              </w:rPr>
            </w:pPr>
          </w:p>
        </w:tc>
        <w:tc>
          <w:tcPr>
            <w:tcW w:w="2835" w:type="dxa"/>
          </w:tcPr>
          <w:p>
            <w:pPr>
              <w:rPr>
                <w:noProof/>
                <w:sz w:val="19"/>
                <w:szCs w:val="19"/>
              </w:rPr>
            </w:pPr>
            <w:r>
              <w:rPr>
                <w:noProof/>
                <w:sz w:val="19"/>
                <w:szCs w:val="19"/>
                <w:lang w:val="en-IE"/>
              </w:rPr>
              <w:t>Stimulate production on a larger scale of RLF with sufficient high technology readiness level (TRLs) and reduce the price gap with current fuels and technologies</w:t>
            </w:r>
          </w:p>
        </w:tc>
        <w:tc>
          <w:tcPr>
            <w:tcW w:w="3260" w:type="dxa"/>
          </w:tcPr>
          <w:p>
            <w:pPr>
              <w:pStyle w:val="ListParagraph"/>
              <w:numPr>
                <w:ilvl w:val="0"/>
                <w:numId w:val="9"/>
              </w:numPr>
              <w:rPr>
                <w:noProof/>
                <w:sz w:val="19"/>
                <w:szCs w:val="19"/>
              </w:rPr>
            </w:pPr>
            <w:r>
              <w:rPr>
                <w:noProof/>
                <w:sz w:val="19"/>
                <w:szCs w:val="19"/>
              </w:rPr>
              <w:t>Significantly increase the volumes of RLF produced and distributed to the maritime sector</w:t>
            </w:r>
          </w:p>
          <w:p>
            <w:pPr>
              <w:pStyle w:val="ListParagraph"/>
              <w:numPr>
                <w:ilvl w:val="0"/>
                <w:numId w:val="9"/>
              </w:numPr>
              <w:rPr>
                <w:noProof/>
                <w:sz w:val="19"/>
                <w:szCs w:val="19"/>
              </w:rPr>
            </w:pPr>
            <w:r>
              <w:rPr>
                <w:noProof/>
                <w:sz w:val="19"/>
                <w:szCs w:val="19"/>
              </w:rPr>
              <w:t>Enhance the competitiveness of RLF compared to conventional fossil fuels</w:t>
            </w:r>
          </w:p>
        </w:tc>
        <w:tc>
          <w:tcPr>
            <w:tcW w:w="3326" w:type="dxa"/>
          </w:tcPr>
          <w:p>
            <w:pPr>
              <w:pStyle w:val="ListParagraph"/>
              <w:numPr>
                <w:ilvl w:val="0"/>
                <w:numId w:val="9"/>
              </w:numPr>
              <w:rPr>
                <w:noProof/>
                <w:sz w:val="19"/>
                <w:szCs w:val="19"/>
              </w:rPr>
            </w:pPr>
            <w:r>
              <w:rPr>
                <w:noProof/>
                <w:sz w:val="19"/>
                <w:szCs w:val="19"/>
              </w:rPr>
              <w:t>Production levels of marine RLF</w:t>
            </w:r>
          </w:p>
          <w:p>
            <w:pPr>
              <w:pStyle w:val="ListParagraph"/>
              <w:numPr>
                <w:ilvl w:val="0"/>
                <w:numId w:val="9"/>
              </w:numPr>
              <w:rPr>
                <w:noProof/>
                <w:sz w:val="19"/>
                <w:szCs w:val="19"/>
              </w:rPr>
            </w:pPr>
            <w:r>
              <w:rPr>
                <w:noProof/>
                <w:sz w:val="19"/>
                <w:szCs w:val="19"/>
              </w:rPr>
              <w:t>RLF average prices and price differential with conventional fossil fuels</w:t>
            </w:r>
          </w:p>
          <w:p>
            <w:pPr>
              <w:pStyle w:val="ListParagraph"/>
              <w:numPr>
                <w:ilvl w:val="0"/>
                <w:numId w:val="9"/>
              </w:numPr>
              <w:rPr>
                <w:noProof/>
                <w:sz w:val="19"/>
                <w:szCs w:val="19"/>
              </w:rPr>
            </w:pPr>
            <w:r>
              <w:rPr>
                <w:noProof/>
                <w:sz w:val="19"/>
                <w:szCs w:val="19"/>
              </w:rPr>
              <w:t xml:space="preserve">Number of RLF bunkering points in Europe </w:t>
            </w:r>
          </w:p>
          <w:p>
            <w:pPr>
              <w:pStyle w:val="ListParagraph"/>
              <w:numPr>
                <w:ilvl w:val="0"/>
                <w:numId w:val="9"/>
              </w:numPr>
              <w:rPr>
                <w:noProof/>
                <w:sz w:val="19"/>
                <w:szCs w:val="19"/>
              </w:rPr>
            </w:pPr>
            <w:r>
              <w:rPr>
                <w:noProof/>
                <w:sz w:val="19"/>
                <w:szCs w:val="19"/>
              </w:rPr>
              <w:t>Penetration of RLF in the maritime fuel mix</w:t>
            </w:r>
          </w:p>
        </w:tc>
        <w:tc>
          <w:tcPr>
            <w:tcW w:w="2802" w:type="dxa"/>
          </w:tcPr>
          <w:p>
            <w:pPr>
              <w:pStyle w:val="ListParagraph"/>
              <w:numPr>
                <w:ilvl w:val="0"/>
                <w:numId w:val="9"/>
              </w:numPr>
              <w:rPr>
                <w:noProof/>
                <w:sz w:val="19"/>
                <w:szCs w:val="19"/>
              </w:rPr>
            </w:pPr>
            <w:r>
              <w:rPr>
                <w:noProof/>
                <w:sz w:val="19"/>
                <w:szCs w:val="19"/>
              </w:rPr>
              <w:t>Evaluation (survey targeted at fuel suppliers)</w:t>
            </w:r>
          </w:p>
          <w:p>
            <w:pPr>
              <w:pStyle w:val="ListParagraph"/>
              <w:numPr>
                <w:ilvl w:val="0"/>
                <w:numId w:val="9"/>
              </w:numPr>
              <w:rPr>
                <w:noProof/>
                <w:sz w:val="19"/>
                <w:szCs w:val="19"/>
              </w:rPr>
            </w:pPr>
            <w:r>
              <w:rPr>
                <w:noProof/>
                <w:sz w:val="19"/>
                <w:szCs w:val="19"/>
              </w:rPr>
              <w:t>Eurostat</w:t>
            </w:r>
          </w:p>
          <w:p>
            <w:pPr>
              <w:pStyle w:val="ListParagraph"/>
              <w:numPr>
                <w:ilvl w:val="0"/>
                <w:numId w:val="9"/>
              </w:numPr>
              <w:rPr>
                <w:noProof/>
                <w:sz w:val="19"/>
                <w:szCs w:val="19"/>
              </w:rPr>
            </w:pPr>
            <w:r>
              <w:rPr>
                <w:noProof/>
                <w:sz w:val="19"/>
                <w:szCs w:val="19"/>
              </w:rPr>
              <w:t>National Policy Frameworks under AFID</w:t>
            </w:r>
          </w:p>
          <w:p>
            <w:pPr>
              <w:pStyle w:val="ListParagraph"/>
              <w:numPr>
                <w:ilvl w:val="0"/>
                <w:numId w:val="9"/>
              </w:numPr>
              <w:rPr>
                <w:noProof/>
                <w:sz w:val="19"/>
                <w:szCs w:val="19"/>
              </w:rPr>
            </w:pPr>
            <w:r>
              <w:rPr>
                <w:noProof/>
                <w:sz w:val="19"/>
                <w:szCs w:val="19"/>
              </w:rPr>
              <w:t>EAFO data</w:t>
            </w:r>
          </w:p>
          <w:p>
            <w:pPr>
              <w:pStyle w:val="ListParagraph"/>
              <w:numPr>
                <w:ilvl w:val="0"/>
                <w:numId w:val="9"/>
              </w:numPr>
              <w:rPr>
                <w:noProof/>
                <w:sz w:val="19"/>
                <w:szCs w:val="19"/>
              </w:rPr>
            </w:pPr>
            <w:r>
              <w:rPr>
                <w:noProof/>
                <w:sz w:val="19"/>
                <w:szCs w:val="19"/>
              </w:rPr>
              <w:t>EU MRV data</w:t>
            </w:r>
          </w:p>
        </w:tc>
      </w:tr>
      <w:tr>
        <w:trPr>
          <w:jc w:val="center"/>
        </w:trPr>
        <w:tc>
          <w:tcPr>
            <w:tcW w:w="1951" w:type="dxa"/>
            <w:vMerge/>
          </w:tcPr>
          <w:p>
            <w:pPr>
              <w:rPr>
                <w:noProof/>
                <w:sz w:val="19"/>
                <w:szCs w:val="19"/>
              </w:rPr>
            </w:pPr>
          </w:p>
        </w:tc>
        <w:tc>
          <w:tcPr>
            <w:tcW w:w="2835" w:type="dxa"/>
          </w:tcPr>
          <w:p>
            <w:pPr>
              <w:rPr>
                <w:noProof/>
                <w:sz w:val="19"/>
                <w:szCs w:val="19"/>
              </w:rPr>
            </w:pPr>
            <w:r>
              <w:rPr>
                <w:noProof/>
                <w:sz w:val="19"/>
                <w:szCs w:val="19"/>
                <w:lang w:val="en-IE"/>
              </w:rPr>
              <w:t>Create demand from ship operators to bunker alternative fuels with a sufficient high TRL or connect to the electric grid while at berth.</w:t>
            </w:r>
          </w:p>
        </w:tc>
        <w:tc>
          <w:tcPr>
            <w:tcW w:w="3260" w:type="dxa"/>
          </w:tcPr>
          <w:p>
            <w:pPr>
              <w:pStyle w:val="ListParagraph"/>
              <w:numPr>
                <w:ilvl w:val="0"/>
                <w:numId w:val="9"/>
              </w:numPr>
              <w:rPr>
                <w:noProof/>
                <w:sz w:val="19"/>
                <w:szCs w:val="19"/>
              </w:rPr>
            </w:pPr>
            <w:r>
              <w:rPr>
                <w:noProof/>
                <w:sz w:val="19"/>
                <w:szCs w:val="19"/>
              </w:rPr>
              <w:t>Provide a minimum level of RLF demand to sustain market developments</w:t>
            </w:r>
          </w:p>
          <w:p>
            <w:pPr>
              <w:pStyle w:val="ListParagraph"/>
              <w:numPr>
                <w:ilvl w:val="0"/>
                <w:numId w:val="9"/>
              </w:numPr>
              <w:rPr>
                <w:noProof/>
                <w:sz w:val="19"/>
                <w:szCs w:val="19"/>
              </w:rPr>
            </w:pPr>
            <w:r>
              <w:rPr>
                <w:noProof/>
                <w:sz w:val="19"/>
                <w:szCs w:val="19"/>
              </w:rPr>
              <w:t>Increase the number of OPS connections by ships at berth, in particular for highest polluters</w:t>
            </w:r>
          </w:p>
        </w:tc>
        <w:tc>
          <w:tcPr>
            <w:tcW w:w="3326" w:type="dxa"/>
          </w:tcPr>
          <w:p>
            <w:pPr>
              <w:pStyle w:val="ListParagraph"/>
              <w:numPr>
                <w:ilvl w:val="0"/>
                <w:numId w:val="9"/>
              </w:numPr>
              <w:rPr>
                <w:noProof/>
                <w:sz w:val="19"/>
                <w:szCs w:val="19"/>
              </w:rPr>
            </w:pPr>
            <w:r>
              <w:rPr>
                <w:noProof/>
                <w:sz w:val="19"/>
                <w:szCs w:val="19"/>
              </w:rPr>
              <w:t>Penetration of RLF in the maritime fuel mix</w:t>
            </w:r>
          </w:p>
          <w:p>
            <w:pPr>
              <w:pStyle w:val="ListParagraph"/>
              <w:numPr>
                <w:ilvl w:val="0"/>
                <w:numId w:val="9"/>
              </w:numPr>
              <w:rPr>
                <w:noProof/>
                <w:sz w:val="19"/>
                <w:szCs w:val="19"/>
              </w:rPr>
            </w:pPr>
            <w:r>
              <w:rPr>
                <w:noProof/>
                <w:sz w:val="19"/>
                <w:szCs w:val="19"/>
              </w:rPr>
              <w:t>Number of ships and ports equipped with OPS</w:t>
            </w:r>
          </w:p>
          <w:p>
            <w:pPr>
              <w:pStyle w:val="ListParagraph"/>
              <w:numPr>
                <w:ilvl w:val="0"/>
                <w:numId w:val="9"/>
              </w:numPr>
              <w:rPr>
                <w:noProof/>
                <w:sz w:val="19"/>
                <w:szCs w:val="19"/>
              </w:rPr>
            </w:pPr>
            <w:r>
              <w:rPr>
                <w:noProof/>
                <w:sz w:val="19"/>
                <w:szCs w:val="19"/>
              </w:rPr>
              <w:t>Percentage of port calls requiring OPS</w:t>
            </w:r>
          </w:p>
          <w:p>
            <w:pPr>
              <w:pStyle w:val="ListParagraph"/>
              <w:numPr>
                <w:ilvl w:val="0"/>
                <w:numId w:val="9"/>
              </w:numPr>
              <w:rPr>
                <w:noProof/>
                <w:sz w:val="19"/>
                <w:szCs w:val="19"/>
              </w:rPr>
            </w:pPr>
            <w:r>
              <w:rPr>
                <w:noProof/>
                <w:sz w:val="19"/>
                <w:szCs w:val="19"/>
              </w:rPr>
              <w:t>Increased share of electricity in energy generation at berth</w:t>
            </w:r>
          </w:p>
        </w:tc>
        <w:tc>
          <w:tcPr>
            <w:tcW w:w="2802" w:type="dxa"/>
          </w:tcPr>
          <w:p>
            <w:pPr>
              <w:pStyle w:val="ListParagraph"/>
              <w:numPr>
                <w:ilvl w:val="0"/>
                <w:numId w:val="9"/>
              </w:numPr>
              <w:rPr>
                <w:noProof/>
                <w:sz w:val="19"/>
                <w:szCs w:val="19"/>
              </w:rPr>
            </w:pPr>
            <w:r>
              <w:rPr>
                <w:noProof/>
                <w:sz w:val="19"/>
                <w:szCs w:val="19"/>
              </w:rPr>
              <w:t>Evaluation (survey targeted at ports and operators)</w:t>
            </w:r>
          </w:p>
          <w:p>
            <w:pPr>
              <w:pStyle w:val="ListParagraph"/>
              <w:numPr>
                <w:ilvl w:val="0"/>
                <w:numId w:val="9"/>
              </w:numPr>
              <w:rPr>
                <w:noProof/>
                <w:sz w:val="19"/>
                <w:szCs w:val="19"/>
              </w:rPr>
            </w:pPr>
            <w:r>
              <w:rPr>
                <w:noProof/>
                <w:sz w:val="19"/>
                <w:szCs w:val="19"/>
              </w:rPr>
              <w:t>National Policy Frameworks under AFID</w:t>
            </w:r>
          </w:p>
          <w:p>
            <w:pPr>
              <w:pStyle w:val="ListParagraph"/>
              <w:numPr>
                <w:ilvl w:val="0"/>
                <w:numId w:val="9"/>
              </w:numPr>
              <w:rPr>
                <w:noProof/>
                <w:sz w:val="19"/>
                <w:szCs w:val="19"/>
              </w:rPr>
            </w:pPr>
            <w:r>
              <w:rPr>
                <w:noProof/>
                <w:sz w:val="19"/>
                <w:szCs w:val="19"/>
              </w:rPr>
              <w:t>EAFO data</w:t>
            </w:r>
          </w:p>
          <w:p>
            <w:pPr>
              <w:pStyle w:val="ListParagraph"/>
              <w:numPr>
                <w:ilvl w:val="0"/>
                <w:numId w:val="9"/>
              </w:numPr>
              <w:rPr>
                <w:noProof/>
                <w:sz w:val="19"/>
                <w:szCs w:val="19"/>
              </w:rPr>
            </w:pPr>
            <w:r>
              <w:rPr>
                <w:noProof/>
                <w:sz w:val="19"/>
                <w:szCs w:val="19"/>
              </w:rPr>
              <w:t>EU MRV data</w:t>
            </w:r>
          </w:p>
        </w:tc>
      </w:tr>
      <w:tr>
        <w:trPr>
          <w:jc w:val="center"/>
        </w:trPr>
        <w:tc>
          <w:tcPr>
            <w:tcW w:w="1951" w:type="dxa"/>
            <w:vMerge/>
          </w:tcPr>
          <w:p>
            <w:pPr>
              <w:rPr>
                <w:noProof/>
                <w:sz w:val="19"/>
                <w:szCs w:val="19"/>
              </w:rPr>
            </w:pPr>
          </w:p>
        </w:tc>
        <w:tc>
          <w:tcPr>
            <w:tcW w:w="2835" w:type="dxa"/>
          </w:tcPr>
          <w:p>
            <w:pPr>
              <w:rPr>
                <w:noProof/>
                <w:sz w:val="19"/>
                <w:szCs w:val="19"/>
              </w:rPr>
            </w:pPr>
            <w:r>
              <w:rPr>
                <w:noProof/>
                <w:sz w:val="19"/>
                <w:szCs w:val="19"/>
                <w:lang w:val="en-IE"/>
              </w:rPr>
              <w:t>Avoid carbon leakage</w:t>
            </w:r>
          </w:p>
        </w:tc>
        <w:tc>
          <w:tcPr>
            <w:tcW w:w="3260" w:type="dxa"/>
          </w:tcPr>
          <w:p>
            <w:pPr>
              <w:pStyle w:val="ListParagraph"/>
              <w:numPr>
                <w:ilvl w:val="0"/>
                <w:numId w:val="9"/>
              </w:numPr>
              <w:rPr>
                <w:noProof/>
                <w:sz w:val="19"/>
                <w:szCs w:val="19"/>
              </w:rPr>
            </w:pPr>
            <w:r>
              <w:rPr>
                <w:noProof/>
                <w:sz w:val="19"/>
                <w:szCs w:val="19"/>
              </w:rPr>
              <w:t>Limit regulatory avoidance through traffic diversion</w:t>
            </w:r>
          </w:p>
          <w:p>
            <w:pPr>
              <w:pStyle w:val="ListParagraph"/>
              <w:numPr>
                <w:ilvl w:val="0"/>
                <w:numId w:val="9"/>
              </w:numPr>
              <w:rPr>
                <w:noProof/>
                <w:sz w:val="19"/>
                <w:szCs w:val="19"/>
              </w:rPr>
            </w:pPr>
            <w:r>
              <w:rPr>
                <w:noProof/>
                <w:sz w:val="19"/>
                <w:szCs w:val="19"/>
              </w:rPr>
              <w:t>Establish a common system of certification cover marine RLF (including production in third countries)</w:t>
            </w:r>
          </w:p>
        </w:tc>
        <w:tc>
          <w:tcPr>
            <w:tcW w:w="3326" w:type="dxa"/>
          </w:tcPr>
          <w:p>
            <w:pPr>
              <w:pStyle w:val="ListParagraph"/>
              <w:numPr>
                <w:ilvl w:val="0"/>
                <w:numId w:val="9"/>
              </w:numPr>
              <w:rPr>
                <w:noProof/>
                <w:sz w:val="19"/>
                <w:szCs w:val="19"/>
              </w:rPr>
            </w:pPr>
            <w:r>
              <w:rPr>
                <w:noProof/>
                <w:sz w:val="19"/>
                <w:szCs w:val="19"/>
              </w:rPr>
              <w:t>Average distance of last journeys of vessel calling EU ports</w:t>
            </w:r>
          </w:p>
          <w:p>
            <w:pPr>
              <w:pStyle w:val="ListParagraph"/>
              <w:numPr>
                <w:ilvl w:val="0"/>
                <w:numId w:val="9"/>
              </w:numPr>
              <w:rPr>
                <w:noProof/>
                <w:sz w:val="19"/>
                <w:szCs w:val="19"/>
              </w:rPr>
            </w:pPr>
            <w:r>
              <w:rPr>
                <w:noProof/>
                <w:sz w:val="19"/>
                <w:szCs w:val="19"/>
              </w:rPr>
              <w:t>Certification scheme established</w:t>
            </w:r>
          </w:p>
          <w:p>
            <w:pPr>
              <w:pStyle w:val="ListParagraph"/>
              <w:numPr>
                <w:ilvl w:val="0"/>
                <w:numId w:val="9"/>
              </w:numPr>
              <w:rPr>
                <w:noProof/>
                <w:sz w:val="19"/>
                <w:szCs w:val="19"/>
              </w:rPr>
            </w:pPr>
            <w:r>
              <w:rPr>
                <w:noProof/>
                <w:sz w:val="19"/>
                <w:szCs w:val="19"/>
              </w:rPr>
              <w:t>Number of non-EU fuel suppliers certified</w:t>
            </w:r>
          </w:p>
        </w:tc>
        <w:tc>
          <w:tcPr>
            <w:tcW w:w="2802" w:type="dxa"/>
          </w:tcPr>
          <w:p>
            <w:pPr>
              <w:pStyle w:val="ListParagraph"/>
              <w:numPr>
                <w:ilvl w:val="0"/>
                <w:numId w:val="9"/>
              </w:numPr>
              <w:rPr>
                <w:noProof/>
                <w:sz w:val="19"/>
                <w:szCs w:val="19"/>
              </w:rPr>
            </w:pPr>
            <w:r>
              <w:rPr>
                <w:noProof/>
                <w:sz w:val="19"/>
                <w:szCs w:val="19"/>
              </w:rPr>
              <w:t>EU MRV data</w:t>
            </w:r>
          </w:p>
          <w:p>
            <w:pPr>
              <w:pStyle w:val="ListParagraph"/>
              <w:numPr>
                <w:ilvl w:val="0"/>
                <w:numId w:val="9"/>
              </w:numPr>
              <w:rPr>
                <w:noProof/>
                <w:sz w:val="19"/>
                <w:szCs w:val="19"/>
              </w:rPr>
            </w:pPr>
            <w:r>
              <w:rPr>
                <w:noProof/>
                <w:sz w:val="19"/>
                <w:szCs w:val="19"/>
              </w:rPr>
              <w:t>Evaluation (survey targeted at fuel suppliers)</w:t>
            </w:r>
          </w:p>
        </w:tc>
      </w:tr>
    </w:tbl>
    <w:p>
      <w:pPr>
        <w:pStyle w:val="Caption"/>
        <w:rPr>
          <w:noProof/>
        </w:rPr>
      </w:pPr>
    </w:p>
    <w:sectPr>
      <w:headerReference w:type="even" r:id="rId100"/>
      <w:headerReference w:type="default" r:id="rId101"/>
      <w:footerReference w:type="even" r:id="rId102"/>
      <w:footerReference w:type="default" r:id="rId103"/>
      <w:headerReference w:type="first" r:id="rId104"/>
      <w:footerReference w:type="first" r:id="rId105"/>
      <w:pgSz w:w="16838" w:h="11906" w:orient="landscape"/>
      <w:pgMar w:top="1587" w:right="1020" w:bottom="1701" w:left="1020" w:header="601" w:footer="107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MT">
    <w:altName w:val="Times New Roman"/>
    <w:charset w:val="00"/>
    <w:family w:val="swiss"/>
    <w:pitch w:val="default"/>
  </w:font>
  <w:font w:name="Arial-ItalicMT">
    <w:altName w:val="Arial"/>
    <w:panose1 w:val="00000000000000000000"/>
    <w:charset w:val="00"/>
    <w:family w:val="roman"/>
    <w:notTrueType/>
    <w:pitch w:val="default"/>
  </w:font>
  <w:font w:name="Corpid E1s SCd Light">
    <w:altName w:val="Calibri"/>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7016487"/>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169</w:t>
        </w:r>
        <w:r>
          <w:rPr>
            <w:noProof/>
          </w:rPr>
          <w:fldChar w:fldCharType="end"/>
        </w:r>
      </w:p>
    </w:sdtContent>
  </w:sdt>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717931"/>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185</w:t>
        </w:r>
        <w:r>
          <w:rPr>
            <w:noProof/>
          </w:rPr>
          <w:fldChar w:fldCharType="end"/>
        </w:r>
      </w:p>
    </w:sdtContent>
  </w:sdt>
  <w:p>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158193"/>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172</w:t>
        </w:r>
        <w:r>
          <w:rPr>
            <w:noProof/>
          </w:rPr>
          <w:fldChar w:fldCharType="end"/>
        </w:r>
      </w:p>
    </w:sdtContent>
  </w:sdt>
  <w:p>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414817"/>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174</w:t>
        </w:r>
        <w:r>
          <w:rPr>
            <w:noProof/>
          </w:rPr>
          <w:fldChar w:fldCharType="end"/>
        </w:r>
      </w:p>
    </w:sdtContent>
  </w:sdt>
  <w:p>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2511627"/>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185</w:t>
        </w:r>
        <w:r>
          <w:rPr>
            <w:noProof/>
          </w:rPr>
          <w:fldChar w:fldCharType="end"/>
        </w:r>
      </w:p>
    </w:sdtContent>
  </w:sdt>
  <w:p>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PAGE</w:instrText>
    </w:r>
    <w:r>
      <w:fldChar w:fldCharType="separate"/>
    </w:r>
    <w:r>
      <w:rPr>
        <w:noProof/>
      </w:rPr>
      <w:t>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252755"/>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227544"/>
      <w:docPartObj>
        <w:docPartGallery w:val="Page Numbers (Bottom of Page)"/>
        <w:docPartUnique/>
      </w:docPartObj>
    </w:sdtPr>
    <w:sdtEndPr>
      <w:rPr>
        <w:noProof/>
      </w:rPr>
    </w:sdtEndPr>
    <w:sdtContent>
      <w:p>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Annex 5 provides greater information on the current maritime fuel mix and an overview of available alternative fuels for maritime transport and their maturity</w:t>
      </w:r>
    </w:p>
  </w:footnote>
  <w:footnote w:id="3">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EU Transport in figures, the statistical pocketbook 2020, </w:t>
      </w:r>
      <w:hyperlink r:id="rId1" w:history="1">
        <w:r>
          <w:rPr>
            <w:rStyle w:val="Hyperlink"/>
            <w:rFonts w:ascii="Times New Roman" w:hAnsi="Times New Roman" w:cs="Times New Roman"/>
            <w:sz w:val="18"/>
          </w:rPr>
          <w:t>https://ec.europa.eu/transport/media/media-corner/publications_en</w:t>
        </w:r>
      </w:hyperlink>
      <w:r>
        <w:rPr>
          <w:rFonts w:ascii="Times New Roman" w:hAnsi="Times New Roman" w:cs="Times New Roman"/>
          <w:sz w:val="18"/>
        </w:rPr>
        <w:t xml:space="preserve"> </w:t>
      </w:r>
    </w:p>
  </w:footnote>
  <w:footnote w:id="4">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lang w:val="en-IE"/>
        </w:rPr>
        <w:t xml:space="preserve"> </w:t>
      </w:r>
      <w:hyperlink r:id="rId2" w:history="1">
        <w:r>
          <w:rPr>
            <w:rStyle w:val="Hyperlink"/>
            <w:rFonts w:ascii="Times New Roman" w:hAnsi="Times New Roman" w:cs="Times New Roman"/>
            <w:sz w:val="18"/>
            <w:lang w:val="en-IE"/>
          </w:rPr>
          <w:t>https://www.cedelft.eu/publicatie/stream_freight_transport_2016/1855</w:t>
        </w:r>
      </w:hyperlink>
      <w:r>
        <w:rPr>
          <w:rFonts w:ascii="Times New Roman" w:hAnsi="Times New Roman" w:cs="Times New Roman"/>
          <w:sz w:val="18"/>
          <w:lang w:val="en-IE"/>
        </w:rPr>
        <w:t>, TRT</w:t>
      </w:r>
    </w:p>
  </w:footnote>
  <w:footnote w:id="5">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In particular, emissions of sulphur oxides (SOx), nitrous oxides (NOx) and their derivative (e.g. ozone) as well as primary and secondary particulate matter (PM)</w:t>
      </w:r>
    </w:p>
  </w:footnote>
  <w:footnote w:id="6">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Notably emissions of carbon dioxide (CO</w:t>
      </w:r>
      <w:r>
        <w:rPr>
          <w:rFonts w:ascii="Times New Roman" w:hAnsi="Times New Roman" w:cs="Times New Roman"/>
          <w:sz w:val="18"/>
          <w:vertAlign w:val="subscript"/>
        </w:rPr>
        <w:t>2</w:t>
      </w:r>
      <w:r>
        <w:rPr>
          <w:rFonts w:ascii="Times New Roman" w:hAnsi="Times New Roman" w:cs="Times New Roman"/>
          <w:sz w:val="18"/>
        </w:rPr>
        <w:t>). When relevant, other non-CO</w:t>
      </w:r>
      <w:r>
        <w:rPr>
          <w:rFonts w:ascii="Times New Roman" w:hAnsi="Times New Roman" w:cs="Times New Roman"/>
          <w:sz w:val="18"/>
          <w:vertAlign w:val="subscript"/>
        </w:rPr>
        <w:t>2</w:t>
      </w:r>
      <w:r>
        <w:rPr>
          <w:rFonts w:ascii="Times New Roman" w:hAnsi="Times New Roman" w:cs="Times New Roman"/>
          <w:sz w:val="18"/>
        </w:rPr>
        <w:t xml:space="preserve"> greenhouse gases will also be considered in this report, in particular methane (CH</w:t>
      </w:r>
      <w:r>
        <w:rPr>
          <w:rFonts w:ascii="Times New Roman" w:hAnsi="Times New Roman" w:cs="Times New Roman"/>
          <w:sz w:val="18"/>
          <w:vertAlign w:val="subscript"/>
        </w:rPr>
        <w:t>4</w:t>
      </w:r>
      <w:r>
        <w:rPr>
          <w:rFonts w:ascii="Times New Roman" w:hAnsi="Times New Roman" w:cs="Times New Roman"/>
          <w:sz w:val="18"/>
        </w:rPr>
        <w:t>) and nitrous oxide (N</w:t>
      </w:r>
      <w:r>
        <w:rPr>
          <w:rFonts w:ascii="Times New Roman" w:hAnsi="Times New Roman" w:cs="Times New Roman"/>
          <w:sz w:val="18"/>
          <w:vertAlign w:val="subscript"/>
        </w:rPr>
        <w:t>2</w:t>
      </w:r>
      <w:r>
        <w:rPr>
          <w:rFonts w:ascii="Times New Roman" w:hAnsi="Times New Roman" w:cs="Times New Roman"/>
          <w:sz w:val="18"/>
        </w:rPr>
        <w:t xml:space="preserve">O). </w:t>
      </w:r>
    </w:p>
  </w:footnote>
  <w:footnote w:id="7">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EEA, </w:t>
      </w:r>
      <w:hyperlink r:id="rId3" w:history="1">
        <w:r>
          <w:rPr>
            <w:rStyle w:val="Hyperlink"/>
            <w:rFonts w:ascii="Times New Roman" w:hAnsi="Times New Roman" w:cs="Times New Roman"/>
            <w:sz w:val="18"/>
          </w:rPr>
          <w:t>https://www.eea.europa.eu/data-and-maps/data/data-viewers/greenhouse-gases-viewer</w:t>
        </w:r>
      </w:hyperlink>
      <w:r>
        <w:rPr>
          <w:rFonts w:ascii="Times New Roman" w:hAnsi="Times New Roman" w:cs="Times New Roman"/>
          <w:sz w:val="18"/>
        </w:rPr>
        <w:t xml:space="preserve"> </w:t>
      </w:r>
    </w:p>
  </w:footnote>
  <w:footnote w:id="8">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lang w:val="en-IE"/>
        </w:rPr>
        <w:t xml:space="preserve"> COM(2019) 640 final</w:t>
      </w:r>
    </w:p>
  </w:footnote>
  <w:footnote w:id="9">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COM(2020) 80 final and COM(2020) 563 final</w:t>
      </w:r>
    </w:p>
  </w:footnote>
  <w:footnote w:id="10">
    <w:p>
      <w:pPr>
        <w:pStyle w:val="FootnoteText"/>
        <w:jc w:val="both"/>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Source: https://www.consilium.europa.eu/media/47296/1011-12-20-euco-conclusions-en.pdf</w:t>
      </w:r>
    </w:p>
  </w:footnote>
  <w:footnote w:id="11">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COM(2020) 562 final </w:t>
      </w:r>
    </w:p>
  </w:footnote>
  <w:footnote w:id="12">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COM(2020) 789 final</w:t>
      </w:r>
    </w:p>
  </w:footnote>
  <w:footnote w:id="13">
    <w:p>
      <w:pPr>
        <w:pStyle w:val="FootnoteText"/>
        <w:rPr>
          <w:sz w:val="18"/>
          <w:lang w:val="en-IE"/>
        </w:rPr>
      </w:pPr>
      <w:r>
        <w:rPr>
          <w:rStyle w:val="FootnoteReference"/>
          <w:sz w:val="18"/>
        </w:rPr>
        <w:footnoteRef/>
      </w:r>
      <w:r>
        <w:rPr>
          <w:sz w:val="18"/>
        </w:rPr>
        <w:t xml:space="preserve"> </w:t>
      </w:r>
      <w:hyperlink r:id="rId4" w:history="1">
        <w:r>
          <w:rPr>
            <w:rFonts w:ascii="Times New Roman" w:hAnsi="Times New Roman" w:cs="Times New Roman"/>
            <w:sz w:val="18"/>
          </w:rPr>
          <w:t>https://ec.europa.eu/info/law/better-regulation/have-your-say/initiatives/12588-EU-Action-Plan-Towards-a-Zero-Pollution-Ambition-for-air-water-and-soil</w:t>
        </w:r>
      </w:hyperlink>
      <w:r>
        <w:rPr>
          <w:rFonts w:ascii="Times New Roman" w:hAnsi="Times New Roman" w:cs="Times New Roman"/>
          <w:sz w:val="18"/>
        </w:rPr>
        <w:t xml:space="preserve"> </w:t>
      </w:r>
      <w:r>
        <w:rPr>
          <w:sz w:val="18"/>
        </w:rPr>
        <w:t xml:space="preserve"> </w:t>
      </w:r>
    </w:p>
  </w:footnote>
  <w:footnote w:id="14">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Directive 2003/87/EC </w:t>
      </w:r>
    </w:p>
  </w:footnote>
  <w:footnote w:id="15">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Council Directive 2003/96/EC </w:t>
      </w:r>
    </w:p>
  </w:footnote>
  <w:footnote w:id="16">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Directive 2014/94/EU – the Directive is currently being evaluated with a view to a possible revision: </w:t>
      </w:r>
      <w:hyperlink r:id="rId5" w:history="1">
        <w:r>
          <w:rPr>
            <w:rStyle w:val="Hyperlink"/>
            <w:rFonts w:ascii="Times New Roman" w:hAnsi="Times New Roman" w:cs="Times New Roman"/>
            <w:sz w:val="18"/>
          </w:rPr>
          <w:t>https://ec.europa.eu/info/law/better-regulation/have-your-say/initiatives/12251-Low-emission-vehicles-improving-the-EU-s-refuelling-recharging-infrastructure</w:t>
        </w:r>
      </w:hyperlink>
      <w:r>
        <w:rPr>
          <w:rFonts w:ascii="Times New Roman" w:hAnsi="Times New Roman" w:cs="Times New Roman"/>
          <w:sz w:val="18"/>
        </w:rPr>
        <w:t xml:space="preserve"> </w:t>
      </w:r>
    </w:p>
  </w:footnote>
  <w:footnote w:id="17">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Directive (EU) 2018/2001– the revision process for this Directive has already been launched: </w:t>
      </w:r>
      <w:hyperlink r:id="rId6" w:history="1">
        <w:r>
          <w:rPr>
            <w:rStyle w:val="Hyperlink"/>
            <w:rFonts w:ascii="Times New Roman" w:hAnsi="Times New Roman" w:cs="Times New Roman"/>
            <w:sz w:val="18"/>
          </w:rPr>
          <w:t>https://ec.europa.eu/info/law/better-regulation/have-your-say/initiatives/12553-Revision-of-the-Renewable-Energy-Directive-EU-2018-2001</w:t>
        </w:r>
      </w:hyperlink>
      <w:r>
        <w:rPr>
          <w:rFonts w:ascii="Times New Roman" w:hAnsi="Times New Roman" w:cs="Times New Roman"/>
          <w:sz w:val="18"/>
        </w:rPr>
        <w:t xml:space="preserve"> </w:t>
      </w:r>
    </w:p>
  </w:footnote>
  <w:footnote w:id="18">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7" w:history="1">
        <w:r>
          <w:rPr>
            <w:rStyle w:val="Hyperlink"/>
            <w:rFonts w:ascii="Times New Roman" w:hAnsi="Times New Roman" w:cs="Times New Roman"/>
            <w:sz w:val="18"/>
          </w:rPr>
          <w:t>https://www.waterborne.eu/</w:t>
        </w:r>
      </w:hyperlink>
      <w:r>
        <w:rPr>
          <w:rFonts w:ascii="Times New Roman" w:hAnsi="Times New Roman" w:cs="Times New Roman"/>
          <w:sz w:val="18"/>
        </w:rPr>
        <w:t xml:space="preserve"> </w:t>
      </w:r>
    </w:p>
  </w:footnote>
  <w:footnote w:id="19">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Communication from the Commission (2014/C 200/01), </w:t>
      </w:r>
      <w:r>
        <w:rPr>
          <w:rFonts w:ascii="Times New Roman" w:hAnsi="Times New Roman" w:cs="Times New Roman"/>
          <w:i/>
          <w:sz w:val="18"/>
        </w:rPr>
        <w:t xml:space="preserve">Guidelines on State aid for environmental protection and energy 2014-2020; </w:t>
      </w:r>
      <w:r>
        <w:rPr>
          <w:rFonts w:ascii="Times New Roman" w:hAnsi="Times New Roman" w:cs="Times New Roman"/>
          <w:sz w:val="18"/>
        </w:rPr>
        <w:t>the open public consultation runs between 12/11/2020 – 07/01/2021</w:t>
      </w:r>
    </w:p>
  </w:footnote>
  <w:footnote w:id="20">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SWD(2020) 176 final</w:t>
      </w:r>
    </w:p>
  </w:footnote>
  <w:footnote w:id="21">
    <w:p>
      <w:pPr>
        <w:pStyle w:val="FootnoteText"/>
        <w:rPr>
          <w:rFonts w:ascii="Times New Roman" w:hAnsi="Times New Roman" w:cs="Times New Roman"/>
          <w:i/>
          <w:sz w:val="18"/>
        </w:rPr>
      </w:pPr>
      <w:r>
        <w:rPr>
          <w:rStyle w:val="FootnoteReference"/>
          <w:rFonts w:ascii="Times New Roman" w:hAnsi="Times New Roman" w:cs="Times New Roman"/>
          <w:sz w:val="18"/>
        </w:rPr>
        <w:footnoteRef/>
      </w:r>
      <w:r>
        <w:rPr>
          <w:rFonts w:ascii="Times New Roman" w:hAnsi="Times New Roman" w:cs="Times New Roman"/>
          <w:sz w:val="18"/>
        </w:rPr>
        <w:t xml:space="preserve"> COM(2016)501 final</w:t>
      </w:r>
      <w:r>
        <w:rPr>
          <w:rFonts w:ascii="Times New Roman" w:hAnsi="Times New Roman" w:cs="Times New Roman"/>
          <w:i/>
          <w:sz w:val="18"/>
        </w:rPr>
        <w:t xml:space="preserve"> </w:t>
      </w:r>
    </w:p>
  </w:footnote>
  <w:footnote w:id="22">
    <w:p>
      <w:pPr>
        <w:pStyle w:val="FootnoteText"/>
        <w:rPr>
          <w:rFonts w:ascii="Times New Roman" w:hAnsi="Times New Roman" w:cs="Times New Roman"/>
          <w:i/>
          <w:iCs/>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w:t>
      </w:r>
      <w:r>
        <w:rPr>
          <w:rFonts w:ascii="Times New Roman" w:hAnsi="Times New Roman" w:cs="Times New Roman"/>
          <w:sz w:val="18"/>
          <w:lang w:val="en-IE"/>
        </w:rPr>
        <w:t>COM(2013) 479 final</w:t>
      </w:r>
    </w:p>
  </w:footnote>
  <w:footnote w:id="23">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w:t>
      </w:r>
      <w:r>
        <w:rPr>
          <w:rFonts w:ascii="Times New Roman" w:hAnsi="Times New Roman" w:cs="Times New Roman"/>
          <w:sz w:val="18"/>
          <w:lang w:val="en-IE"/>
        </w:rPr>
        <w:t>SWD(2016) 326 final</w:t>
      </w:r>
    </w:p>
  </w:footnote>
  <w:footnote w:id="24">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8" w:history="1">
        <w:r>
          <w:rPr>
            <w:rStyle w:val="Hyperlink"/>
            <w:rFonts w:ascii="Times New Roman" w:hAnsi="Times New Roman" w:cs="Times New Roman"/>
            <w:sz w:val="18"/>
          </w:rPr>
          <w:t>https://www.consilium.europa.eu/media/44311/st08648-en20.pdf</w:t>
        </w:r>
      </w:hyperlink>
      <w:r>
        <w:rPr>
          <w:rFonts w:ascii="Times New Roman" w:hAnsi="Times New Roman" w:cs="Times New Roman"/>
          <w:sz w:val="18"/>
        </w:rPr>
        <w:t xml:space="preserve"> </w:t>
      </w:r>
    </w:p>
  </w:footnote>
  <w:footnote w:id="25">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Regulation (EU) 2015/757 </w:t>
      </w:r>
    </w:p>
  </w:footnote>
  <w:footnote w:id="26">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Annex I of the Regulation expresses the method for calculating CO</w:t>
      </w:r>
      <w:r>
        <w:rPr>
          <w:rFonts w:ascii="Times New Roman" w:hAnsi="Times New Roman" w:cs="Times New Roman"/>
          <w:sz w:val="18"/>
          <w:vertAlign w:val="subscript"/>
        </w:rPr>
        <w:t>2</w:t>
      </w:r>
      <w:r>
        <w:rPr>
          <w:rFonts w:ascii="Times New Roman" w:hAnsi="Times New Roman" w:cs="Times New Roman"/>
          <w:sz w:val="18"/>
        </w:rPr>
        <w:t xml:space="preserve"> emissions as the product of the amount of fuel used multiplied by the appropriate emission factor corresponding to the type of fuel used.</w:t>
      </w:r>
    </w:p>
  </w:footnote>
  <w:footnote w:id="27">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Currently, 97% of the fuel reported under MRV is constituted of HFO, MGO or MDO. </w:t>
      </w:r>
    </w:p>
  </w:footnote>
  <w:footnote w:id="28">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Directive (EU) 2016/802 </w:t>
      </w:r>
    </w:p>
  </w:footnote>
  <w:footnote w:id="29">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COM(2020) 301 final </w:t>
      </w:r>
    </w:p>
  </w:footnote>
  <w:footnote w:id="30">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COM(2020) 299 final </w:t>
      </w:r>
    </w:p>
  </w:footnote>
  <w:footnote w:id="31">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COM(2020) 562 final</w:t>
      </w:r>
    </w:p>
  </w:footnote>
  <w:footnote w:id="32">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9" w:history="1">
        <w:r>
          <w:rPr>
            <w:rStyle w:val="Hyperlink"/>
            <w:rFonts w:ascii="Times New Roman" w:hAnsi="Times New Roman" w:cs="Times New Roman"/>
            <w:sz w:val="18"/>
          </w:rPr>
          <w:t>http://www.imo.org/EN/Pages/Default.aspx</w:t>
        </w:r>
      </w:hyperlink>
      <w:r>
        <w:rPr>
          <w:rFonts w:ascii="Times New Roman" w:hAnsi="Times New Roman" w:cs="Times New Roman"/>
          <w:sz w:val="18"/>
        </w:rPr>
        <w:t xml:space="preserve"> - All EU Member States are also IMO members.</w:t>
      </w:r>
    </w:p>
  </w:footnote>
  <w:footnote w:id="33">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convention covers the prevention of pollution of the marine environment by ships from operational or accidental causes and contains a series of annexes addressing pollution from oil, noxious liquid substances in bulk, packaged harmful substances, sewage from ships, garbage from ships and the prevention of air pollution from ships. </w:t>
      </w:r>
      <w:hyperlink r:id="rId10" w:history="1">
        <w:r>
          <w:rPr>
            <w:rStyle w:val="Hyperlink"/>
            <w:rFonts w:ascii="Times New Roman" w:hAnsi="Times New Roman" w:cs="Times New Roman"/>
            <w:sz w:val="18"/>
          </w:rPr>
          <w:t>http://www.imo.org/en/About/Conventions/ListOfConventions/Pages/International-Convention-for-the-Prevention-of-Pollution-from-Ships-(MARPOL).aspx</w:t>
        </w:r>
      </w:hyperlink>
      <w:r>
        <w:rPr>
          <w:rFonts w:ascii="Times New Roman" w:hAnsi="Times New Roman" w:cs="Times New Roman"/>
          <w:sz w:val="18"/>
        </w:rPr>
        <w:t xml:space="preserve"> </w:t>
      </w:r>
    </w:p>
  </w:footnote>
  <w:footnote w:id="34">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This is the case for Regulations 13 and 14 of MARPOL Annex VI respectively on NOx, SOx and PM.</w:t>
      </w:r>
    </w:p>
  </w:footnote>
  <w:footnote w:id="35">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full text of the Initial IMO Strategy can be found in the IMO submission to the Talanoa dialogue: </w:t>
      </w:r>
      <w:hyperlink r:id="rId11" w:history="1">
        <w:r>
          <w:rPr>
            <w:rStyle w:val="Hyperlink"/>
            <w:rFonts w:ascii="Times New Roman" w:hAnsi="Times New Roman" w:cs="Times New Roman"/>
            <w:sz w:val="18"/>
          </w:rPr>
          <w:t>https://unfccc.int/sites/default/files/resource/250_IMO%20submission_Talanoa%20Dialogue_April%202018.pdf</w:t>
        </w:r>
      </w:hyperlink>
      <w:r>
        <w:rPr>
          <w:rFonts w:ascii="Times New Roman" w:hAnsi="Times New Roman" w:cs="Times New Roman"/>
          <w:sz w:val="18"/>
        </w:rPr>
        <w:t xml:space="preserve"> The IMO initial strategy envisages in particular to reduce CO</w:t>
      </w:r>
      <w:r>
        <w:rPr>
          <w:rFonts w:ascii="Times New Roman" w:hAnsi="Times New Roman" w:cs="Times New Roman"/>
          <w:sz w:val="18"/>
          <w:vertAlign w:val="subscript"/>
        </w:rPr>
        <w:t>2</w:t>
      </w:r>
      <w:r>
        <w:rPr>
          <w:rFonts w:ascii="Times New Roman" w:hAnsi="Times New Roman" w:cs="Times New Roman"/>
          <w:sz w:val="18"/>
        </w:rPr>
        <w:t xml:space="preserve"> emissions per transport work, as an average across international shipping, by at least 40% by 2030, pursuing efforts towards 70% by 2050, compared to 2008. It also expects to peak GHG emissions from international shipping as soon as possible and to reduce the total annual GHG emissions by at least 50% by 2050 compared to 2008 whilst pursuing efforts towards phasing them out on a pathway of CO</w:t>
      </w:r>
      <w:r>
        <w:rPr>
          <w:rFonts w:ascii="Times New Roman" w:hAnsi="Times New Roman" w:cs="Times New Roman"/>
          <w:sz w:val="18"/>
          <w:vertAlign w:val="subscript"/>
        </w:rPr>
        <w:t>2</w:t>
      </w:r>
      <w:r>
        <w:rPr>
          <w:rFonts w:ascii="Times New Roman" w:hAnsi="Times New Roman" w:cs="Times New Roman"/>
          <w:sz w:val="18"/>
        </w:rPr>
        <w:t xml:space="preserve"> emissions reduction consistent with the Paris Agreement temperature goals. The strategy will be subject to a revision in 2023.</w:t>
      </w:r>
    </w:p>
  </w:footnote>
  <w:footnote w:id="36">
    <w:p>
      <w:pPr>
        <w:pStyle w:val="FootnoteText"/>
        <w:jc w:val="both"/>
        <w:rPr>
          <w:sz w:val="18"/>
        </w:rPr>
      </w:pPr>
      <w:r>
        <w:rPr>
          <w:rStyle w:val="FootnoteReference"/>
          <w:sz w:val="18"/>
        </w:rPr>
        <w:footnoteRef/>
      </w:r>
      <w:r>
        <w:rPr>
          <w:sz w:val="18"/>
        </w:rPr>
        <w:t xml:space="preserve"> </w:t>
      </w:r>
      <w:r>
        <w:rPr>
          <w:rFonts w:ascii="Times New Roman" w:hAnsi="Times New Roman" w:cs="Times New Roman"/>
          <w:sz w:val="18"/>
        </w:rPr>
        <w:t>https://www.imo.org/en/MediaCentre/PressBriefings/Pages/42-MEPC-short-term-measure.aspx</w:t>
      </w:r>
    </w:p>
  </w:footnote>
  <w:footnote w:id="37">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EU submission to the 7</w:t>
      </w:r>
      <w:r>
        <w:rPr>
          <w:rFonts w:ascii="Times New Roman" w:hAnsi="Times New Roman" w:cs="Times New Roman"/>
          <w:sz w:val="18"/>
          <w:vertAlign w:val="superscript"/>
        </w:rPr>
        <w:t>th</w:t>
      </w:r>
      <w:r>
        <w:rPr>
          <w:rFonts w:ascii="Times New Roman" w:hAnsi="Times New Roman" w:cs="Times New Roman"/>
          <w:sz w:val="18"/>
        </w:rPr>
        <w:t xml:space="preserve"> meeting of the Intersessional Meeting of the Working Group on Reduction of GHG emissions from ships from the IMO (ISWG-GHG 7/5/9), which suggests methodological elements on how to develop fuel lifecycle guidelines based on sustainability and GHG emissions saving criteria to incentivize the uptake of alternative fuels at global level.</w:t>
      </w:r>
    </w:p>
  </w:footnote>
  <w:footnote w:id="38">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12" w:history="1">
        <w:r>
          <w:rPr>
            <w:rStyle w:val="Hyperlink"/>
            <w:rFonts w:ascii="Times New Roman" w:hAnsi="Times New Roman" w:cs="Times New Roman"/>
            <w:sz w:val="18"/>
          </w:rPr>
          <w:t>http://www.imo.org/en/OurWork/Safety/SafetyTopics/Pages/IGF-Code.aspx</w:t>
        </w:r>
      </w:hyperlink>
      <w:r>
        <w:rPr>
          <w:rFonts w:ascii="Times New Roman" w:hAnsi="Times New Roman" w:cs="Times New Roman"/>
          <w:sz w:val="18"/>
        </w:rPr>
        <w:t xml:space="preserve"> </w:t>
      </w:r>
    </w:p>
  </w:footnote>
  <w:footnote w:id="39">
    <w:p>
      <w:pPr>
        <w:pStyle w:val="FootnoteText"/>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shd w:val="clear" w:color="auto" w:fill="FFFFFF"/>
        </w:rPr>
        <w:t>COM (2018) 773</w:t>
      </w:r>
    </w:p>
  </w:footnote>
  <w:footnote w:id="40">
    <w:p>
      <w:pPr>
        <w:pStyle w:val="FootnoteText"/>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shd w:val="clear" w:color="auto" w:fill="FFFFFF"/>
        </w:rPr>
        <w:t>SWD/2020/176 final</w:t>
      </w:r>
    </w:p>
  </w:footnote>
  <w:footnote w:id="41">
    <w:p>
      <w:pPr>
        <w:pStyle w:val="FootnoteText"/>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lang w:val="en-US"/>
        </w:rPr>
        <w:t xml:space="preserve"> Source: https://eur-lex.europa.eu/legal-content/EN/TXT/?uri=CELEX%3A52020SC0331</w:t>
      </w:r>
    </w:p>
  </w:footnote>
  <w:footnote w:id="42">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If the scope of EU greenhouse gas emissions target would be additionally extended to all aviation and maritime emissions, the renewable and low carbon fuels would represent 13.5% of the energy used in the international maritime sector and 88% by 2050.</w:t>
      </w:r>
    </w:p>
  </w:footnote>
  <w:footnote w:id="43">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The shares of renewable and low carbon fuels presented in this section do not account for the contribution of on-shore supply. </w:t>
      </w:r>
    </w:p>
  </w:footnote>
  <w:footnote w:id="44">
    <w:p>
      <w:pPr>
        <w:pStyle w:val="FootnoteText"/>
        <w:jc w:val="both"/>
        <w:rPr>
          <w:lang w:val="en-IE"/>
        </w:rPr>
      </w:pPr>
      <w:r>
        <w:rPr>
          <w:rStyle w:val="FootnoteReference"/>
        </w:rPr>
        <w:footnoteRef/>
      </w:r>
      <w:r>
        <w:rPr>
          <w:lang w:val="en-IE"/>
        </w:rPr>
        <w:t xml:space="preserve"> </w:t>
      </w:r>
      <w:r>
        <w:rPr>
          <w:rFonts w:ascii="Times New Roman" w:hAnsi="Times New Roman" w:cs="Times New Roman"/>
          <w:sz w:val="18"/>
        </w:rPr>
        <w:t>The choice of 2008 as a base year for the emissions reduction projections in maritime transport is made to allow consistency with the IMO objectives that are all expressed in relation to 2008.</w:t>
      </w:r>
    </w:p>
  </w:footnote>
  <w:footnote w:id="45">
    <w:p>
      <w:pPr>
        <w:pStyle w:val="FootnoteText"/>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Source: </w:t>
      </w:r>
      <w:hyperlink r:id="rId13" w:history="1">
        <w:r>
          <w:rPr>
            <w:rStyle w:val="Hyperlink"/>
            <w:rFonts w:ascii="Times New Roman" w:hAnsi="Times New Roman" w:cs="Times New Roman"/>
            <w:sz w:val="18"/>
            <w:szCs w:val="18"/>
            <w:lang w:val="fr-BE"/>
          </w:rPr>
          <w:t>https://eur-lex.europa.eu/legal-content/EN/TXT/?uri=CELEX:52020SC0176</w:t>
        </w:r>
      </w:hyperlink>
      <w:r>
        <w:rPr>
          <w:rFonts w:ascii="Times New Roman" w:hAnsi="Times New Roman" w:cs="Times New Roman"/>
          <w:sz w:val="18"/>
          <w:szCs w:val="18"/>
          <w:lang w:val="fr-BE"/>
        </w:rPr>
        <w:t xml:space="preserve"> </w:t>
      </w:r>
    </w:p>
  </w:footnote>
  <w:footnote w:id="46">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European Commission, SWD(2020) 82 final, </w:t>
      </w:r>
      <w:r>
        <w:rPr>
          <w:rFonts w:ascii="Times New Roman" w:hAnsi="Times New Roman" w:cs="Times New Roman"/>
          <w:i/>
          <w:iCs/>
          <w:sz w:val="18"/>
        </w:rPr>
        <w:t xml:space="preserve">Report from the Commission 2019 Annual Report on CO2 Emissions from Maritime Transport </w:t>
      </w:r>
      <w:hyperlink r:id="rId14" w:history="1">
        <w:r>
          <w:rPr>
            <w:rStyle w:val="Hyperlink"/>
            <w:rFonts w:ascii="Times New Roman" w:hAnsi="Times New Roman" w:cs="Times New Roman"/>
            <w:sz w:val="18"/>
          </w:rPr>
          <w:t>https://ec.europa.eu/clima/sites/clima/files/transport/shipping/docs/swd_2020_82_en.pdf</w:t>
        </w:r>
      </w:hyperlink>
      <w:r>
        <w:rPr>
          <w:rFonts w:ascii="Times New Roman" w:hAnsi="Times New Roman" w:cs="Times New Roman"/>
          <w:sz w:val="18"/>
        </w:rPr>
        <w:t xml:space="preserve"> </w:t>
      </w:r>
    </w:p>
  </w:footnote>
  <w:footnote w:id="47">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remaining percent is constituted of methanol engines, gas and steam turbines, sails, batteries and non-propelled vessels.</w:t>
      </w:r>
    </w:p>
  </w:footnote>
  <w:footnote w:id="48">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MRV Regulation covers CO</w:t>
      </w:r>
      <w:r>
        <w:rPr>
          <w:rFonts w:ascii="Times New Roman" w:hAnsi="Times New Roman" w:cs="Times New Roman"/>
          <w:sz w:val="18"/>
          <w:vertAlign w:val="subscript"/>
        </w:rPr>
        <w:t>2</w:t>
      </w:r>
      <w:r>
        <w:rPr>
          <w:rFonts w:ascii="Times New Roman" w:hAnsi="Times New Roman" w:cs="Times New Roman"/>
          <w:sz w:val="18"/>
        </w:rPr>
        <w:t xml:space="preserve"> emissions produced by ships above 5000 gross tonnage carrying out voyages from or to a port in the EEA, when transporting goods or passengers for commercial purposes.</w:t>
      </w:r>
    </w:p>
  </w:footnote>
  <w:footnote w:id="49">
    <w:p>
      <w:pPr>
        <w:pStyle w:val="FootnoteText"/>
        <w:jc w:val="both"/>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By limiting the monitoring requirements to large ships, above 5000 gross tonnage, the MRV Regulation covers around 90% of all CO</w:t>
      </w:r>
      <w:r>
        <w:rPr>
          <w:rFonts w:ascii="Times New Roman" w:hAnsi="Times New Roman" w:cs="Times New Roman"/>
          <w:sz w:val="18"/>
          <w:vertAlign w:val="subscript"/>
        </w:rPr>
        <w:t>2</w:t>
      </w:r>
      <w:r>
        <w:rPr>
          <w:rFonts w:ascii="Times New Roman" w:hAnsi="Times New Roman" w:cs="Times New Roman"/>
          <w:sz w:val="18"/>
        </w:rPr>
        <w:t xml:space="preserve"> emissions, whilst only including ca 55% of all ships calling into EEA ports.</w:t>
      </w:r>
    </w:p>
  </w:footnote>
  <w:footnote w:id="50">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Annex 4 provides the assumptions and results for developments under current trends and policies (i.e. the baseline scenario).</w:t>
      </w:r>
    </w:p>
  </w:footnote>
  <w:footnote w:id="51">
    <w:p>
      <w:pPr>
        <w:pStyle w:val="FootnoteText"/>
        <w:jc w:val="both"/>
        <w:rPr>
          <w:sz w:val="18"/>
        </w:rPr>
      </w:pPr>
      <w:r>
        <w:rPr>
          <w:rStyle w:val="FootnoteReference"/>
          <w:sz w:val="18"/>
        </w:rPr>
        <w:footnoteRef/>
      </w:r>
      <w:r>
        <w:rPr>
          <w:sz w:val="18"/>
        </w:rPr>
        <w:t xml:space="preserve"> </w:t>
      </w:r>
      <w:r>
        <w:rPr>
          <w:rFonts w:ascii="Times New Roman" w:hAnsi="Times New Roman" w:cs="Times New Roman"/>
          <w:color w:val="000000" w:themeColor="text1"/>
          <w:sz w:val="18"/>
        </w:rPr>
        <w:t>In comparison, emissions from international shipping at global level are expected to continue growing to around 90-130% of 2008 emissions by 2050 for a range of plausible long-term economic and energy scenarios (</w:t>
      </w:r>
      <w:r>
        <w:rPr>
          <w:rFonts w:ascii="Times New Roman" w:hAnsi="Times New Roman" w:cs="Times New Roman"/>
          <w:sz w:val="18"/>
        </w:rPr>
        <w:t xml:space="preserve">IMO, Fourth Greenhouse Gas Study, 2020). These projections however do not take into account the impacts of the COVID-19 pandemics.  </w:t>
      </w:r>
    </w:p>
  </w:footnote>
  <w:footnote w:id="52">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r>
        <w:rPr>
          <w:rFonts w:ascii="Times New Roman" w:hAnsi="Times New Roman" w:cs="Times New Roman"/>
          <w:color w:val="000000" w:themeColor="text1"/>
          <w:sz w:val="18"/>
        </w:rPr>
        <w:t xml:space="preserve">See EEA, 2017, ‘Aviation and shipping — impacts on Europe's environment’, European Environment Agency Report No 22/2017, in particular section 4.2.: </w:t>
      </w:r>
      <w:hyperlink r:id="rId15" w:history="1">
        <w:r>
          <w:rPr>
            <w:rStyle w:val="Hyperlink"/>
            <w:rFonts w:ascii="Times New Roman" w:hAnsi="Times New Roman" w:cs="Times New Roman"/>
            <w:color w:val="000000" w:themeColor="text1"/>
            <w:sz w:val="18"/>
          </w:rPr>
          <w:t>https://www.eea.europa.eu/publications/term-report-2017</w:t>
        </w:r>
      </w:hyperlink>
      <w:r>
        <w:rPr>
          <w:rStyle w:val="Hyperlink"/>
          <w:rFonts w:ascii="Times New Roman" w:hAnsi="Times New Roman" w:cs="Times New Roman"/>
          <w:color w:val="000000" w:themeColor="text1"/>
          <w:sz w:val="18"/>
        </w:rPr>
        <w:t xml:space="preserve"> </w:t>
      </w:r>
    </w:p>
  </w:footnote>
  <w:footnote w:id="53">
    <w:p>
      <w:pPr>
        <w:spacing w:after="0" w:line="240" w:lineRule="auto"/>
        <w:rPr>
          <w:rFonts w:ascii="Times New Roman" w:eastAsia="Times New Roman" w:hAnsi="Times New Roman" w:cs="Times New Roman"/>
          <w:sz w:val="18"/>
          <w:szCs w:val="20"/>
          <w:lang w:eastAsia="fr-BE"/>
        </w:rPr>
      </w:pPr>
      <w:r>
        <w:rPr>
          <w:rStyle w:val="FootnoteReference"/>
          <w:sz w:val="18"/>
          <w:szCs w:val="20"/>
        </w:rPr>
        <w:footnoteRef/>
      </w:r>
      <w:r>
        <w:rPr>
          <w:rFonts w:ascii="Times New Roman" w:hAnsi="Times New Roman" w:cs="Times New Roman"/>
          <w:sz w:val="18"/>
          <w:szCs w:val="20"/>
        </w:rPr>
        <w:t xml:space="preserve"> </w:t>
      </w:r>
      <w:r>
        <w:rPr>
          <w:rFonts w:ascii="Times New Roman" w:eastAsia="Times New Roman" w:hAnsi="Times New Roman" w:cs="Times New Roman"/>
          <w:sz w:val="18"/>
          <w:szCs w:val="20"/>
          <w:lang w:eastAsia="fr-BE"/>
        </w:rPr>
        <w:t>EEA, 2013, The impact of international shipping on European air quality and climate forcing, Technical</w:t>
      </w:r>
    </w:p>
    <w:p>
      <w:pPr>
        <w:pStyle w:val="FootnoteText"/>
        <w:rPr>
          <w:rFonts w:ascii="Times New Roman" w:hAnsi="Times New Roman" w:cs="Times New Roman"/>
          <w:sz w:val="18"/>
        </w:rPr>
      </w:pPr>
      <w:r>
        <w:rPr>
          <w:rFonts w:ascii="Times New Roman" w:eastAsia="Times New Roman" w:hAnsi="Times New Roman" w:cs="Times New Roman"/>
          <w:sz w:val="18"/>
          <w:lang w:eastAsia="fr-BE"/>
        </w:rPr>
        <w:t xml:space="preserve">Report No 4/2013, European Environment Agency, </w:t>
      </w:r>
      <w:hyperlink r:id="rId16" w:history="1">
        <w:r>
          <w:rPr>
            <w:rStyle w:val="Hyperlink"/>
            <w:rFonts w:ascii="Times New Roman" w:eastAsia="Times New Roman" w:hAnsi="Times New Roman" w:cs="Times New Roman"/>
            <w:sz w:val="18"/>
            <w:lang w:eastAsia="fr-BE"/>
          </w:rPr>
          <w:t>https://www.eea.europa.eu/publications/the-impact-of-international-shipping</w:t>
        </w:r>
      </w:hyperlink>
    </w:p>
  </w:footnote>
  <w:footnote w:id="54">
    <w:p>
      <w:pPr>
        <w:spacing w:after="0" w:line="240" w:lineRule="auto"/>
        <w:jc w:val="both"/>
        <w:rPr>
          <w:rFonts w:ascii="Times New Roman" w:hAnsi="Times New Roman" w:cs="Times New Roman"/>
          <w:sz w:val="18"/>
          <w:szCs w:val="20"/>
        </w:rPr>
      </w:pPr>
      <w:r>
        <w:rPr>
          <w:rStyle w:val="FootnoteReference"/>
          <w:rFonts w:ascii="Times New Roman" w:hAnsi="Times New Roman" w:cs="Times New Roman"/>
          <w:sz w:val="18"/>
          <w:szCs w:val="20"/>
        </w:rPr>
        <w:footnoteRef/>
      </w:r>
      <w:hyperlink r:id="rId17" w:history="1">
        <w:r>
          <w:rPr>
            <w:rStyle w:val="Hyperlink"/>
            <w:rFonts w:ascii="Times New Roman" w:hAnsi="Times New Roman" w:cs="Times New Roman"/>
            <w:sz w:val="18"/>
            <w:szCs w:val="20"/>
          </w:rPr>
          <w:t>https://www.iiasa.ac.at/web/home/research/researchPrograms/air/Shipping_emissions_reductions_main.pdf</w:t>
        </w:r>
      </w:hyperlink>
      <w:r>
        <w:rPr>
          <w:rFonts w:ascii="Times New Roman" w:hAnsi="Times New Roman" w:cs="Times New Roman"/>
          <w:sz w:val="18"/>
          <w:szCs w:val="20"/>
        </w:rPr>
        <w:t xml:space="preserve"> </w:t>
      </w:r>
    </w:p>
  </w:footnote>
  <w:footnote w:id="55">
    <w:p>
      <w:pPr>
        <w:pStyle w:val="FootnoteText"/>
        <w:rPr>
          <w:rFonts w:ascii="Times New Roman" w:hAnsi="Times New Roman" w:cs="Times New Roman"/>
          <w:sz w:val="18"/>
        </w:rPr>
      </w:pPr>
      <w:r>
        <w:rPr>
          <w:rStyle w:val="FootnoteReference"/>
          <w:sz w:val="18"/>
        </w:rPr>
        <w:footnoteRef/>
      </w:r>
      <w:r>
        <w:rPr>
          <w:sz w:val="18"/>
        </w:rPr>
        <w:t xml:space="preserve"> </w:t>
      </w:r>
      <w:r>
        <w:rPr>
          <w:rFonts w:ascii="Times New Roman" w:hAnsi="Times New Roman" w:cs="Times New Roman"/>
          <w:sz w:val="18"/>
        </w:rPr>
        <w:t>COM(2018) 188 final</w:t>
      </w:r>
    </w:p>
  </w:footnote>
  <w:footnote w:id="56">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18" w:history="1">
        <w:r>
          <w:rPr>
            <w:rStyle w:val="Hyperlink"/>
            <w:rFonts w:ascii="Times New Roman" w:hAnsi="Times New Roman" w:cs="Times New Roman"/>
            <w:sz w:val="18"/>
          </w:rPr>
          <w:t>https://www.espo.be/media/Environmental%20Report-WEB-FINAL.pdf</w:t>
        </w:r>
      </w:hyperlink>
      <w:r>
        <w:rPr>
          <w:rFonts w:ascii="Times New Roman" w:hAnsi="Times New Roman" w:cs="Times New Roman"/>
          <w:sz w:val="18"/>
        </w:rPr>
        <w:t xml:space="preserve"> </w:t>
      </w:r>
    </w:p>
  </w:footnote>
  <w:footnote w:id="57">
    <w:p>
      <w:pPr>
        <w:pStyle w:val="FootnoteText"/>
        <w:rPr>
          <w:sz w:val="18"/>
        </w:rPr>
      </w:pPr>
      <w:r>
        <w:rPr>
          <w:rStyle w:val="FootnoteReference"/>
          <w:sz w:val="18"/>
        </w:rPr>
        <w:footnoteRef/>
      </w:r>
      <w:r>
        <w:rPr>
          <w:sz w:val="18"/>
        </w:rPr>
        <w:t xml:space="preserve"> </w:t>
      </w:r>
      <w:r>
        <w:rPr>
          <w:rFonts w:ascii="Times New Roman" w:hAnsi="Times New Roman" w:cs="Times New Roman"/>
          <w:sz w:val="18"/>
        </w:rPr>
        <w:t>For</w:t>
      </w:r>
      <w:r>
        <w:rPr>
          <w:rFonts w:ascii="Times New Roman" w:eastAsia="Times New Roman" w:hAnsi="Times New Roman" w:cs="Times New Roman"/>
          <w:sz w:val="18"/>
          <w:lang w:eastAsia="fr-BE"/>
        </w:rPr>
        <w:t xml:space="preserve"> more details</w:t>
      </w:r>
      <w:r>
        <w:rPr>
          <w:rFonts w:ascii="Times New Roman" w:hAnsi="Times New Roman" w:cs="Times New Roman"/>
          <w:sz w:val="18"/>
        </w:rPr>
        <w:t xml:space="preserve"> see chapter 2.2.4</w:t>
      </w:r>
    </w:p>
  </w:footnote>
  <w:footnote w:id="58">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Drawing on the common economic assessment underpinning the 2030 Climate Target Plan and the Sustainable and Smart Mobility Strategy, the scenario assessing a combination of carbon pricing and regulatory measures (so-called MIX) projects a share of 7.5% for 2030 and 86% by 2050.</w:t>
      </w:r>
    </w:p>
  </w:footnote>
  <w:footnote w:id="59">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choice of 2008 as a base year for the emissions reduction projections in maritime transport is made to allow consistency with the IMO objectives that are all expressed in relation to 2008. </w:t>
      </w:r>
    </w:p>
  </w:footnote>
  <w:footnote w:id="60">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IMO, Fourth Greenhouse Gas Study, 2020. The study was submitted to the Marine Environment Protection Committee (MEPC) in July 2020, as document MEPC 75/7/15  - the study can be downloaded via the IMODOCS website (registration required).</w:t>
      </w:r>
    </w:p>
  </w:footnote>
  <w:footnote w:id="61">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DNV GL (2019), Comparison of Alternative Marine Fuels, Study commissioned by SEA-LNG: </w:t>
      </w:r>
      <w:hyperlink r:id="rId19" w:history="1">
        <w:r>
          <w:rPr>
            <w:rStyle w:val="Hyperlink"/>
            <w:rFonts w:ascii="Times New Roman" w:hAnsi="Times New Roman" w:cs="Times New Roman"/>
            <w:sz w:val="18"/>
          </w:rPr>
          <w:t>https://sea-lng.org/wp-content/uploads/2020/04/Alternative-Marine-Fuels-Study_final_report_25.09.19.pdf</w:t>
        </w:r>
      </w:hyperlink>
      <w:r>
        <w:rPr>
          <w:rFonts w:ascii="Times New Roman" w:hAnsi="Times New Roman" w:cs="Times New Roman"/>
          <w:sz w:val="18"/>
        </w:rPr>
        <w:t xml:space="preserve"> </w:t>
      </w:r>
    </w:p>
  </w:footnote>
  <w:footnote w:id="62">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Note, however, that use of gas from fossil sources will not be sufficient to meet the EU climate objectives.</w:t>
      </w:r>
    </w:p>
  </w:footnote>
  <w:footnote w:id="63">
    <w:p>
      <w:pPr>
        <w:pStyle w:val="FootnoteText"/>
        <w:jc w:val="both"/>
        <w:rPr>
          <w:rFonts w:ascii="Times New Roman" w:hAnsi="Times New Roman" w:cs="Times New Roman"/>
        </w:rPr>
      </w:pPr>
      <w:r>
        <w:rPr>
          <w:rStyle w:val="FootnoteReference"/>
          <w:rFonts w:ascii="Times New Roman" w:hAnsi="Times New Roman" w:cs="Times New Roman"/>
          <w:sz w:val="18"/>
        </w:rPr>
        <w:footnoteRef/>
      </w:r>
      <w:r>
        <w:rPr>
          <w:rFonts w:ascii="Times New Roman" w:hAnsi="Times New Roman" w:cs="Times New Roman"/>
          <w:sz w:val="18"/>
        </w:rPr>
        <w:t xml:space="preserve"> For ships in navigation, while 28 % think RLF use will increase moderately. For ships at berth, that figure is 41 %. Looking towards 2050, the majority of TC respondents expects the RLF share to increase either moderately or significantly both for ships in navigation (69 %) and at berth (72 </w:t>
      </w:r>
      <w:r>
        <w:rPr>
          <w:rFonts w:ascii="Times New Roman" w:hAnsi="Times New Roman" w:cs="Times New Roman"/>
          <w:sz w:val="18"/>
          <w:szCs w:val="18"/>
        </w:rPr>
        <w:t>%).</w:t>
      </w:r>
    </w:p>
  </w:footnote>
  <w:footnote w:id="64">
    <w:p>
      <w:pPr>
        <w:pStyle w:val="FootnoteText"/>
        <w:rPr>
          <w:rFonts w:ascii="Times New Roman" w:hAnsi="Times New Roman" w:cs="Times New Roman"/>
          <w:sz w:val="16"/>
        </w:rPr>
      </w:pPr>
      <w:r>
        <w:rPr>
          <w:rStyle w:val="FootnoteReference"/>
          <w:rFonts w:ascii="Times New Roman" w:hAnsi="Times New Roman" w:cs="Times New Roman"/>
          <w:sz w:val="18"/>
        </w:rPr>
        <w:footnoteRef/>
      </w:r>
      <w:r>
        <w:rPr>
          <w:rFonts w:ascii="Times New Roman" w:hAnsi="Times New Roman" w:cs="Times New Roman"/>
          <w:sz w:val="18"/>
        </w:rPr>
        <w:t xml:space="preserve"> UNCTAD (2019), Review of maritime transport 2019, </w:t>
      </w:r>
      <w:hyperlink r:id="rId20" w:history="1">
        <w:r>
          <w:rPr>
            <w:rStyle w:val="Hyperlink"/>
            <w:rFonts w:ascii="Times New Roman" w:hAnsi="Times New Roman" w:cs="Times New Roman"/>
            <w:sz w:val="16"/>
          </w:rPr>
          <w:t>https://unctad.org/en/PublicationsLibrary/rmt2019_en.pdf</w:t>
        </w:r>
      </w:hyperlink>
      <w:r>
        <w:rPr>
          <w:rFonts w:ascii="Times New Roman" w:hAnsi="Times New Roman" w:cs="Times New Roman"/>
          <w:sz w:val="16"/>
        </w:rPr>
        <w:t xml:space="preserve"> </w:t>
      </w:r>
    </w:p>
  </w:footnote>
  <w:footnote w:id="65">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Smith et al. 2015, Stranded Assets and the Shipping Industry, </w:t>
      </w:r>
      <w:hyperlink r:id="rId21" w:history="1">
        <w:r>
          <w:rPr>
            <w:rStyle w:val="Hyperlink"/>
            <w:rFonts w:ascii="Times New Roman" w:hAnsi="Times New Roman" w:cs="Times New Roman"/>
            <w:sz w:val="14"/>
          </w:rPr>
          <w:t>https://www.researchgate.net/publication/321348262</w:t>
        </w:r>
      </w:hyperlink>
      <w:r>
        <w:rPr>
          <w:rFonts w:ascii="Times New Roman" w:hAnsi="Times New Roman" w:cs="Times New Roman"/>
          <w:sz w:val="18"/>
        </w:rPr>
        <w:t xml:space="preserve"> </w:t>
      </w:r>
    </w:p>
  </w:footnote>
  <w:footnote w:id="66">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In terms of maturity of emission reduction options, the fourth IMO GHG study categorises all fuel options with a relatively low rate (evolving maturity, sometimes with some unit available). </w:t>
      </w:r>
    </w:p>
  </w:footnote>
  <w:footnote w:id="67">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COM (1999) 317 final </w:t>
      </w:r>
    </w:p>
  </w:footnote>
  <w:footnote w:id="68">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LNG does not contain sulphur, which results in (almost) no SOx emissions (95% to 100% reduction compared to HFO) and almost no PM-emissions (90-100% compared to HFO). NOx emissions reductions depend on the type of engine used but vary between 40% and 80% compared to HFO. In addition, because LNG has a higher hydrogen-to-carbon ratio in comparison to conventional fuels, the specific CO</w:t>
      </w:r>
      <w:r>
        <w:rPr>
          <w:rFonts w:ascii="Times New Roman" w:hAnsi="Times New Roman" w:cs="Times New Roman"/>
          <w:sz w:val="18"/>
          <w:vertAlign w:val="subscript"/>
        </w:rPr>
        <w:t>2</w:t>
      </w:r>
      <w:r>
        <w:rPr>
          <w:rFonts w:ascii="Times New Roman" w:hAnsi="Times New Roman" w:cs="Times New Roman"/>
          <w:sz w:val="18"/>
        </w:rPr>
        <w:t xml:space="preserve"> emissions are lower by around 25% compared to HFO. The overall GHG impact depend on methane slip control but it can be reduced to 0% benefits compared to HFO. EMSA (2018) </w:t>
      </w:r>
      <w:r>
        <w:rPr>
          <w:rFonts w:ascii="Times New Roman" w:hAnsi="Times New Roman" w:cs="Times New Roman"/>
          <w:i/>
          <w:sz w:val="18"/>
        </w:rPr>
        <w:t>Guidance on LNG Bunkering to Port Authorities and Administrations</w:t>
      </w:r>
      <w:r>
        <w:rPr>
          <w:rFonts w:ascii="Times New Roman" w:hAnsi="Times New Roman" w:cs="Times New Roman"/>
          <w:sz w:val="18"/>
        </w:rPr>
        <w:t xml:space="preserve">, </w:t>
      </w:r>
    </w:p>
  </w:footnote>
  <w:footnote w:id="69">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22" w:history="1">
        <w:r>
          <w:rPr>
            <w:rStyle w:val="Hyperlink"/>
            <w:rFonts w:ascii="Times New Roman" w:hAnsi="Times New Roman" w:cs="Times New Roman"/>
            <w:sz w:val="18"/>
          </w:rPr>
          <w:t>https://www.eafo.eu/</w:t>
        </w:r>
      </w:hyperlink>
      <w:r>
        <w:rPr>
          <w:rFonts w:ascii="Times New Roman" w:hAnsi="Times New Roman" w:cs="Times New Roman"/>
          <w:sz w:val="18"/>
        </w:rPr>
        <w:t xml:space="preserve"> </w:t>
      </w:r>
    </w:p>
  </w:footnote>
  <w:footnote w:id="70">
    <w:p>
      <w:pPr>
        <w:pStyle w:val="FootnoteText"/>
        <w:rPr>
          <w:rFonts w:ascii="Times New Roman" w:hAnsi="Times New Roman" w:cs="Times New Roman"/>
        </w:rPr>
      </w:pPr>
      <w:r>
        <w:rPr>
          <w:rStyle w:val="FootnoteReference"/>
          <w:rFonts w:ascii="Times New Roman" w:hAnsi="Times New Roman" w:cs="Times New Roman"/>
          <w:sz w:val="18"/>
        </w:rPr>
        <w:footnoteRef/>
      </w:r>
      <w:r>
        <w:rPr>
          <w:rFonts w:ascii="Times New Roman" w:hAnsi="Times New Roman" w:cs="Times New Roman"/>
          <w:sz w:val="18"/>
        </w:rPr>
        <w:t xml:space="preserve"> See Stakeholder consultation report</w:t>
      </w:r>
    </w:p>
  </w:footnote>
  <w:footnote w:id="71">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Stopford (2009) – Maritime Economics, Third Edition, published by Routledge, Oxon.</w:t>
      </w:r>
    </w:p>
  </w:footnote>
  <w:footnote w:id="72">
    <w:p>
      <w:pPr>
        <w:pStyle w:val="FootnoteText"/>
      </w:pPr>
      <w:r>
        <w:rPr>
          <w:rStyle w:val="FootnoteReference"/>
        </w:rPr>
        <w:footnoteRef/>
      </w:r>
      <w:r>
        <w:t xml:space="preserve"> </w:t>
      </w:r>
      <w:hyperlink r:id="rId23" w:history="1">
        <w:r>
          <w:rPr>
            <w:rStyle w:val="Hyperlink"/>
            <w:rFonts w:ascii="Times New Roman" w:hAnsi="Times New Roman" w:cs="Times New Roman"/>
            <w:sz w:val="18"/>
            <w:szCs w:val="18"/>
          </w:rPr>
          <w:t>https://www.espo.be/media/ESPO%20Green%20Deal%20position%20paper%20Green%20Deal-FINAL_4.pdf</w:t>
        </w:r>
      </w:hyperlink>
      <w:r>
        <w:t xml:space="preserve"> </w:t>
      </w:r>
    </w:p>
  </w:footnote>
  <w:footnote w:id="73">
    <w:p>
      <w:pPr>
        <w:pStyle w:val="FootnoteText"/>
        <w:rPr>
          <w:sz w:val="18"/>
        </w:rPr>
      </w:pPr>
      <w:r>
        <w:rPr>
          <w:rStyle w:val="FootnoteReference"/>
          <w:sz w:val="18"/>
        </w:rPr>
        <w:footnoteRef/>
      </w:r>
      <w:r>
        <w:rPr>
          <w:sz w:val="18"/>
        </w:rPr>
        <w:t xml:space="preserve"> </w:t>
      </w:r>
      <w:r>
        <w:rPr>
          <w:rFonts w:ascii="Times New Roman" w:hAnsi="Times New Roman" w:cs="Times New Roman"/>
          <w:sz w:val="18"/>
        </w:rPr>
        <w:t xml:space="preserve">The Port of Rotterdam reports that 0.5% - 2% of fuels sold were biofuels or a biofuel mixture in 2019 (approximatley100 kilotons of fuel supplied). </w:t>
      </w:r>
    </w:p>
  </w:footnote>
  <w:footnote w:id="74">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Directive lists LNG and OPS as the two mature alternative fuels for waterborne transport. It foresees the provision of sufficient LNG bunkering capacity in all TEN-T Core ports by the end of 2025. While a similar approach in principle applies to OPS, the provisions may not apply if there is no demand and the costs are disproportionate to the benefits, including environmental benefits.</w:t>
      </w:r>
    </w:p>
  </w:footnote>
  <w:footnote w:id="75">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hyperlink r:id="rId24" w:history="1">
        <w:r>
          <w:rPr>
            <w:rStyle w:val="Hyperlink"/>
            <w:rFonts w:ascii="Times New Roman" w:hAnsi="Times New Roman" w:cs="Times New Roman"/>
            <w:sz w:val="18"/>
          </w:rPr>
          <w:t>https://ec.europa.eu/info/law/better-regulation/have-your-say/initiatives/2111-Evaluation-of-the-Alternative-Fuels-Infrastructure-Directive</w:t>
        </w:r>
      </w:hyperlink>
      <w:r>
        <w:rPr>
          <w:rFonts w:ascii="Times New Roman" w:hAnsi="Times New Roman" w:cs="Times New Roman"/>
          <w:sz w:val="18"/>
        </w:rPr>
        <w:t xml:space="preserve"> </w:t>
      </w:r>
    </w:p>
    <w:p>
      <w:pPr>
        <w:pStyle w:val="FootnoteText"/>
        <w:jc w:val="both"/>
        <w:rPr>
          <w:rFonts w:ascii="Times New Roman" w:hAnsi="Times New Roman" w:cs="Times New Roman"/>
          <w:sz w:val="18"/>
        </w:rPr>
      </w:pPr>
      <w:hyperlink r:id="rId25" w:history="1">
        <w:r>
          <w:rPr>
            <w:rStyle w:val="Hyperlink"/>
            <w:rFonts w:ascii="Times New Roman" w:hAnsi="Times New Roman" w:cs="Times New Roman"/>
            <w:sz w:val="18"/>
          </w:rPr>
          <w:t>https://ec.europa.eu/info/law/better-regulation/have-your-say/initiatives/12251-Revision-of-Alternative-Fuels-Infrastructure-Directive</w:t>
        </w:r>
      </w:hyperlink>
      <w:r>
        <w:rPr>
          <w:rFonts w:ascii="Times New Roman" w:hAnsi="Times New Roman" w:cs="Times New Roman"/>
          <w:sz w:val="18"/>
        </w:rPr>
        <w:t xml:space="preserve"> </w:t>
      </w:r>
    </w:p>
  </w:footnote>
  <w:footnote w:id="76">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26" w:history="1">
        <w:r>
          <w:rPr>
            <w:rStyle w:val="Hyperlink"/>
            <w:rFonts w:ascii="Times New Roman" w:hAnsi="Times New Roman" w:cs="Times New Roman"/>
            <w:sz w:val="18"/>
          </w:rPr>
          <w:t>https://www.eafo.eu/</w:t>
        </w:r>
      </w:hyperlink>
      <w:r>
        <w:rPr>
          <w:rFonts w:ascii="Times New Roman" w:hAnsi="Times New Roman" w:cs="Times New Roman"/>
          <w:sz w:val="18"/>
        </w:rPr>
        <w:t xml:space="preserve"> </w:t>
      </w:r>
    </w:p>
  </w:footnote>
  <w:footnote w:id="77">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This means that during this period, there were no dedicated bunkering facilities for ships and LNG bunkering was done via trucks, which is a rather sub-optimal solution for the maritime sector given the fuel quantities required. </w:t>
      </w:r>
    </w:p>
  </w:footnote>
  <w:footnote w:id="78">
    <w:p>
      <w:pPr>
        <w:pStyle w:val="FootnoteText"/>
      </w:pPr>
      <w:r>
        <w:rPr>
          <w:rStyle w:val="FootnoteReference"/>
        </w:rPr>
        <w:footnoteRef/>
      </w:r>
      <w:r>
        <w:t xml:space="preserve"> </w:t>
      </w:r>
      <w:hyperlink r:id="rId27" w:history="1">
        <w:r>
          <w:rPr>
            <w:rStyle w:val="Hyperlink"/>
            <w:rFonts w:ascii="Times New Roman" w:hAnsi="Times New Roman" w:cs="Times New Roman"/>
            <w:sz w:val="18"/>
          </w:rPr>
          <w:t>https://www.dnvgl.com/services/alternative-fuels-insight-128171</w:t>
        </w:r>
      </w:hyperlink>
      <w:r>
        <w:t xml:space="preserve"> </w:t>
      </w:r>
    </w:p>
  </w:footnote>
  <w:footnote w:id="79">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use of MGO is the principal compliance option for meeting the 0.10% sulphur requirements in SOx Emissions Control Areas (applicable as of 2015 in Europe in the Channel, the North Sea and the Baltic Sea). Next to LNG, the other alternative would be the use of HFO with exhaust gas cleaning system (SOx scrubbers), which also require investment in the ship engine. </w:t>
      </w:r>
    </w:p>
  </w:footnote>
  <w:footnote w:id="80">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28" w:history="1">
        <w:r>
          <w:rPr>
            <w:rStyle w:val="Hyperlink"/>
            <w:rFonts w:ascii="Times New Roman" w:hAnsi="Times New Roman" w:cs="Times New Roman"/>
            <w:sz w:val="18"/>
          </w:rPr>
          <w:t>https://maritimefairtrade.org/top-ten-bunkering-ports/</w:t>
        </w:r>
      </w:hyperlink>
      <w:r>
        <w:rPr>
          <w:rFonts w:ascii="Times New Roman" w:hAnsi="Times New Roman" w:cs="Times New Roman"/>
          <w:sz w:val="18"/>
        </w:rPr>
        <w:t xml:space="preserve"> </w:t>
      </w:r>
    </w:p>
  </w:footnote>
  <w:footnote w:id="81">
    <w:p>
      <w:pPr>
        <w:pStyle w:val="FootnoteText"/>
        <w:rPr>
          <w:rFonts w:ascii="Times New Roman" w:hAnsi="Times New Roman" w:cs="Times New Roman"/>
          <w:sz w:val="18"/>
          <w:lang w:val="it-IT"/>
        </w:rPr>
      </w:pPr>
      <w:r>
        <w:rPr>
          <w:rStyle w:val="FootnoteReference"/>
          <w:rFonts w:ascii="Times New Roman" w:hAnsi="Times New Roman" w:cs="Times New Roman"/>
          <w:sz w:val="18"/>
        </w:rPr>
        <w:footnoteRef/>
      </w:r>
      <w:r>
        <w:rPr>
          <w:rFonts w:ascii="Times New Roman" w:hAnsi="Times New Roman" w:cs="Times New Roman"/>
          <w:sz w:val="18"/>
          <w:lang w:val="it-IT"/>
        </w:rPr>
        <w:t xml:space="preserve"> Eurostat and IEA data</w:t>
      </w:r>
    </w:p>
  </w:footnote>
  <w:footnote w:id="82">
    <w:p>
      <w:pPr>
        <w:pStyle w:val="FootnoteText"/>
        <w:rPr>
          <w:sz w:val="18"/>
          <w:lang w:val="it-IT"/>
        </w:rPr>
      </w:pPr>
      <w:r>
        <w:rPr>
          <w:rStyle w:val="FootnoteReference"/>
          <w:rFonts w:ascii="Times New Roman" w:hAnsi="Times New Roman" w:cs="Times New Roman"/>
          <w:sz w:val="18"/>
        </w:rPr>
        <w:footnoteRef/>
      </w:r>
      <w:r>
        <w:rPr>
          <w:rFonts w:ascii="Times New Roman" w:hAnsi="Times New Roman" w:cs="Times New Roman"/>
          <w:sz w:val="18"/>
          <w:lang w:val="it-IT"/>
        </w:rPr>
        <w:t xml:space="preserve"> </w:t>
      </w:r>
      <w:hyperlink r:id="rId29" w:history="1">
        <w:r>
          <w:rPr>
            <w:rStyle w:val="Hyperlink"/>
            <w:rFonts w:ascii="Times New Roman" w:hAnsi="Times New Roman" w:cs="Times New Roman"/>
            <w:sz w:val="18"/>
            <w:lang w:val="it-IT"/>
          </w:rPr>
          <w:t>https://ec.europa.eu/clima/sites/clima/files/transport/shipping/docs/ghg_maritime_report_en.pdf</w:t>
        </w:r>
      </w:hyperlink>
      <w:r>
        <w:rPr>
          <w:rFonts w:ascii="Times New Roman" w:hAnsi="Times New Roman" w:cs="Times New Roman"/>
          <w:sz w:val="18"/>
          <w:lang w:val="it-IT"/>
        </w:rPr>
        <w:t xml:space="preserve"> </w:t>
      </w:r>
    </w:p>
  </w:footnote>
  <w:footnote w:id="83">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More details on the baseline scenario are provided in Annex 4. </w:t>
      </w:r>
    </w:p>
  </w:footnote>
  <w:footnote w:id="84">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Well to wake emissions also take into account the CH</w:t>
      </w:r>
      <w:r>
        <w:rPr>
          <w:rFonts w:ascii="Times New Roman" w:hAnsi="Times New Roman" w:cs="Times New Roman"/>
          <w:sz w:val="18"/>
          <w:vertAlign w:val="subscript"/>
        </w:rPr>
        <w:t>4</w:t>
      </w:r>
      <w:r>
        <w:rPr>
          <w:rFonts w:ascii="Times New Roman" w:hAnsi="Times New Roman" w:cs="Times New Roman"/>
          <w:sz w:val="18"/>
        </w:rPr>
        <w:t xml:space="preserve"> and N</w:t>
      </w:r>
      <w:r>
        <w:rPr>
          <w:rFonts w:ascii="Times New Roman" w:hAnsi="Times New Roman" w:cs="Times New Roman"/>
          <w:sz w:val="18"/>
          <w:vertAlign w:val="subscript"/>
        </w:rPr>
        <w:t>2</w:t>
      </w:r>
      <w:r>
        <w:rPr>
          <w:rFonts w:ascii="Times New Roman" w:hAnsi="Times New Roman" w:cs="Times New Roman"/>
          <w:sz w:val="18"/>
        </w:rPr>
        <w:t xml:space="preserve">O from methane slippage. </w:t>
      </w:r>
    </w:p>
  </w:footnote>
  <w:footnote w:id="85">
    <w:p>
      <w:pPr>
        <w:pStyle w:val="FootnoteText"/>
        <w:rPr>
          <w:rFonts w:ascii="Times New Roman" w:hAnsi="Times New Roman" w:cs="Times New Roman"/>
          <w:sz w:val="18"/>
        </w:rPr>
      </w:pPr>
      <w:r>
        <w:rPr>
          <w:rStyle w:val="FootnoteReference"/>
          <w:sz w:val="18"/>
        </w:rPr>
        <w:footnoteRef/>
      </w:r>
      <w:r>
        <w:rPr>
          <w:rFonts w:ascii="Times New Roman" w:hAnsi="Times New Roman" w:cs="Times New Roman"/>
          <w:sz w:val="18"/>
        </w:rPr>
        <w:t xml:space="preserve"> More details on the baseline scenario are provided in Annex 4.</w:t>
      </w:r>
    </w:p>
  </w:footnote>
  <w:footnote w:id="86">
    <w:p>
      <w:pPr>
        <w:pStyle w:val="FootnoteText"/>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More than 87% of the respondents in the OPC focusing on the demand-side. When asked about possible intervention, 76% of the respondents consider it very relevant or relevant to set a clear regulatory pathway for decarbonising the current marine fuel mix </w:t>
      </w:r>
    </w:p>
  </w:footnote>
  <w:footnote w:id="87">
    <w:p>
      <w:pPr>
        <w:pStyle w:val="FootnoteText"/>
        <w:jc w:val="both"/>
        <w:rPr>
          <w:sz w:val="18"/>
        </w:rPr>
      </w:pPr>
      <w:r>
        <w:rPr>
          <w:rStyle w:val="FootnoteReference"/>
          <w:sz w:val="18"/>
        </w:rPr>
        <w:footnoteRef/>
      </w:r>
      <w:r>
        <w:rPr>
          <w:sz w:val="18"/>
        </w:rPr>
        <w:t xml:space="preserve"> </w:t>
      </w:r>
      <w:r>
        <w:rPr>
          <w:rFonts w:ascii="Times New Roman" w:hAnsi="Times New Roman" w:cs="Times New Roman"/>
          <w:sz w:val="18"/>
        </w:rPr>
        <w:t>Further improvements in energy efficiency depend on the different types and combinations of energy saving technologies available for the different ship types and their use in operation. For example, shipyards estimate on average further EEDI improvements at 0-5%, wind assisted propulsion at 5-10% (albeit it is voyage dependent and is suitable primarily for bulk carriers and tankers), air lubrication at ca 5% (but not suitable for larger tankers and bulk carriers). Fouling control and speed reduction can bring additional savings, as well as waste heat recovery which has however limited performance at reduced speeds and is only suitable for certain ships with sufficient electrical load to absorb the power generated. These are estimates for individual ships, but considering a fleet level perspective – these percentages need to be adjusted to account for the fact that not all ships are compatible with these interventions. Source: ABS et al (forthcoming), “Decarbonisation of Shipping: Technical Study on the future of the Ship Energy Efficiency Design Index”.</w:t>
      </w:r>
    </w:p>
  </w:footnote>
  <w:footnote w:id="88">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maritime sector has already gone in the past through two transitions: from wind to steam, and from steam to oil. Even if in those cases the ‘next’ technologies were clearly identified, both transitions took around 50 years to complete. </w:t>
      </w:r>
    </w:p>
  </w:footnote>
  <w:footnote w:id="89">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This is also due to the fact that the use of alternative fuels is likely to be seen as an additional cost item as opposed to the introduction of fuel saving / efficiency technologies, where first movers would in principle be able to lower their fuel-related voyage costs. This would, in turn, allow them to either increase profit margins or be able to offer more competitive prices as a clear first mover advantage. </w:t>
      </w:r>
    </w:p>
  </w:footnote>
  <w:footnote w:id="90">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SWD(2020) 176 final.</w:t>
      </w:r>
    </w:p>
  </w:footnote>
  <w:footnote w:id="91">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This includes national plans being developed by the Netherlands, Sweden and Italy (in the form of their ‘Guidelines for Energy and Environmental Planning Documents of the Port System Authorities (DEASP)’. Non-EU Member States like the UK and Norway have also established their own plans. It is important to mention them in this respect as their objectives may affect short-sea shipping traffic to and from the EU. </w:t>
      </w:r>
    </w:p>
  </w:footnote>
  <w:footnote w:id="92">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Currently listed in the Initial IMO Strategy on reduction of GHG emissions from ships among candidate mid-term measures, i.e. measures to be agreed by the IMO between 2023 and 2030.</w:t>
      </w:r>
    </w:p>
  </w:footnote>
  <w:footnote w:id="93">
    <w:p>
      <w:pPr>
        <w:pStyle w:val="FootnoteText"/>
        <w:rPr>
          <w:rFonts w:ascii="Times New Roman" w:hAnsi="Times New Roman" w:cs="Times New Roman"/>
          <w:sz w:val="18"/>
          <w:szCs w:val="18"/>
        </w:rPr>
      </w:pPr>
      <w:r>
        <w:rPr>
          <w:rStyle w:val="FootnoteReference"/>
          <w:rFonts w:ascii="Times New Roman" w:hAnsi="Times New Roman" w:cs="Times New Roman"/>
          <w:sz w:val="22"/>
          <w:szCs w:val="22"/>
        </w:rPr>
        <w:footnoteRef/>
      </w:r>
      <w:r>
        <w:rPr>
          <w:rFonts w:ascii="Times New Roman" w:hAnsi="Times New Roman" w:cs="Times New Roman"/>
          <w:sz w:val="18"/>
          <w:szCs w:val="18"/>
        </w:rPr>
        <w:t xml:space="preserve"> SWD(2020) 331 final.</w:t>
      </w:r>
    </w:p>
  </w:footnote>
  <w:footnote w:id="94">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Well to wake emissions also take into account the CH</w:t>
      </w:r>
      <w:r>
        <w:rPr>
          <w:rFonts w:ascii="Times New Roman" w:hAnsi="Times New Roman" w:cs="Times New Roman"/>
          <w:sz w:val="18"/>
          <w:vertAlign w:val="subscript"/>
        </w:rPr>
        <w:t>4</w:t>
      </w:r>
      <w:r>
        <w:rPr>
          <w:rFonts w:ascii="Times New Roman" w:hAnsi="Times New Roman" w:cs="Times New Roman"/>
          <w:sz w:val="18"/>
        </w:rPr>
        <w:t xml:space="preserve"> and N</w:t>
      </w:r>
      <w:r>
        <w:rPr>
          <w:rFonts w:ascii="Times New Roman" w:hAnsi="Times New Roman" w:cs="Times New Roman"/>
          <w:sz w:val="18"/>
          <w:vertAlign w:val="subscript"/>
        </w:rPr>
        <w:t>2</w:t>
      </w:r>
      <w:r>
        <w:rPr>
          <w:rFonts w:ascii="Times New Roman" w:hAnsi="Times New Roman" w:cs="Times New Roman"/>
          <w:sz w:val="18"/>
        </w:rPr>
        <w:t xml:space="preserve">O from methane slippage. </w:t>
      </w:r>
    </w:p>
  </w:footnote>
  <w:footnote w:id="95">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These three ship categories represent roughly 40% of the emissions at berth, have among the highest levels of emissions per ship in port and belong to the first movers in the use of OPS.</w:t>
      </w:r>
    </w:p>
  </w:footnote>
  <w:footnote w:id="96">
    <w:p>
      <w:pPr>
        <w:pStyle w:val="FootnoteText"/>
      </w:pPr>
      <w:r>
        <w:rPr>
          <w:rStyle w:val="FootnoteReference"/>
        </w:rPr>
        <w:footnoteRef/>
      </w:r>
      <w:r>
        <w:t xml:space="preserve"> </w:t>
      </w:r>
      <w:r>
        <w:rPr>
          <w:rFonts w:ascii="Times New Roman" w:hAnsi="Times New Roman" w:cs="Times New Roman"/>
          <w:sz w:val="18"/>
        </w:rPr>
        <w:t xml:space="preserve">EMSA (2018) </w:t>
      </w:r>
      <w:r>
        <w:rPr>
          <w:rFonts w:ascii="Times New Roman" w:hAnsi="Times New Roman" w:cs="Times New Roman"/>
          <w:i/>
          <w:sz w:val="18"/>
        </w:rPr>
        <w:t>Guidance on LNG Bunkering to Port Authorities and Administrations</w:t>
      </w:r>
    </w:p>
  </w:footnote>
  <w:footnote w:id="97">
    <w:p>
      <w:pPr>
        <w:pStyle w:val="FootnoteText"/>
        <w:jc w:val="both"/>
      </w:pPr>
      <w:r>
        <w:rPr>
          <w:rStyle w:val="FootnoteReference"/>
        </w:rPr>
        <w:footnoteRef/>
      </w:r>
      <w:r>
        <w:t xml:space="preserve"> </w:t>
      </w:r>
      <w:r>
        <w:rPr>
          <w:rFonts w:ascii="Times New Roman" w:hAnsi="Times New Roman" w:cs="Times New Roman"/>
          <w:sz w:val="18"/>
        </w:rPr>
        <w:t>Theoretically, a new governance could be designed for the purpose of this initiative only, with reporting requirements different or separate from the existing EU MRV Regulation. This option has been discarded at an early stage of the analysis as disproportionate and unnecessary, also in view of the fact that one of the main objectives of the EU MRV Regulation is to provide a framework for the implementation of EU climate policies. Similarly for REDII, where any divergence from the definition and certification of RLF may create inconsistencies between EU regulatory provisions – at the moment or in the future. This applies to all PO.</w:t>
      </w:r>
    </w:p>
  </w:footnote>
  <w:footnote w:id="98">
    <w:p>
      <w:pPr>
        <w:pStyle w:val="FootnoteText"/>
        <w:jc w:val="both"/>
      </w:pPr>
      <w:r>
        <w:rPr>
          <w:rStyle w:val="FootnoteReference"/>
        </w:rPr>
        <w:footnoteRef/>
      </w:r>
      <w:r>
        <w:t xml:space="preserve"> </w:t>
      </w:r>
      <w:r>
        <w:rPr>
          <w:rFonts w:ascii="Times New Roman" w:hAnsi="Times New Roman" w:cs="Times New Roman"/>
          <w:sz w:val="18"/>
        </w:rPr>
        <w:t>The European Commission recognises a number of voluntary schemes that demonstrate compliance with the sustainability criteria for biofuels (at the moment). Schemes may adopt their verification procedures but must notify changes that might be relevant to the Commission, such as changes in auditing procedures. Examples of approved certification schemes under RED II can be found at: https://ec.europa.eu/energy/topics/renewable-energy/biofuels/voluntary-schemes_en#approved-voluntary-schemes</w:t>
      </w:r>
    </w:p>
  </w:footnote>
  <w:footnote w:id="9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For 2015 the average GHG intensity of marine fuels on well to wake basis is estimated at 87 gCO2eq/MJ. The emissions factors used are provided in Annex 4.</w:t>
      </w:r>
    </w:p>
  </w:footnote>
  <w:footnote w:id="100">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For 2015 the average GHG intensity of marine fuels on well to wake basis is estimated at 87 gCO2eq/MJ. The emissions factors used are provided in Annex 4.</w:t>
      </w:r>
    </w:p>
  </w:footnote>
  <w:footnote w:id="101">
    <w:p>
      <w:pPr>
        <w:pStyle w:val="FootnoteText"/>
        <w:jc w:val="both"/>
        <w:rPr>
          <w:rFonts w:ascii="Times New Roman" w:hAnsi="Times New Roman" w:cs="Times New Roman"/>
          <w:sz w:val="18"/>
          <w:lang w:val="en-US"/>
        </w:rPr>
      </w:pPr>
      <w:r>
        <w:rPr>
          <w:rStyle w:val="FootnoteReference"/>
          <w:rFonts w:ascii="Times New Roman" w:hAnsi="Times New Roman" w:cs="Times New Roman"/>
          <w:sz w:val="18"/>
        </w:rPr>
        <w:footnoteRef/>
      </w:r>
      <w:r>
        <w:rPr>
          <w:rFonts w:ascii="Times New Roman" w:hAnsi="Times New Roman" w:cs="Times New Roman"/>
          <w:sz w:val="18"/>
          <w:lang w:val="en-US"/>
        </w:rPr>
        <w:t xml:space="preserve"> In the open public consultation, 56% of the respondents (76/136) were</w:t>
      </w:r>
      <w:r>
        <w:rPr>
          <w:rFonts w:ascii="Times New Roman" w:hAnsi="Times New Roman" w:cs="Times New Roman"/>
          <w:sz w:val="18"/>
          <w:lang w:val="en-IE"/>
        </w:rPr>
        <w:t xml:space="preserve"> in favour of measuring environmental performance on a well-to-wake basis</w:t>
      </w:r>
      <w:r>
        <w:rPr>
          <w:rFonts w:ascii="Times New Roman" w:hAnsi="Times New Roman" w:cs="Times New Roman"/>
          <w:sz w:val="18"/>
          <w:lang w:val="en-US"/>
        </w:rPr>
        <w:t>.</w:t>
      </w:r>
    </w:p>
  </w:footnote>
  <w:footnote w:id="102">
    <w:p>
      <w:pPr>
        <w:pStyle w:val="FootnoteText"/>
        <w:jc w:val="both"/>
        <w:rPr>
          <w:rFonts w:ascii="Times New Roman" w:hAnsi="Times New Roman" w:cs="Times New Roman"/>
          <w:sz w:val="18"/>
          <w:lang w:val="en-US"/>
        </w:rPr>
      </w:pPr>
      <w:r>
        <w:rPr>
          <w:rStyle w:val="FootnoteReference"/>
          <w:rFonts w:ascii="Times New Roman" w:hAnsi="Times New Roman" w:cs="Times New Roman"/>
          <w:sz w:val="18"/>
        </w:rPr>
        <w:footnoteRef/>
      </w:r>
      <w:r>
        <w:rPr>
          <w:rFonts w:ascii="Times New Roman" w:hAnsi="Times New Roman" w:cs="Times New Roman"/>
          <w:sz w:val="18"/>
          <w:lang w:val="en-US"/>
        </w:rPr>
        <w:t xml:space="preserve"> </w:t>
      </w:r>
      <w:r>
        <w:rPr>
          <w:rFonts w:ascii="Times New Roman" w:hAnsi="Times New Roman" w:cs="Times New Roman"/>
          <w:sz w:val="18"/>
          <w:lang w:val="en-IE"/>
        </w:rPr>
        <w:t xml:space="preserve">55% (75/136) of the OPC respondents indicated that the measurement should </w:t>
      </w:r>
      <w:r>
        <w:rPr>
          <w:rFonts w:ascii="Times New Roman" w:hAnsi="Times New Roman" w:cs="Times New Roman"/>
          <w:sz w:val="18"/>
        </w:rPr>
        <w:t>take into account both GHG (including CH</w:t>
      </w:r>
      <w:r>
        <w:rPr>
          <w:rFonts w:ascii="Times New Roman" w:hAnsi="Times New Roman" w:cs="Times New Roman"/>
          <w:sz w:val="18"/>
          <w:vertAlign w:val="subscript"/>
        </w:rPr>
        <w:t>4</w:t>
      </w:r>
      <w:r>
        <w:rPr>
          <w:rFonts w:ascii="Times New Roman" w:hAnsi="Times New Roman" w:cs="Times New Roman"/>
          <w:sz w:val="18"/>
        </w:rPr>
        <w:t xml:space="preserve"> and N</w:t>
      </w:r>
      <w:r>
        <w:rPr>
          <w:rFonts w:ascii="Times New Roman" w:hAnsi="Times New Roman" w:cs="Times New Roman"/>
          <w:sz w:val="18"/>
          <w:vertAlign w:val="subscript"/>
        </w:rPr>
        <w:t>2</w:t>
      </w:r>
      <w:r>
        <w:rPr>
          <w:rFonts w:ascii="Times New Roman" w:hAnsi="Times New Roman" w:cs="Times New Roman"/>
          <w:sz w:val="18"/>
        </w:rPr>
        <w:t>O) and air quality emissions</w:t>
      </w:r>
      <w:r>
        <w:rPr>
          <w:rFonts w:ascii="Times New Roman" w:hAnsi="Times New Roman" w:cs="Times New Roman"/>
          <w:sz w:val="18"/>
          <w:lang w:val="en-US"/>
        </w:rPr>
        <w:t>. 26% (35/136) indicated that it should take into account just GHG. 12% (16/136) thought it should only focus on CO</w:t>
      </w:r>
      <w:r>
        <w:rPr>
          <w:rFonts w:ascii="Times New Roman" w:hAnsi="Times New Roman" w:cs="Times New Roman"/>
          <w:sz w:val="18"/>
          <w:vertAlign w:val="subscript"/>
          <w:lang w:val="en-US"/>
        </w:rPr>
        <w:t>2</w:t>
      </w:r>
      <w:r>
        <w:rPr>
          <w:rFonts w:ascii="Times New Roman" w:hAnsi="Times New Roman" w:cs="Times New Roman"/>
          <w:sz w:val="18"/>
          <w:lang w:val="en-US"/>
        </w:rPr>
        <w:t>.</w:t>
      </w:r>
    </w:p>
  </w:footnote>
  <w:footnote w:id="10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See the 2013 IA for the EU MRV proposal (SWD(2013) 236) and the 2019 IA for the revised MRV proposal (SWD(2019) 11).</w:t>
      </w:r>
    </w:p>
  </w:footnote>
  <w:footnote w:id="104">
    <w:p>
      <w:pPr>
        <w:pStyle w:val="FootnoteText"/>
        <w:jc w:val="both"/>
        <w:rPr>
          <w:rFonts w:ascii="Times New Roman" w:hAnsi="Times New Roman" w:cs="Times New Roman"/>
          <w:sz w:val="18"/>
          <w:lang w:val="en-US"/>
        </w:rPr>
      </w:pPr>
      <w:r>
        <w:rPr>
          <w:rStyle w:val="FootnoteReference"/>
          <w:rFonts w:ascii="Times New Roman" w:hAnsi="Times New Roman" w:cs="Times New Roman"/>
          <w:sz w:val="18"/>
        </w:rPr>
        <w:footnoteRef/>
      </w:r>
      <w:r>
        <w:rPr>
          <w:rFonts w:ascii="Times New Roman" w:hAnsi="Times New Roman" w:cs="Times New Roman"/>
          <w:sz w:val="18"/>
          <w:lang w:val="en-US"/>
        </w:rPr>
        <w:t xml:space="preserve"> The targeted consultation shows that 24% of the respondents chose the option ‘each individual ship’ (8/32), while ‘company fleet’ received support by 18% of the respondents (6/32). In addition, 50% did not indicate a preference by choosing the option ‘no answer’ (16/32).  </w:t>
      </w:r>
    </w:p>
  </w:footnote>
  <w:footnote w:id="105">
    <w:p>
      <w:pPr>
        <w:pStyle w:val="FootnoteText"/>
        <w:rPr>
          <w:sz w:val="18"/>
        </w:rPr>
      </w:pPr>
      <w:r>
        <w:rPr>
          <w:rStyle w:val="FootnoteReference"/>
          <w:rFonts w:ascii="Times New Roman" w:hAnsi="Times New Roman" w:cs="Times New Roman"/>
          <w:sz w:val="18"/>
        </w:rPr>
        <w:footnoteRef/>
      </w:r>
      <w:r>
        <w:rPr>
          <w:rFonts w:ascii="Times New Roman" w:hAnsi="Times New Roman" w:cs="Times New Roman"/>
          <w:sz w:val="18"/>
        </w:rPr>
        <w:t xml:space="preserve"> Alternative approaches are discussed in Annex 6.</w:t>
      </w:r>
      <w:r>
        <w:rPr>
          <w:sz w:val="18"/>
        </w:rPr>
        <w:t xml:space="preserve"> </w:t>
      </w:r>
    </w:p>
  </w:footnote>
  <w:footnote w:id="106">
    <w:p>
      <w:pPr>
        <w:pStyle w:val="FootnoteText"/>
        <w:jc w:val="both"/>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lang w:val="en-US"/>
        </w:rPr>
        <w:t xml:space="preserve"> </w:t>
      </w:r>
      <w:r>
        <w:rPr>
          <w:rFonts w:ascii="Times New Roman" w:hAnsi="Times New Roman" w:cs="Times New Roman"/>
          <w:sz w:val="18"/>
          <w:lang w:val="en-IE"/>
        </w:rPr>
        <w:t xml:space="preserve">The open public consultation indicates that </w:t>
      </w:r>
      <w:r>
        <w:rPr>
          <w:rFonts w:ascii="Times New Roman" w:hAnsi="Times New Roman" w:cs="Times New Roman"/>
          <w:sz w:val="18"/>
        </w:rPr>
        <w:t xml:space="preserve">there is no agreement among the respondents concerning the right geographical scope. The </w:t>
      </w:r>
      <w:r>
        <w:rPr>
          <w:rFonts w:ascii="Times New Roman" w:hAnsi="Times New Roman" w:cs="Times New Roman"/>
          <w:sz w:val="18"/>
          <w:lang w:val="en-IE"/>
        </w:rPr>
        <w:t>option ‘ships calling at ports of the EU’ received 30% of the responses (41/136), whilst 24% would prefer a scope taking into account ‘ships sailing in the territorial waters and Exclusive Economic Zones of the EU Member States’ (33/136). Only the proposal “ships bunkering in EU ports” received a very low rate of support, with 2% of responses (3/136).</w:t>
      </w:r>
    </w:p>
  </w:footnote>
  <w:footnote w:id="107">
    <w:p>
      <w:pPr>
        <w:pStyle w:val="FootnoteText"/>
        <w:rPr>
          <w:rFonts w:ascii="Times New Roman" w:hAnsi="Times New Roman" w:cs="Times New Roman"/>
          <w:i/>
          <w:iCs/>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w:t>
      </w:r>
      <w:r>
        <w:rPr>
          <w:rFonts w:ascii="Times New Roman" w:hAnsi="Times New Roman" w:cs="Times New Roman"/>
          <w:sz w:val="18"/>
          <w:lang w:val="en-IE"/>
        </w:rPr>
        <w:t>COM(2013) 479 final</w:t>
      </w:r>
    </w:p>
  </w:footnote>
  <w:footnote w:id="108">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30" w:history="1">
        <w:r>
          <w:rPr>
            <w:rStyle w:val="Hyperlink"/>
            <w:rFonts w:ascii="Times New Roman" w:hAnsi="Times New Roman" w:cs="Times New Roman"/>
            <w:sz w:val="18"/>
          </w:rPr>
          <w:t>https://ec.europa.eu/info/law/better-regulation/have-your-say/initiatives/12660-Updating-the-EU-Emissions-Trading-System</w:t>
        </w:r>
      </w:hyperlink>
      <w:r>
        <w:rPr>
          <w:rFonts w:ascii="Times New Roman" w:hAnsi="Times New Roman" w:cs="Times New Roman"/>
          <w:sz w:val="18"/>
        </w:rPr>
        <w:t xml:space="preserve"> </w:t>
      </w:r>
    </w:p>
  </w:footnote>
  <w:footnote w:id="109">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This is well documented in existing literature, such as Bouman et.al.(2017), which assesses the potential of different options, gathered in six main groups: hull design, power and propulsion, economies of scale, speed, weather routing and scheduling, fuels and alternative energy sources. - Bouman et.al.(2017), State-of-the-art technologies, measures, and potential for reducing greenhouse gas emissions from shipping –a review, Transportation Research Part D 52, 408-421</w:t>
      </w:r>
    </w:p>
  </w:footnote>
  <w:footnote w:id="110">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Relevant studies which have modelled a series of technical and operational measures in Marginal Abatement Costs Curves (MACC) for each vessel category:</w:t>
      </w:r>
    </w:p>
    <w:p>
      <w:pPr>
        <w:pStyle w:val="FootnoteText"/>
        <w:rPr>
          <w:rFonts w:ascii="Times New Roman" w:hAnsi="Times New Roman" w:cs="Times New Roman"/>
          <w:sz w:val="18"/>
        </w:rPr>
      </w:pPr>
      <w:r>
        <w:rPr>
          <w:rFonts w:ascii="Times New Roman" w:hAnsi="Times New Roman" w:cs="Times New Roman"/>
          <w:sz w:val="18"/>
        </w:rPr>
        <w:t xml:space="preserve"> CE DELFT 2011, </w:t>
      </w:r>
      <w:r>
        <w:rPr>
          <w:rFonts w:ascii="Times New Roman" w:hAnsi="Times New Roman" w:cs="Times New Roman"/>
          <w:i/>
          <w:sz w:val="18"/>
        </w:rPr>
        <w:t>Analysis of GHG Marginal Abatement Cost Curves,</w:t>
      </w:r>
      <w:r>
        <w:rPr>
          <w:rFonts w:ascii="Times New Roman" w:hAnsi="Times New Roman" w:cs="Times New Roman"/>
          <w:sz w:val="18"/>
        </w:rPr>
        <w:t xml:space="preserve"> </w:t>
      </w:r>
      <w:hyperlink r:id="rId31" w:history="1">
        <w:r>
          <w:rPr>
            <w:rStyle w:val="Hyperlink"/>
            <w:rFonts w:ascii="Times New Roman" w:hAnsi="Times New Roman" w:cs="Times New Roman"/>
            <w:sz w:val="18"/>
          </w:rPr>
          <w:t>https://www.cedelft.eu/publicatie/analysis_of_ghg_marginal_abatement_cost_curves/1155</w:t>
        </w:r>
      </w:hyperlink>
      <w:r>
        <w:rPr>
          <w:rFonts w:ascii="Times New Roman" w:hAnsi="Times New Roman" w:cs="Times New Roman"/>
          <w:sz w:val="18"/>
        </w:rPr>
        <w:t xml:space="preserve"> </w:t>
      </w:r>
    </w:p>
    <w:p>
      <w:pPr>
        <w:pStyle w:val="FootnoteText"/>
        <w:rPr>
          <w:rFonts w:ascii="Times New Roman" w:hAnsi="Times New Roman" w:cs="Times New Roman"/>
          <w:sz w:val="18"/>
        </w:rPr>
      </w:pPr>
      <w:r>
        <w:rPr>
          <w:rFonts w:ascii="Times New Roman" w:hAnsi="Times New Roman" w:cs="Times New Roman"/>
          <w:sz w:val="18"/>
        </w:rPr>
        <w:t xml:space="preserve">DNV 2010, </w:t>
      </w:r>
      <w:r>
        <w:rPr>
          <w:rFonts w:ascii="Times New Roman" w:hAnsi="Times New Roman" w:cs="Times New Roman"/>
          <w:i/>
          <w:sz w:val="18"/>
        </w:rPr>
        <w:t>Pathway to low carbon shipping, abatement potential towards 2030</w:t>
      </w:r>
    </w:p>
    <w:p>
      <w:pPr>
        <w:pStyle w:val="FootnoteText"/>
        <w:rPr>
          <w:rFonts w:ascii="Times New Roman" w:hAnsi="Times New Roman" w:cs="Times New Roman"/>
          <w:sz w:val="18"/>
        </w:rPr>
      </w:pPr>
      <w:r>
        <w:rPr>
          <w:rFonts w:ascii="Times New Roman" w:hAnsi="Times New Roman" w:cs="Times New Roman"/>
          <w:sz w:val="18"/>
        </w:rPr>
        <w:t>TNO 2015, “</w:t>
      </w:r>
      <w:r>
        <w:rPr>
          <w:rFonts w:ascii="Times New Roman" w:hAnsi="Times New Roman" w:cs="Times New Roman"/>
          <w:i/>
          <w:sz w:val="18"/>
        </w:rPr>
        <w:t>GHG emission reduction potential of EU-related maritime transport and on its impacts</w:t>
      </w:r>
      <w:r>
        <w:rPr>
          <w:rFonts w:ascii="Times New Roman" w:hAnsi="Times New Roman" w:cs="Times New Roman"/>
          <w:sz w:val="18"/>
        </w:rPr>
        <w:t xml:space="preserve">”, study funded by DG CLIMA and available at: </w:t>
      </w:r>
      <w:hyperlink r:id="rId32" w:history="1">
        <w:r>
          <w:rPr>
            <w:rStyle w:val="Hyperlink"/>
            <w:rFonts w:ascii="Times New Roman" w:hAnsi="Times New Roman" w:cs="Times New Roman"/>
            <w:sz w:val="18"/>
          </w:rPr>
          <w:t>https://ec.europa.eu/clima/sites/clima/files/transport/shipping/docs/report_ghg_reduction_potential_en.pdf</w:t>
        </w:r>
      </w:hyperlink>
      <w:r>
        <w:rPr>
          <w:rFonts w:ascii="Times New Roman" w:hAnsi="Times New Roman" w:cs="Times New Roman"/>
          <w:sz w:val="18"/>
        </w:rPr>
        <w:t xml:space="preserve"> </w:t>
      </w:r>
    </w:p>
  </w:footnote>
  <w:footnote w:id="111">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IMO (2020), Fourth IMO GHG Study</w:t>
      </w:r>
    </w:p>
  </w:footnote>
  <w:footnote w:id="112">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SWD(2020) 176 final.</w:t>
      </w:r>
    </w:p>
  </w:footnote>
  <w:footnote w:id="113">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analysis in this section is based on modelling performed by E3Modelling with the PRIMES-TREMOVE transport model and by TRT with the TRUST model, on the Ecorys et al (forthcoming) Assessment of impacts from accelerating the uptake of sustainable alternative fuels in maritime transport, and on the analysis of stakeholders' feedback. References to the sources of specific information and explanations of assumptions underlying various cost and benefits results are further presented in Annex 4.</w:t>
      </w:r>
    </w:p>
  </w:footnote>
  <w:footnote w:id="114">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RFNBOs follow the definition of the Renewables Energy Directive.</w:t>
      </w:r>
    </w:p>
  </w:footnote>
  <w:footnote w:id="115">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electricity to produce synthetic fuels (i.e. e-ammonia, e-methanol, synthetic diesel, synthetic fuel oil and e-gas) is projected to be the highest in PO1 (almost 2 TWh in 2030 and 246 TWh in 2050). This would represent around 0.1% of renewable electricity generation in 2030 and 4.7% by 2050. In PO3 the electricity to produce synthetic fuels is projected at around 0.6 TWh in 2030 and 2030 by 2050 (i.e. less than 0.1% of renewable electricity generation in 2030 and 4.4% in 2050). PO2 shows the lowest share of synthetic fuels in the energy mix and thus the lowest electricity needs to produce them (0.1 TWh in 2030 and 198 TWh in 2050). The electricity is primarily used to produce synthetic diesel blends and clean gas. More details are provided in Annex 4.</w:t>
      </w:r>
    </w:p>
  </w:footnote>
  <w:footnote w:id="116">
    <w:p>
      <w:pPr>
        <w:pStyle w:val="FootnoteText"/>
        <w:jc w:val="both"/>
        <w:rPr>
          <w:rFonts w:ascii="Times New Roman" w:hAnsi="Times New Roman" w:cs="Times New Roman"/>
          <w:sz w:val="18"/>
          <w:lang w:val="en-IE"/>
        </w:rPr>
      </w:pPr>
      <w:r>
        <w:rPr>
          <w:rStyle w:val="FootnoteReference"/>
          <w:rFonts w:ascii="Times New Roman" w:hAnsi="Times New Roman" w:cs="Times New Roman"/>
          <w:sz w:val="18"/>
        </w:rPr>
        <w:footnoteRef/>
      </w:r>
      <w:r>
        <w:rPr>
          <w:rFonts w:ascii="Times New Roman" w:hAnsi="Times New Roman" w:cs="Times New Roman"/>
          <w:sz w:val="18"/>
        </w:rPr>
        <w:t xml:space="preserve"> CAPEX related to OPS have been estimated by assuming OPS equipment installation </w:t>
      </w:r>
      <w:r>
        <w:rPr>
          <w:rFonts w:ascii="Times New Roman" w:hAnsi="Times New Roman" w:cs="Times New Roman"/>
          <w:sz w:val="18"/>
          <w:lang w:val="en-IE"/>
        </w:rPr>
        <w:t>on vessels powered by internal combustion engines (as opposed to electric ships or fuel cells) from the three ship types concerned by the OPS requirements. In terms of cost estimates, the valuation has been done using the high estimates from GloMEEP (</w:t>
      </w:r>
      <w:hyperlink r:id="rId33" w:history="1">
        <w:r>
          <w:rPr>
            <w:rStyle w:val="Hyperlink"/>
            <w:rFonts w:ascii="Times New Roman" w:hAnsi="Times New Roman" w:cs="Times New Roman"/>
            <w:sz w:val="18"/>
            <w:lang w:val="en-IE"/>
          </w:rPr>
          <w:t>https://glomeep.imo.org/technology/shore-power/</w:t>
        </w:r>
      </w:hyperlink>
      <w:r>
        <w:rPr>
          <w:rFonts w:ascii="Times New Roman" w:hAnsi="Times New Roman" w:cs="Times New Roman"/>
          <w:sz w:val="18"/>
          <w:lang w:val="en-IE"/>
        </w:rPr>
        <w:t xml:space="preserve">) taking into consideration the vessel size distribution on each of the ship types as observed in MRV reporting. </w:t>
      </w:r>
    </w:p>
  </w:footnote>
  <w:footnote w:id="117">
    <w:p>
      <w:pPr>
        <w:pStyle w:val="FootnoteText"/>
        <w:jc w:val="both"/>
        <w:rPr>
          <w:rFonts w:ascii="Times New Roman" w:hAnsi="Times New Roman" w:cs="Times New Roman"/>
          <w:sz w:val="18"/>
        </w:rPr>
      </w:pPr>
      <w:r>
        <w:rPr>
          <w:rStyle w:val="FootnoteReference"/>
          <w:sz w:val="18"/>
        </w:rPr>
        <w:footnoteRef/>
      </w:r>
      <w:r>
        <w:rPr>
          <w:sz w:val="18"/>
        </w:rPr>
        <w:t xml:space="preserve"> </w:t>
      </w:r>
      <w:r>
        <w:rPr>
          <w:rFonts w:ascii="Times New Roman" w:hAnsi="Times New Roman" w:cs="Times New Roman"/>
          <w:sz w:val="18"/>
        </w:rPr>
        <w:t>Annex IX Part A and Part B biofuels follow the definition of the Renewables Energy Directive.</w:t>
      </w:r>
    </w:p>
  </w:footnote>
  <w:footnote w:id="118">
    <w:p>
      <w:pPr>
        <w:pStyle w:val="FootnoteText"/>
        <w:jc w:val="both"/>
        <w:rPr>
          <w:rFonts w:ascii="Times New Roman" w:hAnsi="Times New Roman" w:cs="Times New Roman"/>
          <w:sz w:val="18"/>
        </w:rPr>
      </w:pPr>
      <w:r>
        <w:rPr>
          <w:rStyle w:val="FootnoteReference"/>
          <w:sz w:val="18"/>
        </w:rPr>
        <w:footnoteRef/>
      </w:r>
      <w:r>
        <w:rPr>
          <w:sz w:val="18"/>
        </w:rPr>
        <w:t xml:space="preserve"> </w:t>
      </w:r>
      <w:r>
        <w:rPr>
          <w:rFonts w:ascii="Times New Roman" w:hAnsi="Times New Roman" w:cs="Times New Roman"/>
          <w:sz w:val="18"/>
        </w:rPr>
        <w:t>Annex IX Part A and Part B biofuels follow the definition of the Renewables Energy Directive.</w:t>
      </w:r>
    </w:p>
  </w:footnote>
  <w:footnote w:id="119">
    <w:p>
      <w:pPr>
        <w:pStyle w:val="FootnoteText"/>
        <w:rPr>
          <w:rFonts w:ascii="Times New Roman" w:hAnsi="Times New Roman" w:cs="Times New Roman"/>
          <w:sz w:val="22"/>
          <w:lang w:val="en-US"/>
        </w:rPr>
      </w:pPr>
      <w:r>
        <w:rPr>
          <w:rStyle w:val="FootnoteReference"/>
          <w:rFonts w:ascii="Times New Roman" w:hAnsi="Times New Roman" w:cs="Times New Roman"/>
          <w:sz w:val="14"/>
          <w:szCs w:val="16"/>
        </w:rPr>
        <w:footnoteRef/>
      </w:r>
      <w:r>
        <w:rPr>
          <w:rFonts w:ascii="Times New Roman" w:hAnsi="Times New Roman" w:cs="Times New Roman"/>
          <w:sz w:val="18"/>
        </w:rPr>
        <w:t xml:space="preserve"> </w:t>
      </w:r>
      <w:r>
        <w:rPr>
          <w:rFonts w:ascii="Times New Roman" w:hAnsi="Times New Roman" w:cs="Times New Roman"/>
          <w:sz w:val="18"/>
          <w:szCs w:val="16"/>
          <w:lang w:val="en-US"/>
        </w:rPr>
        <w:t>DG CLIMA, MOVE (2013) – Impact assessment part 2 Accompanying the document Proposal for a Regulation of the European Parliament and of the Council on the monitoring, reporting and verification of carbon dioxide emissions from maritime transport and amending Regulation (EU) N° 525/2013</w:t>
      </w:r>
    </w:p>
  </w:footnote>
  <w:footnote w:id="120">
    <w:p>
      <w:pPr>
        <w:pStyle w:val="FootnoteText"/>
        <w:rPr>
          <w:sz w:val="18"/>
        </w:rPr>
      </w:pPr>
      <w:r>
        <w:rPr>
          <w:rStyle w:val="FootnoteReference"/>
          <w:sz w:val="18"/>
        </w:rPr>
        <w:footnoteRef/>
      </w:r>
      <w:r>
        <w:rPr>
          <w:sz w:val="18"/>
        </w:rPr>
        <w:t xml:space="preserve"> </w:t>
      </w:r>
      <w:r>
        <w:rPr>
          <w:rFonts w:ascii="Times New Roman" w:hAnsi="Times New Roman" w:cs="Times New Roman"/>
          <w:sz w:val="18"/>
        </w:rPr>
        <w:t>This means that either all suppliers and other stakeholders need to cooperate in the certification, or are already ISCC certified themselves.</w:t>
      </w:r>
    </w:p>
  </w:footnote>
  <w:footnote w:id="121">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r>
        <w:rPr>
          <w:rFonts w:ascii="Times New Roman" w:hAnsi="Times New Roman" w:cs="Times New Roman"/>
          <w:sz w:val="18"/>
          <w:szCs w:val="16"/>
          <w:lang w:val="en-US"/>
        </w:rPr>
        <w:t xml:space="preserve">According to the IA on the revision of the EU MRV Regulation, p. 51 (overview of administrative burden), verification costs turned out to be significantly lower than estimated in the 2013 EU MRV impact assessment: </w:t>
      </w:r>
      <w:hyperlink r:id="rId34" w:history="1">
        <w:r>
          <w:rPr>
            <w:rStyle w:val="Hyperlink"/>
            <w:rFonts w:ascii="Times New Roman" w:hAnsi="Times New Roman" w:cs="Times New Roman"/>
            <w:sz w:val="18"/>
            <w:szCs w:val="16"/>
            <w:lang w:val="en-US"/>
          </w:rPr>
          <w:t>https://ec.europa.eu/clima/sites/clima/files/transport/shipping/docs/swd_2019_10_en.pdf</w:t>
        </w:r>
      </w:hyperlink>
      <w:r>
        <w:rPr>
          <w:rFonts w:ascii="Times New Roman" w:hAnsi="Times New Roman" w:cs="Times New Roman"/>
          <w:sz w:val="18"/>
          <w:szCs w:val="16"/>
          <w:lang w:val="en-US"/>
        </w:rPr>
        <w:t xml:space="preserve"> </w:t>
      </w:r>
    </w:p>
  </w:footnote>
  <w:footnote w:id="122">
    <w:p>
      <w:pPr>
        <w:pStyle w:val="FootnoteText"/>
        <w:rPr>
          <w:rFonts w:ascii="Times New Roman" w:hAnsi="Times New Roman" w:cs="Times New Roman"/>
          <w:sz w:val="18"/>
          <w:lang w:val="fr-BE"/>
        </w:rPr>
      </w:pPr>
      <w:r>
        <w:rPr>
          <w:rStyle w:val="FootnoteReference"/>
          <w:rFonts w:ascii="Times New Roman" w:hAnsi="Times New Roman" w:cs="Times New Roman"/>
          <w:sz w:val="18"/>
        </w:rPr>
        <w:footnoteRef/>
      </w:r>
      <w:r>
        <w:rPr>
          <w:rFonts w:ascii="Times New Roman" w:hAnsi="Times New Roman" w:cs="Times New Roman"/>
          <w:sz w:val="18"/>
          <w:lang w:val="fr-BE"/>
        </w:rPr>
        <w:t xml:space="preserve"> </w:t>
      </w:r>
      <w:r>
        <w:rPr>
          <w:rFonts w:ascii="Times New Roman" w:hAnsi="Times New Roman" w:cs="Times New Roman"/>
          <w:sz w:val="18"/>
          <w:szCs w:val="16"/>
          <w:lang w:val="fr-BE"/>
        </w:rPr>
        <w:t>Source: EMSA 2020</w:t>
      </w:r>
    </w:p>
  </w:footnote>
  <w:footnote w:id="123">
    <w:p>
      <w:pPr>
        <w:pStyle w:val="FootnoteText"/>
        <w:rPr>
          <w:rFonts w:ascii="Times New Roman" w:hAnsi="Times New Roman" w:cs="Times New Roman"/>
          <w:lang w:val="fr-BE"/>
        </w:rPr>
      </w:pPr>
      <w:r>
        <w:rPr>
          <w:rStyle w:val="FootnoteReference"/>
          <w:rFonts w:ascii="Times New Roman" w:hAnsi="Times New Roman" w:cs="Times New Roman"/>
        </w:rPr>
        <w:footnoteRef/>
      </w:r>
      <w:r>
        <w:rPr>
          <w:rFonts w:ascii="Times New Roman" w:hAnsi="Times New Roman" w:cs="Times New Roman"/>
          <w:lang w:val="fr-BE"/>
        </w:rPr>
        <w:t xml:space="preserve"> </w:t>
      </w:r>
      <w:hyperlink r:id="rId35" w:history="1">
        <w:r>
          <w:rPr>
            <w:rStyle w:val="Hyperlink"/>
            <w:rFonts w:ascii="Times New Roman" w:hAnsi="Times New Roman" w:cs="Times New Roman"/>
            <w:lang w:val="fr-BE"/>
          </w:rPr>
          <w:t>https://sustainableworldports.org/ops/costs/investments/</w:t>
        </w:r>
      </w:hyperlink>
      <w:r>
        <w:rPr>
          <w:rFonts w:ascii="Times New Roman" w:hAnsi="Times New Roman" w:cs="Times New Roman"/>
          <w:lang w:val="fr-BE"/>
        </w:rPr>
        <w:t xml:space="preserve"> </w:t>
      </w:r>
    </w:p>
  </w:footnote>
  <w:footnote w:id="124">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Source: North Sea Port (2020), https://en.northseaport.com/volth2-signs-cooperation-agreement-with-north-sea-port-for-the-development-of-a-green-hydrogen-plant. In the absence of proper reference points for the development of infrastructure of hydrogen as marine fuel, this investment bandwidth is estimated on the basis of costs for the deployment of hydrogen plants in ports. </w:t>
      </w:r>
    </w:p>
  </w:footnote>
  <w:footnote w:id="125">
    <w:p>
      <w:pPr>
        <w:pStyle w:val="FootnoteText"/>
        <w:rPr>
          <w:sz w:val="18"/>
        </w:rPr>
      </w:pPr>
      <w:r>
        <w:rPr>
          <w:rStyle w:val="FootnoteReference"/>
          <w:sz w:val="18"/>
        </w:rPr>
        <w:footnoteRef/>
      </w:r>
      <w:r>
        <w:rPr>
          <w:sz w:val="18"/>
        </w:rPr>
        <w:t xml:space="preserve"> </w:t>
      </w:r>
      <w:r>
        <w:rPr>
          <w:rFonts w:ascii="Times New Roman" w:hAnsi="Times New Roman" w:cs="Times New Roman"/>
          <w:sz w:val="18"/>
        </w:rPr>
        <w:t xml:space="preserve">Based on the analysis of project submitted  for funding through INEA and referenced with literature, source: Greencruiseport (2018) </w:t>
      </w:r>
      <w:hyperlink r:id="rId36" w:history="1">
        <w:r>
          <w:rPr>
            <w:rStyle w:val="Hyperlink"/>
            <w:rFonts w:ascii="Times New Roman" w:hAnsi="Times New Roman" w:cs="Times New Roman"/>
            <w:sz w:val="18"/>
          </w:rPr>
          <w:t>http://www.greencruiseport.eu/files/public/download/studies/Opportunities%20and%20Limitations%20for%20Connecting%20Cruise%20Vessels%20to%20Shore%20Power_04.01.2018_Bergen.pdf</w:t>
        </w:r>
      </w:hyperlink>
      <w:r>
        <w:rPr>
          <w:rFonts w:ascii="Times New Roman" w:hAnsi="Times New Roman" w:cs="Times New Roman"/>
          <w:sz w:val="18"/>
        </w:rPr>
        <w:t xml:space="preserve"> </w:t>
      </w:r>
    </w:p>
  </w:footnote>
  <w:footnote w:id="126">
    <w:p>
      <w:pPr>
        <w:pStyle w:val="FootnoteText"/>
        <w:rPr>
          <w:rFonts w:ascii="Times New Roman" w:hAnsi="Times New Roman" w:cs="Times New Roman"/>
          <w:sz w:val="22"/>
        </w:rPr>
      </w:pPr>
      <w:r>
        <w:rPr>
          <w:rStyle w:val="FootnoteReference"/>
          <w:rFonts w:ascii="Times New Roman" w:hAnsi="Times New Roman" w:cs="Times New Roman"/>
          <w:sz w:val="18"/>
        </w:rPr>
        <w:footnoteRef/>
      </w:r>
      <w:r>
        <w:rPr>
          <w:rFonts w:ascii="Times New Roman" w:hAnsi="Times New Roman" w:cs="Times New Roman"/>
          <w:sz w:val="18"/>
        </w:rPr>
        <w:t xml:space="preserve"> </w:t>
      </w:r>
      <w:bookmarkStart w:id="285" w:name="_Hlk58318413"/>
      <w:r>
        <w:rPr>
          <w:rFonts w:ascii="Times New Roman" w:hAnsi="Times New Roman" w:cs="Times New Roman"/>
          <w:sz w:val="18"/>
          <w:lang w:val="en-IE"/>
        </w:rPr>
        <w:fldChar w:fldCharType="begin"/>
      </w:r>
      <w:r>
        <w:rPr>
          <w:rFonts w:ascii="Times New Roman" w:hAnsi="Times New Roman" w:cs="Times New Roman"/>
          <w:sz w:val="18"/>
          <w:lang w:val="en-IE"/>
        </w:rPr>
        <w:instrText xml:space="preserve"> HYPERLINK "https://www.cedelft.eu/publicatie/assessment_of_fuel_oil_availability/1858" </w:instrText>
      </w:r>
      <w:r>
        <w:rPr>
          <w:rFonts w:ascii="Times New Roman" w:hAnsi="Times New Roman" w:cs="Times New Roman"/>
          <w:sz w:val="18"/>
          <w:lang w:val="en-IE"/>
        </w:rPr>
        <w:fldChar w:fldCharType="separate"/>
      </w:r>
      <w:r>
        <w:rPr>
          <w:rStyle w:val="Hyperlink"/>
          <w:rFonts w:ascii="Times New Roman" w:hAnsi="Times New Roman" w:cs="Times New Roman"/>
          <w:sz w:val="18"/>
          <w:lang w:val="en-IE"/>
        </w:rPr>
        <w:t>https://www.cedelft.eu/publicatie/assessment_of_fuel_oil_availability/1858</w:t>
      </w:r>
      <w:bookmarkEnd w:id="285"/>
      <w:r>
        <w:rPr>
          <w:rFonts w:ascii="Times New Roman" w:hAnsi="Times New Roman" w:cs="Times New Roman"/>
          <w:sz w:val="18"/>
          <w:lang w:val="en-IE"/>
        </w:rPr>
        <w:fldChar w:fldCharType="end"/>
      </w:r>
      <w:r>
        <w:rPr>
          <w:rFonts w:ascii="Times New Roman" w:hAnsi="Times New Roman" w:cs="Times New Roman"/>
          <w:sz w:val="18"/>
          <w:lang w:val="en-IE"/>
        </w:rPr>
        <w:t xml:space="preserve"> </w:t>
      </w:r>
    </w:p>
  </w:footnote>
  <w:footnote w:id="127">
    <w:p>
      <w:pPr>
        <w:pStyle w:val="FootnoteText"/>
        <w:rPr>
          <w:rFonts w:ascii="Times New Roman" w:hAnsi="Times New Roman" w:cs="Times New Roman"/>
          <w:sz w:val="18"/>
        </w:rPr>
      </w:pPr>
      <w:r>
        <w:rPr>
          <w:rStyle w:val="FootnoteReference"/>
          <w:rFonts w:ascii="Times New Roman" w:hAnsi="Times New Roman" w:cs="Times New Roman"/>
          <w:sz w:val="22"/>
        </w:rPr>
        <w:footnoteRef/>
      </w:r>
      <w:r>
        <w:rPr>
          <w:rFonts w:ascii="Times New Roman" w:hAnsi="Times New Roman" w:cs="Times New Roman"/>
          <w:sz w:val="22"/>
        </w:rPr>
        <w:t xml:space="preserve"> </w:t>
      </w:r>
      <w:r>
        <w:rPr>
          <w:rFonts w:ascii="Times New Roman" w:hAnsi="Times New Roman" w:cs="Times New Roman"/>
          <w:sz w:val="18"/>
          <w:lang w:val="en-IE"/>
        </w:rPr>
        <w:t xml:space="preserve">See for example, </w:t>
      </w:r>
      <w:bookmarkStart w:id="286" w:name="_Hlk58318435"/>
      <w:r>
        <w:rPr>
          <w:rFonts w:ascii="Times New Roman" w:hAnsi="Times New Roman" w:cs="Times New Roman"/>
          <w:sz w:val="18"/>
          <w:lang w:val="en-IE"/>
        </w:rPr>
        <w:t>Ricardo Energy &amp; Environment (2019), Electrofuels for shipping: How synthetic fuels from renewable electricity could unlock sustainable investment in countries like Chile</w:t>
      </w:r>
      <w:bookmarkEnd w:id="286"/>
      <w:r>
        <w:rPr>
          <w:rFonts w:ascii="Times New Roman" w:hAnsi="Times New Roman" w:cs="Times New Roman"/>
          <w:sz w:val="18"/>
          <w:lang w:val="en-IE"/>
        </w:rPr>
        <w:t xml:space="preserve"> </w:t>
      </w:r>
    </w:p>
  </w:footnote>
  <w:footnote w:id="128">
    <w:p>
      <w:pPr>
        <w:spacing w:after="0"/>
        <w:rPr>
          <w:rFonts w:ascii="Times New Roman" w:hAnsi="Times New Roman" w:cs="Times New Roman"/>
          <w:sz w:val="20"/>
        </w:rPr>
      </w:pPr>
      <w:r>
        <w:rPr>
          <w:rStyle w:val="FootnoteReference"/>
          <w:rFonts w:ascii="Times New Roman" w:hAnsi="Times New Roman" w:cs="Times New Roman"/>
          <w:sz w:val="20"/>
        </w:rPr>
        <w:footnoteRef/>
      </w:r>
      <w:r>
        <w:rPr>
          <w:rFonts w:ascii="Times New Roman" w:hAnsi="Times New Roman" w:cs="Times New Roman"/>
          <w:sz w:val="20"/>
        </w:rPr>
        <w:t xml:space="preserve"> </w:t>
      </w:r>
      <w:r>
        <w:rPr>
          <w:rFonts w:ascii="Times New Roman" w:eastAsia="Arial" w:hAnsi="Times New Roman" w:cs="Times New Roman"/>
          <w:sz w:val="20"/>
        </w:rPr>
        <w:t xml:space="preserve">UNCTAD (2010). Oil Prices and Maritime Freight Rates: An Empirical Investigation., OECD </w:t>
      </w:r>
      <w:sdt>
        <w:sdtPr>
          <w:rPr>
            <w:rFonts w:ascii="Times New Roman" w:eastAsia="Arial" w:hAnsi="Times New Roman" w:cs="Times New Roman"/>
            <w:sz w:val="20"/>
          </w:rPr>
          <w:id w:val="1497001236"/>
          <w:citation/>
        </w:sdtPr>
        <w:sdtContent>
          <w:r>
            <w:rPr>
              <w:rFonts w:ascii="Times New Roman" w:eastAsia="Arial" w:hAnsi="Times New Roman" w:cs="Times New Roman"/>
              <w:sz w:val="20"/>
            </w:rPr>
            <w:fldChar w:fldCharType="begin"/>
          </w:r>
          <w:r>
            <w:rPr>
              <w:rFonts w:ascii="Times New Roman" w:eastAsia="Arial" w:hAnsi="Times New Roman" w:cs="Times New Roman"/>
              <w:sz w:val="20"/>
            </w:rPr>
            <w:instrText xml:space="preserve">CITATION OEC08 \n  \t  \l 2057 </w:instrText>
          </w:r>
          <w:r>
            <w:rPr>
              <w:rFonts w:ascii="Times New Roman" w:eastAsia="Arial" w:hAnsi="Times New Roman" w:cs="Times New Roman"/>
              <w:sz w:val="20"/>
            </w:rPr>
            <w:fldChar w:fldCharType="separate"/>
          </w:r>
          <w:r>
            <w:rPr>
              <w:rFonts w:ascii="Times New Roman" w:eastAsia="Arial" w:hAnsi="Times New Roman" w:cs="Times New Roman"/>
              <w:sz w:val="20"/>
            </w:rPr>
            <w:t>(2008)</w:t>
          </w:r>
          <w:r>
            <w:rPr>
              <w:rFonts w:ascii="Times New Roman" w:eastAsia="Arial" w:hAnsi="Times New Roman" w:cs="Times New Roman"/>
              <w:sz w:val="20"/>
            </w:rPr>
            <w:fldChar w:fldCharType="end"/>
          </w:r>
        </w:sdtContent>
      </w:sdt>
      <w:r>
        <w:rPr>
          <w:rFonts w:ascii="Times New Roman" w:eastAsia="Arial" w:hAnsi="Times New Roman" w:cs="Times New Roman"/>
          <w:sz w:val="20"/>
        </w:rPr>
        <w:t xml:space="preserve"> Clarifying Trade Costs in Maritime Transport, Hummels(2007) Transportation costs and international trade in the second era of globalization, </w:t>
      </w:r>
      <w:r>
        <w:rPr>
          <w:rFonts w:ascii="Times New Roman" w:hAnsi="Times New Roman" w:cs="Times New Roman"/>
          <w:sz w:val="20"/>
        </w:rPr>
        <w:t xml:space="preserve">Mirza and Zitouna </w:t>
      </w:r>
      <w:sdt>
        <w:sdtPr>
          <w:rPr>
            <w:rFonts w:ascii="Times New Roman" w:hAnsi="Times New Roman" w:cs="Times New Roman"/>
            <w:sz w:val="20"/>
          </w:rPr>
          <w:id w:val="759487314"/>
          <w:citation/>
        </w:sdtPr>
        <w:sdtContent>
          <w:r>
            <w:rPr>
              <w:rFonts w:ascii="Times New Roman" w:hAnsi="Times New Roman" w:cs="Times New Roman"/>
              <w:sz w:val="20"/>
            </w:rPr>
            <w:fldChar w:fldCharType="begin"/>
          </w:r>
          <w:r>
            <w:rPr>
              <w:rFonts w:ascii="Times New Roman" w:hAnsi="Times New Roman" w:cs="Times New Roman"/>
              <w:sz w:val="20"/>
            </w:rPr>
            <w:instrText xml:space="preserve">CITATION Oil09 \n  \t  \l 2057 </w:instrText>
          </w:r>
          <w:r>
            <w:rPr>
              <w:rFonts w:ascii="Times New Roman" w:hAnsi="Times New Roman" w:cs="Times New Roman"/>
              <w:sz w:val="20"/>
            </w:rPr>
            <w:fldChar w:fldCharType="separate"/>
          </w:r>
          <w:r>
            <w:rPr>
              <w:rFonts w:ascii="Times New Roman" w:hAnsi="Times New Roman" w:cs="Times New Roman"/>
              <w:sz w:val="20"/>
            </w:rPr>
            <w:t>(2009)</w:t>
          </w:r>
          <w:r>
            <w:rPr>
              <w:rFonts w:ascii="Times New Roman" w:hAnsi="Times New Roman" w:cs="Times New Roman"/>
              <w:sz w:val="20"/>
            </w:rPr>
            <w:fldChar w:fldCharType="end"/>
          </w:r>
        </w:sdtContent>
      </w:sdt>
      <w:r>
        <w:rPr>
          <w:rFonts w:ascii="Times New Roman" w:hAnsi="Times New Roman" w:cs="Times New Roman"/>
          <w:sz w:val="20"/>
        </w:rPr>
        <w:t xml:space="preserve"> Oil prices, geography and endogenous regionalism – all within the range provided.</w:t>
      </w:r>
    </w:p>
  </w:footnote>
  <w:footnote w:id="129">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To monetise the costs, the CE Delft (2019) Handbook on the external costs of transport, has been used.</w:t>
      </w:r>
    </w:p>
  </w:footnote>
  <w:footnote w:id="130">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GHG intensity of fuels shown here are based on the actual GHG emissions and energy use, without accounting for multipliers in PO3 to provide incentives for the zero-emission technologies. These incentives are discussed in Annex 4. </w:t>
      </w:r>
    </w:p>
  </w:footnote>
  <w:footnote w:id="131">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CE Delft (2019) Handbook on the external costs of transport.</w:t>
      </w:r>
    </w:p>
  </w:footnote>
  <w:footnote w:id="132">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It is worth considering that container ships usually perform several stops along the route to load/unload cargo and therefore the whole journey from the origin port to the destination port would not fall under the scope of the initiative. Container ships might find convenience in relocating one of the stops to the closest non-EU/EEA port (rather than performing an additional stop). Such a case, however, would limit the leakage only to the final leg of the trip with limited impacts on the overall effectiveness of the initiative.</w:t>
      </w:r>
    </w:p>
  </w:footnote>
  <w:footnote w:id="133">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15 % prefer a prescriptive approach for ships in navigation and 25 % choose ‘other’, ‘no opinion’ or ‘no answer’.</w:t>
      </w:r>
    </w:p>
  </w:footnote>
  <w:footnote w:id="134">
    <w:p>
      <w:pPr>
        <w:pStyle w:val="FootnoteText"/>
      </w:pPr>
      <w:r>
        <w:rPr>
          <w:rStyle w:val="FootnoteReference"/>
          <w:rFonts w:ascii="Times New Roman" w:hAnsi="Times New Roman" w:cs="Times New Roman"/>
          <w:sz w:val="18"/>
        </w:rPr>
        <w:footnoteRef/>
      </w:r>
      <w:r>
        <w:rPr>
          <w:rFonts w:ascii="Times New Roman" w:hAnsi="Times New Roman" w:cs="Times New Roman"/>
          <w:sz w:val="18"/>
        </w:rPr>
        <w:t xml:space="preserve"> 23 % prefer a prescriptive approach for ships in navigation and 35 % choose ‘other’, ‘no opinion’ or ‘no answer’.</w:t>
      </w:r>
    </w:p>
  </w:footnote>
  <w:footnote w:id="135">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37" w:history="1">
        <w:r>
          <w:rPr>
            <w:rStyle w:val="Hyperlink"/>
            <w:rFonts w:ascii="Times New Roman" w:hAnsi="Times New Roman" w:cs="Times New Roman"/>
            <w:sz w:val="18"/>
          </w:rPr>
          <w:t>https://ec.europa.eu/info/sites/info/files/cwp-2020-adjusted-annexes_en.pdf</w:t>
        </w:r>
      </w:hyperlink>
      <w:r>
        <w:rPr>
          <w:rFonts w:ascii="Times New Roman" w:hAnsi="Times New Roman" w:cs="Times New Roman"/>
          <w:sz w:val="18"/>
        </w:rPr>
        <w:t xml:space="preserve"> </w:t>
      </w:r>
    </w:p>
  </w:footnote>
  <w:footnote w:id="136">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38" w:history="1">
        <w:r>
          <w:rPr>
            <w:rStyle w:val="Hyperlink"/>
            <w:rFonts w:ascii="Times New Roman" w:hAnsi="Times New Roman" w:cs="Times New Roman"/>
            <w:sz w:val="18"/>
          </w:rPr>
          <w:t>https://ec.europa.eu/info/law/better-regulation/have-your-say/initiatives/12312-FuelEU-Maritime-</w:t>
        </w:r>
      </w:hyperlink>
      <w:r>
        <w:rPr>
          <w:rFonts w:ascii="Times New Roman" w:hAnsi="Times New Roman" w:cs="Times New Roman"/>
          <w:sz w:val="18"/>
        </w:rPr>
        <w:t xml:space="preserve"> </w:t>
      </w:r>
    </w:p>
  </w:footnote>
  <w:footnote w:id="137">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39" w:history="1">
        <w:r>
          <w:rPr>
            <w:rStyle w:val="Hyperlink"/>
            <w:rFonts w:ascii="Times New Roman" w:hAnsi="Times New Roman" w:cs="Times New Roman"/>
            <w:sz w:val="18"/>
          </w:rPr>
          <w:t>https://ec.europa.eu/transparency/regexpert/index.cfm?do=groupDetail.groupDetail&amp;groupID=3542</w:t>
        </w:r>
      </w:hyperlink>
      <w:r>
        <w:rPr>
          <w:rFonts w:ascii="Times New Roman" w:hAnsi="Times New Roman" w:cs="Times New Roman"/>
          <w:sz w:val="18"/>
        </w:rPr>
        <w:t xml:space="preserve"> </w:t>
      </w:r>
    </w:p>
  </w:footnote>
  <w:footnote w:id="138">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w:t>
      </w:r>
      <w:hyperlink r:id="rId40" w:history="1">
        <w:r>
          <w:rPr>
            <w:rStyle w:val="Hyperlink"/>
            <w:rFonts w:ascii="Times New Roman" w:hAnsi="Times New Roman" w:cs="Times New Roman"/>
            <w:sz w:val="18"/>
          </w:rPr>
          <w:t>https://ec.europa.eu/transparency/regexpert/index.cfm?do=groupDetail.groupDetail&amp;groupID=2869</w:t>
        </w:r>
      </w:hyperlink>
      <w:r>
        <w:rPr>
          <w:rFonts w:ascii="Times New Roman" w:hAnsi="Times New Roman" w:cs="Times New Roman"/>
          <w:sz w:val="18"/>
        </w:rPr>
        <w:t xml:space="preserve"> </w:t>
      </w:r>
    </w:p>
  </w:footnote>
  <w:footnote w:id="139">
    <w:p>
      <w:pPr>
        <w:pStyle w:val="DefaultText"/>
        <w:rPr>
          <w:rFonts w:ascii="Times New Roman" w:hAnsi="Times New Roman"/>
          <w:szCs w:val="20"/>
        </w:rPr>
      </w:pPr>
      <w:r>
        <w:rPr>
          <w:rStyle w:val="FootnoteReference"/>
          <w:sz w:val="16"/>
        </w:rPr>
        <w:footnoteRef/>
      </w:r>
      <w:r>
        <w:rPr>
          <w:sz w:val="16"/>
        </w:rPr>
        <w:t xml:space="preserve"> </w:t>
      </w:r>
      <w:hyperlink r:id="rId41" w:history="1">
        <w:r>
          <w:rPr>
            <w:rStyle w:val="Hyperlink"/>
            <w:rFonts w:ascii="Times New Roman" w:hAnsi="Times New Roman"/>
            <w:szCs w:val="20"/>
          </w:rPr>
          <w:t>https://ec.europa.eu/transparency/regexpert/index.cfm?do=groupDetail.groupDetail&amp;groupID=2869</w:t>
        </w:r>
      </w:hyperlink>
      <w:r>
        <w:rPr>
          <w:rFonts w:ascii="Times New Roman" w:hAnsi="Times New Roman"/>
          <w:szCs w:val="20"/>
        </w:rPr>
        <w:t xml:space="preserve"> </w:t>
      </w:r>
    </w:p>
  </w:footnote>
  <w:footnote w:id="140">
    <w:p>
      <w:pPr>
        <w:pStyle w:val="DefaultText"/>
        <w:rPr>
          <w:rFonts w:ascii="Times New Roman" w:hAnsi="Times New Roman"/>
          <w:szCs w:val="20"/>
        </w:rPr>
      </w:pPr>
      <w:r>
        <w:rPr>
          <w:rStyle w:val="FootnoteReference"/>
          <w:rFonts w:ascii="Times New Roman" w:hAnsi="Times New Roman"/>
          <w:sz w:val="16"/>
          <w:szCs w:val="20"/>
        </w:rPr>
        <w:footnoteRef/>
      </w:r>
      <w:hyperlink r:id="rId42" w:history="1">
        <w:r>
          <w:rPr>
            <w:rStyle w:val="Hyperlink"/>
            <w:rFonts w:ascii="Times New Roman" w:hAnsi="Times New Roman"/>
            <w:szCs w:val="20"/>
          </w:rPr>
          <w:t>https://ec.europa.eu/transparency/regexpert/index.cfm?do=groupDetail.groupDetail&amp;groupID=3542</w:t>
        </w:r>
      </w:hyperlink>
      <w:r>
        <w:rPr>
          <w:rFonts w:ascii="Times New Roman" w:hAnsi="Times New Roman"/>
          <w:szCs w:val="20"/>
        </w:rPr>
        <w:t xml:space="preserve"> </w:t>
      </w:r>
    </w:p>
  </w:footnote>
  <w:footnote w:id="141">
    <w:p>
      <w:pPr>
        <w:pStyle w:val="DefaultText"/>
        <w:rPr>
          <w:rFonts w:ascii="Times New Roman" w:hAnsi="Times New Roman"/>
          <w:szCs w:val="20"/>
          <w:lang w:val="en-IE"/>
        </w:rPr>
      </w:pPr>
      <w:r>
        <w:rPr>
          <w:rStyle w:val="FootnoteReference"/>
          <w:rFonts w:ascii="Times New Roman" w:hAnsi="Times New Roman"/>
          <w:sz w:val="16"/>
          <w:szCs w:val="20"/>
        </w:rPr>
        <w:footnoteRef/>
      </w:r>
      <w:hyperlink r:id="rId43" w:history="1">
        <w:r>
          <w:rPr>
            <w:rStyle w:val="Hyperlink"/>
            <w:rFonts w:ascii="Times New Roman" w:hAnsi="Times New Roman"/>
            <w:szCs w:val="20"/>
          </w:rPr>
          <w:t>https://ec.europa.eu/info/law/better-regulation/have-your-say/initiatives/12312-FuelEU-Maritime/feedback?p_id=7658088</w:t>
        </w:r>
      </w:hyperlink>
      <w:r>
        <w:rPr>
          <w:rStyle w:val="Hyperlink"/>
          <w:rFonts w:ascii="Times New Roman" w:hAnsi="Times New Roman"/>
          <w:szCs w:val="20"/>
        </w:rPr>
        <w:t xml:space="preserve"> </w:t>
      </w:r>
      <w:r>
        <w:rPr>
          <w:rFonts w:ascii="Times New Roman" w:hAnsi="Times New Roman"/>
          <w:szCs w:val="20"/>
        </w:rPr>
        <w:t xml:space="preserve"> </w:t>
      </w:r>
    </w:p>
  </w:footnote>
  <w:footnote w:id="142">
    <w:p>
      <w:pPr>
        <w:pStyle w:val="FootnoteText"/>
        <w:rPr>
          <w:sz w:val="18"/>
          <w:lang w:val="en-IE"/>
        </w:rPr>
      </w:pPr>
      <w:r>
        <w:rPr>
          <w:rStyle w:val="FootnoteReference"/>
          <w:sz w:val="18"/>
        </w:rPr>
        <w:footnoteRef/>
      </w:r>
      <w:hyperlink r:id="rId44" w:history="1">
        <w:r>
          <w:rPr>
            <w:rStyle w:val="Hyperlink"/>
            <w:sz w:val="18"/>
          </w:rPr>
          <w:t>https://ec.europa.eu/info/law/better-regulation/have-your-say/initiatives/12312-FuelEU-Maritime-/public-consultation</w:t>
        </w:r>
      </w:hyperlink>
      <w:r>
        <w:rPr>
          <w:sz w:val="18"/>
        </w:rPr>
        <w:t xml:space="preserve"> </w:t>
      </w:r>
    </w:p>
  </w:footnote>
  <w:footnote w:id="143">
    <w:p>
      <w:pPr>
        <w:pStyle w:val="FootnoteText"/>
        <w:rPr>
          <w:sz w:val="18"/>
        </w:rPr>
      </w:pPr>
      <w:r>
        <w:rPr>
          <w:rStyle w:val="FootnoteReference"/>
          <w:sz w:val="18"/>
        </w:rPr>
        <w:footnoteRef/>
      </w:r>
      <w:r>
        <w:rPr>
          <w:sz w:val="18"/>
        </w:rPr>
        <w:t xml:space="preserve"> Participants were asked to indicate which interests they represented. They could select one or more options as appropriate, so the results add up to more than the 136 total replies to the OPC.</w:t>
      </w:r>
    </w:p>
  </w:footnote>
  <w:footnote w:id="144">
    <w:p>
      <w:pPr>
        <w:pStyle w:val="FootnoteText"/>
        <w:rPr>
          <w:sz w:val="18"/>
        </w:rPr>
      </w:pPr>
      <w:r>
        <w:rPr>
          <w:rStyle w:val="FootnoteReference"/>
          <w:sz w:val="18"/>
        </w:rPr>
        <w:footnoteRef/>
      </w:r>
      <w:r>
        <w:rPr>
          <w:sz w:val="18"/>
        </w:rPr>
        <w:t xml:space="preserve"> The groups were the two ESSF sub-groups on Sustainable Alternative Power for Shipping and Ship Energy Efficiency, as well as the European Ports Forum and the ART Fuels forum.</w:t>
      </w:r>
    </w:p>
  </w:footnote>
  <w:footnote w:id="145">
    <w:p>
      <w:pPr>
        <w:pStyle w:val="FootnoteText"/>
        <w:rPr>
          <w:sz w:val="18"/>
        </w:rPr>
      </w:pPr>
      <w:r>
        <w:rPr>
          <w:rStyle w:val="FootnoteReference"/>
          <w:sz w:val="18"/>
        </w:rPr>
        <w:footnoteRef/>
      </w:r>
      <w:r>
        <w:rPr>
          <w:sz w:val="18"/>
        </w:rPr>
        <w:t xml:space="preserve"> Participants were asked to indicate which interests they represented. They could select one or more options as appropriate, so the results add up to more than 32 total replies to the TC.</w:t>
      </w:r>
    </w:p>
  </w:footnote>
  <w:footnote w:id="146">
    <w:p>
      <w:pPr>
        <w:pStyle w:val="FootnoteText"/>
        <w:rPr>
          <w:sz w:val="18"/>
        </w:rPr>
      </w:pPr>
      <w:r>
        <w:rPr>
          <w:rStyle w:val="FootnoteReference"/>
          <w:sz w:val="18"/>
        </w:rPr>
        <w:footnoteRef/>
      </w:r>
      <w:r>
        <w:rPr>
          <w:sz w:val="18"/>
        </w:rPr>
        <w:t xml:space="preserve"> 15 % answered “relevant”, 2 % “somewhat relevant”, and 3 % did not provide an answer to this question.</w:t>
      </w:r>
    </w:p>
  </w:footnote>
  <w:footnote w:id="147">
    <w:p>
      <w:pPr>
        <w:pStyle w:val="FootnoteText"/>
        <w:rPr>
          <w:sz w:val="18"/>
        </w:rPr>
      </w:pPr>
      <w:r>
        <w:rPr>
          <w:rStyle w:val="FootnoteReference"/>
          <w:sz w:val="18"/>
        </w:rPr>
        <w:footnoteRef/>
      </w:r>
      <w:r>
        <w:rPr>
          <w:sz w:val="18"/>
        </w:rPr>
        <w:t xml:space="preserve"> Participants were able to indicate one or more interests appropriate. One participant may belong to more than one stakeholder group and thus, the number of total contributions does not add up to 136 (the total number of OPC contributions).</w:t>
      </w:r>
    </w:p>
  </w:footnote>
  <w:footnote w:id="148">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The other options were low- or zero-emission provisions in public procurement contracts; differentiation of port fees and harmonized reward schemes for green ships; identification and sharing of best practice for the promotion of sustainable alternative fuels in MS; and public support for the deployment of fleet with advanced propulsion.</w:t>
      </w:r>
    </w:p>
  </w:footnote>
  <w:footnote w:id="149">
    <w:p>
      <w:pPr>
        <w:pStyle w:val="FootnoteText"/>
        <w:rPr>
          <w:sz w:val="18"/>
        </w:rPr>
      </w:pPr>
      <w:r>
        <w:rPr>
          <w:rStyle w:val="FootnoteReference"/>
          <w:sz w:val="18"/>
        </w:rPr>
        <w:footnoteRef/>
      </w:r>
      <w:r>
        <w:rPr>
          <w:sz w:val="18"/>
        </w:rPr>
        <w:t xml:space="preserve"> https://www.iscc-system.org/process/overview/</w:t>
      </w:r>
    </w:p>
  </w:footnote>
  <w:footnote w:id="150">
    <w:p>
      <w:pPr>
        <w:pStyle w:val="FootnoteText"/>
        <w:ind w:left="284" w:hanging="284"/>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color w:val="444444"/>
          <w:sz w:val="18"/>
          <w:szCs w:val="18"/>
          <w:shd w:val="clear" w:color="auto" w:fill="FFFFFF"/>
        </w:rPr>
        <w:t>SWD/2020/176 final</w:t>
      </w:r>
    </w:p>
  </w:footnote>
  <w:footnote w:id="151">
    <w:p>
      <w:pPr>
        <w:pStyle w:val="FootnoteText"/>
        <w:tabs>
          <w:tab w:val="left" w:pos="709"/>
        </w:tabs>
        <w:ind w:left="284" w:hanging="284"/>
        <w:rPr>
          <w:rFonts w:ascii="Times New Roman" w:hAnsi="Times New Roman" w:cs="Times New Roman"/>
          <w:sz w:val="18"/>
          <w:szCs w:val="18"/>
          <w:lang w:val="en-IE"/>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r>
      <w:hyperlink r:id="rId45" w:history="1">
        <w:r>
          <w:rPr>
            <w:rStyle w:val="Hyperlink"/>
            <w:rFonts w:ascii="Times New Roman" w:hAnsi="Times New Roman" w:cs="Times New Roman"/>
            <w:sz w:val="18"/>
            <w:szCs w:val="18"/>
          </w:rPr>
          <w:t>https://ec.europa.eu/clima/sites/clima/files/docs/pages/com_2018_733_analysis_in_support_en_0.pdf</w:t>
        </w:r>
      </w:hyperlink>
      <w:r>
        <w:rPr>
          <w:rFonts w:ascii="Times New Roman" w:hAnsi="Times New Roman" w:cs="Times New Roman"/>
          <w:sz w:val="18"/>
          <w:szCs w:val="18"/>
        </w:rPr>
        <w:t xml:space="preserve"> </w:t>
      </w:r>
    </w:p>
  </w:footnote>
  <w:footnote w:id="152">
    <w:p>
      <w:pPr>
        <w:pStyle w:val="FootnoteText"/>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noProof/>
          <w:sz w:val="18"/>
          <w:szCs w:val="18"/>
        </w:rPr>
        <w:t xml:space="preserve">The POLES-JRC model provides the global energy and climate policy context and is operated by the JRC. </w:t>
      </w:r>
      <w:r>
        <w:rPr>
          <w:rFonts w:ascii="Times New Roman" w:hAnsi="Times New Roman" w:cs="Times New Roman"/>
          <w:sz w:val="18"/>
          <w:szCs w:val="18"/>
          <w:lang w:val="fr-BE"/>
        </w:rPr>
        <w:t xml:space="preserve">Source: </w:t>
      </w:r>
      <w:hyperlink r:id="rId46" w:history="1">
        <w:r>
          <w:rPr>
            <w:rStyle w:val="Hyperlink"/>
            <w:rFonts w:ascii="Times New Roman" w:hAnsi="Times New Roman" w:cs="Times New Roman"/>
            <w:sz w:val="18"/>
            <w:szCs w:val="18"/>
            <w:lang w:val="fr-BE"/>
          </w:rPr>
          <w:t>https://ec.europa.eu/jrc/en/poles</w:t>
        </w:r>
      </w:hyperlink>
      <w:r>
        <w:rPr>
          <w:rFonts w:ascii="Times New Roman" w:hAnsi="Times New Roman" w:cs="Times New Roman"/>
          <w:sz w:val="18"/>
          <w:szCs w:val="18"/>
          <w:lang w:val="fr-BE"/>
        </w:rPr>
        <w:t>.</w:t>
      </w:r>
    </w:p>
  </w:footnote>
  <w:footnote w:id="153">
    <w:p>
      <w:pPr>
        <w:pStyle w:val="FootnoteText"/>
        <w:tabs>
          <w:tab w:val="left" w:pos="709"/>
        </w:tabs>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 xml:space="preserve">Source: https://e3modelling.com/  </w:t>
      </w:r>
    </w:p>
  </w:footnote>
  <w:footnote w:id="154">
    <w:p>
      <w:pPr>
        <w:pStyle w:val="FootnoteText"/>
        <w:ind w:left="284" w:hanging="284"/>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Ecorys and CE Delft (forthcoming), Assessment of impacts from accelerating the uptake of sustainable alternative fuels in maritime transport.</w:t>
      </w:r>
    </w:p>
  </w:footnote>
  <w:footnote w:id="155">
    <w:p>
      <w:pPr>
        <w:pStyle w:val="FootnoteText"/>
        <w:ind w:left="284" w:hanging="284"/>
        <w:rPr>
          <w:rFonts w:ascii="Times New Roman" w:hAnsi="Times New Roman" w:cs="Times New Roman"/>
          <w:sz w:val="18"/>
          <w:szCs w:val="18"/>
          <w:lang w:val="en-IE"/>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While cross-border trade is possible, the assumption is that there are no imports from outside EU as the opposite would require global modelling of hydrogen trade.</w:t>
      </w:r>
    </w:p>
  </w:footnote>
  <w:footnote w:id="156">
    <w:p>
      <w:pPr>
        <w:pStyle w:val="FootnoteText"/>
        <w:tabs>
          <w:tab w:val="left" w:pos="709"/>
        </w:tabs>
        <w:ind w:left="284" w:hanging="284"/>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lang w:val="en-US"/>
        </w:rPr>
        <w:t xml:space="preserve"> </w:t>
      </w:r>
      <w:r>
        <w:rPr>
          <w:rFonts w:ascii="Times New Roman" w:hAnsi="Times New Roman" w:cs="Times New Roman"/>
          <w:sz w:val="18"/>
          <w:szCs w:val="18"/>
          <w:lang w:val="en-US"/>
        </w:rPr>
        <w:tab/>
        <w:t xml:space="preserve">More information and model documentation: </w:t>
      </w:r>
      <w:hyperlink r:id="rId47" w:history="1">
        <w:r>
          <w:rPr>
            <w:rStyle w:val="Hyperlink"/>
            <w:rFonts w:ascii="Times New Roman" w:hAnsi="Times New Roman" w:cs="Times New Roman"/>
            <w:sz w:val="18"/>
            <w:szCs w:val="18"/>
            <w:lang w:val="en-US"/>
          </w:rPr>
          <w:t>https://e3modelling.com/modelling-tools/primes/</w:t>
        </w:r>
      </w:hyperlink>
      <w:r>
        <w:rPr>
          <w:rFonts w:ascii="Times New Roman" w:hAnsi="Times New Roman" w:cs="Times New Roman"/>
          <w:sz w:val="18"/>
          <w:szCs w:val="18"/>
          <w:lang w:val="en-US"/>
        </w:rPr>
        <w:t xml:space="preserve"> </w:t>
      </w:r>
    </w:p>
  </w:footnote>
  <w:footnote w:id="157">
    <w:p>
      <w:pPr>
        <w:pStyle w:val="FootnoteText"/>
        <w:tabs>
          <w:tab w:val="left" w:pos="709"/>
        </w:tabs>
        <w:ind w:left="284" w:hanging="284"/>
        <w:jc w:val="both"/>
        <w:rPr>
          <w:rFonts w:ascii="Times New Roman" w:hAnsi="Times New Roman" w:cs="Times New Roman"/>
          <w:sz w:val="18"/>
          <w:szCs w:val="18"/>
          <w:lang w:val="en-US"/>
        </w:rPr>
      </w:pPr>
      <w:r>
        <w:rPr>
          <w:rStyle w:val="FootnoteReference"/>
          <w:rFonts w:ascii="Times New Roman" w:hAnsi="Times New Roman" w:cs="Times New Roman"/>
          <w:sz w:val="18"/>
          <w:szCs w:val="18"/>
          <w:lang w:val="en-US"/>
        </w:rPr>
        <w:footnoteRef/>
      </w:r>
      <w:r>
        <w:rPr>
          <w:rFonts w:ascii="Times New Roman" w:hAnsi="Times New Roman" w:cs="Times New Roman"/>
          <w:sz w:val="18"/>
          <w:szCs w:val="18"/>
          <w:lang w:val="en-US"/>
        </w:rPr>
        <w:t xml:space="preserve"> </w:t>
      </w:r>
      <w:r>
        <w:rPr>
          <w:rFonts w:ascii="Times New Roman" w:hAnsi="Times New Roman" w:cs="Times New Roman"/>
          <w:sz w:val="18"/>
          <w:szCs w:val="18"/>
          <w:lang w:val="en-US"/>
        </w:rPr>
        <w:tab/>
        <w:t>E3Modelling (</w:t>
      </w:r>
      <w:hyperlink r:id="rId48" w:history="1">
        <w:r>
          <w:rPr>
            <w:rStyle w:val="Hyperlink"/>
            <w:rFonts w:ascii="Times New Roman" w:hAnsi="Times New Roman" w:cs="Times New Roman"/>
            <w:sz w:val="18"/>
            <w:szCs w:val="18"/>
            <w:lang w:val="en-US"/>
          </w:rPr>
          <w:t>https://e3modelling.com/</w:t>
        </w:r>
      </w:hyperlink>
      <w:r>
        <w:rPr>
          <w:rFonts w:ascii="Times New Roman" w:hAnsi="Times New Roman" w:cs="Times New Roman"/>
          <w:sz w:val="18"/>
          <w:szCs w:val="18"/>
          <w:lang w:val="en-US"/>
        </w:rPr>
        <w:t xml:space="preserve">) is a private consulting, established as a spin-off inheriting staff, knowledge and software-modelling innovation of the laboratory E3MLab from the National Technical University of Athens (NTUA). </w:t>
      </w:r>
    </w:p>
  </w:footnote>
  <w:footnote w:id="158">
    <w:p>
      <w:pPr>
        <w:pStyle w:val="FootnoteText"/>
        <w:tabs>
          <w:tab w:val="left" w:pos="709"/>
        </w:tabs>
        <w:ind w:left="284" w:hanging="284"/>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SEC(2011)1569 : https://ec.europa.eu/energy/sites/ener/files/documents/sec_2011_1569_2.pdf </w:t>
      </w:r>
    </w:p>
  </w:footnote>
  <w:footnote w:id="159">
    <w:p>
      <w:pPr>
        <w:pStyle w:val="FootnoteText"/>
        <w:tabs>
          <w:tab w:val="left" w:pos="709"/>
        </w:tabs>
        <w:ind w:left="284" w:hanging="284"/>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https://www.odyssee-mure.eu/ </w:t>
      </w:r>
    </w:p>
  </w:footnote>
  <w:footnote w:id="160">
    <w:p>
      <w:pPr>
        <w:pStyle w:val="FootnoteText"/>
        <w:tabs>
          <w:tab w:val="left" w:pos="709"/>
        </w:tabs>
        <w:ind w:left="284" w:hanging="284"/>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https://www.eia.gov/outlooks/aeo/info_nems_archive.php </w:t>
      </w:r>
    </w:p>
  </w:footnote>
  <w:footnote w:id="161">
    <w:p>
      <w:pPr>
        <w:pStyle w:val="FootnoteText"/>
        <w:tabs>
          <w:tab w:val="left" w:pos="709"/>
        </w:tabs>
        <w:ind w:left="284" w:hanging="284"/>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https://eippcb.jrc.ec.europa.eu/reference/ </w:t>
      </w:r>
    </w:p>
  </w:footnote>
  <w:footnote w:id="162">
    <w:p>
      <w:pPr>
        <w:pStyle w:val="FootnoteText"/>
        <w:tabs>
          <w:tab w:val="left" w:pos="709"/>
        </w:tabs>
        <w:ind w:left="284" w:hanging="284"/>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https://data.jrc.ec.europa.eu/collection/id-00138  </w:t>
      </w:r>
    </w:p>
  </w:footnote>
  <w:footnote w:id="163">
    <w:p>
      <w:pPr>
        <w:pStyle w:val="FootnoteText"/>
        <w:tabs>
          <w:tab w:val="left" w:pos="709"/>
        </w:tabs>
        <w:ind w:left="284" w:hanging="284"/>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https://data.jrc.ec.europa.eu/dataset/jrc-emhires-wind-generation-time-series  </w:t>
      </w:r>
    </w:p>
  </w:footnote>
  <w:footnote w:id="164">
    <w:p>
      <w:pPr>
        <w:pStyle w:val="FootnoteText"/>
        <w:tabs>
          <w:tab w:val="left" w:pos="709"/>
        </w:tabs>
        <w:ind w:left="284" w:hanging="284"/>
        <w:jc w:val="both"/>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https://www.renewables.ninja/  </w:t>
      </w:r>
    </w:p>
  </w:footnote>
  <w:footnote w:id="165">
    <w:p>
      <w:pPr>
        <w:pStyle w:val="FootnoteText"/>
        <w:tabs>
          <w:tab w:val="left" w:pos="709"/>
        </w:tabs>
        <w:ind w:left="284" w:hanging="284"/>
        <w:jc w:val="both"/>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https://www.entranze.eu/  </w:t>
      </w:r>
    </w:p>
  </w:footnote>
  <w:footnote w:id="166">
    <w:p>
      <w:pPr>
        <w:pStyle w:val="FootnoteText"/>
        <w:tabs>
          <w:tab w:val="left" w:pos="709"/>
        </w:tabs>
        <w:ind w:left="284" w:hanging="284"/>
        <w:jc w:val="both"/>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http://bpie.eu/  </w:t>
      </w:r>
    </w:p>
  </w:footnote>
  <w:footnote w:id="167">
    <w:p>
      <w:pPr>
        <w:pStyle w:val="FootnoteText"/>
        <w:tabs>
          <w:tab w:val="left" w:pos="709"/>
        </w:tabs>
        <w:ind w:left="284" w:hanging="284"/>
        <w:jc w:val="both"/>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https://ec.europa.eu/jrc/en/potencia/jrc-idees  </w:t>
      </w:r>
    </w:p>
  </w:footnote>
  <w:footnote w:id="168">
    <w:p>
      <w:pPr>
        <w:pStyle w:val="FootnoteText"/>
        <w:tabs>
          <w:tab w:val="left" w:pos="709"/>
        </w:tabs>
        <w:ind w:left="284" w:hanging="284"/>
        <w:jc w:val="both"/>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https://ec.europa.eu/energy/en/eubuildings </w:t>
      </w:r>
    </w:p>
  </w:footnote>
  <w:footnote w:id="169">
    <w:p>
      <w:pPr>
        <w:pStyle w:val="FootnoteText"/>
        <w:tabs>
          <w:tab w:val="left" w:pos="709"/>
        </w:tabs>
        <w:ind w:left="284" w:hanging="284"/>
        <w:jc w:val="both"/>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 xml:space="preserve">Source: https://www.tmleuven.be/en/navigation/TREMOVE   </w:t>
      </w:r>
    </w:p>
  </w:footnote>
  <w:footnote w:id="170">
    <w:p>
      <w:pPr>
        <w:pStyle w:val="FootnoteText"/>
        <w:tabs>
          <w:tab w:val="left" w:pos="709"/>
        </w:tabs>
        <w:ind w:left="284" w:hanging="284"/>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Several model enhancements were made compared to the standard TREMOVE model, as for example: for the number of vintages (allowing representation of the choice of second-hand cars); for the technology categories which include vehicle types using electricity from the grid and fuel cells. The model also incorporates additional fuel types, such as biofuels (when they differ from standard fossil fuel technologies), LPG, LNG, hydrogen and e-fuels. In addition, representation of infrastructure for refuelling and recharging are among the model refinements, influencing fuel choices. A major model enhancement concerns the inclusion of heterogeneity in the distance of stylised trips; the model considers that the trip distances follow a distribution function with different distances and frequencies. The inclusion of heterogeneity was found to be of significant influence in the choice of vehicle-fuels especially for vehicles-fuels with range limitations.</w:t>
      </w:r>
    </w:p>
  </w:footnote>
  <w:footnote w:id="171">
    <w:p>
      <w:pPr>
        <w:pStyle w:val="FootnoteText"/>
        <w:ind w:left="284" w:hanging="284"/>
        <w:rPr>
          <w:rFonts w:ascii="Times New Roman" w:hAnsi="Times New Roman" w:cs="Times New Roman"/>
          <w:sz w:val="18"/>
          <w:szCs w:val="18"/>
          <w:lang w:val="en-IE"/>
        </w:rPr>
      </w:pPr>
      <w:r>
        <w:rPr>
          <w:rStyle w:val="FootnoteReference"/>
          <w:sz w:val="18"/>
          <w:szCs w:val="18"/>
        </w:rPr>
        <w:footnoteRef/>
      </w:r>
      <w:r>
        <w:rPr>
          <w:sz w:val="18"/>
          <w:szCs w:val="18"/>
          <w:lang w:val="en-IE"/>
        </w:rPr>
        <w:t xml:space="preserve"> </w:t>
      </w:r>
      <w:r>
        <w:rPr>
          <w:sz w:val="18"/>
          <w:szCs w:val="18"/>
          <w:lang w:val="en-IE"/>
        </w:rPr>
        <w:tab/>
      </w:r>
      <w:r>
        <w:rPr>
          <w:rFonts w:ascii="Times New Roman" w:hAnsi="Times New Roman" w:cs="Times New Roman"/>
          <w:sz w:val="18"/>
          <w:szCs w:val="18"/>
          <w:lang w:val="en-IE"/>
        </w:rPr>
        <w:t xml:space="preserve">Bioheavy refers to bio heavy fuel oil. </w:t>
      </w:r>
    </w:p>
  </w:footnote>
  <w:footnote w:id="172">
    <w:p>
      <w:pPr>
        <w:pStyle w:val="FootnoteText"/>
        <w:tabs>
          <w:tab w:val="left" w:pos="284"/>
        </w:tabs>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r>
      <w:r>
        <w:rPr>
          <w:rFonts w:ascii="Times New Roman" w:hAnsi="Times New Roman" w:cs="Times New Roman"/>
          <w:sz w:val="18"/>
          <w:szCs w:val="18"/>
          <w:lang w:val="fr-BE"/>
        </w:rPr>
        <w:t xml:space="preserve">Source: https://ec.europa.eu/transport/facts-fundings/statistics_en </w:t>
      </w:r>
    </w:p>
  </w:footnote>
  <w:footnote w:id="173">
    <w:p>
      <w:pPr>
        <w:pStyle w:val="FootnoteText"/>
        <w:tabs>
          <w:tab w:val="left" w:pos="284"/>
        </w:tabs>
        <w:rPr>
          <w:rFonts w:ascii="Times New Roman" w:hAnsi="Times New Roman" w:cs="Times New Roman"/>
          <w:sz w:val="16"/>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https://mrv.emsa.europa.eu/#public/eumrv</w:t>
      </w:r>
    </w:p>
  </w:footnote>
  <w:footnote w:id="174">
    <w:p>
      <w:pPr>
        <w:pStyle w:val="FootnoteText"/>
        <w:tabs>
          <w:tab w:val="left" w:pos="709"/>
        </w:tabs>
        <w:ind w:left="284" w:hanging="284"/>
        <w:jc w:val="both"/>
        <w:rPr>
          <w:rFonts w:ascii="Times New Roman" w:hAnsi="Times New Roman" w:cs="Times New Roman"/>
          <w:sz w:val="18"/>
          <w:szCs w:val="18"/>
          <w:lang w:val="fr-BE"/>
        </w:rPr>
      </w:pPr>
      <w:r>
        <w:rPr>
          <w:rStyle w:val="FootnoteReference"/>
          <w:rFonts w:ascii="Times New Roman" w:hAnsi="Times New Roman" w:cs="Times New Roman"/>
          <w:sz w:val="18"/>
          <w:szCs w:val="18"/>
          <w:lang w:val="en-US"/>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 xml:space="preserve">Source : http://www.trt.it/wp/wp-content/uploads/2016/09/TRUST-model-detailed-description-1.pdf  </w:t>
      </w:r>
    </w:p>
  </w:footnote>
  <w:footnote w:id="175">
    <w:p>
      <w:pPr>
        <w:pStyle w:val="FootnoteText"/>
        <w:ind w:left="284" w:hanging="284"/>
        <w:jc w:val="both"/>
        <w:rPr>
          <w:rFonts w:ascii="Times New Roman" w:hAnsi="Times New Roman" w:cs="Times New Roman"/>
          <w:sz w:val="18"/>
          <w:szCs w:val="18"/>
          <w:lang w:val="en-IE"/>
        </w:rPr>
      </w:pPr>
      <w:r>
        <w:rPr>
          <w:rStyle w:val="FootnoteReference"/>
          <w:rFonts w:ascii="Times New Roman" w:hAnsi="Times New Roman" w:cs="Times New Roman"/>
          <w:sz w:val="18"/>
          <w:szCs w:val="18"/>
        </w:rPr>
        <w:footnoteRef/>
      </w:r>
      <w:r>
        <w:rPr>
          <w:rFonts w:ascii="Times New Roman" w:hAnsi="Times New Roman" w:cs="Times New Roman"/>
          <w:sz w:val="18"/>
          <w:szCs w:val="18"/>
          <w:lang w:val="en-IE"/>
        </w:rPr>
        <w:t xml:space="preserve"> TRUST model, in connection with ASTRA, has been used for several impact assessment support studies commissioned by EC (e.g. Support Study for the Impact Assessment accompanying the revision of the Eurovignette Directive (1999/62/EC), Study on the deployment of C-ITS in Europe) and other studies (e.g. The impact of TEN-T completion on growth, jobs and the environment, Sustainable Transport Infrastructure Charging and Internalisation of Transport Externalities).</w:t>
      </w:r>
    </w:p>
  </w:footnote>
  <w:footnote w:id="176">
    <w:p>
      <w:pPr>
        <w:pStyle w:val="FootnoteText"/>
        <w:tabs>
          <w:tab w:val="left" w:pos="284"/>
        </w:tabs>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r>
      <w:r>
        <w:rPr>
          <w:rFonts w:ascii="Times New Roman" w:hAnsi="Times New Roman" w:cs="Times New Roman"/>
          <w:sz w:val="18"/>
          <w:szCs w:val="18"/>
          <w:lang w:val="fr-BE"/>
        </w:rPr>
        <w:t xml:space="preserve">Source: https://ec.europa.eu/transport/facts-fundings/statistics_en </w:t>
      </w:r>
    </w:p>
  </w:footnote>
  <w:footnote w:id="177">
    <w:p>
      <w:pPr>
        <w:pStyle w:val="FootnoteText"/>
        <w:tabs>
          <w:tab w:val="left" w:pos="142"/>
          <w:tab w:val="left" w:pos="284"/>
        </w:tabs>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https://ec.europa.eu/transport/themes/infrastructure-ten-t-connecting-europe/tentec-information-system_en</w:t>
      </w:r>
    </w:p>
  </w:footnote>
  <w:footnote w:id="178">
    <w:p>
      <w:pPr>
        <w:pStyle w:val="FootnoteText"/>
        <w:tabs>
          <w:tab w:val="left" w:pos="709"/>
        </w:tabs>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r>
      <w:r>
        <w:rPr>
          <w:rFonts w:ascii="Times New Roman" w:hAnsi="Times New Roman" w:cs="Times New Roman"/>
          <w:sz w:val="18"/>
          <w:szCs w:val="18"/>
          <w:lang w:val="fr-FR"/>
        </w:rPr>
        <w:t xml:space="preserve">Source: </w:t>
      </w:r>
      <w:hyperlink r:id="rId49" w:history="1">
        <w:r>
          <w:rPr>
            <w:rStyle w:val="Hyperlink"/>
            <w:rFonts w:ascii="Times New Roman" w:hAnsi="Times New Roman" w:cs="Times New Roman"/>
            <w:sz w:val="18"/>
            <w:szCs w:val="18"/>
            <w:lang w:val="fr-BE"/>
          </w:rPr>
          <w:t>https://ec.europa.eu/eurostat/web/population-demography-migration-projections/population-projections-data</w:t>
        </w:r>
      </w:hyperlink>
      <w:r>
        <w:rPr>
          <w:rFonts w:ascii="Times New Roman" w:hAnsi="Times New Roman" w:cs="Times New Roman"/>
          <w:sz w:val="18"/>
          <w:szCs w:val="18"/>
          <w:lang w:val="fr-BE"/>
        </w:rPr>
        <w:t xml:space="preserve"> </w:t>
      </w:r>
    </w:p>
  </w:footnote>
  <w:footnote w:id="179">
    <w:p>
      <w:pPr>
        <w:pStyle w:val="FootnoteText"/>
        <w:ind w:left="284" w:hanging="284"/>
        <w:rPr>
          <w:rFonts w:ascii="Times New Roman" w:hAnsi="Times New Roman" w:cs="Times New Roman"/>
          <w:sz w:val="18"/>
          <w:szCs w:val="18"/>
          <w:lang w:val="en-IE"/>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The long-term evolution of economic activity was estimated from three sources: DG ECFIN’s short term economic forecast, updated t+10 projections up to 2029 and the 2018 Aging Report projections elaborated by the European Commission. For the short-term (2020-2021), the projections are based on growth forecast by the Directorate General for Economic and Financial Affairs (Spring 2020 Economic Forecast). Projections up to 2029 use the associated t+10 work from DG ECFIN, which is based on projections of potential output growth and a closure of output gap in the medium term. The long-term per capita GDP growth projections of the 2018 Ageing Report are used for the period 2030-2050, available at: https://ec.europa.eu/info/publications/economy-finance/2018-ageing-report-economic-and-budgetary-projections-eu-member-states-2016-2070_en</w:t>
      </w:r>
    </w:p>
  </w:footnote>
  <w:footnote w:id="180">
    <w:p>
      <w:pPr>
        <w:pStyle w:val="footnote"/>
        <w:snapToGrid w:val="0"/>
        <w:ind w:left="284" w:hanging="284"/>
        <w:jc w:val="left"/>
        <w:rPr>
          <w:szCs w:val="18"/>
        </w:rPr>
      </w:pPr>
      <w:r>
        <w:rPr>
          <w:rStyle w:val="FootnoteReference"/>
          <w:sz w:val="18"/>
          <w:szCs w:val="18"/>
        </w:rPr>
        <w:footnoteRef/>
      </w:r>
      <w:r>
        <w:rPr>
          <w:sz w:val="18"/>
          <w:szCs w:val="18"/>
        </w:rPr>
        <w:t xml:space="preserve"> </w:t>
      </w:r>
      <w:r>
        <w:rPr>
          <w:sz w:val="18"/>
          <w:szCs w:val="18"/>
        </w:rPr>
        <w:tab/>
        <w:t>Communication from the Commission ‘Stepping up Europe’s 2030 climate ambition - Investing in a climate-neutral future for the benefit of our people’, COM(2020) 562 final.</w:t>
      </w:r>
    </w:p>
  </w:footnote>
  <w:footnote w:id="181">
    <w:p>
      <w:pPr>
        <w:pStyle w:val="FootnoteText"/>
        <w:ind w:left="284" w:hanging="284"/>
        <w:rPr>
          <w:sz w:val="17"/>
          <w:szCs w:val="17"/>
          <w:lang w:val="en-IE"/>
        </w:rPr>
      </w:pPr>
      <w:r>
        <w:rPr>
          <w:rStyle w:val="FootnoteReference"/>
          <w:sz w:val="17"/>
          <w:szCs w:val="17"/>
        </w:rPr>
        <w:footnoteRef/>
      </w:r>
      <w:r>
        <w:rPr>
          <w:sz w:val="17"/>
          <w:szCs w:val="17"/>
          <w:lang w:val="en-IE"/>
        </w:rPr>
        <w:t xml:space="preserve"> </w:t>
      </w:r>
      <w:r>
        <w:rPr>
          <w:sz w:val="17"/>
          <w:szCs w:val="17"/>
          <w:lang w:val="en-IE"/>
        </w:rPr>
        <w:tab/>
        <w:t>COM/2020/562 final</w:t>
      </w:r>
    </w:p>
  </w:footnote>
  <w:footnote w:id="182">
    <w:p>
      <w:pPr>
        <w:pStyle w:val="FootnoteText"/>
        <w:tabs>
          <w:tab w:val="left" w:pos="284"/>
        </w:tabs>
        <w:ind w:left="284" w:hanging="284"/>
        <w:jc w:val="both"/>
        <w:rPr>
          <w:rFonts w:ascii="Times New Roman" w:hAnsi="Times New Roman" w:cs="Times New Roman"/>
          <w:sz w:val="18"/>
          <w:szCs w:val="18"/>
          <w:lang w:val="pt-PT"/>
        </w:rPr>
      </w:pPr>
      <w:r>
        <w:rPr>
          <w:rStyle w:val="FootnoteReference"/>
          <w:rFonts w:ascii="Times New Roman" w:hAnsi="Times New Roman" w:cs="Times New Roman"/>
          <w:sz w:val="18"/>
          <w:szCs w:val="18"/>
        </w:rPr>
        <w:footnoteRef/>
      </w:r>
      <w:r>
        <w:rPr>
          <w:rFonts w:ascii="Times New Roman" w:hAnsi="Times New Roman" w:cs="Times New Roman"/>
          <w:sz w:val="18"/>
          <w:szCs w:val="18"/>
          <w:lang w:val="pt-PT"/>
        </w:rPr>
        <w:t xml:space="preserve"> </w:t>
      </w:r>
      <w:r>
        <w:rPr>
          <w:rFonts w:ascii="Times New Roman" w:hAnsi="Times New Roman" w:cs="Times New Roman"/>
          <w:sz w:val="18"/>
          <w:szCs w:val="18"/>
          <w:lang w:val="pt-PT"/>
        </w:rPr>
        <w:tab/>
        <w:t>Regulation (EU) 2015/757</w:t>
      </w:r>
    </w:p>
  </w:footnote>
  <w:footnote w:id="183">
    <w:p>
      <w:pPr>
        <w:pStyle w:val="FootnoteText"/>
        <w:tabs>
          <w:tab w:val="left" w:pos="709"/>
        </w:tabs>
        <w:ind w:left="284" w:hanging="284"/>
        <w:jc w:val="both"/>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Directive 2003/87/EC</w:t>
      </w:r>
    </w:p>
  </w:footnote>
  <w:footnote w:id="184">
    <w:p>
      <w:pPr>
        <w:pStyle w:val="FootnoteText"/>
        <w:tabs>
          <w:tab w:val="left" w:pos="709"/>
        </w:tabs>
        <w:ind w:left="284" w:hanging="284"/>
        <w:jc w:val="both"/>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Decision (EU) 2015/1814</w:t>
      </w:r>
    </w:p>
  </w:footnote>
  <w:footnote w:id="185">
    <w:p>
      <w:pPr>
        <w:pStyle w:val="FootnoteText"/>
        <w:tabs>
          <w:tab w:val="left" w:pos="709"/>
        </w:tabs>
        <w:ind w:left="284" w:hanging="284"/>
        <w:jc w:val="both"/>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Regulation (EU) 421/2014</w:t>
      </w:r>
    </w:p>
  </w:footnote>
  <w:footnote w:id="186">
    <w:p>
      <w:pPr>
        <w:pStyle w:val="FootnoteText"/>
        <w:tabs>
          <w:tab w:val="left" w:pos="709"/>
        </w:tabs>
        <w:ind w:left="284" w:hanging="284"/>
        <w:jc w:val="both"/>
        <w:rPr>
          <w:rFonts w:ascii="Times New Roman" w:hAnsi="Times New Roman" w:cs="Times New Roman"/>
          <w:sz w:val="16"/>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Regulation (EU) 2017/2392</w:t>
      </w:r>
    </w:p>
  </w:footnote>
  <w:footnote w:id="187">
    <w:p>
      <w:pPr>
        <w:pStyle w:val="FootnoteText"/>
        <w:tabs>
          <w:tab w:val="left" w:pos="284"/>
        </w:tabs>
        <w:ind w:left="284" w:hanging="284"/>
        <w:rPr>
          <w:rFonts w:ascii="Times New Roman" w:hAnsi="Times New Roman" w:cs="Times New Roman"/>
          <w:sz w:val="18"/>
          <w:szCs w:val="18"/>
          <w:lang w:val="fr-FR"/>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FR"/>
        </w:rPr>
        <w:t xml:space="preserve"> </w:t>
      </w:r>
      <w:r>
        <w:rPr>
          <w:rFonts w:ascii="Times New Roman" w:hAnsi="Times New Roman" w:cs="Times New Roman"/>
          <w:sz w:val="18"/>
          <w:szCs w:val="18"/>
          <w:lang w:val="fr-FR"/>
        </w:rPr>
        <w:tab/>
        <w:t>Directive 2018/2001/EU</w:t>
      </w:r>
    </w:p>
  </w:footnote>
  <w:footnote w:id="188">
    <w:p>
      <w:pPr>
        <w:pStyle w:val="FootnoteText"/>
        <w:tabs>
          <w:tab w:val="left" w:pos="284"/>
        </w:tabs>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Directive 2009/30/EC</w:t>
      </w:r>
    </w:p>
  </w:footnote>
  <w:footnote w:id="189">
    <w:p>
      <w:pPr>
        <w:pStyle w:val="FootnoteText"/>
        <w:tabs>
          <w:tab w:val="left" w:pos="284"/>
        </w:tabs>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Regulations (EU) 2019/631</w:t>
      </w:r>
    </w:p>
  </w:footnote>
  <w:footnote w:id="190">
    <w:p>
      <w:pPr>
        <w:pStyle w:val="FootnoteText"/>
        <w:tabs>
          <w:tab w:val="left" w:pos="284"/>
        </w:tabs>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Regulation (EU) 2019/1242</w:t>
      </w:r>
    </w:p>
  </w:footnote>
  <w:footnote w:id="191">
    <w:p>
      <w:pPr>
        <w:pStyle w:val="FootnoteText"/>
        <w:tabs>
          <w:tab w:val="left" w:pos="284"/>
        </w:tabs>
        <w:ind w:left="284" w:hanging="284"/>
        <w:rPr>
          <w:rFonts w:ascii="Times New Roman" w:hAnsi="Times New Roman" w:cs="Times New Roman"/>
          <w:sz w:val="18"/>
          <w:szCs w:val="18"/>
          <w:lang w:val="fr-BE"/>
        </w:rPr>
      </w:pPr>
      <w:r>
        <w:rPr>
          <w:rStyle w:val="FootnoteReference"/>
          <w:rFonts w:ascii="Times New Roman" w:hAnsi="Times New Roman" w:cs="Times New Roman"/>
          <w:sz w:val="18"/>
          <w:szCs w:val="18"/>
        </w:rPr>
        <w:footnoteRef/>
      </w:r>
      <w:r>
        <w:rPr>
          <w:rFonts w:ascii="Times New Roman" w:hAnsi="Times New Roman" w:cs="Times New Roman"/>
          <w:sz w:val="18"/>
          <w:szCs w:val="18"/>
          <w:lang w:val="fr-BE"/>
        </w:rPr>
        <w:t xml:space="preserve"> </w:t>
      </w:r>
      <w:r>
        <w:rPr>
          <w:rFonts w:ascii="Times New Roman" w:hAnsi="Times New Roman" w:cs="Times New Roman"/>
          <w:sz w:val="18"/>
          <w:szCs w:val="18"/>
          <w:lang w:val="fr-BE"/>
        </w:rPr>
        <w:tab/>
        <w:t>Regulation (EU) 2018/842</w:t>
      </w:r>
    </w:p>
  </w:footnote>
  <w:footnote w:id="192">
    <w:p>
      <w:pPr>
        <w:pStyle w:val="FootnoteText"/>
        <w:ind w:left="284" w:hanging="284"/>
        <w:jc w:val="both"/>
        <w:rPr>
          <w:rFonts w:ascii="Times New Roman" w:hAnsi="Times New Roman" w:cs="Times New Roman"/>
          <w:sz w:val="16"/>
          <w:szCs w:val="18"/>
        </w:rPr>
      </w:pPr>
      <w:r>
        <w:rPr>
          <w:rStyle w:val="FootnoteReference"/>
          <w:rFonts w:ascii="Times New Roman" w:hAnsi="Times New Roman" w:cs="Times New Roman"/>
          <w:sz w:val="16"/>
          <w:szCs w:val="18"/>
        </w:rPr>
        <w:footnoteRef/>
      </w:r>
      <w:r>
        <w:rPr>
          <w:rFonts w:ascii="Times New Roman" w:hAnsi="Times New Roman" w:cs="Times New Roman"/>
          <w:sz w:val="16"/>
          <w:szCs w:val="18"/>
        </w:rPr>
        <w:t xml:space="preserve"> </w:t>
      </w:r>
      <w:r>
        <w:rPr>
          <w:rFonts w:ascii="Times New Roman" w:hAnsi="Times New Roman" w:cs="Times New Roman"/>
          <w:sz w:val="16"/>
          <w:szCs w:val="18"/>
        </w:rPr>
        <w:tab/>
        <w:t>With respect to costs, the production costs of biofuels used in international maritime are lower compared to biofuel production costs used in other transport modes like aviation (by about 35% in 2030 and 25% in 2050, respectively). One explanation lies within the technology portfolio, that for international maritime biofuels is broader than that of biokerosene, which includes only ASTM certified technologies. For international maritime, technologies such as hydrothermal liquefaction and upgrading are deployed which display lower production costs than, for instance, the Alcohol-to-Jet route. Secondly, fungible biodiesel and bioheavy are also used by sectors other than maritime, and therefore technologies are deployed driven by a broader demand than that of international maritime. The model exploits the learning-by-doing effects driven by the combined fuel deployment across all sectors, the benefits of which are indicated by lower capital and fixed costs, compared to the biokerosene routes.</w:t>
      </w:r>
    </w:p>
  </w:footnote>
  <w:footnote w:id="193">
    <w:p>
      <w:pPr>
        <w:pStyle w:val="FootnoteText"/>
        <w:tabs>
          <w:tab w:val="left" w:pos="284"/>
        </w:tabs>
        <w:ind w:left="284" w:hanging="284"/>
        <w:jc w:val="both"/>
        <w:rPr>
          <w:rFonts w:ascii="Times New Roman" w:hAnsi="Times New Roman" w:cs="Times New Roman"/>
          <w:sz w:val="16"/>
          <w:szCs w:val="18"/>
          <w:lang w:val="en-US"/>
        </w:rPr>
      </w:pPr>
      <w:r>
        <w:rPr>
          <w:rStyle w:val="FootnoteReference"/>
          <w:rFonts w:ascii="Times New Roman" w:hAnsi="Times New Roman" w:cs="Times New Roman"/>
          <w:sz w:val="16"/>
          <w:szCs w:val="18"/>
        </w:rPr>
        <w:footnoteRef/>
      </w:r>
      <w:r>
        <w:rPr>
          <w:rFonts w:ascii="Times New Roman" w:hAnsi="Times New Roman" w:cs="Times New Roman"/>
          <w:sz w:val="16"/>
          <w:szCs w:val="18"/>
        </w:rPr>
        <w:t xml:space="preserve"> </w:t>
      </w:r>
      <w:r>
        <w:rPr>
          <w:rFonts w:ascii="Times New Roman" w:hAnsi="Times New Roman" w:cs="Times New Roman"/>
          <w:sz w:val="16"/>
          <w:szCs w:val="18"/>
        </w:rPr>
        <w:tab/>
      </w:r>
      <w:r>
        <w:rPr>
          <w:rFonts w:ascii="Times New Roman" w:hAnsi="Times New Roman" w:cs="Times New Roman"/>
          <w:sz w:val="16"/>
          <w:szCs w:val="18"/>
          <w:lang w:val="en-US"/>
        </w:rPr>
        <w:t>DG CLIMA, MOVE (2013) – Impact assessment part 2 Accompanying the document Proposal for a Regulation of the European Parliament and of the Council on the monitoring, reporting and verification of carbon dioxide emissions from maritime transport and amending Regulation (EU) N° 525/2013</w:t>
      </w:r>
    </w:p>
  </w:footnote>
  <w:footnote w:id="194">
    <w:p>
      <w:pPr>
        <w:pStyle w:val="FootnoteText"/>
        <w:ind w:left="284" w:hanging="284"/>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lang w:val="en-US"/>
        </w:rPr>
        <w:t xml:space="preserve">According to the IA on the revision of the EU MRV Regulation, p. 51 (overview of administrative burden), verification costs turned out to be significantly lower than estimated in the 2013 EU MRV impact assessment: </w:t>
      </w:r>
      <w:hyperlink r:id="rId50" w:history="1">
        <w:r>
          <w:rPr>
            <w:rStyle w:val="Hyperlink"/>
            <w:rFonts w:ascii="Times New Roman" w:hAnsi="Times New Roman" w:cs="Times New Roman"/>
            <w:sz w:val="18"/>
            <w:szCs w:val="18"/>
            <w:lang w:val="en-US"/>
          </w:rPr>
          <w:t>https://ec.europa.eu/clima/sites/clima/files/transport/shipping/docs/swd_2019_10_en.pdf</w:t>
        </w:r>
      </w:hyperlink>
      <w:r>
        <w:rPr>
          <w:rFonts w:ascii="Times New Roman" w:hAnsi="Times New Roman" w:cs="Times New Roman"/>
          <w:sz w:val="18"/>
          <w:szCs w:val="18"/>
          <w:lang w:val="en-US"/>
        </w:rPr>
        <w:t xml:space="preserve"> </w:t>
      </w:r>
    </w:p>
  </w:footnote>
  <w:footnote w:id="19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Cs w:val="16"/>
          <w:lang w:val="en-US"/>
        </w:rPr>
        <w:t>Source: EMSA 2020</w:t>
      </w:r>
    </w:p>
  </w:footnote>
  <w:footnote w:id="196">
    <w:p>
      <w:pPr>
        <w:pStyle w:val="FootnoteText"/>
        <w:tabs>
          <w:tab w:val="left" w:pos="284"/>
        </w:tabs>
        <w:ind w:left="284" w:hanging="284"/>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lang w:val="en-US"/>
        </w:rPr>
        <w:tab/>
        <w:t>DG CLIMA, MOVE (2013) – Impact assessment part 2 Accompanying the document Proposal for a Regulation of the European Parliament and of the Council on the monitoring, reporting and verification of carbon dioxide emissions from maritime transport and amending Regulation (EU) N° 525/2013</w:t>
      </w:r>
    </w:p>
  </w:footnote>
  <w:footnote w:id="197">
    <w:p>
      <w:pPr>
        <w:pStyle w:val="FootnoteText"/>
        <w:tabs>
          <w:tab w:val="left" w:pos="284"/>
        </w:tabs>
        <w:ind w:left="284" w:hanging="284"/>
        <w:rPr>
          <w:rFonts w:ascii="Times New Roman" w:hAnsi="Times New Roman" w:cs="Times New Roman"/>
          <w:sz w:val="16"/>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 xml:space="preserve">Eurostat (LC_LCI_LEV) Labour costs index EU27, Professional, scientific and technical activities (M) </w:t>
      </w:r>
    </w:p>
  </w:footnote>
  <w:footnote w:id="198">
    <w:p>
      <w:pPr>
        <w:pStyle w:val="FootnoteText"/>
        <w:tabs>
          <w:tab w:val="left" w:pos="284"/>
        </w:tabs>
        <w:ind w:left="284" w:hanging="284"/>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lang w:val="en-US"/>
        </w:rPr>
        <w:tab/>
      </w:r>
      <w:r>
        <w:rPr>
          <w:rFonts w:ascii="Times New Roman" w:hAnsi="Times New Roman" w:cs="Times New Roman"/>
          <w:sz w:val="18"/>
          <w:szCs w:val="18"/>
        </w:rPr>
        <w:t>Eurostat (LC_LCI_LEV) Labour costs index EU27, Transportation and storage (H)</w:t>
      </w:r>
    </w:p>
  </w:footnote>
  <w:footnote w:id="199">
    <w:p>
      <w:pPr>
        <w:pStyle w:val="FootnoteText"/>
        <w:ind w:left="284" w:hanging="284"/>
        <w:jc w:val="both"/>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 </w:t>
      </w:r>
      <w:r>
        <w:rPr>
          <w:rFonts w:ascii="Times New Roman" w:hAnsi="Times New Roman" w:cs="Times New Roman"/>
          <w:sz w:val="18"/>
          <w:szCs w:val="18"/>
        </w:rPr>
        <w:tab/>
        <w:t>Upper bound based on a conservative assumption that each vessel currently under EU MRV Regulation is inspected every year.</w:t>
      </w:r>
    </w:p>
  </w:footnote>
  <w:footnote w:id="200">
    <w:p>
      <w:pPr>
        <w:pStyle w:val="FootnoteText"/>
        <w:tabs>
          <w:tab w:val="left" w:pos="284"/>
        </w:tabs>
        <w:ind w:left="284" w:hanging="284"/>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Assuming that each vessels under EU MRV Regulation is inspected every year</w:t>
      </w:r>
    </w:p>
  </w:footnote>
  <w:footnote w:id="201">
    <w:p>
      <w:pPr>
        <w:pStyle w:val="FootnoteText"/>
        <w:tabs>
          <w:tab w:val="left" w:pos="284"/>
        </w:tabs>
        <w:ind w:left="284" w:hanging="284"/>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lang w:val="en-US"/>
        </w:rPr>
        <w:tab/>
        <w:t>Per vessel two entire crews (40-50 people) that need to be trained once between 2025 and 2035</w:t>
      </w:r>
    </w:p>
  </w:footnote>
  <w:footnote w:id="202">
    <w:p>
      <w:pPr>
        <w:pStyle w:val="FootnoteText"/>
        <w:tabs>
          <w:tab w:val="left" w:pos="284"/>
        </w:tabs>
        <w:ind w:left="284" w:hanging="284"/>
        <w:rPr>
          <w:rFonts w:ascii="Times New Roman" w:hAnsi="Times New Roman" w:cs="Times New Roman"/>
          <w:sz w:val="16"/>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lang w:val="en-US"/>
        </w:rPr>
        <w:tab/>
        <w:t xml:space="preserve">Based on duration of IGF Code training for LNG (RelyOnNutec: IGF Basic Training (2 days, fee: </w:t>
      </w:r>
      <w:r>
        <w:rPr>
          <w:rFonts w:ascii="Times New Roman" w:hAnsi="Times New Roman" w:cs="Times New Roman"/>
          <w:sz w:val="18"/>
          <w:szCs w:val="18"/>
        </w:rPr>
        <w:t>€800), STC Training &amp; Consultancy IGF Training (Advanced 4 days, fee:</w:t>
      </w:r>
      <w:r>
        <w:rPr>
          <w:rFonts w:ascii="Times New Roman" w:hAnsi="Times New Roman" w:cs="Times New Roman"/>
          <w:sz w:val="18"/>
          <w:szCs w:val="18"/>
          <w:lang w:val="en-US"/>
        </w:rPr>
        <w:t xml:space="preserve"> </w:t>
      </w:r>
      <w:r>
        <w:rPr>
          <w:rFonts w:ascii="Times New Roman" w:hAnsi="Times New Roman" w:cs="Times New Roman"/>
          <w:sz w:val="18"/>
          <w:szCs w:val="18"/>
        </w:rPr>
        <w:t>€1,765 – Basic 2 days, fee: €730)</w:t>
      </w:r>
    </w:p>
  </w:footnote>
  <w:footnote w:id="203">
    <w:p>
      <w:pPr>
        <w:pStyle w:val="FootnoteText"/>
        <w:tabs>
          <w:tab w:val="left" w:pos="284"/>
        </w:tabs>
        <w:ind w:left="284" w:hanging="284"/>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lang w:val="en-US"/>
        </w:rPr>
        <w:t>Assuming that guidelines only need to be set-up once between 2025 and 2050, for each of the following six fuel categories (bio-LNG, e-liquids, e-gas, hydrogen, ammonia and methanol)</w:t>
      </w:r>
    </w:p>
  </w:footnote>
  <w:footnote w:id="204">
    <w:p>
      <w:pPr>
        <w:pStyle w:val="FootnoteText"/>
        <w:tabs>
          <w:tab w:val="left" w:pos="284"/>
        </w:tabs>
        <w:ind w:left="284" w:hanging="284"/>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lang w:val="en-US"/>
        </w:rPr>
        <w:t>470 European ports have registered throughput statistics, see section 5.2.4 (impact on ports)</w:t>
      </w:r>
    </w:p>
  </w:footnote>
  <w:footnote w:id="205">
    <w:p>
      <w:pPr>
        <w:pStyle w:val="FootnoteText"/>
        <w:tabs>
          <w:tab w:val="left" w:pos="284"/>
        </w:tabs>
        <w:ind w:left="284" w:hanging="284"/>
        <w:rPr>
          <w:rFonts w:ascii="Times New Roman" w:hAnsi="Times New Roman" w:cs="Times New Roman"/>
          <w:sz w:val="18"/>
          <w:szCs w:val="18"/>
          <w:lang w:val="en-US"/>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lang w:val="en-US"/>
        </w:rPr>
        <w:t xml:space="preserve">Assuming the ports classified as large and medium (see section 5.2.4 (impact on ports)) will set up guidelines and the small ports will use those guidelines </w:t>
      </w:r>
    </w:p>
  </w:footnote>
  <w:footnote w:id="206">
    <w:p>
      <w:pPr>
        <w:pStyle w:val="FootnoteText"/>
        <w:tabs>
          <w:tab w:val="left" w:pos="284"/>
        </w:tabs>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 xml:space="preserve">Eurostat (LC_LCI_LEV) Labour costs index EU27, Professional, scientific and technical activities (M) </w:t>
      </w:r>
    </w:p>
  </w:footnote>
  <w:footnote w:id="207">
    <w:p>
      <w:pPr>
        <w:pStyle w:val="FootnoteText"/>
        <w:ind w:left="284" w:hanging="284"/>
        <w:jc w:val="both"/>
        <w:rPr>
          <w:rFonts w:ascii="Times New Roman" w:hAnsi="Times New Roman" w:cs="Times New Roman"/>
          <w:sz w:val="16"/>
          <w:szCs w:val="18"/>
        </w:rPr>
      </w:pPr>
      <w:r>
        <w:rPr>
          <w:rStyle w:val="FootnoteReference"/>
        </w:rPr>
        <w:footnoteRef/>
      </w:r>
      <w:r>
        <w:rPr>
          <w:rFonts w:ascii="Times New Roman" w:hAnsi="Times New Roman" w:cs="Times New Roman"/>
          <w:sz w:val="18"/>
          <w:szCs w:val="18"/>
        </w:rPr>
        <w:t xml:space="preserve"> </w:t>
      </w:r>
      <w:r>
        <w:rPr>
          <w:rFonts w:ascii="Times New Roman" w:hAnsi="Times New Roman" w:cs="Times New Roman"/>
          <w:sz w:val="18"/>
          <w:szCs w:val="18"/>
        </w:rPr>
        <w:tab/>
        <w:t>Upper bound based on a conservative assumption that each vessel currently under EU MRV Regulation is inspected every year.</w:t>
      </w:r>
    </w:p>
  </w:footnote>
  <w:footnote w:id="208">
    <w:p>
      <w:pPr>
        <w:pStyle w:val="FootnoteText"/>
      </w:pPr>
      <w:r>
        <w:rPr>
          <w:rStyle w:val="FootnoteReference"/>
        </w:rPr>
        <w:footnoteRef/>
      </w:r>
      <w:r>
        <w:t xml:space="preserve"> </w:t>
      </w:r>
      <w:r>
        <w:rPr>
          <w:rFonts w:ascii="Times New Roman" w:hAnsi="Times New Roman" w:cs="Times New Roman"/>
          <w:sz w:val="18"/>
        </w:rPr>
        <w:t>Source: North Sea Port (2020), https://en.northseaport.com/volth2-signs-cooperation-agreement-with-north-sea-port-for-the-development-of-a-green-hydrogen-plant. In the absence of proper reference points for the development of infrastructure of hydrogen as marine fuel, this investment bandwidth is estimated on the basis of costs for the deployment of hydrogen plants in ports.</w:t>
      </w:r>
    </w:p>
  </w:footnote>
  <w:footnote w:id="209">
    <w:p>
      <w:pPr>
        <w:pStyle w:val="FootnoteText"/>
        <w:ind w:left="426" w:hanging="426"/>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Shore Power Technology Assessment at U.S. Ports, 2017; Energy analysis and costs estimation of</w:t>
      </w:r>
    </w:p>
    <w:p>
      <w:pPr>
        <w:pStyle w:val="FootnoteText"/>
        <w:rPr>
          <w:rFonts w:ascii="Times New Roman" w:hAnsi="Times New Roman" w:cs="Times New Roman"/>
          <w:sz w:val="18"/>
          <w:szCs w:val="18"/>
        </w:rPr>
      </w:pPr>
      <w:r>
        <w:rPr>
          <w:rFonts w:ascii="Times New Roman" w:hAnsi="Times New Roman" w:cs="Times New Roman"/>
          <w:sz w:val="18"/>
          <w:szCs w:val="18"/>
        </w:rPr>
        <w:t>an On-shore Power Supply system in the Port of Gävle, 2019</w:t>
      </w:r>
    </w:p>
  </w:footnote>
  <w:footnote w:id="210">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hyperlink r:id="rId51" w:history="1">
        <w:r>
          <w:rPr>
            <w:rStyle w:val="Hyperlink"/>
            <w:rFonts w:ascii="Times New Roman" w:hAnsi="Times New Roman" w:cs="Times New Roman"/>
            <w:sz w:val="18"/>
            <w:szCs w:val="18"/>
          </w:rPr>
          <w:t>https://eur-lex.europa.eu/legal-content/EN/TXT/PDF/?uri=CELEX:52018SC0181&amp;from=EN</w:t>
        </w:r>
      </w:hyperlink>
      <w:r>
        <w:rPr>
          <w:rFonts w:ascii="Times New Roman" w:hAnsi="Times New Roman" w:cs="Times New Roman"/>
          <w:sz w:val="18"/>
          <w:szCs w:val="18"/>
        </w:rPr>
        <w:t xml:space="preserve"> </w:t>
      </w:r>
    </w:p>
  </w:footnote>
  <w:footnote w:id="211">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Style w:val="Hyperlink"/>
          <w:rFonts w:ascii="Times New Roman" w:hAnsi="Times New Roman" w:cs="Times New Roman"/>
          <w:sz w:val="18"/>
          <w:szCs w:val="18"/>
        </w:rPr>
        <w:t xml:space="preserve">For example: Rotterdam: </w:t>
      </w:r>
      <w:hyperlink r:id="rId52" w:history="1">
        <w:r>
          <w:rPr>
            <w:rStyle w:val="Hyperlink"/>
            <w:rFonts w:ascii="Times New Roman" w:hAnsi="Times New Roman" w:cs="Times New Roman"/>
            <w:sz w:val="18"/>
            <w:szCs w:val="18"/>
          </w:rPr>
          <w:t>https://sustainableworldports.org/wp-content/uploads/Port-of-Rotterdam-Onshore-power-supply-let-stay-connected-2010.pdf</w:t>
        </w:r>
      </w:hyperlink>
      <w:r>
        <w:rPr>
          <w:rStyle w:val="Hyperlink"/>
          <w:rFonts w:ascii="Times New Roman" w:hAnsi="Times New Roman" w:cs="Times New Roman"/>
          <w:sz w:val="18"/>
          <w:szCs w:val="18"/>
        </w:rPr>
        <w:t xml:space="preserve"> , North and Baltic ports: </w:t>
      </w:r>
      <w:hyperlink r:id="rId53" w:history="1">
        <w:r>
          <w:rPr>
            <w:rStyle w:val="Hyperlink"/>
            <w:rFonts w:ascii="Times New Roman" w:hAnsi="Times New Roman" w:cs="Times New Roman"/>
            <w:sz w:val="18"/>
            <w:szCs w:val="18"/>
          </w:rPr>
          <w:t>http://www.greencruiseport.eu/files/public/download/studies/Opportunities%20and%20Limitations%20for%20Connecting%20Cruise%20Vessels%20to%20Shore%20Power_04.01.2018_Bergen.pdf</w:t>
        </w:r>
      </w:hyperlink>
      <w:r>
        <w:rPr>
          <w:rStyle w:val="Hyperlink"/>
          <w:rFonts w:ascii="Times New Roman" w:hAnsi="Times New Roman" w:cs="Times New Roman"/>
          <w:sz w:val="18"/>
          <w:szCs w:val="18"/>
        </w:rPr>
        <w:t xml:space="preserve"> , Malta: </w:t>
      </w:r>
      <w:hyperlink r:id="rId54" w:history="1">
        <w:r>
          <w:rPr>
            <w:rStyle w:val="Hyperlink"/>
            <w:rFonts w:ascii="Times New Roman" w:hAnsi="Times New Roman" w:cs="Times New Roman"/>
            <w:sz w:val="18"/>
            <w:szCs w:val="18"/>
          </w:rPr>
          <w:t>https://electromobility.gov.mt/en/Documents/PORT-PVEV%20Feasibility%20Study.pdf</w:t>
        </w:r>
      </w:hyperlink>
      <w:r>
        <w:rPr>
          <w:rStyle w:val="Hyperlink"/>
          <w:rFonts w:ascii="Times New Roman" w:hAnsi="Times New Roman" w:cs="Times New Roman"/>
          <w:sz w:val="18"/>
          <w:szCs w:val="18"/>
        </w:rPr>
        <w:t xml:space="preserve"> , Hamburg: </w:t>
      </w:r>
      <w:hyperlink r:id="rId55" w:history="1">
        <w:r>
          <w:rPr>
            <w:rStyle w:val="Hyperlink"/>
            <w:rFonts w:ascii="Times New Roman" w:hAnsi="Times New Roman" w:cs="Times New Roman"/>
            <w:sz w:val="18"/>
            <w:szCs w:val="18"/>
          </w:rPr>
          <w:t>https://www.hamburg.de/contentblob/3613158/9dbe23fb1cbaf9bcaac9969d7550f4a1/data/landstrom-untersuchung-2012.pdf</w:t>
        </w:r>
      </w:hyperlink>
      <w:r>
        <w:rPr>
          <w:rFonts w:ascii="Times New Roman" w:hAnsi="Times New Roman" w:cs="Times New Roman"/>
          <w:sz w:val="18"/>
          <w:szCs w:val="18"/>
        </w:rPr>
        <w:t xml:space="preserve"> </w:t>
      </w:r>
    </w:p>
  </w:footnote>
  <w:footnote w:id="212">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hyperlink r:id="rId56" w:history="1">
        <w:r>
          <w:rPr>
            <w:rStyle w:val="Hyperlink"/>
            <w:rFonts w:ascii="Times New Roman" w:hAnsi="Times New Roman" w:cs="Times New Roman"/>
            <w:sz w:val="18"/>
            <w:szCs w:val="18"/>
          </w:rPr>
          <w:t>https://www.eafo.eu/shipping-transport/port-infrastructure/ops/data</w:t>
        </w:r>
      </w:hyperlink>
    </w:p>
  </w:footnote>
  <w:footnote w:id="213">
    <w:p>
      <w:pPr>
        <w:pStyle w:val="FootnoteText"/>
        <w:ind w:left="284" w:hanging="284"/>
        <w:jc w:val="both"/>
        <w:rPr>
          <w:rFonts w:ascii="Times New Roman" w:hAnsi="Times New Roman" w:cs="Times New Roman"/>
          <w:sz w:val="16"/>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Time Charter Rates cover ship operating costs such as crewing, lubricants, planned maintenance, insurance and general administration expenses.</w:t>
      </w:r>
    </w:p>
  </w:footnote>
  <w:footnote w:id="214">
    <w:p>
      <w:pPr>
        <w:pStyle w:val="FootnoteText"/>
        <w:ind w:left="284" w:hanging="284"/>
        <w:jc w:val="both"/>
        <w:rPr>
          <w:rFonts w:ascii="Times New Roman" w:hAnsi="Times New Roman" w:cs="Times New Roman"/>
          <w:sz w:val="16"/>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The routes were selected among those more likely providing an advantage of leakage. With respect to EU ports and concerned maritime areas this is deemed significant in the Mediterranean area for ships sailing through Suez Canal and through the Gibraltar straits, and in the Northern Europe for ships arriving for the Atlantic Ocean. Routes in other areas have not been considered: for example, routes calling at Baltic ports are normally stopping earlier in other EU ports and the relative advantage gained by introducing a stop in an extra EU port such as a Russian port would bring a very limited advantage.</w:t>
      </w:r>
    </w:p>
  </w:footnote>
  <w:footnote w:id="215">
    <w:p>
      <w:pPr>
        <w:pStyle w:val="FootnoteText"/>
        <w:tabs>
          <w:tab w:val="left" w:pos="284"/>
        </w:tabs>
        <w:rPr>
          <w:rFonts w:ascii="Times New Roman" w:hAnsi="Times New Roman" w:cs="Times New Roman"/>
          <w:sz w:val="16"/>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SWD(2020) 82 final</w:t>
      </w:r>
    </w:p>
  </w:footnote>
  <w:footnote w:id="216">
    <w:p>
      <w:pPr>
        <w:pStyle w:val="FootnoteText"/>
        <w:ind w:left="284" w:hanging="284"/>
        <w:jc w:val="both"/>
        <w:rPr>
          <w:rFonts w:ascii="Times New Roman" w:hAnsi="Times New Roman" w:cs="Times New Roman"/>
          <w:sz w:val="16"/>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It is worth to consider that the price of maritime fuel is quite variable over time and fluctuations of prices over one year might be higher than the estimated increase in fuel cost due to the analysed policy options.</w:t>
      </w:r>
    </w:p>
  </w:footnote>
  <w:footnote w:id="217">
    <w:p>
      <w:pPr>
        <w:pStyle w:val="FootnoteText"/>
        <w:ind w:left="284" w:hanging="284"/>
        <w:jc w:val="both"/>
        <w:rPr>
          <w:rFonts w:ascii="Times New Roman" w:hAnsi="Times New Roman" w:cs="Times New Roman"/>
          <w:sz w:val="16"/>
          <w:szCs w:val="18"/>
        </w:rPr>
      </w:pPr>
      <w:r>
        <w:rPr>
          <w:rStyle w:val="FootnoteReference"/>
          <w:rFonts w:ascii="Times New Roman" w:hAnsi="Times New Roman" w:cs="Times New Roman"/>
          <w:sz w:val="16"/>
          <w:szCs w:val="18"/>
        </w:rPr>
        <w:footnoteRef/>
      </w:r>
      <w:r>
        <w:rPr>
          <w:rFonts w:ascii="Times New Roman" w:hAnsi="Times New Roman" w:cs="Times New Roman"/>
          <w:sz w:val="16"/>
          <w:szCs w:val="18"/>
        </w:rPr>
        <w:t xml:space="preserve"> </w:t>
      </w:r>
      <w:r>
        <w:rPr>
          <w:rFonts w:ascii="Times New Roman" w:hAnsi="Times New Roman" w:cs="Times New Roman"/>
          <w:sz w:val="16"/>
          <w:szCs w:val="18"/>
        </w:rPr>
        <w:tab/>
      </w:r>
      <w:r>
        <w:rPr>
          <w:rFonts w:ascii="Times New Roman" w:hAnsi="Times New Roman" w:cs="Times New Roman"/>
          <w:sz w:val="18"/>
          <w:szCs w:val="18"/>
        </w:rPr>
        <w:t>Waiting time (time to access the port) at intermediate and destination ports is assumed at 10 hours; operation time (time to load/unload cargo) at all ports is assumed at 24 hours.</w:t>
      </w:r>
    </w:p>
  </w:footnote>
  <w:footnote w:id="218">
    <w:p>
      <w:pPr>
        <w:pStyle w:val="FootnoteText"/>
        <w:ind w:left="284" w:hanging="284"/>
        <w:jc w:val="both"/>
        <w:rPr>
          <w:rFonts w:ascii="Times New Roman" w:hAnsi="Times New Roman" w:cs="Times New Roman"/>
          <w:sz w:val="16"/>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The tables provide the increase in only one cost component, but increases in both components are more likely to occur. Their different combinations however generate countless possibilities for cost increases that would offset the costs savings. As an example, a combined increase of 20% in charter rates and of 25% in ports’ costs would offset costs savings of all routes. A similar result is achieved with a combined increase of 31% in charter rates and of 20% in port costs.</w:t>
      </w:r>
    </w:p>
  </w:footnote>
  <w:footnote w:id="219">
    <w:p>
      <w:pPr>
        <w:pStyle w:val="FootnoteText"/>
        <w:ind w:left="284" w:hanging="284"/>
        <w:rPr>
          <w:rFonts w:ascii="Times New Roman" w:hAnsi="Times New Roman" w:cs="Times New Roman"/>
          <w:sz w:val="16"/>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As no changes apply to the underlying assumptions on navigation speed, time spent at ports and on analysed routes, time changes observed in PO1 apply also to PO3.</w:t>
      </w:r>
    </w:p>
  </w:footnote>
  <w:footnote w:id="220">
    <w:p>
      <w:pPr>
        <w:pStyle w:val="FootnoteText"/>
        <w:ind w:left="284" w:hanging="284"/>
        <w:jc w:val="both"/>
        <w:rPr>
          <w:rFonts w:ascii="Times New Roman" w:hAnsi="Times New Roman" w:cs="Times New Roman"/>
          <w:sz w:val="16"/>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Pr>
          <w:rFonts w:ascii="Times New Roman" w:hAnsi="Times New Roman" w:cs="Times New Roman"/>
          <w:sz w:val="18"/>
          <w:szCs w:val="18"/>
        </w:rPr>
        <w:tab/>
        <w:t>As already mentioned for PO1, tables provide the increase in only one cost component, but increases in both components are more likely to occur. Their different combinations however generate countless possibilities for cost increases that would neutralise the costs savings. As an example, a combined increase of 18% in charter rates and of 23% in ports’ costs would neutralise costs savings of all routes. A similar result is achieved with a combined increase of 29% in charter rates and of 18% in port costs.</w:t>
      </w:r>
    </w:p>
  </w:footnote>
  <w:footnote w:id="221">
    <w:p>
      <w:pPr>
        <w:pStyle w:val="FootnoteText"/>
        <w:jc w:val="both"/>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In particular, the work by the Maritime Research Institute Netherlands (MARIN) in work-stream 2 of this sub-group provides a summary of the existing scientific knowledge on the performance and potential of different alternative sustainable fuels, energy conversion technologies for shipping, including their environmental performance on a complete well-to-wake approach, complemented, where appropriate, with life cycle considerations. </w:t>
      </w:r>
    </w:p>
    <w:p>
      <w:pPr>
        <w:pStyle w:val="FootnoteText"/>
        <w:jc w:val="both"/>
        <w:rPr>
          <w:rFonts w:ascii="Times New Roman" w:hAnsi="Times New Roman" w:cs="Times New Roman"/>
          <w:sz w:val="18"/>
          <w:lang w:val="en-IE"/>
        </w:rPr>
      </w:pPr>
      <w:r>
        <w:rPr>
          <w:rFonts w:ascii="Times New Roman" w:hAnsi="Times New Roman" w:cs="Times New Roman"/>
          <w:sz w:val="18"/>
        </w:rPr>
        <w:t xml:space="preserve">The result of this work can be consulted under: </w:t>
      </w:r>
      <w:hyperlink r:id="rId57" w:history="1">
        <w:r>
          <w:rPr>
            <w:rStyle w:val="Hyperlink"/>
            <w:rFonts w:ascii="Times New Roman" w:hAnsi="Times New Roman" w:cs="Times New Roman"/>
            <w:sz w:val="18"/>
            <w:lang w:val="en-IE"/>
          </w:rPr>
          <w:t>https://sustainablepower.application.marin.nl/</w:t>
        </w:r>
      </w:hyperlink>
      <w:r>
        <w:rPr>
          <w:rFonts w:ascii="Times New Roman" w:hAnsi="Times New Roman" w:cs="Times New Roman"/>
          <w:sz w:val="18"/>
          <w:lang w:val="en-IE"/>
        </w:rPr>
        <w:t xml:space="preserve"> </w:t>
      </w:r>
    </w:p>
  </w:footnote>
  <w:footnote w:id="222">
    <w:p>
      <w:pPr>
        <w:pStyle w:val="FootnoteText"/>
        <w:rPr>
          <w:rFonts w:ascii="Times New Roman" w:hAnsi="Times New Roman" w:cs="Times New Roman"/>
          <w:sz w:val="18"/>
        </w:rPr>
      </w:pPr>
      <w:r>
        <w:rPr>
          <w:rStyle w:val="FootnoteReference"/>
          <w:rFonts w:ascii="Times New Roman" w:hAnsi="Times New Roman" w:cs="Times New Roman"/>
          <w:sz w:val="18"/>
        </w:rPr>
        <w:footnoteRef/>
      </w:r>
      <w:r>
        <w:rPr>
          <w:rFonts w:ascii="Times New Roman" w:hAnsi="Times New Roman" w:cs="Times New Roman"/>
          <w:sz w:val="18"/>
        </w:rPr>
        <w:t xml:space="preserve"> Unless stated otherwise, a</w:t>
      </w:r>
      <w:r>
        <w:rPr>
          <w:rFonts w:ascii="Times New Roman" w:hAnsi="Times New Roman" w:cs="Times New Roman"/>
          <w:sz w:val="18"/>
          <w:lang w:val="en-IE"/>
        </w:rPr>
        <w:t>ll figures provided in this section on the GHG performance of difference energy carriers based on the initial energy source come from MARIN (2020) ESSF SAPS sub-group.</w:t>
      </w:r>
    </w:p>
  </w:footnote>
  <w:footnote w:id="223">
    <w:p>
      <w:pPr>
        <w:pStyle w:val="FootnoteText"/>
        <w:rPr>
          <w:sz w:val="18"/>
        </w:rPr>
      </w:pPr>
      <w:r>
        <w:rPr>
          <w:rStyle w:val="FootnoteReference"/>
          <w:sz w:val="18"/>
        </w:rPr>
        <w:footnoteRef/>
      </w:r>
      <w:r>
        <w:rPr>
          <w:sz w:val="18"/>
        </w:rPr>
        <w:t xml:space="preserve"> COM(2019) 142 final</w:t>
      </w:r>
    </w:p>
  </w:footnote>
  <w:footnote w:id="224">
    <w:p>
      <w:pPr>
        <w:jc w:val="both"/>
      </w:pPr>
      <w:r>
        <w:rPr>
          <w:rStyle w:val="FootnoteReference"/>
          <w:rFonts w:ascii="Times New Roman" w:hAnsi="Times New Roman" w:cs="Times New Roman"/>
          <w:sz w:val="20"/>
        </w:rPr>
        <w:footnoteRef/>
      </w:r>
      <w:r>
        <w:rPr>
          <w:rFonts w:ascii="Times New Roman" w:hAnsi="Times New Roman" w:cs="Times New Roman"/>
          <w:sz w:val="20"/>
        </w:rPr>
        <w:t xml:space="preserve"> </w:t>
      </w:r>
      <w:r>
        <w:rPr>
          <w:rFonts w:ascii="Times New Roman" w:hAnsi="Times New Roman" w:cs="Times New Roman"/>
          <w:sz w:val="18"/>
          <w:szCs w:val="20"/>
        </w:rPr>
        <w:t>The present section is focused on the developing international framework for the safe use of alternative fuel technologies onboard ships, focused on the ongoing development of amendments and new sections to the IGF Code (</w:t>
      </w:r>
      <w:hyperlink r:id="rId58" w:history="1">
        <w:r>
          <w:rPr>
            <w:rStyle w:val="Hyperlink"/>
            <w:rFonts w:ascii="Times New Roman" w:hAnsi="Times New Roman" w:cs="Times New Roman"/>
            <w:sz w:val="18"/>
            <w:szCs w:val="20"/>
          </w:rPr>
          <w:t>http://www.imo.org/en/OurWork/Safety/SafetyTopics/Pages/IGF-Code.aspx</w:t>
        </w:r>
      </w:hyperlink>
      <w:r>
        <w:rPr>
          <w:rStyle w:val="Hyperlink"/>
          <w:rFonts w:ascii="Times New Roman" w:hAnsi="Times New Roman" w:cs="Times New Roman"/>
          <w:sz w:val="18"/>
          <w:szCs w:val="20"/>
        </w:rPr>
        <w:t>)</w:t>
      </w:r>
      <w:r>
        <w:rPr>
          <w:rStyle w:val="Hyperlink"/>
          <w:rFonts w:ascii="Times New Roman" w:hAnsi="Times New Roman" w:cs="Times New Roman"/>
          <w:sz w:val="20"/>
        </w:rPr>
        <w:t xml:space="preserve"> </w:t>
      </w:r>
    </w:p>
  </w:footnote>
  <w:footnote w:id="225">
    <w:p>
      <w:pPr>
        <w:pStyle w:val="FootnoteText"/>
        <w:jc w:val="both"/>
        <w:rPr>
          <w:rFonts w:ascii="Times New Roman" w:hAnsi="Times New Roman" w:cs="Times New Roman"/>
          <w:sz w:val="18"/>
          <w:lang w:val="en-I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9"/>
    <w:multiLevelType w:val="singleLevel"/>
    <w:tmpl w:val="BE58E4FA"/>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3">
    <w:nsid w:val="006B24D9"/>
    <w:multiLevelType w:val="hybridMultilevel"/>
    <w:tmpl w:val="B13E38F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nsid w:val="01EE43AE"/>
    <w:multiLevelType w:val="hybridMultilevel"/>
    <w:tmpl w:val="45B8FE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5140CEC"/>
    <w:multiLevelType w:val="hybridMultilevel"/>
    <w:tmpl w:val="E3CA4D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0B8639BE"/>
    <w:multiLevelType w:val="hybridMultilevel"/>
    <w:tmpl w:val="E37C9E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nsid w:val="0F6E1982"/>
    <w:multiLevelType w:val="hybridMultilevel"/>
    <w:tmpl w:val="8B583D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0F8B6F42"/>
    <w:multiLevelType w:val="hybridMultilevel"/>
    <w:tmpl w:val="E6F278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34E428D"/>
    <w:multiLevelType w:val="multilevel"/>
    <w:tmpl w:val="B1B28B22"/>
    <w:styleLink w:val="Style2"/>
    <w:lvl w:ilvl="0">
      <w:start w:val="1"/>
      <w:numFmt w:val="bullet"/>
      <w:pStyle w:val="Bulletedlis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18801C73"/>
    <w:multiLevelType w:val="hybridMultilevel"/>
    <w:tmpl w:val="051A2626"/>
    <w:lvl w:ilvl="0" w:tplc="04100011">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4100019">
      <w:start w:val="1"/>
      <w:numFmt w:val="bullet"/>
      <w:lvlText w:val="o"/>
      <w:lvlJc w:val="left"/>
      <w:pPr>
        <w:tabs>
          <w:tab w:val="num" w:pos="1440"/>
        </w:tabs>
        <w:ind w:left="1440" w:hanging="360"/>
      </w:pPr>
      <w:rPr>
        <w:rFonts w:ascii="Courier New" w:hAnsi="Courier New" w:cs="Courier New" w:hint="default"/>
      </w:rPr>
    </w:lvl>
    <w:lvl w:ilvl="2" w:tplc="0410001B">
      <w:start w:val="1"/>
      <w:numFmt w:val="bullet"/>
      <w:lvlText w:val=""/>
      <w:lvlJc w:val="left"/>
      <w:pPr>
        <w:tabs>
          <w:tab w:val="num" w:pos="2160"/>
        </w:tabs>
        <w:ind w:left="2160" w:hanging="360"/>
      </w:pPr>
      <w:rPr>
        <w:rFonts w:ascii="Wingdings" w:hAnsi="Wingdings" w:hint="default"/>
      </w:rPr>
    </w:lvl>
    <w:lvl w:ilvl="3" w:tplc="0410000F">
      <w:start w:val="1"/>
      <w:numFmt w:val="bullet"/>
      <w:lvlText w:val=""/>
      <w:lvlJc w:val="left"/>
      <w:pPr>
        <w:tabs>
          <w:tab w:val="num" w:pos="2880"/>
        </w:tabs>
        <w:ind w:left="2880" w:hanging="360"/>
      </w:pPr>
      <w:rPr>
        <w:rFonts w:ascii="Symbol" w:hAnsi="Symbol" w:hint="default"/>
      </w:rPr>
    </w:lvl>
    <w:lvl w:ilvl="4" w:tplc="04100019">
      <w:start w:val="1"/>
      <w:numFmt w:val="bullet"/>
      <w:lvlText w:val="o"/>
      <w:lvlJc w:val="left"/>
      <w:pPr>
        <w:tabs>
          <w:tab w:val="num" w:pos="3600"/>
        </w:tabs>
        <w:ind w:left="3600" w:hanging="360"/>
      </w:pPr>
      <w:rPr>
        <w:rFonts w:ascii="Courier New" w:hAnsi="Courier New" w:cs="Courier New" w:hint="default"/>
      </w:rPr>
    </w:lvl>
    <w:lvl w:ilvl="5" w:tplc="0410001B">
      <w:start w:val="1"/>
      <w:numFmt w:val="bullet"/>
      <w:lvlText w:val=""/>
      <w:lvlJc w:val="left"/>
      <w:pPr>
        <w:tabs>
          <w:tab w:val="num" w:pos="4320"/>
        </w:tabs>
        <w:ind w:left="4320" w:hanging="360"/>
      </w:pPr>
      <w:rPr>
        <w:rFonts w:ascii="Wingdings" w:hAnsi="Wingdings" w:hint="default"/>
      </w:rPr>
    </w:lvl>
    <w:lvl w:ilvl="6" w:tplc="0410000F">
      <w:start w:val="1"/>
      <w:numFmt w:val="bullet"/>
      <w:lvlText w:val=""/>
      <w:lvlJc w:val="left"/>
      <w:pPr>
        <w:tabs>
          <w:tab w:val="num" w:pos="5040"/>
        </w:tabs>
        <w:ind w:left="5040" w:hanging="360"/>
      </w:pPr>
      <w:rPr>
        <w:rFonts w:ascii="Symbol" w:hAnsi="Symbol" w:hint="default"/>
      </w:rPr>
    </w:lvl>
    <w:lvl w:ilvl="7" w:tplc="04100019">
      <w:start w:val="1"/>
      <w:numFmt w:val="bullet"/>
      <w:lvlText w:val="o"/>
      <w:lvlJc w:val="left"/>
      <w:pPr>
        <w:tabs>
          <w:tab w:val="num" w:pos="5760"/>
        </w:tabs>
        <w:ind w:left="5760" w:hanging="360"/>
      </w:pPr>
      <w:rPr>
        <w:rFonts w:ascii="Courier New" w:hAnsi="Courier New" w:cs="Courier New" w:hint="default"/>
      </w:rPr>
    </w:lvl>
    <w:lvl w:ilvl="8" w:tplc="0410001B">
      <w:start w:val="1"/>
      <w:numFmt w:val="bullet"/>
      <w:lvlText w:val=""/>
      <w:lvlJc w:val="left"/>
      <w:pPr>
        <w:tabs>
          <w:tab w:val="num" w:pos="6480"/>
        </w:tabs>
        <w:ind w:left="6480" w:hanging="360"/>
      </w:pPr>
      <w:rPr>
        <w:rFonts w:ascii="Wingdings" w:hAnsi="Wingdings" w:hint="default"/>
      </w:rPr>
    </w:lvl>
  </w:abstractNum>
  <w:abstractNum w:abstractNumId="11">
    <w:nsid w:val="190222EF"/>
    <w:multiLevelType w:val="multilevel"/>
    <w:tmpl w:val="7E0884D6"/>
    <w:lvl w:ilvl="0">
      <w:start w:val="1"/>
      <w:numFmt w:val="upperLetter"/>
      <w:pStyle w:val="ECHeading1"/>
      <w:lvlText w:val="%1"/>
      <w:lvlJc w:val="left"/>
      <w:pPr>
        <w:ind w:left="431" w:hanging="431"/>
      </w:pPr>
      <w:rPr>
        <w:rFonts w:ascii="Arial" w:hAnsi="Arial" w:cs="Times New Roman" w:hint="default"/>
        <w:b w:val="0"/>
        <w:i w:val="0"/>
        <w:color w:val="0070C0"/>
        <w:sz w:val="40"/>
      </w:rPr>
    </w:lvl>
    <w:lvl w:ilvl="1">
      <w:start w:val="1"/>
      <w:numFmt w:val="decimal"/>
      <w:pStyle w:val="ECHeading2"/>
      <w:lvlText w:val="%1.%2"/>
      <w:lvlJc w:val="left"/>
      <w:pPr>
        <w:ind w:left="851" w:hanging="851"/>
      </w:pPr>
      <w:rPr>
        <w:rFonts w:ascii="Arial" w:hAnsi="Arial" w:cs="Times New Roman" w:hint="default"/>
        <w:color w:val="0070C0"/>
        <w:sz w:val="36"/>
      </w:rPr>
    </w:lvl>
    <w:lvl w:ilvl="2">
      <w:start w:val="1"/>
      <w:numFmt w:val="decimal"/>
      <w:pStyle w:val="ECHeading3"/>
      <w:lvlText w:val="%1.%2.%3"/>
      <w:lvlJc w:val="left"/>
      <w:pPr>
        <w:ind w:left="851" w:hanging="851"/>
      </w:pPr>
      <w:rPr>
        <w:rFonts w:ascii="Arial" w:hAnsi="Arial" w:cs="Times New Roman" w:hint="default"/>
        <w:b w:val="0"/>
        <w:i w:val="0"/>
        <w:color w:val="0070C0"/>
        <w:sz w:val="32"/>
      </w:rPr>
    </w:lvl>
    <w:lvl w:ilvl="3">
      <w:start w:val="1"/>
      <w:numFmt w:val="decimal"/>
      <w:pStyle w:val="ECHeading4"/>
      <w:lvlText w:val="%1.%2.%3.%4"/>
      <w:lvlJc w:val="left"/>
      <w:pPr>
        <w:ind w:left="851" w:hanging="851"/>
      </w:pPr>
      <w:rPr>
        <w:rFonts w:ascii="Arial" w:hAnsi="Arial" w:cs="Times New Roman" w:hint="default"/>
        <w:b w:val="0"/>
        <w:i w:val="0"/>
        <w:color w:val="0070C0"/>
        <w:sz w:val="22"/>
        <w:u w:color="0070C0"/>
      </w:rPr>
    </w:lvl>
    <w:lvl w:ilvl="4">
      <w:start w:val="1"/>
      <w:numFmt w:val="decimal"/>
      <w:lvlText w:val="%1.%2.%3.%4.%5"/>
      <w:lvlJc w:val="left"/>
      <w:pPr>
        <w:ind w:left="1800" w:hanging="360"/>
      </w:pPr>
      <w:rPr>
        <w:rFonts w:ascii="Arial" w:hAnsi="Arial" w:cs="Times New Roman" w:hint="default"/>
        <w:b w:val="0"/>
        <w:i w:val="0"/>
        <w:color w:val="0070C0"/>
        <w:sz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DFD2804"/>
    <w:multiLevelType w:val="hybridMultilevel"/>
    <w:tmpl w:val="937C7F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1F734306"/>
    <w:multiLevelType w:val="multilevel"/>
    <w:tmpl w:val="D266108E"/>
    <w:lvl w:ilvl="0">
      <w:start w:val="1"/>
      <w:numFmt w:val="decimal"/>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7603AAF"/>
    <w:multiLevelType w:val="hybridMultilevel"/>
    <w:tmpl w:val="0A7455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8">
    <w:nsid w:val="2C4B61E4"/>
    <w:multiLevelType w:val="multilevel"/>
    <w:tmpl w:val="37F28E30"/>
    <w:lvl w:ilvl="0">
      <w:start w:val="1"/>
      <w:numFmt w:val="decimal"/>
      <w:pStyle w:val="Title1"/>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F0E89"/>
    <w:multiLevelType w:val="hybridMultilevel"/>
    <w:tmpl w:val="A0C08F0A"/>
    <w:lvl w:ilvl="0" w:tplc="78F49CB2">
      <w:start w:val="3"/>
      <w:numFmt w:val="bullet"/>
      <w:lvlText w:val="•"/>
      <w:lvlJc w:val="left"/>
      <w:pPr>
        <w:ind w:left="720" w:hanging="720"/>
      </w:pPr>
      <w:rPr>
        <w:rFonts w:ascii="Calibri" w:eastAsiaTheme="minorEastAsia"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E4F4B0D"/>
    <w:multiLevelType w:val="hybridMultilevel"/>
    <w:tmpl w:val="DD86E19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2">
    <w:nsid w:val="31D315B4"/>
    <w:multiLevelType w:val="hybridMultilevel"/>
    <w:tmpl w:val="8FFC1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E84782"/>
    <w:multiLevelType w:val="multilevel"/>
    <w:tmpl w:val="A364A37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33D11C61"/>
    <w:multiLevelType w:val="hybridMultilevel"/>
    <w:tmpl w:val="C0109A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6144BD4"/>
    <w:multiLevelType w:val="hybridMultilevel"/>
    <w:tmpl w:val="BA12FCDA"/>
    <w:lvl w:ilvl="0" w:tplc="55CCF8D8">
      <w:start w:val="1"/>
      <w:numFmt w:val="bullet"/>
      <w:pStyle w:val="Bulletpoint1"/>
      <w:lvlText w:val=""/>
      <w:lvlJc w:val="left"/>
      <w:pPr>
        <w:ind w:left="720" w:hanging="360"/>
      </w:pPr>
      <w:rPr>
        <w:rFonts w:ascii="Symbol" w:hAnsi="Symbol" w:hint="default"/>
        <w:color w:val="002395"/>
      </w:rPr>
    </w:lvl>
    <w:lvl w:ilvl="1" w:tplc="2472A9FE">
      <w:start w:val="1"/>
      <w:numFmt w:val="bullet"/>
      <w:lvlText w:val="-"/>
      <w:lvlJc w:val="left"/>
      <w:pPr>
        <w:ind w:left="1440" w:hanging="360"/>
      </w:pPr>
      <w:rPr>
        <w:rFonts w:ascii="Courier New" w:hAnsi="Courier New" w:cs="Times New Roman" w:hint="default"/>
      </w:rPr>
    </w:lvl>
    <w:lvl w:ilvl="2" w:tplc="1FA44CA8">
      <w:start w:val="1"/>
      <w:numFmt w:val="bullet"/>
      <w:lvlText w:val=""/>
      <w:lvlJc w:val="left"/>
      <w:pPr>
        <w:ind w:left="2160" w:hanging="360"/>
      </w:pPr>
      <w:rPr>
        <w:rFonts w:ascii="Wingdings" w:hAnsi="Wingdings" w:hint="default"/>
      </w:rPr>
    </w:lvl>
    <w:lvl w:ilvl="3" w:tplc="61D0D5B0">
      <w:start w:val="1"/>
      <w:numFmt w:val="bullet"/>
      <w:lvlText w:val=""/>
      <w:lvlJc w:val="left"/>
      <w:pPr>
        <w:ind w:left="2880" w:hanging="360"/>
      </w:pPr>
      <w:rPr>
        <w:rFonts w:ascii="Symbol" w:hAnsi="Symbol" w:hint="default"/>
      </w:rPr>
    </w:lvl>
    <w:lvl w:ilvl="4" w:tplc="668465D0">
      <w:start w:val="1"/>
      <w:numFmt w:val="bullet"/>
      <w:lvlText w:val="o"/>
      <w:lvlJc w:val="left"/>
      <w:pPr>
        <w:ind w:left="3600" w:hanging="360"/>
      </w:pPr>
      <w:rPr>
        <w:rFonts w:ascii="Courier New" w:hAnsi="Courier New" w:cs="Courier New" w:hint="default"/>
      </w:rPr>
    </w:lvl>
    <w:lvl w:ilvl="5" w:tplc="71E82E84">
      <w:start w:val="1"/>
      <w:numFmt w:val="bullet"/>
      <w:lvlText w:val=""/>
      <w:lvlJc w:val="left"/>
      <w:pPr>
        <w:ind w:left="4320" w:hanging="360"/>
      </w:pPr>
      <w:rPr>
        <w:rFonts w:ascii="Wingdings" w:hAnsi="Wingdings" w:hint="default"/>
      </w:rPr>
    </w:lvl>
    <w:lvl w:ilvl="6" w:tplc="ED7A0F24">
      <w:start w:val="1"/>
      <w:numFmt w:val="bullet"/>
      <w:lvlText w:val=""/>
      <w:lvlJc w:val="left"/>
      <w:pPr>
        <w:ind w:left="5040" w:hanging="360"/>
      </w:pPr>
      <w:rPr>
        <w:rFonts w:ascii="Symbol" w:hAnsi="Symbol" w:hint="default"/>
      </w:rPr>
    </w:lvl>
    <w:lvl w:ilvl="7" w:tplc="1FC2B6F4">
      <w:start w:val="1"/>
      <w:numFmt w:val="bullet"/>
      <w:lvlText w:val="o"/>
      <w:lvlJc w:val="left"/>
      <w:pPr>
        <w:ind w:left="5760" w:hanging="360"/>
      </w:pPr>
      <w:rPr>
        <w:rFonts w:ascii="Courier New" w:hAnsi="Courier New" w:cs="Courier New" w:hint="default"/>
      </w:rPr>
    </w:lvl>
    <w:lvl w:ilvl="8" w:tplc="3CC82386">
      <w:start w:val="1"/>
      <w:numFmt w:val="bullet"/>
      <w:lvlText w:val=""/>
      <w:lvlJc w:val="left"/>
      <w:pPr>
        <w:ind w:left="6480" w:hanging="360"/>
      </w:pPr>
      <w:rPr>
        <w:rFonts w:ascii="Wingdings" w:hAnsi="Wingdings" w:hint="default"/>
      </w:rPr>
    </w:lvl>
  </w:abstractNum>
  <w:abstractNum w:abstractNumId="28">
    <w:nsid w:val="380A0404"/>
    <w:multiLevelType w:val="hybridMultilevel"/>
    <w:tmpl w:val="8996E6A8"/>
    <w:lvl w:ilvl="0" w:tplc="080C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395D587B"/>
    <w:multiLevelType w:val="hybridMultilevel"/>
    <w:tmpl w:val="730E403E"/>
    <w:lvl w:ilvl="0" w:tplc="080C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31">
    <w:nsid w:val="3B3D5F74"/>
    <w:multiLevelType w:val="hybridMultilevel"/>
    <w:tmpl w:val="53BE06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33">
    <w:nsid w:val="43E8609F"/>
    <w:multiLevelType w:val="multilevel"/>
    <w:tmpl w:val="5D4C9CE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45894ADA"/>
    <w:multiLevelType w:val="multilevel"/>
    <w:tmpl w:val="AF68D2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6">
    <w:nsid w:val="4B1A6FE7"/>
    <w:multiLevelType w:val="hybridMultilevel"/>
    <w:tmpl w:val="7F4866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4B4A1CE1"/>
    <w:multiLevelType w:val="hybridMultilevel"/>
    <w:tmpl w:val="2EEA4DF0"/>
    <w:lvl w:ilvl="0" w:tplc="08090011">
      <w:start w:val="1"/>
      <w:numFmt w:val="bullet"/>
      <w:pStyle w:val="BulletPoint2"/>
      <w:lvlText w:val=""/>
      <w:lvlJc w:val="left"/>
      <w:pPr>
        <w:ind w:left="1080" w:hanging="360"/>
      </w:pPr>
      <w:rPr>
        <w:rFonts w:ascii="Symbol" w:hAnsi="Symbol" w:hint="default"/>
        <w:color w:val="7F7F7F"/>
      </w:rPr>
    </w:lvl>
    <w:lvl w:ilvl="1" w:tplc="08090019">
      <w:start w:val="1"/>
      <w:numFmt w:val="bullet"/>
      <w:lvlText w:val="o"/>
      <w:lvlJc w:val="left"/>
      <w:pPr>
        <w:ind w:left="1800" w:hanging="360"/>
      </w:pPr>
      <w:rPr>
        <w:rFonts w:ascii="Courier New" w:hAnsi="Courier New" w:cs="Courier New" w:hint="default"/>
      </w:rPr>
    </w:lvl>
    <w:lvl w:ilvl="2" w:tplc="0809001B">
      <w:start w:val="1"/>
      <w:numFmt w:val="bullet"/>
      <w:lvlText w:val=""/>
      <w:lvlJc w:val="left"/>
      <w:pPr>
        <w:ind w:left="2520" w:hanging="360"/>
      </w:pPr>
      <w:rPr>
        <w:rFonts w:ascii="Wingdings" w:hAnsi="Wingdings" w:hint="default"/>
      </w:rPr>
    </w:lvl>
    <w:lvl w:ilvl="3" w:tplc="0809000F">
      <w:start w:val="1"/>
      <w:numFmt w:val="bullet"/>
      <w:lvlText w:val=""/>
      <w:lvlJc w:val="left"/>
      <w:pPr>
        <w:ind w:left="3240" w:hanging="360"/>
      </w:pPr>
      <w:rPr>
        <w:rFonts w:ascii="Symbol" w:hAnsi="Symbol" w:hint="default"/>
      </w:rPr>
    </w:lvl>
    <w:lvl w:ilvl="4" w:tplc="08090019">
      <w:start w:val="1"/>
      <w:numFmt w:val="bullet"/>
      <w:lvlText w:val="o"/>
      <w:lvlJc w:val="left"/>
      <w:pPr>
        <w:ind w:left="3960" w:hanging="360"/>
      </w:pPr>
      <w:rPr>
        <w:rFonts w:ascii="Courier New" w:hAnsi="Courier New" w:cs="Courier New" w:hint="default"/>
      </w:rPr>
    </w:lvl>
    <w:lvl w:ilvl="5" w:tplc="0809001B">
      <w:start w:val="1"/>
      <w:numFmt w:val="bullet"/>
      <w:lvlText w:val=""/>
      <w:lvlJc w:val="left"/>
      <w:pPr>
        <w:ind w:left="4680" w:hanging="360"/>
      </w:pPr>
      <w:rPr>
        <w:rFonts w:ascii="Wingdings" w:hAnsi="Wingdings" w:hint="default"/>
      </w:rPr>
    </w:lvl>
    <w:lvl w:ilvl="6" w:tplc="0809000F">
      <w:start w:val="1"/>
      <w:numFmt w:val="bullet"/>
      <w:lvlText w:val=""/>
      <w:lvlJc w:val="left"/>
      <w:pPr>
        <w:ind w:left="5400" w:hanging="360"/>
      </w:pPr>
      <w:rPr>
        <w:rFonts w:ascii="Symbol" w:hAnsi="Symbol" w:hint="default"/>
      </w:rPr>
    </w:lvl>
    <w:lvl w:ilvl="7" w:tplc="08090019">
      <w:start w:val="1"/>
      <w:numFmt w:val="bullet"/>
      <w:lvlText w:val="o"/>
      <w:lvlJc w:val="left"/>
      <w:pPr>
        <w:ind w:left="6120" w:hanging="360"/>
      </w:pPr>
      <w:rPr>
        <w:rFonts w:ascii="Courier New" w:hAnsi="Courier New" w:cs="Courier New" w:hint="default"/>
      </w:rPr>
    </w:lvl>
    <w:lvl w:ilvl="8" w:tplc="0809001B">
      <w:start w:val="1"/>
      <w:numFmt w:val="bullet"/>
      <w:lvlText w:val=""/>
      <w:lvlJc w:val="left"/>
      <w:pPr>
        <w:ind w:left="6840" w:hanging="360"/>
      </w:pPr>
      <w:rPr>
        <w:rFonts w:ascii="Wingdings" w:hAnsi="Wingdings" w:hint="default"/>
      </w:rPr>
    </w:lvl>
  </w:abstractNum>
  <w:abstractNum w:abstractNumId="38">
    <w:nsid w:val="4E8D3084"/>
    <w:multiLevelType w:val="hybridMultilevel"/>
    <w:tmpl w:val="D8B4EFBA"/>
    <w:lvl w:ilvl="0" w:tplc="508EE518">
      <w:start w:val="1"/>
      <w:numFmt w:val="decimal"/>
      <w:pStyle w:val="Title2"/>
      <w:lvlText w:val="%1.1"/>
      <w:lvlJc w:val="left"/>
      <w:pPr>
        <w:ind w:left="1202" w:hanging="360"/>
      </w:pPr>
    </w:lvl>
    <w:lvl w:ilvl="1" w:tplc="04090003">
      <w:start w:val="1"/>
      <w:numFmt w:val="lowerLetter"/>
      <w:lvlText w:val="%2."/>
      <w:lvlJc w:val="left"/>
      <w:pPr>
        <w:ind w:left="1922" w:hanging="360"/>
      </w:pPr>
    </w:lvl>
    <w:lvl w:ilvl="2" w:tplc="04090005">
      <w:start w:val="1"/>
      <w:numFmt w:val="lowerRoman"/>
      <w:lvlText w:val="%3."/>
      <w:lvlJc w:val="right"/>
      <w:pPr>
        <w:ind w:left="2642" w:hanging="180"/>
      </w:pPr>
    </w:lvl>
    <w:lvl w:ilvl="3" w:tplc="04090001">
      <w:start w:val="1"/>
      <w:numFmt w:val="decimal"/>
      <w:lvlText w:val="%4."/>
      <w:lvlJc w:val="left"/>
      <w:pPr>
        <w:ind w:left="3362" w:hanging="360"/>
      </w:pPr>
    </w:lvl>
    <w:lvl w:ilvl="4" w:tplc="04090003">
      <w:start w:val="1"/>
      <w:numFmt w:val="lowerLetter"/>
      <w:lvlText w:val="%5."/>
      <w:lvlJc w:val="left"/>
      <w:pPr>
        <w:ind w:left="4082" w:hanging="360"/>
      </w:pPr>
    </w:lvl>
    <w:lvl w:ilvl="5" w:tplc="04090005">
      <w:start w:val="1"/>
      <w:numFmt w:val="lowerRoman"/>
      <w:lvlText w:val="%6."/>
      <w:lvlJc w:val="right"/>
      <w:pPr>
        <w:ind w:left="4802" w:hanging="180"/>
      </w:pPr>
    </w:lvl>
    <w:lvl w:ilvl="6" w:tplc="04090001">
      <w:start w:val="1"/>
      <w:numFmt w:val="decimal"/>
      <w:lvlText w:val="%7."/>
      <w:lvlJc w:val="left"/>
      <w:pPr>
        <w:ind w:left="5522" w:hanging="360"/>
      </w:pPr>
    </w:lvl>
    <w:lvl w:ilvl="7" w:tplc="04090003">
      <w:start w:val="1"/>
      <w:numFmt w:val="lowerLetter"/>
      <w:lvlText w:val="%8."/>
      <w:lvlJc w:val="left"/>
      <w:pPr>
        <w:ind w:left="6242" w:hanging="360"/>
      </w:pPr>
    </w:lvl>
    <w:lvl w:ilvl="8" w:tplc="04090005">
      <w:start w:val="1"/>
      <w:numFmt w:val="lowerRoman"/>
      <w:lvlText w:val="%9."/>
      <w:lvlJc w:val="right"/>
      <w:pPr>
        <w:ind w:left="6962" w:hanging="180"/>
      </w:pPr>
    </w:lvl>
  </w:abstractNum>
  <w:abstractNum w:abstractNumId="39">
    <w:nsid w:val="51A27BB1"/>
    <w:multiLevelType w:val="hybridMultilevel"/>
    <w:tmpl w:val="B83ED5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C94628E">
      <w:numFmt w:val="bullet"/>
      <w:lvlText w:val="•"/>
      <w:lvlJc w:val="left"/>
      <w:pPr>
        <w:ind w:left="2160" w:hanging="720"/>
      </w:pPr>
      <w:rPr>
        <w:rFonts w:ascii="Times New Roman" w:eastAsia="Times New Roman" w:hAnsi="Times New Roman"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4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2">
    <w:nsid w:val="5EB62EF6"/>
    <w:multiLevelType w:val="hybridMultilevel"/>
    <w:tmpl w:val="4B30F6E4"/>
    <w:lvl w:ilvl="0" w:tplc="3CEEFC76">
      <w:start w:val="1"/>
      <w:numFmt w:val="bullet"/>
      <w:pStyle w:val="BulletText"/>
      <w:lvlText w:val=""/>
      <w:lvlJc w:val="left"/>
      <w:pPr>
        <w:ind w:left="720" w:hanging="360"/>
      </w:pPr>
      <w:rPr>
        <w:rFonts w:ascii="Symbol" w:hAnsi="Symbol" w:hint="default"/>
        <w:b/>
        <w:i w:val="0"/>
        <w:color w:val="567F68"/>
        <w:sz w:val="24"/>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4">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5">
    <w:nsid w:val="65040A3D"/>
    <w:multiLevelType w:val="hybridMultilevel"/>
    <w:tmpl w:val="CF1AA07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nsid w:val="67E87196"/>
    <w:multiLevelType w:val="hybridMultilevel"/>
    <w:tmpl w:val="CDFE16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nsid w:val="6CA247C1"/>
    <w:multiLevelType w:val="hybridMultilevel"/>
    <w:tmpl w:val="D2EE80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8">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9">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7297512E"/>
    <w:multiLevelType w:val="hybridMultilevel"/>
    <w:tmpl w:val="CBEC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3E85D3B"/>
    <w:multiLevelType w:val="hybridMultilevel"/>
    <w:tmpl w:val="DED41E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2">
    <w:nsid w:val="760B5586"/>
    <w:multiLevelType w:val="hybridMultilevel"/>
    <w:tmpl w:val="892A96E0"/>
    <w:lvl w:ilvl="0" w:tplc="080C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nsid w:val="7A7B03A7"/>
    <w:multiLevelType w:val="hybridMultilevel"/>
    <w:tmpl w:val="9B7691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2"/>
  </w:num>
  <w:num w:numId="2">
    <w:abstractNumId w:val="43"/>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47"/>
  </w:num>
  <w:num w:numId="8">
    <w:abstractNumId w:val="51"/>
  </w:num>
  <w:num w:numId="9">
    <w:abstractNumId w:val="6"/>
  </w:num>
  <w:num w:numId="10">
    <w:abstractNumId w:val="53"/>
  </w:num>
  <w:num w:numId="11">
    <w:abstractNumId w:val="16"/>
  </w:num>
  <w:num w:numId="12">
    <w:abstractNumId w:val="13"/>
  </w:num>
  <w:num w:numId="13">
    <w:abstractNumId w:val="36"/>
  </w:num>
  <w:num w:numId="14">
    <w:abstractNumId w:val="33"/>
  </w:num>
  <w:num w:numId="15">
    <w:abstractNumId w:val="8"/>
  </w:num>
  <w:num w:numId="16">
    <w:abstractNumId w:val="3"/>
  </w:num>
  <w:num w:numId="17">
    <w:abstractNumId w:val="20"/>
  </w:num>
  <w:num w:numId="18">
    <w:abstractNumId w:val="39"/>
  </w:num>
  <w:num w:numId="19">
    <w:abstractNumId w:val="1"/>
  </w:num>
  <w:num w:numId="20">
    <w:abstractNumId w:val="27"/>
  </w:num>
  <w:num w:numId="21">
    <w:abstractNumId w:val="21"/>
  </w:num>
  <w:num w:numId="22">
    <w:abstractNumId w:val="18"/>
  </w:num>
  <w:num w:numId="23">
    <w:abstractNumId w:val="1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48"/>
  </w:num>
  <w:num w:numId="26">
    <w:abstractNumId w:val="1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num>
  <w:num w:numId="29">
    <w:abstractNumId w:val="17"/>
  </w:num>
  <w:num w:numId="30">
    <w:abstractNumId w:val="25"/>
  </w:num>
  <w:num w:numId="31">
    <w:abstractNumId w:val="41"/>
  </w:num>
  <w:num w:numId="32">
    <w:abstractNumId w:val="35"/>
  </w:num>
  <w:num w:numId="33">
    <w:abstractNumId w:val="40"/>
  </w:num>
  <w:num w:numId="34">
    <w:abstractNumId w:val="2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2"/>
  </w:num>
  <w:num w:numId="40">
    <w:abstractNumId w:val="30"/>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9"/>
  </w:num>
  <w:num w:numId="44">
    <w:abstractNumId w:val="50"/>
  </w:num>
  <w:num w:numId="45">
    <w:abstractNumId w:val="4"/>
  </w:num>
  <w:num w:numId="46">
    <w:abstractNumId w:val="46"/>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29"/>
  </w:num>
  <w:num w:numId="51">
    <w:abstractNumId w:val="28"/>
  </w:num>
  <w:num w:numId="52">
    <w:abstractNumId w:val="5"/>
  </w:num>
  <w:num w:numId="53">
    <w:abstractNumId w:val="23"/>
  </w:num>
  <w:num w:numId="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
  </w:num>
  <w:num w:numId="57">
    <w:abstractNumId w:val="24"/>
  </w:num>
  <w:num w:numId="58">
    <w:abstractNumId w:val="22"/>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it-IT" w:vendorID="64" w:dllVersion="131078" w:nlCheck="1" w:checkStyle="0"/>
  <w:activeWritingStyle w:appName="MSWord" w:lang="de-DE" w:vendorID="64" w:dllVersion="131078" w:nlCheck="1" w:checkStyle="0"/>
  <w:activeWritingStyle w:appName="MSWord" w:lang="en-US" w:vendorID="64" w:dllVersion="131078" w:nlCheck="1" w:checkStyle="1"/>
  <w:activeWritingStyle w:appName="MSWord" w:lang="nl-NL" w:vendorID="64" w:dllVersion="131078" w:nlCheck="1" w:checkStyle="0"/>
  <w:activeWritingStyle w:appName="MSWord" w:lang="nb-NO" w:vendorID="64" w:dllVersion="131078" w:nlCheck="1" w:checkStyle="0"/>
  <w:activeWritingStyle w:appName="MSWord" w:lang="fr-FR" w:vendorID="64" w:dllVersion="131078" w:nlCheck="1" w:checkStyle="0"/>
  <w:activeWritingStyle w:appName="MSWord" w:lang="pt-PT" w:vendorID="64" w:dllVersion="131078" w:nlCheck="1" w:checkStyle="0"/>
  <w:activeWritingStyle w:appName="MSWord" w:lang="da-DK" w:vendorID="64" w:dllVersion="131078" w:nlCheck="1" w:checkStyle="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Accompanying the"/>
    <w:docVar w:name="LW_CORRIGENDUM" w:val="&lt;UNUSED&gt;"/>
    <w:docVar w:name="LW_COVERPAGE_EXISTS" w:val="True"/>
    <w:docVar w:name="LW_COVERPAGE_GUID" w:val="B7CBC462-D7E6-477D-A9A9-E3B2BCB8506C"/>
    <w:docVar w:name="LW_COVERPAGE_TYPE" w:val="1"/>
    <w:docVar w:name="LW_CROSSREFERENCE" w:val="{COM(2021) 562 final} - {SEC(2021) 562 final} - {SWD(2021) 636 final}"/>
    <w:docVar w:name="LW_DocType" w:val="NORMAL"/>
    <w:docVar w:name="LW_EMISSION" w:val="14.7.2021"/>
    <w:docVar w:name="LW_EMISSION_ISODATE" w:val="2021-07-14"/>
    <w:docVar w:name="LW_EMISSION_LOCATION" w:val="BRX"/>
    <w:docVar w:name="LW_EMISSION_PREFIX" w:val="Brussels, "/>
    <w:docVar w:name="LW_EMISSION_SUFFIX" w:val=" "/>
    <w:docVar w:name="LW_ID_DOCTYPE_NONLW" w:val="CP-026"/>
    <w:docVar w:name="LW_LANGUE" w:val="EN"/>
    <w:docVar w:name="LW_LEVEL_OF_SENSITIVITY" w:val="Standard treatment"/>
    <w:docVar w:name="LW_NOM.INST" w:val="EUROPEAN COMMISSION"/>
    <w:docVar w:name="LW_NOM.INST_JOINTDOC" w:val="&lt;EMPTY&gt;"/>
    <w:docVar w:name="LW_OBJETACTEPRINCIPAL.CP" w:val="on the use of renewable and low-carbon fuels in maritime transport"/>
    <w:docVar w:name="LW_PART_NBR" w:val="1"/>
    <w:docVar w:name="LW_PART_NBR_TOTAL" w:val="1"/>
    <w:docVar w:name="LW_REF.INST.NEW" w:val="SWD"/>
    <w:docVar w:name="LW_REF.INST.NEW_ADOPTED" w:val="final"/>
    <w:docVar w:name="LW_REF.INST.NEW_TEXT" w:val="(2021) 63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_x000b__x000b_IMPACT ASSESSMENT_x000b_"/>
    <w:docVar w:name="LW_TYPEACTEPRINCIPAL.CP" w:val="Proposal for a Regulation of the European Parliament and of the Council"/>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uiPriority="98"/>
    <w:lsdException w:name="index heading" w:uiPriority="0"/>
    <w:lsdException w:name="caption" w:uiPriority="35" w:qFormat="1"/>
    <w:lsdException w:name="envelope address" w:uiPriority="0"/>
    <w:lsdException w:name="envelope return" w:uiPriority="0"/>
    <w:lsdException w:name="footnote reference" w:qFormat="1"/>
    <w:lsdException w:name="annotation reference" w:uiPriority="98"/>
    <w:lsdException w:name="page number" w:uiPriority="0"/>
    <w:lsdException w:name="table of authorities" w:uiPriority="0"/>
    <w:lsdException w:name="macro"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lassic 2" w:uiPriority="0"/>
    <w:lsdException w:name="Table Grid 1" w:uiPriority="0"/>
    <w:lsdException w:name="Table Grid 8" w:uiPriority="0"/>
    <w:lsdException w:name="Table 3D effects 1" w:uiPriority="0"/>
    <w:lsdException w:name="Table 3D effects 2" w:uiPriority="0"/>
    <w:lsdException w:name="Table Elegant" w:uiPriority="0"/>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69"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Headline 1,h1,Titre1,Hoofdstuk,Section Heading,H11,h11,H12,h12,H13,h13,H14,h14,H15,h15,H16,h16,H111,h111,H121,h121,H131,h131,H141,h141,H151,h151,H17,h17,H112,h112,H122,h122,H132,h132,H142,h142,H152,h152,H18,h18,H113,h113,H123,h123,H133,h133"/>
    <w:basedOn w:val="Normal"/>
    <w:next w:val="Text1"/>
    <w:link w:val="Heading1Char"/>
    <w:uiPriority w:val="9"/>
    <w:qFormat/>
    <w:pPr>
      <w:keepNext/>
      <w:numPr>
        <w:numId w:val="55"/>
      </w:numPr>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aliases w:val="Heading Two,h2,(1.1,1.2,1.3 etc),Prophead 2,2,RFP Heading 2,Activit...,Activity,l2,H2,2/1,Heading 21,Paragraaf,cv titles,(SubSection),F4 Heading 2 - SubSection,(Main Heading),ASection,Heading 2 - Main Heading within Document,Major,Outline2"/>
    <w:basedOn w:val="Normal"/>
    <w:next w:val="Text2"/>
    <w:link w:val="Heading2Char"/>
    <w:uiPriority w:val="9"/>
    <w:qFormat/>
    <w:pPr>
      <w:keepNext/>
      <w:numPr>
        <w:ilvl w:val="1"/>
        <w:numId w:val="55"/>
      </w:numPr>
      <w:spacing w:after="240" w:line="240" w:lineRule="auto"/>
      <w:jc w:val="both"/>
      <w:outlineLvl w:val="1"/>
    </w:pPr>
    <w:rPr>
      <w:rFonts w:ascii="Times New Roman" w:eastAsia="Times New Roman" w:hAnsi="Times New Roman" w:cs="Times New Roman"/>
      <w:b/>
      <w:sz w:val="24"/>
      <w:szCs w:val="20"/>
    </w:rPr>
  </w:style>
  <w:style w:type="paragraph" w:styleId="Heading3">
    <w:name w:val="heading 3"/>
    <w:aliases w:val="H3,Subparagraaf,3 bullet,b,Bullet,SECOND,B1,bullet,h3,b1,Second,bullet pt,bill,palatino,blank1,2-HEADER,second,sub1,S1,List 1,heading 3,3,Heading 3 Char1 Char,Heading 3 Char Char Char,Subhead B Char Char Char Char,Heading 3a,ALK_K3,Headline 3"/>
    <w:basedOn w:val="Normal"/>
    <w:next w:val="Normal"/>
    <w:link w:val="Heading3Char"/>
    <w:uiPriority w:val="9"/>
    <w:qFormat/>
    <w:pPr>
      <w:keepNext/>
      <w:numPr>
        <w:ilvl w:val="2"/>
        <w:numId w:val="55"/>
      </w:numPr>
      <w:spacing w:after="240" w:line="240" w:lineRule="auto"/>
      <w:jc w:val="both"/>
      <w:outlineLvl w:val="2"/>
    </w:pPr>
    <w:rPr>
      <w:rFonts w:ascii="Times New Roman" w:eastAsia="Times New Roman" w:hAnsi="Times New Roman" w:cs="Times New Roman"/>
      <w:i/>
      <w:sz w:val="24"/>
      <w:szCs w:val="20"/>
    </w:rPr>
  </w:style>
  <w:style w:type="paragraph" w:styleId="Heading4">
    <w:name w:val="heading 4"/>
    <w:aliases w:val="ALK_K4,NEA4,Kopje,Tussenkop,Ü 4"/>
    <w:basedOn w:val="Normal"/>
    <w:next w:val="Normal"/>
    <w:link w:val="Heading4Char"/>
    <w:qFormat/>
    <w:pPr>
      <w:keepNext/>
      <w:numPr>
        <w:ilvl w:val="3"/>
        <w:numId w:val="55"/>
      </w:numPr>
      <w:spacing w:after="240" w:line="240" w:lineRule="auto"/>
      <w:jc w:val="both"/>
      <w:outlineLvl w:val="3"/>
    </w:pPr>
    <w:rPr>
      <w:rFonts w:ascii="Times New Roman" w:eastAsia="Times New Roman" w:hAnsi="Times New Roman" w:cs="Times New Roman"/>
      <w:sz w:val="24"/>
      <w:szCs w:val="20"/>
    </w:rPr>
  </w:style>
  <w:style w:type="paragraph" w:styleId="Heading5">
    <w:name w:val="heading 5"/>
    <w:basedOn w:val="Normal"/>
    <w:next w:val="Normal"/>
    <w:link w:val="Heading5Char"/>
    <w:unhideWhenUsed/>
    <w:qFormat/>
    <w:pPr>
      <w:numPr>
        <w:ilvl w:val="4"/>
        <w:numId w:val="55"/>
      </w:numPr>
      <w:spacing w:before="240" w:after="60" w:line="240" w:lineRule="auto"/>
      <w:jc w:val="both"/>
      <w:outlineLvl w:val="4"/>
    </w:pPr>
    <w:rPr>
      <w:rFonts w:ascii="Arial" w:eastAsia="Times New Roman" w:hAnsi="Arial" w:cs="Times New Roman"/>
      <w:szCs w:val="20"/>
    </w:rPr>
  </w:style>
  <w:style w:type="paragraph" w:styleId="Heading6">
    <w:name w:val="heading 6"/>
    <w:basedOn w:val="Normal"/>
    <w:next w:val="Normal"/>
    <w:link w:val="Heading6Char"/>
    <w:unhideWhenUsed/>
    <w:qFormat/>
    <w:pPr>
      <w:numPr>
        <w:ilvl w:val="5"/>
        <w:numId w:val="55"/>
      </w:numPr>
      <w:spacing w:before="240" w:after="60" w:line="240" w:lineRule="auto"/>
      <w:jc w:val="both"/>
      <w:outlineLvl w:val="5"/>
    </w:pPr>
    <w:rPr>
      <w:rFonts w:ascii="Arial" w:eastAsia="Times New Roman" w:hAnsi="Arial" w:cs="Times New Roman"/>
      <w:i/>
      <w:szCs w:val="20"/>
    </w:rPr>
  </w:style>
  <w:style w:type="paragraph" w:styleId="Heading7">
    <w:name w:val="heading 7"/>
    <w:basedOn w:val="Normal"/>
    <w:next w:val="Normal"/>
    <w:link w:val="Heading7Char"/>
    <w:unhideWhenUsed/>
    <w:qFormat/>
    <w:pPr>
      <w:numPr>
        <w:ilvl w:val="6"/>
        <w:numId w:val="55"/>
      </w:numPr>
      <w:spacing w:before="240" w:after="60" w:line="240" w:lineRule="auto"/>
      <w:jc w:val="both"/>
      <w:outlineLvl w:val="6"/>
    </w:pPr>
    <w:rPr>
      <w:rFonts w:ascii="Arial" w:eastAsia="Times New Roman" w:hAnsi="Arial" w:cs="Times New Roman"/>
      <w:sz w:val="20"/>
      <w:szCs w:val="20"/>
    </w:rPr>
  </w:style>
  <w:style w:type="paragraph" w:styleId="Heading8">
    <w:name w:val="heading 8"/>
    <w:basedOn w:val="Normal"/>
    <w:next w:val="Normal"/>
    <w:link w:val="Heading8Char"/>
    <w:unhideWhenUsed/>
    <w:qFormat/>
    <w:pPr>
      <w:numPr>
        <w:ilvl w:val="7"/>
        <w:numId w:val="55"/>
      </w:numPr>
      <w:spacing w:before="240" w:after="60" w:line="240" w:lineRule="auto"/>
      <w:jc w:val="both"/>
      <w:outlineLvl w:val="7"/>
    </w:pPr>
    <w:rPr>
      <w:rFonts w:ascii="Arial" w:eastAsia="Times New Roman" w:hAnsi="Arial" w:cs="Times New Roman"/>
      <w:i/>
      <w:sz w:val="20"/>
      <w:szCs w:val="20"/>
    </w:rPr>
  </w:style>
  <w:style w:type="paragraph" w:styleId="Heading9">
    <w:name w:val="heading 9"/>
    <w:basedOn w:val="Normal"/>
    <w:next w:val="Normal"/>
    <w:link w:val="Heading9Char"/>
    <w:unhideWhenUsed/>
    <w:qFormat/>
    <w:pPr>
      <w:numPr>
        <w:ilvl w:val="8"/>
        <w:numId w:val="55"/>
      </w:numPr>
      <w:spacing w:before="240" w:after="60" w:line="240" w:lineRule="auto"/>
      <w:jc w:val="both"/>
      <w:outlineLvl w:val="8"/>
    </w:pPr>
    <w:rPr>
      <w:rFonts w:ascii="Arial" w:eastAsia="Times New Roman" w:hAnsi="Arial" w:cs="Times New Roman"/>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customStyle="1" w:styleId="Heading1Char">
    <w:name w:val="Heading 1 Char"/>
    <w:aliases w:val="H1 Char,Headline 1 Char,h1 Char,Titre1 Char,Hoofdstuk Char,Section Heading Char,H11 Char,h11 Char,H12 Char,h12 Char,H13 Char,h13 Char,H14 Char,h14 Char,H15 Char,h15 Char,H16 Char,h16 Char,H111 Char,h111 Char,H121 Char,h121 Char,H131 Char"/>
    <w:basedOn w:val="DefaultParagraphFont"/>
    <w:link w:val="Heading1"/>
    <w:uiPriority w:val="9"/>
    <w:rPr>
      <w:rFonts w:ascii="Times New Roman" w:eastAsia="Times New Roman" w:hAnsi="Times New Roman" w:cs="Times New Roman"/>
      <w:b/>
      <w:smallCaps/>
      <w:sz w:val="24"/>
      <w:szCs w:val="20"/>
    </w:rPr>
  </w:style>
  <w:style w:type="character" w:customStyle="1" w:styleId="Heading2Char">
    <w:name w:val="Heading 2 Char"/>
    <w:aliases w:val="Heading Two Char,h2 Char,(1.1 Char,1.2 Char,1.3 etc) Char,Prophead 2 Char,2 Char,RFP Heading 2 Char,Activit... Char,Activity Char,l2 Char,H2 Char,2/1 Char,Heading 21 Char,Paragraaf Char,cv titles Char,(SubSection) Char,(Main Heading) Char"/>
    <w:basedOn w:val="DefaultParagraphFont"/>
    <w:link w:val="Heading2"/>
    <w:uiPriority w:val="9"/>
    <w:rPr>
      <w:rFonts w:ascii="Times New Roman" w:eastAsia="Times New Roman" w:hAnsi="Times New Roman" w:cs="Times New Roman"/>
      <w:b/>
      <w:sz w:val="24"/>
      <w:szCs w:val="20"/>
    </w:rPr>
  </w:style>
  <w:style w:type="character" w:customStyle="1" w:styleId="Heading3Char">
    <w:name w:val="Heading 3 Char"/>
    <w:aliases w:val="H3 Char,Subparagraaf Char,3 bullet Char,b Char,Bullet Char,SECOND Char,B1 Char,bullet Char,h3 Char,b1 Char,Second Char,bullet pt Char,bill Char,palatino Char,blank1 Char,2-HEADER Char,second Char,sub1 Char,S1 Char,List 1 Char,3 Char"/>
    <w:basedOn w:val="DefaultParagraphFont"/>
    <w:link w:val="Heading3"/>
    <w:uiPriority w:val="9"/>
    <w:rPr>
      <w:rFonts w:ascii="Times New Roman" w:eastAsia="Times New Roman" w:hAnsi="Times New Roman" w:cs="Times New Roman"/>
      <w:i/>
      <w:sz w:val="24"/>
      <w:szCs w:val="20"/>
    </w:rPr>
  </w:style>
  <w:style w:type="character" w:customStyle="1" w:styleId="Heading4Char">
    <w:name w:val="Heading 4 Char"/>
    <w:aliases w:val="ALK_K4 Char,NEA4 Char,Kopje Char,Tussenkop Char,Ü 4 Char"/>
    <w:basedOn w:val="DefaultParagraphFont"/>
    <w:link w:val="Heading4"/>
    <w:rPr>
      <w:rFonts w:ascii="Times New Roman" w:eastAsia="Times New Roman" w:hAnsi="Times New Roman" w:cs="Times New Roman"/>
      <w:sz w:val="24"/>
      <w:szCs w:val="20"/>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0"/>
    </w:rPr>
  </w:style>
  <w:style w:type="paragraph" w:customStyle="1" w:styleId="Text2">
    <w:name w:val="Text 2"/>
    <w:basedOn w:val="Normal"/>
    <w:link w:val="Text2Char1"/>
    <w:pPr>
      <w:tabs>
        <w:tab w:val="left" w:pos="2302"/>
      </w:tabs>
      <w:spacing w:after="240" w:line="240" w:lineRule="auto"/>
      <w:ind w:left="1202"/>
      <w:jc w:val="both"/>
    </w:pPr>
    <w:rPr>
      <w:rFonts w:ascii="Times New Roman" w:eastAsia="Times New Roman" w:hAnsi="Times New Roman" w:cs="Times New Roman"/>
      <w:sz w:val="24"/>
      <w:szCs w:val="20"/>
    </w:rPr>
  </w:style>
  <w:style w:type="paragraph" w:styleId="ListBullet">
    <w:name w:val="List Bullet"/>
    <w:basedOn w:val="Normal"/>
    <w:pPr>
      <w:numPr>
        <w:numId w:val="1"/>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Text1"/>
    <w:pPr>
      <w:numPr>
        <w:numId w:val="2"/>
      </w:numPr>
    </w:pPr>
  </w:style>
  <w:style w:type="table" w:styleId="TableGrid">
    <w:name w:val="Table Grid"/>
    <w:aliases w:val="Document Table,CV1,Gena,Tabellengitternetz"/>
    <w:basedOn w:val="TableNormal"/>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
    <w:name w:val="Annex Title"/>
    <w:basedOn w:val="Normal"/>
    <w:next w:val="Normal"/>
    <w:link w:val="AnnexTitleChar"/>
    <w:qFormat/>
    <w:pPr>
      <w:keepNext/>
      <w:spacing w:after="480" w:line="240" w:lineRule="auto"/>
      <w:jc w:val="center"/>
    </w:pPr>
    <w:rPr>
      <w:rFonts w:ascii="Times New Roman" w:eastAsia="Times New Roman" w:hAnsi="Times New Roman" w:cs="Times New Roman"/>
      <w:b/>
      <w:sz w:val="32"/>
      <w:szCs w:val="20"/>
    </w:rPr>
  </w:style>
  <w:style w:type="character" w:customStyle="1" w:styleId="AnnexTitleChar">
    <w:name w:val="Annex Title Char"/>
    <w:basedOn w:val="DefaultParagraphFont"/>
    <w:link w:val="AnnexTitle"/>
    <w:rPr>
      <w:rFonts w:ascii="Times New Roman" w:eastAsia="Times New Roman" w:hAnsi="Times New Roman" w:cs="Times New Roman"/>
      <w:b/>
      <w:sz w:val="32"/>
      <w:szCs w:val="20"/>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3">
    <w:name w:val="CV13"/>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pPr>
      <w:tabs>
        <w:tab w:val="right" w:leader="dot" w:pos="8640"/>
      </w:tabs>
      <w:spacing w:before="120" w:after="120" w:line="240" w:lineRule="auto"/>
      <w:ind w:left="482" w:right="720" w:hanging="482"/>
      <w:jc w:val="both"/>
    </w:pPr>
    <w:rPr>
      <w:rFonts w:ascii="Times New Roman" w:eastAsia="Times New Roman" w:hAnsi="Times New Roman" w:cs="Times New Roman"/>
      <w:caps/>
      <w:sz w:val="20"/>
      <w:szCs w:val="20"/>
    </w:rPr>
  </w:style>
  <w:style w:type="paragraph" w:styleId="TOC2">
    <w:name w:val="toc 2"/>
    <w:basedOn w:val="Normal"/>
    <w:next w:val="Normal"/>
    <w:uiPriority w:val="39"/>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TOCHeading">
    <w:name w:val="TOC Heading"/>
    <w:basedOn w:val="Normal"/>
    <w:next w:val="Normal"/>
    <w:uiPriority w:val="39"/>
    <w:qFormat/>
    <w:pPr>
      <w:keepNext/>
      <w:spacing w:before="240" w:after="240" w:line="240" w:lineRule="auto"/>
      <w:jc w:val="center"/>
    </w:pPr>
    <w:rPr>
      <w:rFonts w:ascii="Times New Roman" w:eastAsia="Times New Roman" w:hAnsi="Times New Roman" w:cs="Times New Roman"/>
      <w:b/>
      <w:sz w:val="24"/>
      <w:szCs w:val="20"/>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styleId="ListParagraph">
    <w:name w:val="List Paragraph"/>
    <w:aliases w:val="Numbered Para 1,Dot pt,No Spacing1,List Paragraph Char Char Char,Indicator Text,Bullet 1,List Paragraph1,Bullet Points,MAIN CONTENT,List Paragraph12,F5 List Paragraph,Heading 2_sj,1st level - Bullet List Paragraph,Lettre d'introduction,L"/>
    <w:basedOn w:val="Normal"/>
    <w:link w:val="ListParagraphChar"/>
    <w:uiPriority w:val="34"/>
    <w:qFormat/>
    <w:pPr>
      <w:ind w:left="720"/>
      <w:contextualSpacing/>
    </w:p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Pr>
      <w:sz w:val="20"/>
      <w:szCs w:val="20"/>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FR"/>
    <w:basedOn w:val="DefaultParagraphFont"/>
    <w:link w:val="stylish"/>
    <w:uiPriority w:val="99"/>
    <w:unhideWhenUsed/>
    <w:qFormat/>
    <w:rPr>
      <w:vertAlign w:val="superscript"/>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IE"/>
    </w:rPr>
  </w:style>
  <w:style w:type="character" w:styleId="CommentReference">
    <w:name w:val="annotation reference"/>
    <w:basedOn w:val="DefaultParagraphFont"/>
    <w:uiPriority w:val="98"/>
    <w:unhideWhenUsed/>
    <w:rPr>
      <w:sz w:val="16"/>
      <w:szCs w:val="16"/>
    </w:rPr>
  </w:style>
  <w:style w:type="paragraph" w:styleId="CommentText">
    <w:name w:val="annotation text"/>
    <w:basedOn w:val="Normal"/>
    <w:link w:val="CommentTextChar"/>
    <w:uiPriority w:val="98"/>
    <w:unhideWhenUsed/>
    <w:pPr>
      <w:spacing w:line="240" w:lineRule="auto"/>
    </w:pPr>
    <w:rPr>
      <w:sz w:val="20"/>
      <w:szCs w:val="20"/>
    </w:rPr>
  </w:style>
  <w:style w:type="character" w:customStyle="1" w:styleId="CommentTextChar">
    <w:name w:val="Comment Text Char"/>
    <w:basedOn w:val="DefaultParagraphFont"/>
    <w:link w:val="CommentText"/>
    <w:uiPriority w:val="98"/>
    <w:rPr>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Table legend"/>
    <w:basedOn w:val="Normal"/>
    <w:next w:val="Normal"/>
    <w:link w:val="CaptionChar1"/>
    <w:uiPriority w:val="35"/>
    <w:unhideWhenUsed/>
    <w:qFormat/>
    <w:pPr>
      <w:spacing w:line="240" w:lineRule="auto"/>
    </w:pPr>
    <w:rPr>
      <w:i/>
      <w:iCs/>
      <w:color w:val="1F497D" w:themeColor="text2"/>
      <w:sz w:val="18"/>
      <w:szCs w:val="18"/>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highlight">
    <w:name w:val="highlight"/>
    <w:basedOn w:val="DefaultParagraphFont"/>
  </w:style>
  <w:style w:type="paragraph" w:styleId="Revision">
    <w:name w:val="Revision"/>
    <w:hidden/>
    <w:uiPriority w:val="99"/>
    <w:semiHidden/>
    <w:pPr>
      <w:spacing w:after="0" w:line="240" w:lineRule="auto"/>
    </w:pPr>
  </w:style>
  <w:style w:type="paragraph" w:styleId="TOC3">
    <w:name w:val="toc 3"/>
    <w:basedOn w:val="Normal"/>
    <w:next w:val="Normal"/>
    <w:autoRedefine/>
    <w:uiPriority w:val="39"/>
    <w:unhideWhenUsed/>
    <w:qFormat/>
    <w:pPr>
      <w:tabs>
        <w:tab w:val="left" w:pos="1134"/>
        <w:tab w:val="right" w:leader="dot" w:pos="8608"/>
      </w:tabs>
      <w:spacing w:after="100"/>
      <w:ind w:left="440"/>
    </w:pPr>
  </w:style>
  <w:style w:type="table" w:customStyle="1"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pPr>
      <w:spacing w:after="0" w:line="240" w:lineRule="auto"/>
    </w:pPr>
  </w:style>
  <w:style w:type="paragraph" w:customStyle="1" w:styleId="DefaultText">
    <w:name w:val="Default Text"/>
    <w:basedOn w:val="Normal"/>
    <w:link w:val="DefaultTextChar"/>
    <w:qFormat/>
    <w:pPr>
      <w:spacing w:after="0" w:line="280" w:lineRule="atLeast"/>
    </w:pPr>
    <w:rPr>
      <w:rFonts w:ascii="Arial" w:eastAsia="Times New Roman" w:hAnsi="Arial" w:cs="Times New Roman"/>
      <w:sz w:val="18"/>
      <w:szCs w:val="24"/>
      <w:lang w:eastAsia="nl-NL"/>
    </w:rPr>
  </w:style>
  <w:style w:type="character" w:customStyle="1" w:styleId="DefaultTextChar">
    <w:name w:val="Default Text Char"/>
    <w:basedOn w:val="DefaultParagraphFont"/>
    <w:link w:val="DefaultText"/>
    <w:qFormat/>
    <w:rPr>
      <w:rFonts w:ascii="Arial" w:eastAsia="Times New Roman" w:hAnsi="Arial" w:cs="Times New Roman"/>
      <w:sz w:val="18"/>
      <w:szCs w:val="24"/>
      <w:lang w:eastAsia="nl-NL"/>
    </w:rPr>
  </w:style>
  <w:style w:type="paragraph" w:customStyle="1" w:styleId="bronvermelding">
    <w:name w:val="bronvermelding"/>
    <w:basedOn w:val="DefaultText"/>
    <w:next w:val="DefaultText"/>
    <w:pPr>
      <w:spacing w:line="200" w:lineRule="atLeast"/>
    </w:pPr>
    <w:rPr>
      <w:sz w:val="14"/>
    </w:rPr>
  </w:style>
  <w:style w:type="table" w:customStyle="1" w:styleId="Mainbidtables">
    <w:name w:val="Main bid tables"/>
    <w:basedOn w:val="TableNormal"/>
    <w:uiPriority w:val="99"/>
    <w:pPr>
      <w:spacing w:before="60" w:after="0" w:line="240" w:lineRule="auto"/>
    </w:pPr>
    <w:rPr>
      <w:rFonts w:ascii="Arial" w:eastAsia="Times New Roman" w:hAnsi="Arial" w:cs="Times New Roman"/>
      <w:sz w:val="20"/>
      <w:szCs w:val="20"/>
      <w:lang w:eastAsia="en-GB"/>
    </w:rPr>
    <w:tblPr>
      <w:tblStyleRowBandSize w:val="1"/>
      <w:tblStyleColBandSize w:val="1"/>
      <w:tblBorders>
        <w:left w:val="single" w:sz="4" w:space="0" w:color="0055A0"/>
        <w:bottom w:val="single" w:sz="4" w:space="0" w:color="0055A0"/>
        <w:right w:val="single" w:sz="4" w:space="0" w:color="0055A0"/>
        <w:insideV w:val="single" w:sz="4" w:space="0" w:color="0055A0"/>
      </w:tblBorders>
    </w:tblPr>
    <w:tcPr>
      <w:vAlign w:val="center"/>
    </w:tcPr>
    <w:tblStylePr w:type="firstRow">
      <w:rPr>
        <w:color w:val="FFFFFF" w:themeColor="background1"/>
      </w:rPr>
      <w:tblPr/>
      <w:tcPr>
        <w:tcBorders>
          <w:top w:val="nil"/>
          <w:left w:val="single" w:sz="4" w:space="0" w:color="0055A0"/>
          <w:bottom w:val="nil"/>
          <w:right w:val="single" w:sz="4" w:space="0" w:color="0055A0"/>
          <w:insideH w:val="nil"/>
          <w:insideV w:val="nil"/>
          <w:tl2br w:val="nil"/>
          <w:tr2bl w:val="nil"/>
        </w:tcBorders>
        <w:shd w:val="clear" w:color="auto" w:fill="006BB7"/>
      </w:tcPr>
    </w:tblStylePr>
    <w:tblStylePr w:type="band1Vert">
      <w:pPr>
        <w:jc w:val="left"/>
      </w:pPr>
      <w:tblPr/>
      <w:tcPr>
        <w:shd w:val="clear" w:color="auto" w:fill="F5F9FC"/>
      </w:tcPr>
    </w:tblStylePr>
    <w:tblStylePr w:type="band1Horz">
      <w:tblPr/>
      <w:tcPr>
        <w:shd w:val="clear" w:color="auto" w:fill="EDF3F7"/>
      </w:tcPr>
    </w:tblStylePr>
    <w:tblStylePr w:type="band2Horz">
      <w:tblPr/>
      <w:tcPr>
        <w:tcBorders>
          <w:insideV w:val="single" w:sz="4" w:space="0" w:color="0055A0"/>
        </w:tcBorders>
        <w:shd w:val="clear" w:color="auto" w:fill="FFFFFF" w:themeFill="background1"/>
      </w:tcPr>
    </w:tblStylePr>
  </w:style>
  <w:style w:type="table" w:customStyle="1" w:styleId="GridTable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style-blauw-100-outline">
    <w:name w:val="table-style-blauw-100-outline"/>
    <w:basedOn w:val="TableNormal"/>
    <w:pPr>
      <w:spacing w:after="0" w:line="280" w:lineRule="atLeast"/>
    </w:pPr>
    <w:rPr>
      <w:rFonts w:ascii="Arial" w:eastAsia="Times New Roman" w:hAnsi="Arial" w:cs="Times New Roman"/>
      <w:color w:val="000000"/>
      <w:sz w:val="16"/>
      <w:szCs w:val="20"/>
      <w:lang w:val="nl-NL" w:eastAsia="nl-NL"/>
    </w:rPr>
    <w:tblPr>
      <w:tblStyleRowBandSize w:val="1"/>
      <w:tblBorders>
        <w:top w:val="single" w:sz="6" w:space="0" w:color="006DB6"/>
        <w:left w:val="single" w:sz="6" w:space="0" w:color="006DB6"/>
        <w:bottom w:val="single" w:sz="6" w:space="0" w:color="006DB6"/>
        <w:right w:val="single" w:sz="6" w:space="0" w:color="006DB6"/>
        <w:insideV w:val="single" w:sz="6" w:space="0" w:color="006DB6"/>
      </w:tblBorders>
    </w:tblPr>
    <w:tblStylePr w:type="firstRow">
      <w:pPr>
        <w:keepNext/>
        <w:keepLines/>
        <w:wordWrap/>
      </w:pPr>
      <w:rPr>
        <w:rFonts w:ascii="Arial" w:hAnsi="Arial"/>
        <w:b/>
        <w:i w:val="0"/>
        <w:color w:val="FFFFFF"/>
        <w:sz w:val="16"/>
      </w:rPr>
      <w:tblPr/>
      <w:tcPr>
        <w:tcBorders>
          <w:top w:val="single" w:sz="6" w:space="0" w:color="006DB6"/>
          <w:left w:val="single" w:sz="6" w:space="0" w:color="006DB6"/>
          <w:bottom w:val="single" w:sz="6" w:space="0" w:color="006DB6"/>
          <w:right w:val="single" w:sz="6" w:space="0" w:color="006DB6"/>
          <w:insideH w:val="nil"/>
          <w:insideV w:val="nil"/>
          <w:tl2br w:val="nil"/>
          <w:tr2bl w:val="nil"/>
        </w:tcBorders>
        <w:shd w:val="solid" w:color="006DB6" w:fill="006DB6"/>
      </w:tcPr>
    </w:tblStylePr>
    <w:tblStylePr w:type="band1Horz">
      <w:tblPr/>
      <w:tcPr>
        <w:tcBorders>
          <w:top w:val="single" w:sz="4" w:space="0" w:color="A6A6A6" w:themeColor="background1" w:themeShade="A6"/>
        </w:tcBorders>
      </w:tcPr>
    </w:tblStylePr>
    <w:tblStylePr w:type="band2Horz">
      <w:tblPr/>
      <w:tcPr>
        <w:tcBorders>
          <w:top w:val="single" w:sz="4" w:space="0" w:color="A6A6A6" w:themeColor="background1" w:themeShade="A6"/>
        </w:tcBorders>
      </w:tcPr>
    </w:tblStylePr>
  </w:style>
  <w:style w:type="character" w:customStyle="1" w:styleId="num">
    <w:name w:val="num"/>
    <w:basedOn w:val="DefaultParagraphFont"/>
  </w:style>
  <w:style w:type="paragraph" w:customStyle="1" w:styleId="li">
    <w:name w:val="li"/>
    <w:basedOn w:val="Normal"/>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table-text">
    <w:name w:val="table-text"/>
    <w:basedOn w:val="DefaultText"/>
    <w:link w:val="table-textChar"/>
    <w:rPr>
      <w:sz w:val="16"/>
    </w:rPr>
  </w:style>
  <w:style w:type="character" w:customStyle="1" w:styleId="table-textChar">
    <w:name w:val="table-text Char"/>
    <w:link w:val="table-text"/>
    <w:locked/>
    <w:rPr>
      <w:rFonts w:ascii="Arial" w:eastAsia="Times New Roman" w:hAnsi="Arial" w:cs="Times New Roman"/>
      <w:sz w:val="16"/>
      <w:szCs w:val="24"/>
      <w:lang w:eastAsia="nl-NL"/>
    </w:rPr>
  </w:style>
  <w:style w:type="character" w:customStyle="1" w:styleId="normaltextrun">
    <w:name w:val="normaltextrun"/>
    <w:basedOn w:val="DefaultParagraphFont"/>
  </w:style>
  <w:style w:type="paragraph" w:customStyle="1" w:styleId="stylish">
    <w:name w:val="stylish"/>
    <w:aliases w:val="Footnote,Times 10 Point,Exposant 3 Point,de nota al pie,F"/>
    <w:basedOn w:val="Normal"/>
    <w:link w:val="FootnoteReference"/>
    <w:uiPriority w:val="99"/>
    <w:pPr>
      <w:spacing w:after="160" w:line="240" w:lineRule="exact"/>
    </w:pPr>
    <w:rPr>
      <w:vertAlign w:val="superscript"/>
    </w:rPr>
  </w:style>
  <w:style w:type="character" w:customStyle="1" w:styleId="ListParagraphChar">
    <w:name w:val="List Paragraph Char"/>
    <w:aliases w:val="Numbered Para 1 Char,Dot pt Char,No Spacing1 Char,List Paragraph Char Char Char Char,Indicator Text Char,Bullet 1 Char,List Paragraph1 Char,Bullet Points Char,MAIN CONTENT Char,List Paragraph12 Char,F5 List Paragraph Char,L Char"/>
    <w:basedOn w:val="DefaultParagraphFont"/>
    <w:link w:val="ListParagraph"/>
    <w:uiPriority w:val="34"/>
    <w:qFormat/>
    <w:locked/>
  </w:style>
  <w:style w:type="paragraph" w:customStyle="1" w:styleId="bullettext0">
    <w:name w:val="bullet text"/>
    <w:basedOn w:val="Normal"/>
    <w:link w:val="bullettextChar"/>
    <w:qFormat/>
    <w:pPr>
      <w:spacing w:before="120" w:after="120" w:line="240" w:lineRule="auto"/>
      <w:ind w:left="720" w:hanging="360"/>
      <w:jc w:val="both"/>
    </w:pPr>
    <w:rPr>
      <w:rFonts w:ascii="Arial" w:eastAsia="Times New Roman" w:hAnsi="Arial" w:cs="Times New Roman"/>
      <w:noProof/>
      <w:szCs w:val="24"/>
    </w:rPr>
  </w:style>
  <w:style w:type="character" w:customStyle="1" w:styleId="bullettextChar">
    <w:name w:val="bullet text Char"/>
    <w:basedOn w:val="DefaultParagraphFont"/>
    <w:link w:val="bullettext0"/>
    <w:rPr>
      <w:rFonts w:ascii="Arial" w:eastAsia="Times New Roman" w:hAnsi="Arial" w:cs="Times New Roman"/>
      <w:noProof/>
      <w:szCs w:val="24"/>
    </w:rPr>
  </w:style>
  <w:style w:type="character" w:customStyle="1" w:styleId="Heading5Char">
    <w:name w:val="Heading 5 Char"/>
    <w:basedOn w:val="DefaultParagraphFont"/>
    <w:link w:val="Heading5"/>
    <w:rPr>
      <w:rFonts w:ascii="Arial" w:eastAsia="Times New Roman" w:hAnsi="Arial" w:cs="Times New Roman"/>
      <w:szCs w:val="20"/>
    </w:rPr>
  </w:style>
  <w:style w:type="character" w:customStyle="1" w:styleId="Heading6Char">
    <w:name w:val="Heading 6 Char"/>
    <w:basedOn w:val="DefaultParagraphFont"/>
    <w:link w:val="Heading6"/>
    <w:rPr>
      <w:rFonts w:ascii="Arial" w:eastAsia="Times New Roman" w:hAnsi="Arial" w:cs="Times New Roman"/>
      <w:i/>
      <w:szCs w:val="20"/>
    </w:rPr>
  </w:style>
  <w:style w:type="character" w:customStyle="1" w:styleId="Heading7Char">
    <w:name w:val="Heading 7 Char"/>
    <w:basedOn w:val="DefaultParagraphFont"/>
    <w:link w:val="Heading7"/>
    <w:rPr>
      <w:rFonts w:ascii="Arial" w:eastAsia="Times New Roman" w:hAnsi="Arial" w:cs="Times New Roman"/>
      <w:sz w:val="20"/>
      <w:szCs w:val="20"/>
    </w:rPr>
  </w:style>
  <w:style w:type="character" w:customStyle="1" w:styleId="Heading8Char">
    <w:name w:val="Heading 8 Char"/>
    <w:basedOn w:val="DefaultParagraphFont"/>
    <w:link w:val="Heading8"/>
    <w:rPr>
      <w:rFonts w:ascii="Arial" w:eastAsia="Times New Roman" w:hAnsi="Arial" w:cs="Times New Roman"/>
      <w:i/>
      <w:sz w:val="20"/>
      <w:szCs w:val="20"/>
    </w:rPr>
  </w:style>
  <w:style w:type="character" w:customStyle="1" w:styleId="Heading9Char">
    <w:name w:val="Heading 9 Char"/>
    <w:basedOn w:val="DefaultParagraphFont"/>
    <w:link w:val="Heading9"/>
    <w:rPr>
      <w:rFonts w:ascii="Arial" w:eastAsia="Times New Roman" w:hAnsi="Arial" w:cs="Times New Roman"/>
      <w:i/>
      <w:sz w:val="18"/>
      <w:szCs w:val="20"/>
    </w:rPr>
  </w:style>
  <w:style w:type="paragraph" w:styleId="Date">
    <w:name w:val="Date"/>
    <w:basedOn w:val="Normal"/>
    <w:next w:val="Normal"/>
    <w:link w:val="DateChar"/>
    <w:pPr>
      <w:spacing w:after="0" w:line="264" w:lineRule="auto"/>
      <w:ind w:left="5102" w:right="-567"/>
      <w:jc w:val="both"/>
    </w:pPr>
    <w:rPr>
      <w:rFonts w:ascii="Times New Roman" w:eastAsia="Times New Roman" w:hAnsi="Times New Roman" w:cs="Times New Roman"/>
      <w:szCs w:val="20"/>
      <w:lang w:eastAsia="en-GB"/>
    </w:rPr>
  </w:style>
  <w:style w:type="character" w:customStyle="1" w:styleId="DateChar">
    <w:name w:val="Date Char"/>
    <w:basedOn w:val="DefaultParagraphFont"/>
    <w:link w:val="Date"/>
    <w:rPr>
      <w:rFonts w:ascii="Times New Roman" w:eastAsia="Times New Roman" w:hAnsi="Times New Roman" w:cs="Times New Roman"/>
      <w:szCs w:val="20"/>
      <w:lang w:eastAsia="en-GB"/>
    </w:rPr>
  </w:style>
  <w:style w:type="character" w:customStyle="1" w:styleId="CaptionChar1">
    <w:name w:val="Caption Char1"/>
    <w:aliases w:val="Tasks Char,Beschriftung Char2 Char,Beschriftung Char1 Char1 Char,Beschriftung Char Char Char1 Char,Beschriftung Char1 Char Char Char,Beschriftung Char Char Char Char Char,Beschriftung Char Char1 Char Char,Beschriftung Char Char2 Char"/>
    <w:link w:val="Caption"/>
    <w:uiPriority w:val="35"/>
    <w:locked/>
    <w:rPr>
      <w:i/>
      <w:iCs/>
      <w:color w:val="1F497D" w:themeColor="text2"/>
      <w:sz w:val="18"/>
      <w:szCs w:val="18"/>
    </w:rPr>
  </w:style>
  <w:style w:type="paragraph" w:customStyle="1" w:styleId="Body">
    <w:name w:val="Body"/>
    <w:basedOn w:val="Normal"/>
    <w:link w:val="BodyChar"/>
    <w:qFormat/>
    <w:pPr>
      <w:spacing w:after="240" w:line="240" w:lineRule="auto"/>
      <w:jc w:val="both"/>
    </w:pPr>
    <w:rPr>
      <w:rFonts w:ascii="Verdana" w:eastAsia="Times New Roman" w:hAnsi="Verdana" w:cs="Times New Roman"/>
      <w:sz w:val="20"/>
      <w:szCs w:val="20"/>
    </w:rPr>
  </w:style>
  <w:style w:type="character" w:customStyle="1" w:styleId="BodyChar">
    <w:name w:val="Body Char"/>
    <w:link w:val="Body"/>
    <w:rPr>
      <w:rFonts w:ascii="Verdana" w:eastAsia="Times New Roman" w:hAnsi="Verdana" w:cs="Times New Roman"/>
      <w:sz w:val="20"/>
      <w:szCs w:val="20"/>
    </w:rPr>
  </w:style>
  <w:style w:type="paragraph" w:customStyle="1" w:styleId="footnote">
    <w:name w:val="footnote"/>
    <w:basedOn w:val="FootnoteText"/>
    <w:link w:val="footnoteChar"/>
    <w:qFormat/>
    <w:pPr>
      <w:jc w:val="both"/>
    </w:pPr>
    <w:rPr>
      <w:rFonts w:ascii="Times New Roman" w:eastAsia="Times New Roman" w:hAnsi="Times New Roman" w:cs="Times New Roman"/>
      <w:sz w:val="16"/>
      <w:szCs w:val="16"/>
      <w:lang w:eastAsia="en-GB"/>
    </w:rPr>
  </w:style>
  <w:style w:type="character" w:customStyle="1" w:styleId="footnoteChar">
    <w:name w:val="footnote Char"/>
    <w:link w:val="footnote"/>
    <w:rPr>
      <w:rFonts w:ascii="Times New Roman" w:eastAsia="Times New Roman" w:hAnsi="Times New Roman" w:cs="Times New Roman"/>
      <w:sz w:val="16"/>
      <w:szCs w:val="16"/>
      <w:lang w:eastAsia="en-GB"/>
    </w:rPr>
  </w:style>
  <w:style w:type="paragraph" w:customStyle="1" w:styleId="Source">
    <w:name w:val="Source"/>
    <w:basedOn w:val="Normal"/>
    <w:link w:val="SourceChar"/>
    <w:qFormat/>
    <w:pPr>
      <w:spacing w:after="120" w:line="264" w:lineRule="auto"/>
      <w:jc w:val="right"/>
    </w:pPr>
    <w:rPr>
      <w:rFonts w:eastAsia="Times New Roman" w:cstheme="minorHAnsi"/>
      <w:i/>
      <w:noProof/>
      <w:color w:val="000000" w:themeColor="text1"/>
      <w:sz w:val="20"/>
      <w:szCs w:val="18"/>
      <w:lang w:val="fr-BE" w:eastAsia="en-GB"/>
    </w:rPr>
  </w:style>
  <w:style w:type="character" w:customStyle="1" w:styleId="SourceChar">
    <w:name w:val="Source Char"/>
    <w:basedOn w:val="DefaultParagraphFont"/>
    <w:link w:val="Source"/>
    <w:rPr>
      <w:rFonts w:eastAsia="Times New Roman" w:cstheme="minorHAnsi"/>
      <w:i/>
      <w:noProof/>
      <w:color w:val="000000" w:themeColor="text1"/>
      <w:sz w:val="20"/>
      <w:szCs w:val="18"/>
      <w:lang w:val="fr-BE" w:eastAsia="en-GB"/>
    </w:rPr>
  </w:style>
  <w:style w:type="paragraph" w:styleId="ListBullet5">
    <w:name w:val="List Bullet 5"/>
    <w:basedOn w:val="Normal"/>
    <w:autoRedefine/>
    <w:pPr>
      <w:numPr>
        <w:numId w:val="19"/>
      </w:numPr>
      <w:spacing w:after="240" w:line="240" w:lineRule="auto"/>
      <w:jc w:val="both"/>
    </w:pPr>
    <w:rPr>
      <w:rFonts w:ascii="Times New Roman" w:eastAsia="Times New Roman" w:hAnsi="Times New Roman" w:cs="Times New Roman"/>
      <w:sz w:val="24"/>
      <w:szCs w:val="20"/>
    </w:rPr>
  </w:style>
  <w:style w:type="character" w:customStyle="1" w:styleId="Bulletpoint1Char">
    <w:name w:val="Bullet point1 Char"/>
    <w:basedOn w:val="DefaultParagraphFont"/>
    <w:link w:val="Bulletpoint1"/>
    <w:locked/>
    <w:rPr>
      <w:rFonts w:ascii="Verdana" w:hAnsi="Verdana"/>
    </w:rPr>
  </w:style>
  <w:style w:type="paragraph" w:customStyle="1" w:styleId="Bulletpoint1">
    <w:name w:val="Bullet point1"/>
    <w:basedOn w:val="NormalIndent"/>
    <w:link w:val="Bulletpoint1Char"/>
    <w:qFormat/>
    <w:pPr>
      <w:numPr>
        <w:numId w:val="20"/>
      </w:numPr>
      <w:spacing w:after="0" w:line="240" w:lineRule="auto"/>
      <w:jc w:val="both"/>
    </w:pPr>
    <w:rPr>
      <w:rFonts w:ascii="Verdana" w:hAnsi="Verdana"/>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pPr>
      <w:spacing w:after="160" w:line="240" w:lineRule="exact"/>
      <w:jc w:val="both"/>
    </w:pPr>
    <w:rPr>
      <w:vertAlign w:val="superscript"/>
    </w:rPr>
  </w:style>
  <w:style w:type="paragraph" w:styleId="NormalIndent">
    <w:name w:val="Normal Indent"/>
    <w:basedOn w:val="Normal"/>
    <w:link w:val="NormalIndentChar"/>
    <w:unhideWhenUsed/>
    <w:pPr>
      <w:ind w:left="720"/>
    </w:pPr>
  </w:style>
  <w:style w:type="character" w:styleId="PlaceholderText">
    <w:name w:val="Placeholder Text"/>
    <w:basedOn w:val="DefaultParagraphFont"/>
    <w:uiPriority w:val="99"/>
    <w:semiHidden/>
    <w:rPr>
      <w:color w:val="808080"/>
    </w:rPr>
  </w:style>
  <w:style w:type="character" w:customStyle="1" w:styleId="sub">
    <w:name w:val="sub"/>
    <w:basedOn w:val="DefaultParagraphFont"/>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table" w:customStyle="1" w:styleId="ListTable2Accent1">
    <w:name w:val="List Table 2 Accent 1"/>
    <w:basedOn w:val="TableNormal"/>
    <w:uiPriority w:val="47"/>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
    <w:name w:val="Grid Table 3 Accent 1"/>
    <w:basedOn w:val="TableNormal"/>
    <w:uiPriority w:val="4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itle1">
    <w:name w:val="Title 1"/>
    <w:basedOn w:val="Normal"/>
    <w:link w:val="Title1Char"/>
    <w:qFormat/>
    <w:pPr>
      <w:keepNext/>
      <w:numPr>
        <w:numId w:val="22"/>
      </w:numPr>
      <w:spacing w:before="120" w:after="120" w:line="240" w:lineRule="auto"/>
      <w:jc w:val="both"/>
    </w:pPr>
    <w:rPr>
      <w:rFonts w:ascii="Arial" w:eastAsia="Times New Roman" w:hAnsi="Arial" w:cs="Times New Roman"/>
      <w:color w:val="325BAA"/>
      <w:sz w:val="32"/>
      <w:szCs w:val="32"/>
    </w:rPr>
  </w:style>
  <w:style w:type="character" w:customStyle="1" w:styleId="Title1Char">
    <w:name w:val="Title 1 Char"/>
    <w:link w:val="Title1"/>
    <w:rPr>
      <w:rFonts w:ascii="Arial" w:eastAsia="Times New Roman" w:hAnsi="Arial" w:cs="Times New Roman"/>
      <w:color w:val="325BAA"/>
      <w:sz w:val="32"/>
      <w:szCs w:val="32"/>
    </w:rPr>
  </w:style>
  <w:style w:type="character" w:customStyle="1" w:styleId="FootnotetextChar1">
    <w:name w:val="Footnote text Char1"/>
    <w:aliases w:val="Footnote Text Char Char Char Char Char2,Footnote Text Char Char Char2,Footnote Text Char Char Char Char Char Char1,Footnote Text Char Char Char Char Char Char Char Char Char1,Footnote Text Char Char Char Char2"/>
    <w:basedOn w:val="DefaultParagraphFont"/>
    <w:uiPriority w:val="99"/>
    <w:semiHidden/>
    <w:rPr>
      <w:rFonts w:ascii="Times New Roman" w:eastAsia="Times New Roman" w:hAnsi="Times New Roman" w:cs="Times New Roman"/>
      <w:sz w:val="20"/>
      <w:szCs w:val="20"/>
    </w:rPr>
  </w:style>
  <w:style w:type="paragraph" w:customStyle="1" w:styleId="Text3">
    <w:name w:val="Text 3"/>
    <w:basedOn w:val="Normal"/>
    <w:pPr>
      <w:tabs>
        <w:tab w:val="left" w:pos="2302"/>
      </w:tabs>
      <w:spacing w:after="240" w:line="240" w:lineRule="auto"/>
      <w:ind w:left="1202"/>
      <w:jc w:val="both"/>
    </w:pPr>
    <w:rPr>
      <w:rFonts w:ascii="Times New Roman" w:eastAsia="Times New Roman" w:hAnsi="Times New Roman" w:cs="Times New Roman"/>
      <w:sz w:val="24"/>
      <w:szCs w:val="20"/>
    </w:rPr>
  </w:style>
  <w:style w:type="paragraph" w:customStyle="1" w:styleId="Text4">
    <w:name w:val="Text 4"/>
    <w:basedOn w:val="Normal"/>
    <w:pPr>
      <w:tabs>
        <w:tab w:val="left" w:pos="2302"/>
      </w:tabs>
      <w:spacing w:after="240" w:line="240" w:lineRule="auto"/>
      <w:ind w:left="1202"/>
      <w:jc w:val="both"/>
    </w:pPr>
    <w:rPr>
      <w:rFonts w:ascii="Times New Roman" w:eastAsia="Times New Roman" w:hAnsi="Times New Roman" w:cs="Times New Roman"/>
      <w:sz w:val="24"/>
      <w:szCs w:val="20"/>
    </w:rPr>
  </w:style>
  <w:style w:type="character" w:styleId="Strong">
    <w:name w:val="Strong"/>
    <w:basedOn w:val="DefaultParagraphFont"/>
    <w:uiPriority w:val="22"/>
    <w:qFormat/>
    <w:rPr>
      <w:b/>
      <w:bCs/>
      <w:color w:val="000000" w:themeColor="text1"/>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x1">
    <w:name w:val="index 1"/>
    <w:basedOn w:val="Normal"/>
    <w:next w:val="Normal"/>
    <w:autoRedefine/>
    <w:semiHidden/>
    <w:unhideWhenUsed/>
    <w:pPr>
      <w:spacing w:after="240" w:line="240" w:lineRule="auto"/>
      <w:ind w:left="240" w:hanging="240"/>
      <w:jc w:val="both"/>
    </w:pPr>
    <w:rPr>
      <w:rFonts w:ascii="Times New Roman" w:eastAsia="Times New Roman" w:hAnsi="Times New Roman" w:cs="Times New Roman"/>
      <w:sz w:val="24"/>
      <w:szCs w:val="20"/>
    </w:rPr>
  </w:style>
  <w:style w:type="paragraph" w:styleId="Index2">
    <w:name w:val="index 2"/>
    <w:basedOn w:val="Normal"/>
    <w:next w:val="Normal"/>
    <w:autoRedefine/>
    <w:semiHidden/>
    <w:unhideWhenUsed/>
    <w:pPr>
      <w:spacing w:after="240" w:line="240" w:lineRule="auto"/>
      <w:ind w:left="480" w:hanging="240"/>
      <w:jc w:val="both"/>
    </w:pPr>
    <w:rPr>
      <w:rFonts w:ascii="Times New Roman" w:eastAsia="Times New Roman" w:hAnsi="Times New Roman" w:cs="Times New Roman"/>
      <w:sz w:val="24"/>
      <w:szCs w:val="20"/>
    </w:rPr>
  </w:style>
  <w:style w:type="paragraph" w:styleId="Index3">
    <w:name w:val="index 3"/>
    <w:basedOn w:val="Normal"/>
    <w:next w:val="Normal"/>
    <w:autoRedefine/>
    <w:semiHidden/>
    <w:unhideWhenUsed/>
    <w:pPr>
      <w:spacing w:after="240" w:line="240" w:lineRule="auto"/>
      <w:ind w:left="720" w:hanging="240"/>
      <w:jc w:val="both"/>
    </w:pPr>
    <w:rPr>
      <w:rFonts w:ascii="Times New Roman" w:eastAsia="Times New Roman" w:hAnsi="Times New Roman" w:cs="Times New Roman"/>
      <w:sz w:val="24"/>
      <w:szCs w:val="20"/>
    </w:rPr>
  </w:style>
  <w:style w:type="paragraph" w:styleId="Index4">
    <w:name w:val="index 4"/>
    <w:basedOn w:val="Normal"/>
    <w:next w:val="Normal"/>
    <w:autoRedefine/>
    <w:semiHidden/>
    <w:unhideWhenUsed/>
    <w:pPr>
      <w:spacing w:after="240" w:line="240" w:lineRule="auto"/>
      <w:ind w:left="960" w:hanging="240"/>
      <w:jc w:val="both"/>
    </w:pPr>
    <w:rPr>
      <w:rFonts w:ascii="Times New Roman" w:eastAsia="Times New Roman" w:hAnsi="Times New Roman" w:cs="Times New Roman"/>
      <w:sz w:val="24"/>
      <w:szCs w:val="20"/>
    </w:rPr>
  </w:style>
  <w:style w:type="paragraph" w:styleId="Index5">
    <w:name w:val="index 5"/>
    <w:basedOn w:val="Normal"/>
    <w:next w:val="Normal"/>
    <w:autoRedefine/>
    <w:semiHidden/>
    <w:unhideWhenUsed/>
    <w:pPr>
      <w:spacing w:after="240" w:line="240" w:lineRule="auto"/>
      <w:ind w:left="1200" w:hanging="240"/>
      <w:jc w:val="both"/>
    </w:pPr>
    <w:rPr>
      <w:rFonts w:ascii="Times New Roman" w:eastAsia="Times New Roman" w:hAnsi="Times New Roman" w:cs="Times New Roman"/>
      <w:sz w:val="24"/>
      <w:szCs w:val="20"/>
    </w:rPr>
  </w:style>
  <w:style w:type="paragraph" w:styleId="Index6">
    <w:name w:val="index 6"/>
    <w:basedOn w:val="Normal"/>
    <w:next w:val="Normal"/>
    <w:autoRedefine/>
    <w:semiHidden/>
    <w:unhideWhenUsed/>
    <w:pPr>
      <w:spacing w:after="240" w:line="240" w:lineRule="auto"/>
      <w:ind w:left="1440" w:hanging="240"/>
      <w:jc w:val="both"/>
    </w:pPr>
    <w:rPr>
      <w:rFonts w:ascii="Times New Roman" w:eastAsia="Times New Roman" w:hAnsi="Times New Roman" w:cs="Times New Roman"/>
      <w:sz w:val="24"/>
      <w:szCs w:val="20"/>
    </w:rPr>
  </w:style>
  <w:style w:type="paragraph" w:styleId="Index7">
    <w:name w:val="index 7"/>
    <w:basedOn w:val="Normal"/>
    <w:next w:val="Normal"/>
    <w:autoRedefine/>
    <w:semiHidden/>
    <w:unhideWhenUsed/>
    <w:pPr>
      <w:spacing w:after="240" w:line="240" w:lineRule="auto"/>
      <w:ind w:left="1680" w:hanging="240"/>
      <w:jc w:val="both"/>
    </w:pPr>
    <w:rPr>
      <w:rFonts w:ascii="Times New Roman" w:eastAsia="Times New Roman" w:hAnsi="Times New Roman" w:cs="Times New Roman"/>
      <w:sz w:val="24"/>
      <w:szCs w:val="20"/>
    </w:rPr>
  </w:style>
  <w:style w:type="paragraph" w:styleId="Index8">
    <w:name w:val="index 8"/>
    <w:basedOn w:val="Normal"/>
    <w:next w:val="Normal"/>
    <w:autoRedefine/>
    <w:semiHidden/>
    <w:unhideWhenUsed/>
    <w:pPr>
      <w:spacing w:after="240" w:line="240" w:lineRule="auto"/>
      <w:ind w:left="1920" w:hanging="240"/>
      <w:jc w:val="both"/>
    </w:pPr>
    <w:rPr>
      <w:rFonts w:ascii="Times New Roman" w:eastAsia="Times New Roman" w:hAnsi="Times New Roman" w:cs="Times New Roman"/>
      <w:sz w:val="24"/>
      <w:szCs w:val="20"/>
    </w:rPr>
  </w:style>
  <w:style w:type="paragraph" w:styleId="Index9">
    <w:name w:val="index 9"/>
    <w:basedOn w:val="Normal"/>
    <w:next w:val="Normal"/>
    <w:autoRedefine/>
    <w:semiHidden/>
    <w:unhideWhenUsed/>
    <w:pPr>
      <w:spacing w:after="240" w:line="240" w:lineRule="auto"/>
      <w:ind w:left="2160" w:hanging="240"/>
      <w:jc w:val="both"/>
    </w:pPr>
    <w:rPr>
      <w:rFonts w:ascii="Times New Roman" w:eastAsia="Times New Roman" w:hAnsi="Times New Roman" w:cs="Times New Roman"/>
      <w:sz w:val="24"/>
      <w:szCs w:val="20"/>
    </w:rPr>
  </w:style>
  <w:style w:type="paragraph" w:styleId="TOC4">
    <w:name w:val="toc 4"/>
    <w:basedOn w:val="Normal"/>
    <w:next w:val="Normal"/>
    <w:autoRedefine/>
    <w:uiPriority w:val="39"/>
    <w:unhideWhenUsed/>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rPr>
  </w:style>
  <w:style w:type="paragraph" w:styleId="TOC5">
    <w:name w:val="toc 5"/>
    <w:basedOn w:val="Normal"/>
    <w:next w:val="Normal"/>
    <w:autoRedefine/>
    <w:uiPriority w:val="39"/>
    <w:unhideWhenUse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6">
    <w:name w:val="toc 6"/>
    <w:basedOn w:val="Normal"/>
    <w:next w:val="Normal"/>
    <w:autoRedefine/>
    <w:uiPriority w:val="39"/>
    <w:unhideWhenUsed/>
    <w:pPr>
      <w:spacing w:after="240" w:line="240" w:lineRule="auto"/>
      <w:ind w:left="1200"/>
      <w:jc w:val="both"/>
    </w:pPr>
    <w:rPr>
      <w:rFonts w:ascii="Times New Roman" w:eastAsia="Times New Roman" w:hAnsi="Times New Roman" w:cs="Times New Roman"/>
      <w:sz w:val="24"/>
      <w:szCs w:val="20"/>
    </w:rPr>
  </w:style>
  <w:style w:type="paragraph" w:styleId="TOC7">
    <w:name w:val="toc 7"/>
    <w:basedOn w:val="Normal"/>
    <w:next w:val="Normal"/>
    <w:autoRedefine/>
    <w:uiPriority w:val="39"/>
    <w:unhideWhenUsed/>
    <w:pPr>
      <w:spacing w:after="240" w:line="240" w:lineRule="auto"/>
      <w:ind w:left="1440"/>
      <w:jc w:val="both"/>
    </w:pPr>
    <w:rPr>
      <w:rFonts w:ascii="Times New Roman" w:eastAsia="Times New Roman" w:hAnsi="Times New Roman" w:cs="Times New Roman"/>
      <w:sz w:val="24"/>
      <w:szCs w:val="20"/>
    </w:rPr>
  </w:style>
  <w:style w:type="paragraph" w:styleId="TOC8">
    <w:name w:val="toc 8"/>
    <w:basedOn w:val="Normal"/>
    <w:next w:val="Normal"/>
    <w:autoRedefine/>
    <w:uiPriority w:val="39"/>
    <w:unhideWhenUsed/>
    <w:pPr>
      <w:spacing w:after="240" w:line="240" w:lineRule="auto"/>
      <w:ind w:left="1680"/>
      <w:jc w:val="both"/>
    </w:pPr>
    <w:rPr>
      <w:rFonts w:ascii="Times New Roman" w:eastAsia="Times New Roman" w:hAnsi="Times New Roman" w:cs="Times New Roman"/>
      <w:sz w:val="24"/>
      <w:szCs w:val="20"/>
    </w:rPr>
  </w:style>
  <w:style w:type="paragraph" w:styleId="TOC9">
    <w:name w:val="toc 9"/>
    <w:basedOn w:val="Normal"/>
    <w:next w:val="Normal"/>
    <w:autoRedefine/>
    <w:uiPriority w:val="39"/>
    <w:unhideWhenUsed/>
    <w:pPr>
      <w:spacing w:after="240" w:line="240" w:lineRule="auto"/>
      <w:ind w:left="1920"/>
      <w:jc w:val="both"/>
    </w:pPr>
    <w:rPr>
      <w:rFonts w:ascii="Times New Roman" w:eastAsia="Times New Roman" w:hAnsi="Times New Roman" w:cs="Times New Roman"/>
      <w:sz w:val="24"/>
      <w:szCs w:val="20"/>
    </w:rPr>
  </w:style>
  <w:style w:type="character" w:customStyle="1" w:styleId="NormalIndentChar">
    <w:name w:val="Normal Indent Char"/>
    <w:link w:val="NormalIndent"/>
    <w:locked/>
  </w:style>
  <w:style w:type="paragraph" w:styleId="IndexHeading">
    <w:name w:val="index heading"/>
    <w:basedOn w:val="Normal"/>
    <w:next w:val="Index1"/>
    <w:semiHidden/>
    <w:unhideWhenUsed/>
    <w:pPr>
      <w:spacing w:after="240" w:line="240" w:lineRule="auto"/>
      <w:jc w:val="both"/>
    </w:pPr>
    <w:rPr>
      <w:rFonts w:ascii="Arial" w:eastAsia="Times New Roman" w:hAnsi="Arial" w:cs="Times New Roman"/>
      <w:b/>
      <w:sz w:val="24"/>
      <w:szCs w:val="20"/>
    </w:rPr>
  </w:style>
  <w:style w:type="paragraph" w:styleId="TableofFigures">
    <w:name w:val="table of figures"/>
    <w:basedOn w:val="Normal"/>
    <w:next w:val="Normal"/>
    <w:uiPriority w:val="99"/>
    <w:unhideWhenUsed/>
    <w:pPr>
      <w:spacing w:before="120" w:after="120" w:line="240" w:lineRule="auto"/>
      <w:ind w:left="482" w:hanging="482"/>
      <w:jc w:val="both"/>
    </w:pPr>
    <w:rPr>
      <w:rFonts w:ascii="Verdana" w:eastAsia="Times New Roman" w:hAnsi="Verdana" w:cs="Times New Roman"/>
      <w:sz w:val="18"/>
      <w:szCs w:val="20"/>
    </w:rPr>
  </w:style>
  <w:style w:type="paragraph" w:styleId="EnvelopeAddress">
    <w:name w:val="envelope address"/>
    <w:basedOn w:val="Normal"/>
    <w:unhideWhenUsed/>
    <w:pPr>
      <w:framePr w:w="7920" w:h="1980" w:hSpace="180" w:wrap="auto" w:hAnchor="page" w:xAlign="center" w:yAlign="bottom"/>
      <w:spacing w:after="0" w:line="240" w:lineRule="auto"/>
      <w:jc w:val="both"/>
    </w:pPr>
    <w:rPr>
      <w:rFonts w:ascii="Times New Roman" w:eastAsia="Times New Roman" w:hAnsi="Times New Roman" w:cs="Times New Roman"/>
      <w:sz w:val="24"/>
      <w:szCs w:val="20"/>
    </w:rPr>
  </w:style>
  <w:style w:type="paragraph" w:styleId="EnvelopeReturn">
    <w:name w:val="envelope return"/>
    <w:basedOn w:val="Normal"/>
    <w:unhideWhenUsed/>
    <w:pPr>
      <w:spacing w:after="0" w:line="240" w:lineRule="auto"/>
      <w:jc w:val="both"/>
    </w:pPr>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pPr>
      <w:spacing w:after="24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paragraph" w:styleId="TableofAuthorities">
    <w:name w:val="table of authorities"/>
    <w:basedOn w:val="Normal"/>
    <w:next w:val="Normal"/>
    <w:semiHidden/>
    <w:unhideWhenUsed/>
    <w:pPr>
      <w:spacing w:after="240" w:line="240" w:lineRule="auto"/>
      <w:ind w:left="240" w:hanging="240"/>
      <w:jc w:val="both"/>
    </w:pPr>
    <w:rPr>
      <w:rFonts w:ascii="Times New Roman" w:eastAsia="Times New Roman" w:hAnsi="Times New Roman" w:cs="Times New Roman"/>
      <w:sz w:val="24"/>
      <w:szCs w:val="20"/>
    </w:r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Pr>
      <w:rFonts w:ascii="Courier New" w:eastAsia="Times New Roman" w:hAnsi="Courier New" w:cs="Times New Roman"/>
      <w:sz w:val="20"/>
      <w:szCs w:val="20"/>
    </w:rPr>
  </w:style>
  <w:style w:type="paragraph" w:styleId="TOAHeading">
    <w:name w:val="toa heading"/>
    <w:basedOn w:val="Normal"/>
    <w:next w:val="Normal"/>
    <w:semiHidden/>
    <w:unhideWhenUsed/>
    <w:pPr>
      <w:spacing w:before="120" w:after="240" w:line="240" w:lineRule="auto"/>
      <w:jc w:val="both"/>
    </w:pPr>
    <w:rPr>
      <w:rFonts w:ascii="Arial" w:eastAsia="Times New Roman" w:hAnsi="Arial" w:cs="Times New Roman"/>
      <w:b/>
      <w:sz w:val="24"/>
      <w:szCs w:val="20"/>
    </w:rPr>
  </w:style>
  <w:style w:type="paragraph" w:styleId="List">
    <w:name w:val="List"/>
    <w:basedOn w:val="Normal"/>
    <w:unhideWhenUsed/>
    <w:pPr>
      <w:spacing w:after="240" w:line="240" w:lineRule="auto"/>
      <w:ind w:left="283" w:hanging="283"/>
      <w:jc w:val="both"/>
    </w:pPr>
    <w:rPr>
      <w:rFonts w:ascii="Times New Roman" w:eastAsia="Times New Roman" w:hAnsi="Times New Roman" w:cs="Times New Roman"/>
      <w:sz w:val="24"/>
      <w:szCs w:val="20"/>
    </w:rPr>
  </w:style>
  <w:style w:type="paragraph" w:styleId="ListNumber">
    <w:name w:val="List Number"/>
    <w:aliases w:val="List Number Justified"/>
    <w:basedOn w:val="Normal"/>
    <w:uiPriority w:val="99"/>
    <w:unhideWhenUsed/>
    <w:pPr>
      <w:numPr>
        <w:numId w:val="23"/>
      </w:numPr>
      <w:spacing w:after="240" w:line="240" w:lineRule="auto"/>
      <w:jc w:val="both"/>
    </w:pPr>
    <w:rPr>
      <w:rFonts w:ascii="Times New Roman" w:eastAsia="Times New Roman" w:hAnsi="Times New Roman" w:cs="Times New Roman"/>
      <w:sz w:val="24"/>
      <w:szCs w:val="20"/>
    </w:rPr>
  </w:style>
  <w:style w:type="paragraph" w:styleId="List2">
    <w:name w:val="List 2"/>
    <w:basedOn w:val="Normal"/>
    <w:unhideWhenUsed/>
    <w:pPr>
      <w:spacing w:after="240" w:line="240" w:lineRule="auto"/>
      <w:ind w:left="566" w:hanging="283"/>
      <w:jc w:val="both"/>
    </w:pPr>
    <w:rPr>
      <w:rFonts w:ascii="Times New Roman" w:eastAsia="Times New Roman" w:hAnsi="Times New Roman" w:cs="Times New Roman"/>
      <w:sz w:val="24"/>
      <w:szCs w:val="20"/>
    </w:rPr>
  </w:style>
  <w:style w:type="paragraph" w:styleId="List3">
    <w:name w:val="List 3"/>
    <w:basedOn w:val="Normal"/>
    <w:unhideWhenUsed/>
    <w:pPr>
      <w:spacing w:after="240" w:line="240" w:lineRule="auto"/>
      <w:ind w:left="849" w:hanging="283"/>
      <w:jc w:val="both"/>
    </w:pPr>
    <w:rPr>
      <w:rFonts w:ascii="Times New Roman" w:eastAsia="Times New Roman" w:hAnsi="Times New Roman" w:cs="Times New Roman"/>
      <w:sz w:val="24"/>
      <w:szCs w:val="20"/>
    </w:rPr>
  </w:style>
  <w:style w:type="paragraph" w:styleId="List4">
    <w:name w:val="List 4"/>
    <w:basedOn w:val="Normal"/>
    <w:unhideWhenUsed/>
    <w:pPr>
      <w:spacing w:after="240" w:line="240" w:lineRule="auto"/>
      <w:ind w:left="1132" w:hanging="283"/>
      <w:jc w:val="both"/>
    </w:pPr>
    <w:rPr>
      <w:rFonts w:ascii="Times New Roman" w:eastAsia="Times New Roman" w:hAnsi="Times New Roman" w:cs="Times New Roman"/>
      <w:sz w:val="24"/>
      <w:szCs w:val="20"/>
    </w:rPr>
  </w:style>
  <w:style w:type="paragraph" w:styleId="List5">
    <w:name w:val="List 5"/>
    <w:basedOn w:val="Normal"/>
    <w:unhideWhenUsed/>
    <w:pPr>
      <w:spacing w:after="240" w:line="240" w:lineRule="auto"/>
      <w:ind w:left="1415" w:hanging="283"/>
      <w:jc w:val="both"/>
    </w:pPr>
    <w:rPr>
      <w:rFonts w:ascii="Times New Roman" w:eastAsia="Times New Roman" w:hAnsi="Times New Roman" w:cs="Times New Roman"/>
      <w:sz w:val="24"/>
      <w:szCs w:val="20"/>
    </w:rPr>
  </w:style>
  <w:style w:type="paragraph" w:styleId="ListBullet3">
    <w:name w:val="List Bullet 3"/>
    <w:basedOn w:val="Text3"/>
    <w:unhideWhenUsed/>
    <w:pPr>
      <w:numPr>
        <w:numId w:val="24"/>
      </w:numPr>
      <w:tabs>
        <w:tab w:val="clear" w:pos="2302"/>
      </w:tabs>
    </w:pPr>
  </w:style>
  <w:style w:type="paragraph" w:styleId="ListBullet4">
    <w:name w:val="List Bullet 4"/>
    <w:basedOn w:val="Text4"/>
    <w:unhideWhenUsed/>
    <w:pPr>
      <w:numPr>
        <w:numId w:val="25"/>
      </w:numPr>
      <w:tabs>
        <w:tab w:val="clear" w:pos="2302"/>
      </w:tabs>
    </w:pPr>
  </w:style>
  <w:style w:type="paragraph" w:styleId="ListNumber3">
    <w:name w:val="List Number 3"/>
    <w:basedOn w:val="Text3"/>
    <w:unhideWhenUsed/>
    <w:pPr>
      <w:numPr>
        <w:numId w:val="26"/>
      </w:numPr>
      <w:tabs>
        <w:tab w:val="clear" w:pos="2302"/>
      </w:tabs>
    </w:pPr>
  </w:style>
  <w:style w:type="paragraph" w:styleId="ListNumber4">
    <w:name w:val="List Number 4"/>
    <w:basedOn w:val="Text4"/>
    <w:unhideWhenUsed/>
    <w:pPr>
      <w:numPr>
        <w:numId w:val="27"/>
      </w:numPr>
      <w:tabs>
        <w:tab w:val="clear" w:pos="2302"/>
      </w:tabs>
    </w:pPr>
  </w:style>
  <w:style w:type="paragraph" w:styleId="ListNumber5">
    <w:name w:val="List Number 5"/>
    <w:basedOn w:val="Normal"/>
    <w:unhideWhenUsed/>
    <w:pPr>
      <w:numPr>
        <w:numId w:val="28"/>
      </w:numPr>
      <w:spacing w:after="240" w:line="240" w:lineRule="auto"/>
      <w:jc w:val="both"/>
    </w:pPr>
    <w:rPr>
      <w:rFonts w:ascii="Times New Roman" w:eastAsia="Times New Roman" w:hAnsi="Times New Roman" w:cs="Times New Roman"/>
      <w:sz w:val="24"/>
      <w:szCs w:val="20"/>
    </w:rPr>
  </w:style>
  <w:style w:type="paragraph" w:customStyle="1" w:styleId="SubTitle1">
    <w:name w:val="SubTitle 1"/>
    <w:basedOn w:val="Normal"/>
    <w:next w:val="SubTitle2"/>
    <w:pPr>
      <w:spacing w:after="240" w:line="240" w:lineRule="auto"/>
      <w:jc w:val="center"/>
    </w:pPr>
    <w:rPr>
      <w:rFonts w:ascii="Times New Roman" w:eastAsia="Times New Roman" w:hAnsi="Times New Roman" w:cs="Times New Roman"/>
      <w:b/>
      <w:sz w:val="40"/>
      <w:szCs w:val="20"/>
    </w:rPr>
  </w:style>
  <w:style w:type="paragraph" w:styleId="Title">
    <w:name w:val="Title"/>
    <w:basedOn w:val="Normal"/>
    <w:next w:val="SubTitle1"/>
    <w:link w:val="TitleChar"/>
    <w:uiPriority w:val="10"/>
    <w:qFormat/>
    <w:pPr>
      <w:spacing w:after="480" w:line="240" w:lineRule="auto"/>
      <w:jc w:val="center"/>
    </w:pPr>
    <w:rPr>
      <w:rFonts w:ascii="Times New Roman" w:eastAsia="Times New Roman" w:hAnsi="Times New Roman" w:cs="Times New Roman"/>
      <w:b/>
      <w:kern w:val="28"/>
      <w:sz w:val="48"/>
      <w:szCs w:val="20"/>
    </w:rPr>
  </w:style>
  <w:style w:type="character" w:customStyle="1" w:styleId="TitleChar">
    <w:name w:val="Title Char"/>
    <w:basedOn w:val="DefaultParagraphFont"/>
    <w:link w:val="Title"/>
    <w:uiPriority w:val="10"/>
    <w:rPr>
      <w:rFonts w:ascii="Times New Roman" w:eastAsia="Times New Roman" w:hAnsi="Times New Roman" w:cs="Times New Roman"/>
      <w:b/>
      <w:kern w:val="28"/>
      <w:sz w:val="48"/>
      <w:szCs w:val="20"/>
    </w:rPr>
  </w:style>
  <w:style w:type="paragraph" w:styleId="Closing">
    <w:name w:val="Closing"/>
    <w:basedOn w:val="Normal"/>
    <w:link w:val="ClosingChar"/>
    <w:unhideWhenUsed/>
    <w:pPr>
      <w:spacing w:after="240" w:line="240" w:lineRule="auto"/>
      <w:ind w:left="4252"/>
      <w:jc w:val="both"/>
    </w:pPr>
    <w:rPr>
      <w:rFonts w:ascii="Times New Roman" w:eastAsia="Times New Roman" w:hAnsi="Times New Roman" w:cs="Times New Roman"/>
      <w:sz w:val="24"/>
      <w:szCs w:val="20"/>
    </w:rPr>
  </w:style>
  <w:style w:type="character" w:customStyle="1" w:styleId="ClosingChar">
    <w:name w:val="Closing Char"/>
    <w:basedOn w:val="DefaultParagraphFont"/>
    <w:link w:val="Closing"/>
    <w:rPr>
      <w:rFonts w:ascii="Times New Roman" w:eastAsia="Times New Roman" w:hAnsi="Times New Roman" w:cs="Times New Roman"/>
      <w:sz w:val="24"/>
      <w:szCs w:val="20"/>
    </w:rPr>
  </w:style>
  <w:style w:type="paragraph" w:customStyle="1" w:styleId="Enclosures">
    <w:name w:val="Enclosures"/>
    <w:basedOn w:val="Normal"/>
    <w:pPr>
      <w:keepNext/>
      <w:keepLines/>
      <w:tabs>
        <w:tab w:val="left" w:pos="5642"/>
      </w:tabs>
      <w:spacing w:before="480" w:after="0" w:line="240" w:lineRule="auto"/>
      <w:ind w:left="1191" w:hanging="1191"/>
    </w:pPr>
    <w:rPr>
      <w:rFonts w:ascii="Times New Roman" w:eastAsia="Times New Roman" w:hAnsi="Times New Roman" w:cs="Times New Roman"/>
      <w:sz w:val="24"/>
      <w:szCs w:val="20"/>
    </w:rPr>
  </w:style>
  <w:style w:type="paragraph" w:styleId="Signature">
    <w:name w:val="Signature"/>
    <w:basedOn w:val="Normal"/>
    <w:next w:val="Enclosures"/>
    <w:link w:val="SignatureChar"/>
    <w:unhideWhenUsed/>
    <w:pPr>
      <w:tabs>
        <w:tab w:val="left" w:pos="5103"/>
      </w:tabs>
      <w:spacing w:before="1200" w:after="0" w:line="240" w:lineRule="auto"/>
      <w:ind w:left="5103"/>
      <w:jc w:val="center"/>
    </w:pPr>
    <w:rPr>
      <w:rFonts w:ascii="Times New Roman" w:eastAsia="Times New Roman" w:hAnsi="Times New Roman" w:cs="Times New Roman"/>
      <w:sz w:val="24"/>
      <w:szCs w:val="20"/>
    </w:rPr>
  </w:style>
  <w:style w:type="character" w:customStyle="1" w:styleId="SignatureChar">
    <w:name w:val="Signature Char"/>
    <w:basedOn w:val="DefaultParagraphFont"/>
    <w:link w:val="Signature"/>
    <w:rPr>
      <w:rFonts w:ascii="Times New Roman" w:eastAsia="Times New Roman" w:hAnsi="Times New Roman" w:cs="Times New Roman"/>
      <w:sz w:val="24"/>
      <w:szCs w:val="20"/>
    </w:rPr>
  </w:style>
  <w:style w:type="paragraph" w:styleId="BodyText">
    <w:name w:val="Body Text"/>
    <w:basedOn w:val="Normal"/>
    <w:link w:val="BodyTextChar"/>
    <w:unhideWhenUsed/>
    <w:pPr>
      <w:spacing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Pr>
      <w:rFonts w:ascii="Times New Roman" w:eastAsia="Times New Roman" w:hAnsi="Times New Roman" w:cs="Times New Roman"/>
      <w:sz w:val="24"/>
      <w:szCs w:val="20"/>
    </w:rPr>
  </w:style>
  <w:style w:type="paragraph" w:styleId="BodyTextIndent">
    <w:name w:val="Body Text Indent"/>
    <w:basedOn w:val="Normal"/>
    <w:link w:val="BodyTextIndentChar"/>
    <w:unhideWhenUsed/>
    <w:pPr>
      <w:spacing w:after="120" w:line="240" w:lineRule="auto"/>
      <w:ind w:left="283"/>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rPr>
  </w:style>
  <w:style w:type="paragraph" w:styleId="ListContinue">
    <w:name w:val="List Continue"/>
    <w:basedOn w:val="Normal"/>
    <w:unhideWhenUsed/>
    <w:pPr>
      <w:spacing w:after="120" w:line="240" w:lineRule="auto"/>
      <w:ind w:left="283"/>
      <w:jc w:val="both"/>
    </w:pPr>
    <w:rPr>
      <w:rFonts w:ascii="Times New Roman" w:eastAsia="Times New Roman" w:hAnsi="Times New Roman" w:cs="Times New Roman"/>
      <w:sz w:val="24"/>
      <w:szCs w:val="20"/>
    </w:rPr>
  </w:style>
  <w:style w:type="paragraph" w:styleId="ListContinue2">
    <w:name w:val="List Continue 2"/>
    <w:basedOn w:val="Normal"/>
    <w:unhideWhenUsed/>
    <w:pPr>
      <w:spacing w:after="120" w:line="240" w:lineRule="auto"/>
      <w:ind w:left="566"/>
      <w:jc w:val="both"/>
    </w:pPr>
    <w:rPr>
      <w:rFonts w:ascii="Times New Roman" w:eastAsia="Times New Roman" w:hAnsi="Times New Roman" w:cs="Times New Roman"/>
      <w:sz w:val="24"/>
      <w:szCs w:val="20"/>
    </w:rPr>
  </w:style>
  <w:style w:type="paragraph" w:styleId="ListContinue3">
    <w:name w:val="List Continue 3"/>
    <w:basedOn w:val="Normal"/>
    <w:unhideWhenUsed/>
    <w:pPr>
      <w:spacing w:after="120" w:line="240" w:lineRule="auto"/>
      <w:ind w:left="849"/>
      <w:jc w:val="both"/>
    </w:pPr>
    <w:rPr>
      <w:rFonts w:ascii="Times New Roman" w:eastAsia="Times New Roman" w:hAnsi="Times New Roman" w:cs="Times New Roman"/>
      <w:sz w:val="24"/>
      <w:szCs w:val="20"/>
    </w:rPr>
  </w:style>
  <w:style w:type="paragraph" w:styleId="ListContinue4">
    <w:name w:val="List Continue 4"/>
    <w:basedOn w:val="Normal"/>
    <w:unhideWhenUsed/>
    <w:pPr>
      <w:spacing w:after="120" w:line="240" w:lineRule="auto"/>
      <w:ind w:left="1132"/>
      <w:jc w:val="both"/>
    </w:pPr>
    <w:rPr>
      <w:rFonts w:ascii="Times New Roman" w:eastAsia="Times New Roman" w:hAnsi="Times New Roman" w:cs="Times New Roman"/>
      <w:sz w:val="24"/>
      <w:szCs w:val="20"/>
    </w:rPr>
  </w:style>
  <w:style w:type="paragraph" w:styleId="ListContinue5">
    <w:name w:val="List Continue 5"/>
    <w:basedOn w:val="Normal"/>
    <w:unhideWhenUsed/>
    <w:pPr>
      <w:spacing w:after="120" w:line="240" w:lineRule="auto"/>
      <w:ind w:left="1415"/>
      <w:jc w:val="both"/>
    </w:pPr>
    <w:rPr>
      <w:rFonts w:ascii="Times New Roman" w:eastAsia="Times New Roman" w:hAnsi="Times New Roman" w:cs="Times New Roman"/>
      <w:sz w:val="24"/>
      <w:szCs w:val="20"/>
    </w:rPr>
  </w:style>
  <w:style w:type="paragraph" w:styleId="MessageHeader">
    <w:name w:val="Message Header"/>
    <w:basedOn w:val="Normal"/>
    <w:link w:val="MessageHeaderChar"/>
    <w:unhideWhenUsed/>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szCs w:val="20"/>
    </w:rPr>
  </w:style>
  <w:style w:type="character" w:customStyle="1" w:styleId="MessageHeaderChar">
    <w:name w:val="Message Header Char"/>
    <w:basedOn w:val="DefaultParagraphFont"/>
    <w:link w:val="MessageHeader"/>
    <w:rPr>
      <w:rFonts w:ascii="Arial" w:eastAsia="Times New Roman" w:hAnsi="Arial" w:cs="Times New Roman"/>
      <w:sz w:val="24"/>
      <w:szCs w:val="20"/>
      <w:shd w:val="pct20" w:color="auto" w:fill="auto"/>
    </w:rPr>
  </w:style>
  <w:style w:type="paragraph" w:styleId="Subtitle">
    <w:name w:val="Subtitle"/>
    <w:basedOn w:val="Normal"/>
    <w:link w:val="SubtitleChar"/>
    <w:uiPriority w:val="11"/>
    <w:qFormat/>
    <w:pPr>
      <w:spacing w:after="60" w:line="240" w:lineRule="auto"/>
      <w:jc w:val="center"/>
      <w:outlineLvl w:val="1"/>
    </w:pPr>
    <w:rPr>
      <w:rFonts w:ascii="Arial" w:eastAsia="Times New Roman" w:hAnsi="Arial" w:cs="Times New Roman"/>
      <w:sz w:val="24"/>
      <w:szCs w:val="20"/>
    </w:rPr>
  </w:style>
  <w:style w:type="character" w:customStyle="1" w:styleId="SubtitleChar">
    <w:name w:val="Subtitle Char"/>
    <w:basedOn w:val="DefaultParagraphFont"/>
    <w:link w:val="Subtitle"/>
    <w:uiPriority w:val="11"/>
    <w:rPr>
      <w:rFonts w:ascii="Arial" w:eastAsia="Times New Roman" w:hAnsi="Arial" w:cs="Times New Roman"/>
      <w:sz w:val="24"/>
      <w:szCs w:val="20"/>
    </w:rPr>
  </w:style>
  <w:style w:type="paragraph" w:styleId="Salutation">
    <w:name w:val="Salutation"/>
    <w:basedOn w:val="Normal"/>
    <w:next w:val="Normal"/>
    <w:link w:val="SalutationChar"/>
    <w:unhideWhenUsed/>
    <w:pPr>
      <w:spacing w:after="240" w:line="240" w:lineRule="auto"/>
      <w:jc w:val="both"/>
    </w:pPr>
    <w:rPr>
      <w:rFonts w:ascii="Times New Roman" w:eastAsia="Times New Roman" w:hAnsi="Times New Roman" w:cs="Times New Roman"/>
      <w:sz w:val="24"/>
      <w:szCs w:val="20"/>
    </w:rPr>
  </w:style>
  <w:style w:type="character" w:customStyle="1" w:styleId="SalutationChar">
    <w:name w:val="Salutation Char"/>
    <w:basedOn w:val="DefaultParagraphFont"/>
    <w:link w:val="Salutation"/>
    <w:rPr>
      <w:rFonts w:ascii="Times New Roman" w:eastAsia="Times New Roman" w:hAnsi="Times New Roman" w:cs="Times New Roman"/>
      <w:sz w:val="24"/>
      <w:szCs w:val="20"/>
    </w:rPr>
  </w:style>
  <w:style w:type="paragraph" w:customStyle="1" w:styleId="References">
    <w:name w:val="References"/>
    <w:basedOn w:val="Normal"/>
    <w:next w:val="AddressTR"/>
    <w:pPr>
      <w:spacing w:after="240" w:line="240" w:lineRule="auto"/>
      <w:ind w:left="5103"/>
    </w:pPr>
    <w:rPr>
      <w:rFonts w:ascii="Times New Roman" w:eastAsia="Times New Roman" w:hAnsi="Times New Roman" w:cs="Times New Roman"/>
      <w:sz w:val="20"/>
      <w:szCs w:val="20"/>
    </w:rPr>
  </w:style>
  <w:style w:type="paragraph" w:styleId="BodyTextFirstIndent">
    <w:name w:val="Body Text First Indent"/>
    <w:basedOn w:val="BodyText"/>
    <w:link w:val="BodyTextFirstIndentChar"/>
    <w:unhideWhenUsed/>
    <w:pPr>
      <w:ind w:firstLine="210"/>
    </w:p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unhideWhenUsed/>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sz w:val="24"/>
      <w:szCs w:val="20"/>
    </w:rPr>
  </w:style>
  <w:style w:type="paragraph" w:styleId="NoteHeading">
    <w:name w:val="Note Heading"/>
    <w:basedOn w:val="Normal"/>
    <w:next w:val="Normal"/>
    <w:link w:val="NoteHeadingChar"/>
    <w:unhideWhenUsed/>
    <w:pPr>
      <w:spacing w:after="240" w:line="240" w:lineRule="auto"/>
      <w:jc w:val="both"/>
    </w:pPr>
    <w:rPr>
      <w:rFonts w:ascii="Times New Roman" w:eastAsia="Times New Roman" w:hAnsi="Times New Roman" w:cs="Times New Roman"/>
      <w:sz w:val="24"/>
      <w:szCs w:val="20"/>
    </w:rPr>
  </w:style>
  <w:style w:type="character" w:customStyle="1" w:styleId="NoteHeadingChar">
    <w:name w:val="Note Heading Char"/>
    <w:basedOn w:val="DefaultParagraphFont"/>
    <w:link w:val="NoteHeading"/>
    <w:rPr>
      <w:rFonts w:ascii="Times New Roman" w:eastAsia="Times New Roman" w:hAnsi="Times New Roman" w:cs="Times New Roman"/>
      <w:sz w:val="24"/>
      <w:szCs w:val="20"/>
    </w:rPr>
  </w:style>
  <w:style w:type="paragraph" w:styleId="BodyText2">
    <w:name w:val="Body Text 2"/>
    <w:basedOn w:val="Normal"/>
    <w:link w:val="BodyText2Char"/>
    <w:unhideWhenUsed/>
    <w:pPr>
      <w:spacing w:after="120" w:line="48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Pr>
      <w:rFonts w:ascii="Times New Roman" w:eastAsia="Times New Roman" w:hAnsi="Times New Roman" w:cs="Times New Roman"/>
      <w:sz w:val="24"/>
      <w:szCs w:val="20"/>
    </w:rPr>
  </w:style>
  <w:style w:type="paragraph" w:styleId="BodyText3">
    <w:name w:val="Body Text 3"/>
    <w:basedOn w:val="Normal"/>
    <w:link w:val="BodyText3Char"/>
    <w:unhideWhenUsed/>
    <w:pPr>
      <w:spacing w:after="120" w:line="240" w:lineRule="auto"/>
      <w:jc w:val="both"/>
    </w:pPr>
    <w:rPr>
      <w:rFonts w:ascii="Times New Roman" w:eastAsia="Times New Roman" w:hAnsi="Times New Roman" w:cs="Times New Roman"/>
      <w:sz w:val="16"/>
      <w:szCs w:val="20"/>
    </w:rPr>
  </w:style>
  <w:style w:type="character" w:customStyle="1" w:styleId="BodyText3Char">
    <w:name w:val="Body Text 3 Char"/>
    <w:basedOn w:val="DefaultParagraphFont"/>
    <w:link w:val="BodyText3"/>
    <w:rPr>
      <w:rFonts w:ascii="Times New Roman" w:eastAsia="Times New Roman" w:hAnsi="Times New Roman" w:cs="Times New Roman"/>
      <w:sz w:val="16"/>
      <w:szCs w:val="20"/>
    </w:rPr>
  </w:style>
  <w:style w:type="paragraph" w:styleId="BodyTextIndent2">
    <w:name w:val="Body Text Indent 2"/>
    <w:basedOn w:val="Normal"/>
    <w:link w:val="BodyTextIndent2Char"/>
    <w:unhideWhenUsed/>
    <w:pPr>
      <w:spacing w:after="120" w:line="480" w:lineRule="auto"/>
      <w:ind w:left="283"/>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0"/>
    </w:rPr>
  </w:style>
  <w:style w:type="paragraph" w:styleId="BodyTextIndent3">
    <w:name w:val="Body Text Indent 3"/>
    <w:basedOn w:val="Normal"/>
    <w:link w:val="BodyTextIndent3Char"/>
    <w:unhideWhenUsed/>
    <w:pPr>
      <w:spacing w:after="120" w:line="240" w:lineRule="auto"/>
      <w:ind w:left="283"/>
      <w:jc w:val="both"/>
    </w:pPr>
    <w:rPr>
      <w:rFonts w:ascii="Times New Roman" w:eastAsia="Times New Roman" w:hAnsi="Times New Roman" w:cs="Times New Roman"/>
      <w:sz w:val="16"/>
      <w:szCs w:val="20"/>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20"/>
    </w:rPr>
  </w:style>
  <w:style w:type="paragraph" w:styleId="BlockText">
    <w:name w:val="Block Text"/>
    <w:basedOn w:val="Normal"/>
    <w:unhideWhenUsed/>
    <w:pPr>
      <w:spacing w:after="120" w:line="240" w:lineRule="auto"/>
      <w:ind w:left="1440" w:right="1440"/>
      <w:jc w:val="both"/>
    </w:pPr>
    <w:rPr>
      <w:rFonts w:ascii="Times New Roman" w:eastAsia="Times New Roman" w:hAnsi="Times New Roman" w:cs="Times New Roman"/>
      <w:sz w:val="24"/>
      <w:szCs w:val="20"/>
    </w:rPr>
  </w:style>
  <w:style w:type="paragraph" w:styleId="DocumentMap">
    <w:name w:val="Document Map"/>
    <w:basedOn w:val="Normal"/>
    <w:link w:val="DocumentMapChar"/>
    <w:semiHidden/>
    <w:unhideWhenUsed/>
    <w:pPr>
      <w:shd w:val="clear" w:color="auto" w:fill="000080"/>
      <w:spacing w:after="240" w:line="240" w:lineRule="auto"/>
      <w:jc w:val="both"/>
    </w:pPr>
    <w:rPr>
      <w:rFonts w:ascii="Tahoma" w:eastAsia="Times New Roman" w:hAnsi="Tahoma" w:cs="Times New Roman"/>
      <w:sz w:val="24"/>
      <w:szCs w:val="20"/>
    </w:rPr>
  </w:style>
  <w:style w:type="character" w:customStyle="1" w:styleId="DocumentMapChar">
    <w:name w:val="Document Map Char"/>
    <w:basedOn w:val="DefaultParagraphFont"/>
    <w:link w:val="DocumentMap"/>
    <w:semiHidden/>
    <w:rPr>
      <w:rFonts w:ascii="Tahoma" w:eastAsia="Times New Roman" w:hAnsi="Tahoma" w:cs="Times New Roman"/>
      <w:sz w:val="24"/>
      <w:szCs w:val="20"/>
      <w:shd w:val="clear" w:color="auto" w:fill="000080"/>
    </w:rPr>
  </w:style>
  <w:style w:type="paragraph" w:styleId="PlainText">
    <w:name w:val="Plain Text"/>
    <w:basedOn w:val="Normal"/>
    <w:link w:val="PlainTextChar"/>
    <w:uiPriority w:val="99"/>
    <w:unhideWhenUsed/>
    <w:pPr>
      <w:spacing w:after="24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Pr>
      <w:rFonts w:ascii="Courier New" w:eastAsia="Times New Roman" w:hAnsi="Courier New" w:cs="Times New Roman"/>
      <w:sz w:val="20"/>
      <w:szCs w:val="20"/>
    </w:rPr>
  </w:style>
  <w:style w:type="character" w:customStyle="1" w:styleId="NoSpacingChar">
    <w:name w:val="No Spacing Char"/>
    <w:link w:val="NoSpacing"/>
    <w:uiPriority w:val="1"/>
    <w:locked/>
  </w:style>
  <w:style w:type="character" w:customStyle="1" w:styleId="Text2Char1">
    <w:name w:val="Text 2 Char1"/>
    <w:link w:val="Text2"/>
    <w:locked/>
    <w:rPr>
      <w:rFonts w:ascii="Times New Roman" w:eastAsia="Times New Roman" w:hAnsi="Times New Roman" w:cs="Times New Roman"/>
      <w:sz w:val="24"/>
      <w:szCs w:val="20"/>
    </w:rPr>
  </w:style>
  <w:style w:type="paragraph" w:customStyle="1" w:styleId="Address">
    <w:name w:val="Address"/>
    <w:basedOn w:val="Normal"/>
    <w:pPr>
      <w:spacing w:after="0" w:line="240" w:lineRule="auto"/>
    </w:pPr>
    <w:rPr>
      <w:rFonts w:ascii="Times New Roman" w:eastAsia="Times New Roman" w:hAnsi="Times New Roman" w:cs="Times New Roman"/>
      <w:sz w:val="24"/>
      <w:szCs w:val="20"/>
    </w:rPr>
  </w:style>
  <w:style w:type="paragraph" w:customStyle="1" w:styleId="AddressTL">
    <w:name w:val="AddressTL"/>
    <w:basedOn w:val="Normal"/>
    <w:next w:val="Normal"/>
    <w:pPr>
      <w:spacing w:after="720" w:line="240" w:lineRule="auto"/>
    </w:pPr>
    <w:rPr>
      <w:rFonts w:ascii="Times New Roman" w:eastAsia="Times New Roman" w:hAnsi="Times New Roman" w:cs="Times New Roman"/>
      <w:sz w:val="24"/>
      <w:szCs w:val="20"/>
    </w:rPr>
  </w:style>
  <w:style w:type="paragraph" w:customStyle="1" w:styleId="AddressTR">
    <w:name w:val="AddressTR"/>
    <w:basedOn w:val="Normal"/>
    <w:next w:val="Normal"/>
    <w:pPr>
      <w:spacing w:after="720" w:line="240" w:lineRule="auto"/>
      <w:ind w:left="5103"/>
    </w:pPr>
    <w:rPr>
      <w:rFonts w:ascii="Times New Roman" w:eastAsia="Times New Roman" w:hAnsi="Times New Roman" w:cs="Times New Roman"/>
      <w:sz w:val="24"/>
      <w:szCs w:val="20"/>
    </w:rPr>
  </w:style>
  <w:style w:type="paragraph" w:customStyle="1" w:styleId="SectionTitle">
    <w:name w:val="SectionTitle"/>
    <w:basedOn w:val="Normal"/>
    <w:next w:val="Heading1"/>
    <w:pPr>
      <w:keepNext/>
      <w:spacing w:after="480" w:line="240" w:lineRule="auto"/>
      <w:jc w:val="center"/>
    </w:pPr>
    <w:rPr>
      <w:rFonts w:ascii="Times New Roman" w:eastAsia="Times New Roman" w:hAnsi="Times New Roman" w:cs="Times New Roman"/>
      <w:b/>
      <w:smallCaps/>
      <w:sz w:val="28"/>
      <w:szCs w:val="20"/>
    </w:rPr>
  </w:style>
  <w:style w:type="paragraph" w:customStyle="1" w:styleId="ChapterTitle">
    <w:name w:val="ChapterTitle"/>
    <w:basedOn w:val="Normal"/>
    <w:next w:val="SectionTitle"/>
    <w:pPr>
      <w:keepNext/>
      <w:spacing w:after="480" w:line="240" w:lineRule="auto"/>
      <w:jc w:val="center"/>
    </w:pPr>
    <w:rPr>
      <w:rFonts w:ascii="Times New Roman" w:eastAsia="Times New Roman" w:hAnsi="Times New Roman" w:cs="Times New Roman"/>
      <w:b/>
      <w:sz w:val="32"/>
      <w:szCs w:val="20"/>
    </w:rPr>
  </w:style>
  <w:style w:type="paragraph" w:customStyle="1" w:styleId="DoubSign">
    <w:name w:val="DoubSign"/>
    <w:basedOn w:val="Normal"/>
    <w:next w:val="Enclosures"/>
    <w:pPr>
      <w:tabs>
        <w:tab w:val="left" w:pos="5103"/>
      </w:tabs>
      <w:spacing w:before="1200" w:after="0" w:line="240" w:lineRule="auto"/>
    </w:pPr>
    <w:rPr>
      <w:rFonts w:ascii="Times New Roman" w:eastAsia="Times New Roman" w:hAnsi="Times New Roman" w:cs="Times New Roman"/>
      <w:sz w:val="24"/>
      <w:szCs w:val="20"/>
    </w:rPr>
  </w:style>
  <w:style w:type="paragraph" w:customStyle="1" w:styleId="Subject">
    <w:name w:val="Subject"/>
    <w:basedOn w:val="Normal"/>
    <w:next w:val="Normal"/>
    <w:pPr>
      <w:spacing w:after="480" w:line="240" w:lineRule="auto"/>
      <w:ind w:left="1531" w:hanging="1531"/>
    </w:pPr>
    <w:rPr>
      <w:rFonts w:ascii="Times New Roman" w:eastAsia="Times New Roman" w:hAnsi="Times New Roman" w:cs="Times New Roman"/>
      <w:b/>
      <w:sz w:val="24"/>
      <w:szCs w:val="20"/>
    </w:rPr>
  </w:style>
  <w:style w:type="paragraph" w:customStyle="1" w:styleId="NoteHead">
    <w:name w:val="NoteHead"/>
    <w:basedOn w:val="Normal"/>
    <w:next w:val="Subject"/>
    <w:pPr>
      <w:spacing w:before="720" w:after="720" w:line="240" w:lineRule="auto"/>
      <w:jc w:val="center"/>
    </w:pPr>
    <w:rPr>
      <w:rFonts w:ascii="Times New Roman" w:eastAsia="Times New Roman" w:hAnsi="Times New Roman" w:cs="Times New Roman"/>
      <w:b/>
      <w:smallCaps/>
      <w:sz w:val="24"/>
      <w:szCs w:val="20"/>
    </w:rPr>
  </w:style>
  <w:style w:type="paragraph" w:customStyle="1" w:styleId="NoteList">
    <w:name w:val="NoteList"/>
    <w:basedOn w:val="Normal"/>
    <w:next w:val="Subject"/>
    <w:pPr>
      <w:tabs>
        <w:tab w:val="left" w:pos="5823"/>
      </w:tabs>
      <w:spacing w:before="720" w:after="720" w:line="240" w:lineRule="auto"/>
      <w:ind w:left="5104" w:hanging="3119"/>
    </w:pPr>
    <w:rPr>
      <w:rFonts w:ascii="Times New Roman" w:eastAsia="Times New Roman" w:hAnsi="Times New Roman" w:cs="Times New Roman"/>
      <w:b/>
      <w:smallCaps/>
      <w:sz w:val="24"/>
      <w:szCs w:val="20"/>
    </w:rPr>
  </w:style>
  <w:style w:type="paragraph" w:customStyle="1" w:styleId="NumPar1">
    <w:name w:val="NumPar 1"/>
    <w:basedOn w:val="Heading1"/>
    <w:next w:val="Text1"/>
    <w:pPr>
      <w:keepNext w:val="0"/>
      <w:widowControl w:val="0"/>
      <w:tabs>
        <w:tab w:val="right" w:leader="dot" w:pos="8640"/>
      </w:tabs>
      <w:autoSpaceDE w:val="0"/>
      <w:autoSpaceDN w:val="0"/>
      <w:adjustRightInd w:val="0"/>
      <w:spacing w:before="0"/>
      <w:ind w:left="0" w:right="720" w:firstLine="0"/>
      <w:jc w:val="left"/>
      <w:outlineLvl w:val="9"/>
    </w:pPr>
    <w:rPr>
      <w:rFonts w:ascii="Verdana" w:eastAsiaTheme="minorHAnsi" w:hAnsi="Verdana" w:cstheme="minorBidi"/>
      <w:b w:val="0"/>
      <w:caps/>
      <w:sz w:val="22"/>
      <w:szCs w:val="22"/>
      <w:u w:val="single"/>
    </w:rPr>
  </w:style>
  <w:style w:type="paragraph" w:customStyle="1" w:styleId="NumPar2">
    <w:name w:val="NumPar 2"/>
    <w:basedOn w:val="Heading2"/>
    <w:next w:val="Text2"/>
    <w:pPr>
      <w:keepNext w:val="0"/>
      <w:spacing w:before="240"/>
      <w:ind w:left="0" w:firstLine="0"/>
      <w:outlineLvl w:val="9"/>
    </w:pPr>
    <w:rPr>
      <w:rFonts w:ascii="Verdana" w:hAnsi="Verdana"/>
      <w:b w:val="0"/>
      <w:i/>
      <w:sz w:val="20"/>
    </w:rPr>
  </w:style>
  <w:style w:type="paragraph" w:customStyle="1" w:styleId="NumPar3">
    <w:name w:val="NumPar 3"/>
    <w:basedOn w:val="Heading3"/>
    <w:next w:val="Text3"/>
    <w:pPr>
      <w:keepNext w:val="0"/>
      <w:ind w:left="0" w:firstLine="0"/>
      <w:outlineLvl w:val="9"/>
    </w:pPr>
    <w:rPr>
      <w:rFonts w:ascii="Verdana" w:hAnsi="Verdana"/>
      <w:i w:val="0"/>
      <w:sz w:val="20"/>
    </w:rPr>
  </w:style>
  <w:style w:type="paragraph" w:customStyle="1" w:styleId="NumPar4">
    <w:name w:val="NumPar 4"/>
    <w:basedOn w:val="Heading4"/>
    <w:next w:val="Text4"/>
    <w:pPr>
      <w:keepNext w:val="0"/>
      <w:tabs>
        <w:tab w:val="num" w:pos="765"/>
      </w:tabs>
      <w:ind w:left="765" w:hanging="283"/>
      <w:outlineLvl w:val="9"/>
    </w:pPr>
  </w:style>
  <w:style w:type="paragraph" w:customStyle="1" w:styleId="PartTitle">
    <w:name w:val="PartTitle"/>
    <w:basedOn w:val="Normal"/>
    <w:next w:val="ChapterTitle"/>
    <w:pPr>
      <w:keepNext/>
      <w:pageBreakBefore/>
      <w:spacing w:after="480" w:line="240" w:lineRule="auto"/>
      <w:jc w:val="center"/>
    </w:pPr>
    <w:rPr>
      <w:rFonts w:ascii="Times New Roman" w:eastAsia="Times New Roman" w:hAnsi="Times New Roman" w:cs="Times New Roman"/>
      <w:b/>
      <w:sz w:val="36"/>
      <w:szCs w:val="20"/>
    </w:rPr>
  </w:style>
  <w:style w:type="paragraph" w:customStyle="1" w:styleId="SubTitle2">
    <w:name w:val="SubTitle 2"/>
    <w:basedOn w:val="Normal"/>
    <w:pPr>
      <w:spacing w:after="240" w:line="240" w:lineRule="auto"/>
      <w:jc w:val="center"/>
    </w:pPr>
    <w:rPr>
      <w:rFonts w:ascii="Times New Roman" w:eastAsia="Times New Roman" w:hAnsi="Times New Roman" w:cs="Times New Roman"/>
      <w:b/>
      <w:sz w:val="32"/>
      <w:szCs w:val="20"/>
    </w:rPr>
  </w:style>
  <w:style w:type="paragraph" w:customStyle="1" w:styleId="YReferences">
    <w:name w:val="YReferences"/>
    <w:basedOn w:val="Normal"/>
    <w:next w:val="Normal"/>
    <w:pPr>
      <w:spacing w:after="480" w:line="240" w:lineRule="auto"/>
      <w:ind w:left="1531" w:hanging="1531"/>
      <w:jc w:val="both"/>
    </w:pPr>
    <w:rPr>
      <w:rFonts w:ascii="Times New Roman" w:eastAsia="Times New Roman" w:hAnsi="Times New Roman" w:cs="Times New Roman"/>
      <w:sz w:val="24"/>
      <w:szCs w:val="20"/>
    </w:rPr>
  </w:style>
  <w:style w:type="paragraph" w:customStyle="1" w:styleId="ListBullet1">
    <w:name w:val="List Bullet 1"/>
    <w:basedOn w:val="Text1"/>
    <w:pPr>
      <w:numPr>
        <w:numId w:val="29"/>
      </w:numPr>
    </w:pPr>
  </w:style>
  <w:style w:type="paragraph" w:customStyle="1" w:styleId="ListDash">
    <w:name w:val="List Dash"/>
    <w:basedOn w:val="Normal"/>
    <w:pPr>
      <w:numPr>
        <w:numId w:val="3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Text2"/>
    <w:pPr>
      <w:numPr>
        <w:numId w:val="31"/>
      </w:numPr>
      <w:tabs>
        <w:tab w:val="clear" w:pos="1485"/>
        <w:tab w:val="clear" w:pos="2302"/>
        <w:tab w:val="num" w:pos="765"/>
      </w:tabs>
      <w:ind w:left="765"/>
    </w:pPr>
    <w:rPr>
      <w:rFonts w:asciiTheme="minorHAnsi" w:eastAsiaTheme="minorHAnsi" w:hAnsiTheme="minorHAnsi" w:cstheme="minorBidi"/>
      <w:szCs w:val="22"/>
    </w:rPr>
  </w:style>
  <w:style w:type="paragraph" w:customStyle="1" w:styleId="ListDash3">
    <w:name w:val="List Dash 3"/>
    <w:basedOn w:val="Text3"/>
    <w:pPr>
      <w:numPr>
        <w:numId w:val="32"/>
      </w:numPr>
      <w:tabs>
        <w:tab w:val="clear" w:pos="1485"/>
      </w:tabs>
      <w:ind w:left="1202" w:firstLine="0"/>
    </w:pPr>
  </w:style>
  <w:style w:type="paragraph" w:customStyle="1" w:styleId="ListDash4">
    <w:name w:val="List Dash 4"/>
    <w:basedOn w:val="Text4"/>
    <w:pPr>
      <w:numPr>
        <w:numId w:val="33"/>
      </w:numPr>
      <w:tabs>
        <w:tab w:val="clear" w:pos="2302"/>
      </w:tabs>
    </w:pPr>
  </w:style>
  <w:style w:type="paragraph" w:customStyle="1" w:styleId="ListNumberLevel2">
    <w:name w:val="List Number (Level 2)"/>
    <w:basedOn w:val="Normal"/>
    <w:pPr>
      <w:numPr>
        <w:ilvl w:val="1"/>
        <w:numId w:val="23"/>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pPr>
      <w:numPr>
        <w:ilvl w:val="2"/>
        <w:numId w:val="23"/>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pPr>
      <w:numPr>
        <w:ilvl w:val="3"/>
        <w:numId w:val="2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Text1"/>
    <w:pPr>
      <w:numPr>
        <w:numId w:val="34"/>
      </w:numPr>
    </w:pPr>
  </w:style>
  <w:style w:type="paragraph" w:customStyle="1" w:styleId="ListNumber1Level2">
    <w:name w:val="List Number 1 (Level 2)"/>
    <w:basedOn w:val="Text1"/>
    <w:pPr>
      <w:numPr>
        <w:ilvl w:val="1"/>
        <w:numId w:val="34"/>
      </w:numPr>
    </w:pPr>
  </w:style>
  <w:style w:type="paragraph" w:customStyle="1" w:styleId="ListNumber1Level3">
    <w:name w:val="List Number 1 (Level 3)"/>
    <w:basedOn w:val="Text1"/>
    <w:pPr>
      <w:numPr>
        <w:ilvl w:val="2"/>
        <w:numId w:val="34"/>
      </w:numPr>
    </w:pPr>
  </w:style>
  <w:style w:type="paragraph" w:customStyle="1" w:styleId="ListNumber1Level4">
    <w:name w:val="List Number 1 (Level 4)"/>
    <w:basedOn w:val="Text1"/>
    <w:pPr>
      <w:numPr>
        <w:ilvl w:val="3"/>
        <w:numId w:val="34"/>
      </w:numPr>
    </w:pPr>
  </w:style>
  <w:style w:type="paragraph" w:customStyle="1" w:styleId="ListNumber2Level2">
    <w:name w:val="List Number 2 (Level 2)"/>
    <w:basedOn w:val="Text2"/>
    <w:pPr>
      <w:numPr>
        <w:ilvl w:val="1"/>
        <w:numId w:val="35"/>
      </w:numPr>
      <w:tabs>
        <w:tab w:val="clear" w:pos="2302"/>
        <w:tab w:val="clear" w:pos="2619"/>
        <w:tab w:val="num" w:pos="1899"/>
      </w:tabs>
      <w:ind w:left="1899"/>
    </w:pPr>
    <w:rPr>
      <w:rFonts w:asciiTheme="minorHAnsi" w:eastAsiaTheme="minorHAnsi" w:hAnsiTheme="minorHAnsi" w:cstheme="minorBidi"/>
      <w:szCs w:val="22"/>
    </w:rPr>
  </w:style>
  <w:style w:type="paragraph" w:customStyle="1" w:styleId="ListNumber2Level3">
    <w:name w:val="List Number 2 (Level 3)"/>
    <w:basedOn w:val="Text2"/>
    <w:pPr>
      <w:numPr>
        <w:ilvl w:val="2"/>
        <w:numId w:val="35"/>
      </w:numPr>
      <w:tabs>
        <w:tab w:val="clear" w:pos="2302"/>
        <w:tab w:val="clear" w:pos="3328"/>
        <w:tab w:val="num" w:pos="2608"/>
      </w:tabs>
      <w:ind w:left="2608"/>
    </w:pPr>
    <w:rPr>
      <w:rFonts w:asciiTheme="minorHAnsi" w:eastAsiaTheme="minorHAnsi" w:hAnsiTheme="minorHAnsi" w:cstheme="minorBidi"/>
      <w:szCs w:val="22"/>
    </w:rPr>
  </w:style>
  <w:style w:type="paragraph" w:customStyle="1" w:styleId="ListNumber2Level4">
    <w:name w:val="List Number 2 (Level 4)"/>
    <w:basedOn w:val="Text2"/>
    <w:pPr>
      <w:numPr>
        <w:ilvl w:val="3"/>
        <w:numId w:val="35"/>
      </w:numPr>
      <w:tabs>
        <w:tab w:val="clear" w:pos="2302"/>
        <w:tab w:val="clear" w:pos="4037"/>
        <w:tab w:val="num" w:pos="3317"/>
      </w:tabs>
      <w:ind w:left="3317"/>
    </w:pPr>
    <w:rPr>
      <w:rFonts w:asciiTheme="minorHAnsi" w:eastAsiaTheme="minorHAnsi" w:hAnsiTheme="minorHAnsi" w:cstheme="minorBidi"/>
      <w:szCs w:val="22"/>
    </w:rPr>
  </w:style>
  <w:style w:type="paragraph" w:customStyle="1" w:styleId="ListNumber3Level2">
    <w:name w:val="List Number 3 (Level 2)"/>
    <w:basedOn w:val="Text3"/>
    <w:pPr>
      <w:numPr>
        <w:ilvl w:val="1"/>
        <w:numId w:val="26"/>
      </w:numPr>
      <w:tabs>
        <w:tab w:val="clear" w:pos="2619"/>
      </w:tabs>
      <w:ind w:left="1202" w:firstLine="0"/>
    </w:pPr>
  </w:style>
  <w:style w:type="paragraph" w:customStyle="1" w:styleId="ListNumber3Level3">
    <w:name w:val="List Number 3 (Level 3)"/>
    <w:basedOn w:val="Text3"/>
    <w:pPr>
      <w:numPr>
        <w:ilvl w:val="2"/>
        <w:numId w:val="26"/>
      </w:numPr>
      <w:tabs>
        <w:tab w:val="clear" w:pos="3328"/>
      </w:tabs>
      <w:ind w:left="1202" w:firstLine="0"/>
    </w:pPr>
  </w:style>
  <w:style w:type="paragraph" w:customStyle="1" w:styleId="ListNumber3Level4">
    <w:name w:val="List Number 3 (Level 4)"/>
    <w:basedOn w:val="Text3"/>
    <w:pPr>
      <w:numPr>
        <w:ilvl w:val="3"/>
        <w:numId w:val="26"/>
      </w:numPr>
      <w:tabs>
        <w:tab w:val="clear" w:pos="4037"/>
      </w:tabs>
      <w:ind w:left="1202" w:firstLine="0"/>
    </w:pPr>
  </w:style>
  <w:style w:type="paragraph" w:customStyle="1" w:styleId="ListNumber4Level2">
    <w:name w:val="List Number 4 (Level 2)"/>
    <w:basedOn w:val="Text4"/>
    <w:pPr>
      <w:numPr>
        <w:ilvl w:val="1"/>
        <w:numId w:val="27"/>
      </w:numPr>
      <w:tabs>
        <w:tab w:val="clear" w:pos="2302"/>
      </w:tabs>
    </w:pPr>
  </w:style>
  <w:style w:type="paragraph" w:customStyle="1" w:styleId="ListNumber4Level3">
    <w:name w:val="List Number 4 (Level 3)"/>
    <w:basedOn w:val="Text4"/>
    <w:pPr>
      <w:numPr>
        <w:ilvl w:val="2"/>
        <w:numId w:val="27"/>
      </w:numPr>
      <w:tabs>
        <w:tab w:val="clear" w:pos="2302"/>
      </w:tabs>
    </w:pPr>
  </w:style>
  <w:style w:type="paragraph" w:customStyle="1" w:styleId="ListNumber4Level4">
    <w:name w:val="List Number 4 (Level 4)"/>
    <w:basedOn w:val="Text4"/>
    <w:pPr>
      <w:numPr>
        <w:ilvl w:val="3"/>
        <w:numId w:val="27"/>
      </w:numPr>
      <w:tabs>
        <w:tab w:val="clear" w:pos="2302"/>
      </w:tabs>
    </w:pPr>
  </w:style>
  <w:style w:type="paragraph" w:customStyle="1" w:styleId="TOCHeading1">
    <w:name w:val="TOC Heading1"/>
    <w:basedOn w:val="Normal"/>
    <w:next w:val="Normal"/>
    <w:pPr>
      <w:keepNext/>
      <w:spacing w:before="240" w:after="240" w:line="240" w:lineRule="auto"/>
      <w:jc w:val="center"/>
    </w:pPr>
    <w:rPr>
      <w:rFonts w:ascii="Times New Roman" w:eastAsia="Times New Roman" w:hAnsi="Times New Roman" w:cs="Times New Roman"/>
      <w:b/>
      <w:sz w:val="24"/>
      <w:szCs w:val="20"/>
    </w:rPr>
  </w:style>
  <w:style w:type="paragraph" w:customStyle="1" w:styleId="Contact">
    <w:name w:val="Contact"/>
    <w:basedOn w:val="Normal"/>
    <w:next w:val="Normal"/>
    <w:pPr>
      <w:spacing w:after="480" w:line="240" w:lineRule="auto"/>
      <w:ind w:left="567" w:hanging="567"/>
    </w:pPr>
    <w:rPr>
      <w:rFonts w:ascii="Times New Roman" w:eastAsia="Times New Roman" w:hAnsi="Times New Roman" w:cs="Times New Roman"/>
      <w:sz w:val="24"/>
      <w:szCs w:val="20"/>
    </w:rPr>
  </w:style>
  <w:style w:type="paragraph" w:customStyle="1" w:styleId="ZDGName">
    <w:name w:val="Z_DGName"/>
    <w:basedOn w:val="Normal"/>
    <w:pPr>
      <w:widowControl w:val="0"/>
      <w:autoSpaceDE w:val="0"/>
      <w:autoSpaceDN w:val="0"/>
      <w:spacing w:after="0" w:line="240" w:lineRule="auto"/>
      <w:ind w:right="85"/>
    </w:pPr>
    <w:rPr>
      <w:rFonts w:ascii="Arial" w:eastAsia="Times New Roman" w:hAnsi="Arial" w:cs="Arial"/>
      <w:sz w:val="16"/>
      <w:szCs w:val="16"/>
      <w:lang w:eastAsia="en-GB"/>
    </w:rPr>
  </w:style>
  <w:style w:type="paragraph" w:customStyle="1" w:styleId="ZCom">
    <w:name w:val="Z_Com"/>
    <w:basedOn w:val="Normal"/>
    <w:next w:val="ZDGName"/>
    <w:pPr>
      <w:widowControl w:val="0"/>
      <w:autoSpaceDE w:val="0"/>
      <w:autoSpaceDN w:val="0"/>
      <w:spacing w:after="0" w:line="240" w:lineRule="auto"/>
      <w:ind w:right="85"/>
      <w:jc w:val="both"/>
    </w:pPr>
    <w:rPr>
      <w:rFonts w:ascii="Arial" w:eastAsia="Times New Roman" w:hAnsi="Arial" w:cs="Arial"/>
      <w:sz w:val="24"/>
      <w:szCs w:val="24"/>
      <w:lang w:eastAsia="en-GB"/>
    </w:rPr>
  </w:style>
  <w:style w:type="character" w:customStyle="1" w:styleId="DocumentTitleChar">
    <w:name w:val="Document Title Char"/>
    <w:link w:val="DocumentTitle"/>
    <w:locked/>
    <w:rPr>
      <w:rFonts w:ascii="Verdana" w:hAnsi="Verdana"/>
      <w:b/>
      <w:sz w:val="52"/>
    </w:rPr>
  </w:style>
  <w:style w:type="paragraph" w:customStyle="1" w:styleId="DocumentTitle">
    <w:name w:val="Document Title"/>
    <w:basedOn w:val="Normal"/>
    <w:link w:val="DocumentTitleChar"/>
    <w:qFormat/>
    <w:pPr>
      <w:spacing w:after="240" w:line="240" w:lineRule="auto"/>
      <w:jc w:val="center"/>
    </w:pPr>
    <w:rPr>
      <w:rFonts w:ascii="Verdana" w:hAnsi="Verdana"/>
      <w:b/>
      <w:sz w:val="52"/>
    </w:rPr>
  </w:style>
  <w:style w:type="character" w:customStyle="1" w:styleId="ApprovalfooterChar">
    <w:name w:val="Approval_footer Char"/>
    <w:basedOn w:val="FooterChar"/>
    <w:link w:val="Footerapproval"/>
    <w:locked/>
    <w:rPr>
      <w:rFonts w:ascii="Verdana" w:eastAsia="Times New Roman" w:hAnsi="Verdana" w:cs="Arial"/>
      <w:sz w:val="13"/>
      <w:szCs w:val="20"/>
      <w:lang w:val="fr-BE"/>
    </w:rPr>
  </w:style>
  <w:style w:type="paragraph" w:customStyle="1" w:styleId="Footerapproval">
    <w:name w:val="Footer approval"/>
    <w:basedOn w:val="Footer"/>
    <w:link w:val="ApprovalfooterChar"/>
    <w:qFormat/>
    <w:pPr>
      <w:tabs>
        <w:tab w:val="clear" w:pos="4535"/>
        <w:tab w:val="clear" w:pos="9071"/>
        <w:tab w:val="clear" w:pos="9921"/>
        <w:tab w:val="left" w:pos="6804"/>
      </w:tabs>
      <w:spacing w:before="0"/>
      <w:ind w:left="0" w:right="-567"/>
    </w:pPr>
    <w:rPr>
      <w:rFonts w:ascii="Verdana" w:eastAsia="Times New Roman" w:hAnsi="Verdana" w:cs="Arial"/>
      <w:sz w:val="13"/>
      <w:szCs w:val="20"/>
      <w:lang w:val="fr-BE"/>
    </w:rPr>
  </w:style>
  <w:style w:type="character" w:customStyle="1" w:styleId="FooterDateChar">
    <w:name w:val="Footer Date Char"/>
    <w:link w:val="FooterDate"/>
    <w:locked/>
    <w:rPr>
      <w:rFonts w:ascii="Verdana" w:hAnsi="Verdana"/>
      <w:sz w:val="16"/>
      <w:lang w:val="it-IT"/>
    </w:rPr>
  </w:style>
  <w:style w:type="paragraph" w:customStyle="1" w:styleId="FooterDate">
    <w:name w:val="Footer Date"/>
    <w:basedOn w:val="Footer"/>
    <w:link w:val="FooterDateChar"/>
    <w:pPr>
      <w:tabs>
        <w:tab w:val="clear" w:pos="4535"/>
        <w:tab w:val="clear" w:pos="9071"/>
        <w:tab w:val="clear" w:pos="9921"/>
        <w:tab w:val="right" w:pos="9240"/>
      </w:tabs>
      <w:spacing w:before="0"/>
      <w:ind w:left="0" w:right="-567"/>
    </w:pPr>
    <w:rPr>
      <w:rFonts w:ascii="Verdana" w:hAnsi="Verdana" w:cstheme="minorBidi"/>
      <w:sz w:val="16"/>
      <w:lang w:val="it-IT"/>
    </w:rPr>
  </w:style>
  <w:style w:type="character" w:customStyle="1" w:styleId="PagenumberChar">
    <w:name w:val="Page number Char"/>
    <w:link w:val="PageNumber1"/>
    <w:locked/>
    <w:rPr>
      <w:rFonts w:ascii="Verdana" w:hAnsi="Verdana"/>
      <w:sz w:val="16"/>
      <w:lang w:val="fr-BE"/>
    </w:rPr>
  </w:style>
  <w:style w:type="paragraph" w:customStyle="1" w:styleId="PageNumber1">
    <w:name w:val="Page Number1"/>
    <w:basedOn w:val="Footer"/>
    <w:link w:val="PagenumberChar"/>
    <w:pPr>
      <w:tabs>
        <w:tab w:val="clear" w:pos="4535"/>
        <w:tab w:val="clear" w:pos="9071"/>
        <w:tab w:val="clear" w:pos="9921"/>
        <w:tab w:val="right" w:pos="9240"/>
      </w:tabs>
      <w:spacing w:before="0"/>
      <w:ind w:left="0" w:right="-622"/>
    </w:pPr>
    <w:rPr>
      <w:rFonts w:ascii="Verdana" w:hAnsi="Verdana" w:cstheme="minorBidi"/>
      <w:sz w:val="16"/>
      <w:lang w:val="fr-BE"/>
    </w:rPr>
  </w:style>
  <w:style w:type="character" w:customStyle="1" w:styleId="DocumentSubtitleChar">
    <w:name w:val="Document Subtitle Char"/>
    <w:link w:val="DocumentSubtitle"/>
    <w:locked/>
    <w:rPr>
      <w:rFonts w:ascii="Verdana" w:hAnsi="Verdana"/>
      <w:sz w:val="32"/>
      <w:szCs w:val="36"/>
    </w:rPr>
  </w:style>
  <w:style w:type="paragraph" w:customStyle="1" w:styleId="DocumentSubtitle">
    <w:name w:val="Document Subtitle"/>
    <w:basedOn w:val="DocumentTitle"/>
    <w:link w:val="DocumentSubtitleChar"/>
    <w:qFormat/>
    <w:rPr>
      <w:b w:val="0"/>
      <w:sz w:val="32"/>
      <w:szCs w:val="36"/>
    </w:rPr>
  </w:style>
  <w:style w:type="character" w:customStyle="1" w:styleId="HeaderTitleChar">
    <w:name w:val="Header Title Char"/>
    <w:link w:val="HeaderTitle"/>
    <w:locked/>
    <w:rPr>
      <w:rFonts w:ascii="Verdana" w:hAnsi="Verdana"/>
      <w:b/>
      <w:color w:val="808080"/>
      <w:sz w:val="18"/>
      <w:szCs w:val="18"/>
    </w:rPr>
  </w:style>
  <w:style w:type="paragraph" w:customStyle="1" w:styleId="HeaderTitle">
    <w:name w:val="Header Title"/>
    <w:basedOn w:val="Normal"/>
    <w:link w:val="HeaderTitleChar"/>
    <w:pPr>
      <w:spacing w:after="240" w:line="240" w:lineRule="auto"/>
      <w:jc w:val="center"/>
    </w:pPr>
    <w:rPr>
      <w:rFonts w:ascii="Verdana" w:hAnsi="Verdana"/>
      <w:b/>
      <w:color w:val="808080"/>
      <w:sz w:val="18"/>
      <w:szCs w:val="18"/>
    </w:rPr>
  </w:style>
  <w:style w:type="character" w:customStyle="1" w:styleId="HeadingChar">
    <w:name w:val="Heading Char"/>
    <w:link w:val="Heading"/>
    <w:locked/>
    <w:rPr>
      <w:rFonts w:ascii="Verdana" w:hAnsi="Verdana"/>
      <w:b/>
      <w:caps/>
      <w:u w:val="single"/>
    </w:rPr>
  </w:style>
  <w:style w:type="paragraph" w:customStyle="1" w:styleId="Heading">
    <w:name w:val="Heading"/>
    <w:basedOn w:val="TOC1"/>
    <w:link w:val="HeadingChar"/>
    <w:qFormat/>
    <w:pPr>
      <w:widowControl w:val="0"/>
      <w:autoSpaceDE w:val="0"/>
      <w:autoSpaceDN w:val="0"/>
      <w:adjustRightInd w:val="0"/>
      <w:spacing w:after="0"/>
      <w:ind w:left="0" w:firstLine="0"/>
      <w:jc w:val="left"/>
    </w:pPr>
    <w:rPr>
      <w:rFonts w:ascii="Verdana" w:eastAsiaTheme="minorHAnsi" w:hAnsi="Verdana" w:cstheme="minorBidi"/>
      <w:b/>
      <w:sz w:val="22"/>
      <w:szCs w:val="22"/>
      <w:u w:val="single"/>
    </w:rPr>
  </w:style>
  <w:style w:type="character" w:customStyle="1" w:styleId="BulletPoint2Char">
    <w:name w:val="Bullet Point 2 Char"/>
    <w:link w:val="BulletPoint2"/>
    <w:locked/>
    <w:rPr>
      <w:rFonts w:ascii="Verdana" w:hAnsi="Verdana"/>
      <w:sz w:val="18"/>
    </w:rPr>
  </w:style>
  <w:style w:type="paragraph" w:customStyle="1" w:styleId="BulletPoint2">
    <w:name w:val="Bullet Point 2"/>
    <w:basedOn w:val="NormalIndent"/>
    <w:link w:val="BulletPoint2Char"/>
    <w:qFormat/>
    <w:pPr>
      <w:numPr>
        <w:numId w:val="36"/>
      </w:numPr>
      <w:spacing w:after="120" w:line="240" w:lineRule="auto"/>
      <w:ind w:left="1077" w:hanging="357"/>
    </w:pPr>
    <w:rPr>
      <w:rFonts w:ascii="Verdana" w:hAnsi="Verdana"/>
      <w:sz w:val="18"/>
    </w:rPr>
  </w:style>
  <w:style w:type="character" w:customStyle="1" w:styleId="FooterDocumentChar">
    <w:name w:val="Footer Document Char"/>
    <w:link w:val="FooterDocument"/>
    <w:locked/>
    <w:rPr>
      <w:rFonts w:ascii="Verdana" w:hAnsi="Verdana"/>
      <w:i/>
      <w:noProof/>
      <w:sz w:val="13"/>
      <w:lang w:val="en-US"/>
    </w:rPr>
  </w:style>
  <w:style w:type="paragraph" w:customStyle="1" w:styleId="FooterDocument">
    <w:name w:val="Footer Document"/>
    <w:basedOn w:val="Body"/>
    <w:link w:val="FooterDocumentChar"/>
    <w:pPr>
      <w:spacing w:after="0"/>
    </w:pPr>
    <w:rPr>
      <w:rFonts w:eastAsiaTheme="minorHAnsi" w:cstheme="minorBidi"/>
      <w:i/>
      <w:noProof/>
      <w:sz w:val="13"/>
      <w:szCs w:val="22"/>
      <w:lang w:val="en-US"/>
    </w:rPr>
  </w:style>
  <w:style w:type="paragraph" w:customStyle="1" w:styleId="Title2">
    <w:name w:val="Title 2"/>
    <w:basedOn w:val="Normal"/>
    <w:pPr>
      <w:numPr>
        <w:numId w:val="37"/>
      </w:numPr>
      <w:spacing w:after="240" w:line="240" w:lineRule="auto"/>
      <w:jc w:val="both"/>
    </w:pPr>
    <w:rPr>
      <w:rFonts w:ascii="Times New Roman" w:eastAsia="Times New Roman" w:hAnsi="Times New Roman" w:cs="Times New Roman"/>
      <w:sz w:val="24"/>
      <w:szCs w:val="20"/>
    </w:rPr>
  </w:style>
  <w:style w:type="character" w:customStyle="1" w:styleId="SubtitleChar0">
    <w:name w:val="Subtitle_ Char"/>
    <w:basedOn w:val="Heading2Char0"/>
    <w:link w:val="Subtitle0"/>
    <w:locked/>
    <w:rPr>
      <w:rFonts w:ascii="Times New Roman" w:eastAsia="Times New Roman" w:hAnsi="Times New Roman" w:cs="Times New Roman"/>
      <w:sz w:val="24"/>
      <w:szCs w:val="20"/>
    </w:rPr>
  </w:style>
  <w:style w:type="paragraph" w:customStyle="1" w:styleId="Subtitle0">
    <w:name w:val="Subtitle_"/>
    <w:basedOn w:val="TOC2"/>
    <w:link w:val="SubtitleChar0"/>
    <w:qFormat/>
  </w:style>
  <w:style w:type="character" w:customStyle="1" w:styleId="HeadingBodyChar">
    <w:name w:val="Heading Body Char"/>
    <w:basedOn w:val="DefaultParagraphFont"/>
    <w:link w:val="HeadingBody"/>
    <w:locked/>
    <w:rPr>
      <w:rFonts w:ascii="Verdana" w:hAnsi="Verdana"/>
      <w:b/>
      <w:szCs w:val="18"/>
    </w:rPr>
  </w:style>
  <w:style w:type="paragraph" w:customStyle="1" w:styleId="HeadingBody">
    <w:name w:val="Heading Body"/>
    <w:basedOn w:val="Normal"/>
    <w:link w:val="HeadingBodyChar"/>
    <w:qFormat/>
    <w:pPr>
      <w:spacing w:after="120" w:line="240" w:lineRule="auto"/>
      <w:jc w:val="both"/>
    </w:pPr>
    <w:rPr>
      <w:rFonts w:ascii="Verdana" w:hAnsi="Verdana"/>
      <w:b/>
      <w:szCs w:val="18"/>
    </w:rPr>
  </w:style>
  <w:style w:type="character" w:customStyle="1" w:styleId="TitlepublicationChar">
    <w:name w:val="Title publication Char"/>
    <w:basedOn w:val="DefaultParagraphFont"/>
    <w:link w:val="Titlepublication"/>
    <w:locked/>
    <w:rPr>
      <w:rFonts w:ascii="Verdana" w:hAnsi="Verdana"/>
      <w:b/>
      <w:color w:val="FF0000"/>
      <w:sz w:val="52"/>
      <w:szCs w:val="52"/>
    </w:rPr>
  </w:style>
  <w:style w:type="paragraph" w:customStyle="1" w:styleId="Titlepublication">
    <w:name w:val="Title publication"/>
    <w:basedOn w:val="Normal"/>
    <w:link w:val="TitlepublicationChar"/>
    <w:qFormat/>
    <w:pPr>
      <w:spacing w:after="240" w:line="240" w:lineRule="auto"/>
      <w:jc w:val="center"/>
    </w:pPr>
    <w:rPr>
      <w:rFonts w:ascii="Verdana" w:hAnsi="Verdana"/>
      <w:b/>
      <w:color w:val="FF0000"/>
      <w:sz w:val="52"/>
      <w:szCs w:val="52"/>
    </w:rPr>
  </w:style>
  <w:style w:type="character" w:customStyle="1" w:styleId="SubtitlepublicationChar">
    <w:name w:val="Subtitle publication Char"/>
    <w:basedOn w:val="DefaultParagraphFont"/>
    <w:link w:val="Subtitlepublication"/>
    <w:locked/>
    <w:rPr>
      <w:rFonts w:ascii="Verdana" w:hAnsi="Verdana"/>
      <w:b/>
      <w:i/>
      <w:color w:val="FF0000"/>
      <w:sz w:val="32"/>
    </w:rPr>
  </w:style>
  <w:style w:type="paragraph" w:customStyle="1" w:styleId="Subtitlepublication">
    <w:name w:val="Subtitle publication"/>
    <w:basedOn w:val="Normal"/>
    <w:link w:val="SubtitlepublicationChar"/>
    <w:qFormat/>
    <w:pPr>
      <w:spacing w:after="240" w:line="240" w:lineRule="auto"/>
      <w:jc w:val="center"/>
    </w:pPr>
    <w:rPr>
      <w:rFonts w:ascii="Verdana" w:hAnsi="Verdana"/>
      <w:b/>
      <w:i/>
      <w:color w:val="FF0000"/>
      <w:sz w:val="32"/>
    </w:rPr>
  </w:style>
  <w:style w:type="character" w:customStyle="1" w:styleId="EditornameChar">
    <w:name w:val="Editor name Char"/>
    <w:basedOn w:val="DefaultParagraphFont"/>
    <w:link w:val="Editorname"/>
    <w:locked/>
    <w:rPr>
      <w:rFonts w:ascii="Verdana" w:hAnsi="Verdana"/>
      <w:color w:val="FF0000"/>
      <w:sz w:val="24"/>
    </w:rPr>
  </w:style>
  <w:style w:type="paragraph" w:customStyle="1" w:styleId="Editorname">
    <w:name w:val="Editor name"/>
    <w:basedOn w:val="Normal"/>
    <w:link w:val="EditornameChar"/>
    <w:qFormat/>
    <w:pPr>
      <w:spacing w:after="240" w:line="240" w:lineRule="auto"/>
      <w:jc w:val="center"/>
    </w:pPr>
    <w:rPr>
      <w:rFonts w:ascii="Verdana" w:hAnsi="Verdana"/>
      <w:color w:val="FF0000"/>
      <w:sz w:val="24"/>
    </w:rPr>
  </w:style>
  <w:style w:type="character" w:customStyle="1" w:styleId="BackcoversummaryChar">
    <w:name w:val="Backcover_summary Char"/>
    <w:basedOn w:val="DefaultParagraphFont"/>
    <w:link w:val="Backcoversummary"/>
    <w:locked/>
    <w:rPr>
      <w:rFonts w:ascii="Verdana" w:hAnsi="Verdana"/>
      <w:color w:val="FF0000"/>
      <w:sz w:val="24"/>
    </w:rPr>
  </w:style>
  <w:style w:type="paragraph" w:customStyle="1" w:styleId="Backcoversummary">
    <w:name w:val="Backcover_summary"/>
    <w:basedOn w:val="Normal"/>
    <w:link w:val="BackcoversummaryChar"/>
    <w:qFormat/>
    <w:pPr>
      <w:spacing w:after="240" w:line="240" w:lineRule="auto"/>
      <w:jc w:val="both"/>
    </w:pPr>
    <w:rPr>
      <w:rFonts w:ascii="Verdana" w:hAnsi="Verdana"/>
      <w:color w:val="FF0000"/>
      <w:sz w:val="24"/>
    </w:rPr>
  </w:style>
  <w:style w:type="character" w:customStyle="1" w:styleId="BackcovercategoryChar">
    <w:name w:val="Backcover_category Char"/>
    <w:basedOn w:val="DefaultParagraphFont"/>
    <w:link w:val="Backcovercategory"/>
    <w:locked/>
    <w:rPr>
      <w:rFonts w:ascii="Verdana" w:hAnsi="Verdana"/>
      <w:i/>
      <w:color w:val="FF0000"/>
      <w:sz w:val="18"/>
    </w:rPr>
  </w:style>
  <w:style w:type="paragraph" w:customStyle="1" w:styleId="Backcovercategory">
    <w:name w:val="Backcover_category"/>
    <w:basedOn w:val="Normal"/>
    <w:link w:val="BackcovercategoryChar"/>
    <w:qFormat/>
    <w:pPr>
      <w:spacing w:after="240" w:line="240" w:lineRule="auto"/>
      <w:ind w:right="28"/>
      <w:jc w:val="both"/>
    </w:pPr>
    <w:rPr>
      <w:rFonts w:ascii="Verdana" w:hAnsi="Verdana"/>
      <w:i/>
      <w:color w:val="FF0000"/>
      <w:sz w:val="18"/>
    </w:rPr>
  </w:style>
  <w:style w:type="character" w:customStyle="1" w:styleId="BodyTextCarattere">
    <w:name w:val="Body Text Carattere"/>
    <w:basedOn w:val="DefaultParagraphFont"/>
    <w:link w:val="BodyText1"/>
    <w:locked/>
    <w:rPr>
      <w:rFonts w:ascii="Verdana" w:hAnsi="Verdana"/>
    </w:rPr>
  </w:style>
  <w:style w:type="paragraph" w:customStyle="1" w:styleId="BodyText1">
    <w:name w:val="Body Text1"/>
    <w:basedOn w:val="Body"/>
    <w:link w:val="BodyTextCarattere"/>
    <w:qFormat/>
    <w:rPr>
      <w:rFonts w:eastAsiaTheme="minorHAnsi" w:cstheme="minorBidi"/>
      <w:sz w:val="22"/>
      <w:szCs w:val="22"/>
    </w:rPr>
  </w:style>
  <w:style w:type="paragraph" w:customStyle="1" w:styleId="StyleListNumberListNumberJustifiedCustomColorRGB266312">
    <w:name w:val="Style List NumberList Number Justified + Custom Color(RGB(266312..."/>
    <w:basedOn w:val="ListNumber"/>
  </w:style>
  <w:style w:type="character" w:customStyle="1" w:styleId="StyleBodyTextAfter0ptChar">
    <w:name w:val="Style Body Text + After:  0 pt Char"/>
    <w:basedOn w:val="BodyTextChar"/>
    <w:link w:val="StyleBodyTextAfter0pt"/>
    <w:locked/>
    <w:rPr>
      <w:rFonts w:ascii="Times New Roman" w:eastAsia="Times New Roman" w:hAnsi="Times New Roman" w:cs="Times New Roman"/>
      <w:sz w:val="24"/>
      <w:szCs w:val="20"/>
    </w:rPr>
  </w:style>
  <w:style w:type="paragraph" w:customStyle="1" w:styleId="StyleBodyTextAfter0pt">
    <w:name w:val="Style Body Text + After:  0 pt"/>
    <w:basedOn w:val="BodyText"/>
    <w:link w:val="StyleBodyTextAfter0ptChar"/>
    <w:pPr>
      <w:spacing w:after="0"/>
    </w:pPr>
  </w:style>
  <w:style w:type="paragraph" w:customStyle="1" w:styleId="StyleStyleBulleted10ptCustomColorRGB12311170Left">
    <w:name w:val="Style Style Bulleted 10 pt Custom Color(RGB(12311170)) + Left"/>
    <w:basedOn w:val="Normal"/>
    <w:pPr>
      <w:numPr>
        <w:numId w:val="38"/>
      </w:numPr>
      <w:spacing w:after="220" w:line="240" w:lineRule="auto"/>
      <w:ind w:left="360"/>
    </w:pPr>
    <w:rPr>
      <w:rFonts w:ascii="Verdana" w:eastAsia="Times New Roman" w:hAnsi="Verdana" w:cs="Times New Roman"/>
      <w:color w:val="000000"/>
      <w:sz w:val="20"/>
      <w:szCs w:val="24"/>
      <w:lang w:eastAsia="en-GB"/>
    </w:rPr>
  </w:style>
  <w:style w:type="paragraph" w:customStyle="1" w:styleId="StyleListBulletListBulletJustifiedLeft">
    <w:name w:val="Style List BulletList Bullet Justified + Left"/>
    <w:basedOn w:val="Normal"/>
    <w:pPr>
      <w:numPr>
        <w:numId w:val="39"/>
      </w:numPr>
      <w:spacing w:before="80" w:after="80" w:line="240" w:lineRule="auto"/>
    </w:pPr>
    <w:rPr>
      <w:rFonts w:ascii="Verdana" w:eastAsia="Times New Roman" w:hAnsi="Verdana" w:cs="Times New Roman"/>
      <w:color w:val="333333"/>
      <w:sz w:val="20"/>
      <w:szCs w:val="20"/>
      <w:lang w:eastAsia="en-GB"/>
    </w:rPr>
  </w:style>
  <w:style w:type="paragraph" w:customStyle="1" w:styleId="StyleHeading1VerdanaAuto">
    <w:name w:val="Style Heading 1 + Verdana Auto"/>
    <w:basedOn w:val="Heading1"/>
    <w:pPr>
      <w:keepNext w:val="0"/>
      <w:widowControl w:val="0"/>
      <w:tabs>
        <w:tab w:val="right" w:leader="dot" w:pos="8640"/>
      </w:tabs>
      <w:autoSpaceDE w:val="0"/>
      <w:autoSpaceDN w:val="0"/>
      <w:adjustRightInd w:val="0"/>
      <w:spacing w:before="120" w:after="60"/>
      <w:ind w:left="0" w:right="720" w:firstLine="0"/>
      <w:jc w:val="left"/>
    </w:pPr>
    <w:rPr>
      <w:rFonts w:ascii="Verdana" w:eastAsiaTheme="minorHAnsi" w:hAnsi="Verdana" w:cs="Arial"/>
      <w:bCs/>
      <w:caps/>
      <w:color w:val="263673"/>
      <w:kern w:val="32"/>
      <w:sz w:val="28"/>
      <w:szCs w:val="32"/>
      <w:u w:val="single"/>
      <w:lang w:eastAsia="en-GB"/>
    </w:rPr>
  </w:style>
  <w:style w:type="paragraph" w:customStyle="1" w:styleId="StyleHeading1VerdanaAuto1">
    <w:name w:val="Style Heading 1 + Verdana Auto1"/>
    <w:basedOn w:val="Heading1"/>
    <w:pPr>
      <w:keepNext w:val="0"/>
      <w:widowControl w:val="0"/>
      <w:tabs>
        <w:tab w:val="right" w:leader="dot" w:pos="8640"/>
      </w:tabs>
      <w:autoSpaceDE w:val="0"/>
      <w:autoSpaceDN w:val="0"/>
      <w:adjustRightInd w:val="0"/>
      <w:spacing w:before="120" w:after="60"/>
      <w:ind w:left="0" w:right="720" w:firstLine="0"/>
      <w:jc w:val="left"/>
    </w:pPr>
    <w:rPr>
      <w:rFonts w:ascii="Verdana" w:eastAsiaTheme="minorHAnsi" w:hAnsi="Verdana" w:cs="Arial"/>
      <w:bCs/>
      <w:caps/>
      <w:color w:val="263673"/>
      <w:kern w:val="32"/>
      <w:sz w:val="28"/>
      <w:szCs w:val="32"/>
      <w:u w:val="single"/>
      <w:lang w:eastAsia="en-GB"/>
    </w:rPr>
  </w:style>
  <w:style w:type="paragraph" w:customStyle="1" w:styleId="StyleHeading2VerdanaAuto">
    <w:name w:val="Style Heading 2 + Verdana Auto"/>
    <w:basedOn w:val="Heading2"/>
    <w:pPr>
      <w:keepNext w:val="0"/>
      <w:spacing w:before="240" w:after="60"/>
      <w:ind w:left="0" w:firstLine="0"/>
    </w:pPr>
    <w:rPr>
      <w:rFonts w:ascii="Verdana" w:hAnsi="Verdana" w:cs="Arial"/>
      <w:bCs/>
      <w:i/>
      <w:color w:val="263673"/>
      <w:sz w:val="22"/>
      <w:szCs w:val="28"/>
      <w:lang w:eastAsia="en-GB"/>
    </w:rPr>
  </w:style>
  <w:style w:type="paragraph" w:styleId="ListBullet2">
    <w:name w:val="List Bullet 2"/>
    <w:basedOn w:val="Normal"/>
    <w:link w:val="ListBullet2Char"/>
    <w:unhideWhenUsed/>
    <w:pPr>
      <w:numPr>
        <w:numId w:val="40"/>
      </w:numPr>
      <w:tabs>
        <w:tab w:val="clear" w:pos="1485"/>
        <w:tab w:val="num" w:pos="643"/>
      </w:tabs>
      <w:spacing w:after="240" w:line="240" w:lineRule="auto"/>
      <w:ind w:left="643" w:hanging="360"/>
      <w:contextualSpacing/>
      <w:jc w:val="both"/>
    </w:pPr>
    <w:rPr>
      <w:rFonts w:ascii="Times New Roman" w:eastAsia="Times New Roman" w:hAnsi="Times New Roman" w:cs="Times New Roman"/>
      <w:sz w:val="24"/>
      <w:szCs w:val="20"/>
    </w:rPr>
  </w:style>
  <w:style w:type="character" w:customStyle="1" w:styleId="StyleListBullet2Char">
    <w:name w:val="Style List Bullet 2 + Char"/>
    <w:basedOn w:val="ListBullet2Char"/>
    <w:link w:val="StyleListBullet2"/>
    <w:locked/>
    <w:rPr>
      <w:rFonts w:ascii="Times New Roman" w:eastAsia="Times New Roman" w:hAnsi="Times New Roman" w:cs="Times New Roman"/>
      <w:sz w:val="24"/>
      <w:szCs w:val="20"/>
    </w:rPr>
  </w:style>
  <w:style w:type="paragraph" w:customStyle="1" w:styleId="StyleListBullet2">
    <w:name w:val="Style List Bullet 2 +"/>
    <w:basedOn w:val="ListBullet2"/>
    <w:link w:val="StyleListBullet2Char"/>
  </w:style>
  <w:style w:type="character" w:customStyle="1" w:styleId="StyleStyleBodyTextAfter0ptVerdanaChar">
    <w:name w:val="Style Style Body Text + After:  0 pt + Verdana Char"/>
    <w:basedOn w:val="StyleBodyTextAfter0ptChar"/>
    <w:link w:val="StyleStyleBodyTextAfter0ptVerdana"/>
    <w:locked/>
    <w:rPr>
      <w:rFonts w:ascii="Verdana" w:eastAsia="Times New Roman" w:hAnsi="Verdana" w:cs="Times New Roman"/>
      <w:color w:val="333333"/>
      <w:sz w:val="24"/>
      <w:szCs w:val="20"/>
      <w:lang w:eastAsia="en-GB"/>
    </w:rPr>
  </w:style>
  <w:style w:type="paragraph" w:customStyle="1" w:styleId="StyleStyleBodyTextAfter0ptVerdana">
    <w:name w:val="Style Style Body Text + After:  0 pt + Verdana"/>
    <w:basedOn w:val="StyleBodyTextAfter0pt"/>
    <w:link w:val="StyleStyleBodyTextAfter0ptVerdanaChar"/>
    <w:rPr>
      <w:rFonts w:ascii="Verdana" w:hAnsi="Verdana"/>
      <w:color w:val="333333"/>
      <w:lang w:eastAsia="en-GB"/>
    </w:rPr>
  </w:style>
  <w:style w:type="character" w:customStyle="1" w:styleId="StyleStyleBodyTextAfter0ptVerdanaBoldChar">
    <w:name w:val="Style Style Body Text + After:  0 pt + Verdana Bold Char"/>
    <w:link w:val="StyleStyleBodyTextAfter0ptVerdanaBold"/>
    <w:locked/>
    <w:rPr>
      <w:b/>
      <w:bCs/>
      <w:sz w:val="24"/>
      <w:szCs w:val="24"/>
    </w:rPr>
  </w:style>
  <w:style w:type="paragraph" w:customStyle="1" w:styleId="StyleStyleBodyTextAfter0ptVerdanaBold">
    <w:name w:val="Style Style Body Text + After:  0 pt + Verdana Bold"/>
    <w:basedOn w:val="StyleBodyTextAfter0pt"/>
    <w:link w:val="StyleStyleBodyTextAfter0ptVerdanaBoldChar"/>
    <w:rPr>
      <w:rFonts w:asciiTheme="minorHAnsi" w:eastAsiaTheme="minorHAnsi" w:hAnsiTheme="minorHAnsi" w:cstheme="minorBidi"/>
      <w:b/>
      <w:bCs/>
      <w:szCs w:val="24"/>
    </w:rPr>
  </w:style>
  <w:style w:type="character" w:customStyle="1" w:styleId="StyleStyleBodyTextAfter0ptVerdanaBoldAutoChar">
    <w:name w:val="Style Style Body Text + After:  0 pt + Verdana Bold Auto Char"/>
    <w:link w:val="StyleStyleBodyTextAfter0ptVerdanaBoldAuto"/>
    <w:locked/>
    <w:rPr>
      <w:b/>
      <w:bCs/>
      <w:sz w:val="24"/>
      <w:szCs w:val="24"/>
    </w:rPr>
  </w:style>
  <w:style w:type="paragraph" w:customStyle="1" w:styleId="StyleStyleBodyTextAfter0ptVerdanaBoldAuto">
    <w:name w:val="Style Style Body Text + After:  0 pt + Verdana Bold Auto"/>
    <w:basedOn w:val="StyleBodyTextAfter0pt"/>
    <w:link w:val="StyleStyleBodyTextAfter0ptVerdanaBoldAutoChar"/>
    <w:rPr>
      <w:rFonts w:asciiTheme="minorHAnsi" w:eastAsiaTheme="minorHAnsi" w:hAnsiTheme="minorHAnsi" w:cstheme="minorBidi"/>
      <w:b/>
      <w:bCs/>
      <w:szCs w:val="24"/>
    </w:rPr>
  </w:style>
  <w:style w:type="character" w:customStyle="1" w:styleId="StyleHeading1Gray-80Char">
    <w:name w:val="Style Heading 1 + Gray-80% Char"/>
    <w:basedOn w:val="Heading1Char"/>
    <w:link w:val="StyleHeading1Gray-80"/>
    <w:locked/>
    <w:rPr>
      <w:rFonts w:ascii="Verdana" w:eastAsia="Times New Roman" w:hAnsi="Verdana" w:cs="Arial"/>
      <w:b w:val="0"/>
      <w:bCs/>
      <w:smallCaps/>
      <w:color w:val="263673"/>
      <w:kern w:val="32"/>
      <w:sz w:val="28"/>
      <w:szCs w:val="32"/>
      <w:u w:val="single"/>
      <w:lang w:eastAsia="en-GB"/>
    </w:rPr>
  </w:style>
  <w:style w:type="paragraph" w:customStyle="1" w:styleId="StyleHeading1Gray-80">
    <w:name w:val="Style Heading 1 + Gray-80%"/>
    <w:basedOn w:val="Heading1"/>
    <w:link w:val="StyleHeading1Gray-80Char"/>
    <w:pPr>
      <w:keepNext w:val="0"/>
      <w:widowControl w:val="0"/>
      <w:tabs>
        <w:tab w:val="right" w:leader="dot" w:pos="8640"/>
      </w:tabs>
      <w:autoSpaceDE w:val="0"/>
      <w:autoSpaceDN w:val="0"/>
      <w:adjustRightInd w:val="0"/>
      <w:spacing w:before="120" w:after="60"/>
      <w:ind w:left="0" w:right="720" w:firstLine="0"/>
      <w:jc w:val="left"/>
    </w:pPr>
    <w:rPr>
      <w:rFonts w:ascii="Verdana" w:hAnsi="Verdana" w:cs="Arial"/>
      <w:b w:val="0"/>
      <w:bCs/>
      <w:color w:val="263673"/>
      <w:kern w:val="32"/>
      <w:sz w:val="28"/>
      <w:szCs w:val="32"/>
      <w:u w:val="single"/>
      <w:lang w:eastAsia="en-GB"/>
    </w:rPr>
  </w:style>
  <w:style w:type="paragraph" w:customStyle="1" w:styleId="StyleHeading1Auto">
    <w:name w:val="Style Heading 1 + Auto"/>
    <w:basedOn w:val="Heading1"/>
    <w:pPr>
      <w:keepNext w:val="0"/>
      <w:widowControl w:val="0"/>
      <w:tabs>
        <w:tab w:val="right" w:leader="dot" w:pos="8640"/>
      </w:tabs>
      <w:autoSpaceDE w:val="0"/>
      <w:autoSpaceDN w:val="0"/>
      <w:adjustRightInd w:val="0"/>
      <w:spacing w:before="120" w:after="60"/>
      <w:ind w:left="0" w:right="720" w:firstLine="0"/>
      <w:jc w:val="left"/>
    </w:pPr>
    <w:rPr>
      <w:rFonts w:ascii="Verdana" w:eastAsiaTheme="minorHAnsi" w:hAnsi="Verdana" w:cs="Arial"/>
      <w:bCs/>
      <w:caps/>
      <w:color w:val="263673"/>
      <w:kern w:val="32"/>
      <w:sz w:val="28"/>
      <w:szCs w:val="32"/>
      <w:u w:val="single"/>
      <w:lang w:eastAsia="en-GB"/>
    </w:rPr>
  </w:style>
  <w:style w:type="character" w:customStyle="1" w:styleId="BulletedlistCarattere">
    <w:name w:val="Bulleted list Carattere"/>
    <w:basedOn w:val="ListBullet2Char"/>
    <w:link w:val="Bulletedlist"/>
    <w:locked/>
    <w:rPr>
      <w:rFonts w:ascii="Verdana" w:eastAsia="Times New Roman" w:hAnsi="Verdana" w:cs="Times New Roman"/>
      <w:color w:val="333333"/>
      <w:sz w:val="24"/>
      <w:szCs w:val="24"/>
      <w:lang w:eastAsia="en-GB"/>
    </w:rPr>
  </w:style>
  <w:style w:type="paragraph" w:customStyle="1" w:styleId="Bulletedlist">
    <w:name w:val="Bulleted list"/>
    <w:basedOn w:val="ListBullet2"/>
    <w:link w:val="BulletedlistCarattere"/>
    <w:qFormat/>
    <w:pPr>
      <w:numPr>
        <w:numId w:val="43"/>
      </w:numPr>
      <w:tabs>
        <w:tab w:val="clear" w:pos="227"/>
        <w:tab w:val="num" w:pos="480"/>
        <w:tab w:val="num" w:pos="643"/>
      </w:tabs>
      <w:ind w:left="643" w:hanging="360"/>
    </w:pPr>
    <w:rPr>
      <w:rFonts w:ascii="Verdana" w:hAnsi="Verdana"/>
      <w:color w:val="333333"/>
      <w:szCs w:val="24"/>
      <w:lang w:eastAsia="en-GB"/>
    </w:rPr>
  </w:style>
  <w:style w:type="paragraph" w:customStyle="1" w:styleId="ECHeading1">
    <w:name w:val="EC Heading 1"/>
    <w:basedOn w:val="ListParagraph"/>
    <w:qFormat/>
    <w:pPr>
      <w:numPr>
        <w:numId w:val="41"/>
      </w:numPr>
      <w:tabs>
        <w:tab w:val="num" w:pos="360"/>
      </w:tabs>
      <w:spacing w:before="240" w:after="240" w:line="240" w:lineRule="auto"/>
      <w:ind w:left="720" w:firstLine="0"/>
      <w:contextualSpacing w:val="0"/>
      <w:jc w:val="both"/>
      <w:outlineLvl w:val="0"/>
    </w:pPr>
    <w:rPr>
      <w:rFonts w:ascii="Arial" w:hAnsi="Arial"/>
      <w:color w:val="006BB7"/>
      <w:sz w:val="40"/>
      <w:szCs w:val="24"/>
    </w:rPr>
  </w:style>
  <w:style w:type="paragraph" w:customStyle="1" w:styleId="ECHeading2">
    <w:name w:val="EC Heading 2"/>
    <w:basedOn w:val="ListParagraph"/>
    <w:qFormat/>
    <w:pPr>
      <w:numPr>
        <w:ilvl w:val="1"/>
        <w:numId w:val="41"/>
      </w:numPr>
      <w:tabs>
        <w:tab w:val="num" w:pos="360"/>
      </w:tabs>
      <w:spacing w:before="240" w:after="120" w:line="240" w:lineRule="auto"/>
      <w:ind w:left="720" w:firstLine="0"/>
      <w:contextualSpacing w:val="0"/>
      <w:jc w:val="both"/>
      <w:outlineLvl w:val="1"/>
    </w:pPr>
    <w:rPr>
      <w:rFonts w:ascii="Arial" w:hAnsi="Arial"/>
      <w:color w:val="006BB7"/>
      <w:sz w:val="32"/>
      <w:szCs w:val="24"/>
    </w:rPr>
  </w:style>
  <w:style w:type="paragraph" w:customStyle="1" w:styleId="ECHeading3">
    <w:name w:val="EC Heading 3"/>
    <w:basedOn w:val="ECHeading2"/>
    <w:qFormat/>
    <w:pPr>
      <w:numPr>
        <w:ilvl w:val="2"/>
      </w:numPr>
      <w:tabs>
        <w:tab w:val="num" w:pos="360"/>
      </w:tabs>
      <w:spacing w:before="120"/>
      <w:ind w:left="720" w:firstLine="0"/>
      <w:outlineLvl w:val="2"/>
    </w:pPr>
    <w:rPr>
      <w:sz w:val="24"/>
    </w:rPr>
  </w:style>
  <w:style w:type="paragraph" w:customStyle="1" w:styleId="ECHeading4">
    <w:name w:val="EC Heading 4"/>
    <w:basedOn w:val="ECHeading3"/>
    <w:qFormat/>
    <w:pPr>
      <w:numPr>
        <w:ilvl w:val="3"/>
      </w:numPr>
      <w:tabs>
        <w:tab w:val="num" w:pos="360"/>
      </w:tabs>
      <w:ind w:left="720" w:firstLine="0"/>
      <w:outlineLvl w:val="3"/>
    </w:pPr>
    <w:rPr>
      <w:sz w:val="20"/>
    </w:rPr>
  </w:style>
  <w:style w:type="character" w:customStyle="1" w:styleId="TITOLO1Carattere">
    <w:name w:val="TITOLO 1 Carattere"/>
    <w:basedOn w:val="HeadingChar"/>
    <w:link w:val="TITOLO1"/>
    <w:locked/>
    <w:rPr>
      <w:rFonts w:ascii="Verdana" w:hAnsi="Verdana"/>
      <w:b/>
      <w:caps/>
      <w:u w:val="single"/>
    </w:rPr>
  </w:style>
  <w:style w:type="paragraph" w:customStyle="1" w:styleId="TITOLO1">
    <w:name w:val="TITOLO 1"/>
    <w:basedOn w:val="Heading"/>
    <w:link w:val="TITOLO1Carattere"/>
    <w:pPr>
      <w:spacing w:after="240"/>
    </w:pPr>
  </w:style>
  <w:style w:type="paragraph" w:customStyle="1" w:styleId="BulletText">
    <w:name w:val="Bullet Text"/>
    <w:basedOn w:val="Normal"/>
    <w:qFormat/>
    <w:pPr>
      <w:numPr>
        <w:numId w:val="42"/>
      </w:numPr>
      <w:spacing w:after="120" w:line="240" w:lineRule="auto"/>
      <w:jc w:val="both"/>
    </w:pPr>
    <w:rPr>
      <w:rFonts w:asciiTheme="majorHAnsi" w:eastAsia="Times New Roman" w:hAnsiTheme="majorHAnsi" w:cs="Arial"/>
      <w:sz w:val="24"/>
      <w:szCs w:val="24"/>
    </w:rPr>
  </w:style>
  <w:style w:type="paragraph" w:customStyle="1" w:styleId="sti-art">
    <w:name w:val="sti-art"/>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l-hdr">
    <w:name w:val="tbl-hdr"/>
    <w:basedOn w:val="Normal"/>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Normal2">
    <w:name w:val="Normal2"/>
    <w:basedOn w:val="Normal"/>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tbl-txt">
    <w:name w:val="tbl-txt"/>
    <w:basedOn w:val="Normal"/>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note">
    <w:name w:val="note"/>
    <w:basedOn w:val="Normal"/>
    <w:pPr>
      <w:spacing w:before="60" w:after="60" w:line="240" w:lineRule="auto"/>
      <w:jc w:val="both"/>
    </w:pPr>
    <w:rPr>
      <w:rFonts w:ascii="Times New Roman" w:eastAsia="Times New Roman" w:hAnsi="Times New Roman" w:cs="Times New Roman"/>
      <w:sz w:val="19"/>
      <w:szCs w:val="19"/>
      <w:lang w:val="fr-BE" w:eastAsia="fr-BE"/>
    </w:rPr>
  </w:style>
  <w:style w:type="paragraph" w:customStyle="1" w:styleId="ti-grseq-1">
    <w:name w:val="ti-grseq-1"/>
    <w:basedOn w:val="Normal"/>
    <w:pPr>
      <w:spacing w:before="240" w:after="120" w:line="240" w:lineRule="auto"/>
      <w:jc w:val="both"/>
    </w:pPr>
    <w:rPr>
      <w:rFonts w:ascii="Times New Roman" w:eastAsia="Times New Roman" w:hAnsi="Times New Roman" w:cs="Times New Roman"/>
      <w:b/>
      <w:bCs/>
      <w:sz w:val="24"/>
      <w:szCs w:val="24"/>
      <w:lang w:val="fr-BE" w:eastAsia="fr-BE"/>
    </w:rPr>
  </w:style>
  <w:style w:type="paragraph" w:customStyle="1" w:styleId="xl69">
    <w:name w:val="xl69"/>
    <w:basedOn w:val="Normal"/>
    <w:pPr>
      <w:pBdr>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0">
    <w:name w:val="xl70"/>
    <w:basedOn w:val="Normal"/>
    <w:pPr>
      <w:pBdr>
        <w:left w:val="single" w:sz="8" w:space="0" w:color="FFFFFF"/>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1">
    <w:name w:val="xl71"/>
    <w:basedOn w:val="Normal"/>
    <w:pPr>
      <w:pBdr>
        <w:left w:val="single" w:sz="8" w:space="0" w:color="FFFFFF"/>
        <w:bottom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2">
    <w:name w:val="xl72"/>
    <w:basedOn w:val="Normal"/>
    <w:pPr>
      <w:spacing w:before="100" w:beforeAutospacing="1" w:after="100" w:afterAutospacing="1" w:line="240" w:lineRule="auto"/>
    </w:pPr>
    <w:rPr>
      <w:rFonts w:ascii="Verdana" w:eastAsia="Times New Roman" w:hAnsi="Verdana" w:cs="Times New Roman"/>
      <w:sz w:val="16"/>
      <w:szCs w:val="16"/>
      <w:lang w:val="it-IT" w:eastAsia="it-IT"/>
    </w:rPr>
  </w:style>
  <w:style w:type="paragraph" w:customStyle="1" w:styleId="xl73">
    <w:name w:val="xl73"/>
    <w:basedOn w:val="Normal"/>
    <w:pPr>
      <w:pBdr>
        <w:top w:val="single" w:sz="8" w:space="0" w:color="FFFFFF"/>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4">
    <w:name w:val="xl74"/>
    <w:basedOn w:val="Normal"/>
    <w:pPr>
      <w:pBdr>
        <w:top w:val="single" w:sz="8" w:space="0" w:color="FFFFFF"/>
        <w:left w:val="single" w:sz="8" w:space="0" w:color="FFFFFF"/>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5">
    <w:name w:val="xl75"/>
    <w:basedOn w:val="Normal"/>
    <w:pPr>
      <w:pBdr>
        <w:top w:val="single" w:sz="8" w:space="0" w:color="FFFFFF"/>
        <w:left w:val="single" w:sz="8" w:space="0" w:color="FFFFFF"/>
        <w:bottom w:val="single" w:sz="4" w:space="0" w:color="FFFFFF"/>
        <w:right w:val="single" w:sz="8" w:space="0" w:color="FFFFFF"/>
      </w:pBdr>
      <w:shd w:val="clear" w:color="auto" w:fill="002395"/>
      <w:spacing w:before="100" w:beforeAutospacing="1" w:after="100" w:afterAutospacing="1" w:line="240" w:lineRule="auto"/>
    </w:pPr>
    <w:rPr>
      <w:rFonts w:ascii="Verdana" w:eastAsia="Times New Roman" w:hAnsi="Verdana" w:cs="Times New Roman"/>
      <w:b/>
      <w:bCs/>
      <w:color w:val="FFFFFF"/>
      <w:sz w:val="16"/>
      <w:szCs w:val="16"/>
      <w:lang w:val="it-IT" w:eastAsia="it-IT"/>
    </w:rPr>
  </w:style>
  <w:style w:type="paragraph" w:customStyle="1" w:styleId="xl76">
    <w:name w:val="xl76"/>
    <w:basedOn w:val="Normal"/>
    <w:pPr>
      <w:pBdr>
        <w:top w:val="single" w:sz="8" w:space="0" w:color="FFFFFF"/>
        <w:left w:val="single" w:sz="8" w:space="0" w:color="FFFFFF"/>
        <w:bottom w:val="single" w:sz="4"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7">
    <w:name w:val="xl77"/>
    <w:basedOn w:val="Normal"/>
    <w:pPr>
      <w:pBdr>
        <w:top w:val="single" w:sz="8" w:space="0" w:color="FFFFFF"/>
        <w:left w:val="single" w:sz="8" w:space="0" w:color="FFFFFF"/>
        <w:bottom w:val="single" w:sz="4" w:space="0" w:color="FFFFFF"/>
        <w:right w:val="single" w:sz="8" w:space="0" w:color="FFFFFF"/>
      </w:pBdr>
      <w:shd w:val="clear" w:color="auto" w:fill="002395"/>
      <w:spacing w:before="100" w:beforeAutospacing="1" w:after="100" w:afterAutospacing="1" w:line="240" w:lineRule="auto"/>
    </w:pPr>
    <w:rPr>
      <w:rFonts w:ascii="Verdana" w:eastAsia="Times New Roman" w:hAnsi="Verdana" w:cs="Times New Roman"/>
      <w:b/>
      <w:bCs/>
      <w:color w:val="FFFFFF"/>
      <w:sz w:val="16"/>
      <w:szCs w:val="16"/>
      <w:lang w:val="it-IT" w:eastAsia="it-IT"/>
    </w:rPr>
  </w:style>
  <w:style w:type="paragraph" w:customStyle="1" w:styleId="xl78">
    <w:name w:val="xl78"/>
    <w:basedOn w:val="Normal"/>
    <w:pPr>
      <w:pBdr>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9">
    <w:name w:val="xl79"/>
    <w:basedOn w:val="Normal"/>
    <w:pPr>
      <w:pBdr>
        <w:left w:val="single" w:sz="8" w:space="0" w:color="FFFFFF"/>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80">
    <w:name w:val="xl80"/>
    <w:basedOn w:val="Normal"/>
    <w:pPr>
      <w:pBdr>
        <w:bottom w:val="single" w:sz="4" w:space="0" w:color="FFFFFF"/>
      </w:pBdr>
      <w:spacing w:before="100" w:beforeAutospacing="1" w:after="100" w:afterAutospacing="1" w:line="240" w:lineRule="auto"/>
    </w:pPr>
    <w:rPr>
      <w:rFonts w:ascii="Verdana" w:eastAsia="Times New Roman" w:hAnsi="Verdana" w:cs="Times New Roman"/>
      <w:sz w:val="16"/>
      <w:szCs w:val="16"/>
      <w:lang w:val="it-IT" w:eastAsia="it-IT"/>
    </w:rPr>
  </w:style>
  <w:style w:type="paragraph" w:customStyle="1" w:styleId="xl81">
    <w:name w:val="xl81"/>
    <w:basedOn w:val="Normal"/>
    <w:pPr>
      <w:pBdr>
        <w:left w:val="single" w:sz="8" w:space="0" w:color="FFFFFF"/>
        <w:bottom w:val="single" w:sz="8" w:space="0" w:color="FFFFFF"/>
        <w:right w:val="single" w:sz="8" w:space="0" w:color="FFFFFF"/>
      </w:pBdr>
      <w:shd w:val="clear" w:color="auto" w:fill="F2F2F2"/>
      <w:spacing w:before="100" w:beforeAutospacing="1" w:after="100" w:afterAutospacing="1" w:line="240" w:lineRule="auto"/>
    </w:pPr>
    <w:rPr>
      <w:rFonts w:ascii="Verdana" w:eastAsia="Times New Roman" w:hAnsi="Verdana" w:cs="Times New Roman"/>
      <w:color w:val="000000"/>
      <w:sz w:val="16"/>
      <w:szCs w:val="16"/>
      <w:lang w:val="it-IT" w:eastAsia="it-IT"/>
    </w:rPr>
  </w:style>
  <w:style w:type="paragraph" w:customStyle="1" w:styleId="xl82">
    <w:name w:val="xl82"/>
    <w:basedOn w:val="Normal"/>
    <w:pPr>
      <w:pBdr>
        <w:left w:val="single" w:sz="8" w:space="0" w:color="FFFFFF"/>
        <w:bottom w:val="single" w:sz="8" w:space="0" w:color="FFFFFF"/>
      </w:pBdr>
      <w:shd w:val="clear" w:color="auto" w:fill="F2F2F2"/>
      <w:spacing w:before="100" w:beforeAutospacing="1" w:after="100" w:afterAutospacing="1" w:line="240" w:lineRule="auto"/>
    </w:pPr>
    <w:rPr>
      <w:rFonts w:ascii="Verdana" w:eastAsia="Times New Roman" w:hAnsi="Verdana" w:cs="Times New Roman"/>
      <w:color w:val="000000"/>
      <w:sz w:val="16"/>
      <w:szCs w:val="16"/>
      <w:lang w:val="it-IT" w:eastAsia="it-IT"/>
    </w:rPr>
  </w:style>
  <w:style w:type="paragraph" w:customStyle="1" w:styleId="xl83">
    <w:name w:val="xl83"/>
    <w:basedOn w:val="Normal"/>
    <w:pPr>
      <w:pBdr>
        <w:bottom w:val="single" w:sz="8" w:space="0" w:color="FFFFFF"/>
        <w:right w:val="single" w:sz="8" w:space="0" w:color="FFFFFF"/>
      </w:pBdr>
      <w:shd w:val="clear" w:color="auto" w:fill="F2F2F2"/>
      <w:spacing w:before="100" w:beforeAutospacing="1" w:after="100" w:afterAutospacing="1" w:line="240" w:lineRule="auto"/>
      <w:jc w:val="center"/>
    </w:pPr>
    <w:rPr>
      <w:rFonts w:ascii="Verdana" w:eastAsia="Times New Roman" w:hAnsi="Verdana" w:cs="Times New Roman"/>
      <w:color w:val="000000"/>
      <w:sz w:val="16"/>
      <w:szCs w:val="16"/>
      <w:lang w:val="it-IT" w:eastAsia="it-IT"/>
    </w:rPr>
  </w:style>
  <w:style w:type="paragraph" w:customStyle="1" w:styleId="xl84">
    <w:name w:val="xl84"/>
    <w:basedOn w:val="Normal"/>
    <w:pPr>
      <w:pBdr>
        <w:bottom w:val="single" w:sz="8" w:space="0" w:color="FFFFFF"/>
        <w:right w:val="single" w:sz="8" w:space="0" w:color="FFFFFF"/>
      </w:pBdr>
      <w:shd w:val="clear" w:color="auto" w:fill="F2F2F2"/>
      <w:spacing w:before="100" w:beforeAutospacing="1" w:after="100" w:afterAutospacing="1" w:line="240" w:lineRule="auto"/>
      <w:jc w:val="center"/>
    </w:pPr>
    <w:rPr>
      <w:rFonts w:ascii="Verdana" w:eastAsia="Times New Roman" w:hAnsi="Verdana" w:cs="Times New Roman"/>
      <w:b/>
      <w:bCs/>
      <w:color w:val="000000"/>
      <w:sz w:val="16"/>
      <w:szCs w:val="16"/>
      <w:lang w:val="it-IT" w:eastAsia="it-IT"/>
    </w:rPr>
  </w:style>
  <w:style w:type="paragraph" w:customStyle="1" w:styleId="xl85">
    <w:name w:val="xl85"/>
    <w:basedOn w:val="Normal"/>
    <w:pPr>
      <w:pBdr>
        <w:bottom w:val="single" w:sz="8" w:space="0" w:color="FFFFFF"/>
        <w:right w:val="single" w:sz="8" w:space="0" w:color="FFFFFF"/>
      </w:pBdr>
      <w:shd w:val="clear" w:color="auto" w:fill="F2F2F2"/>
      <w:spacing w:before="100" w:beforeAutospacing="1" w:after="100" w:afterAutospacing="1" w:line="240" w:lineRule="auto"/>
      <w:jc w:val="center"/>
    </w:pPr>
    <w:rPr>
      <w:rFonts w:ascii="Verdana" w:eastAsia="Times New Roman" w:hAnsi="Verdana" w:cs="Times New Roman"/>
      <w:sz w:val="16"/>
      <w:szCs w:val="16"/>
      <w:lang w:val="it-IT" w:eastAsia="it-IT"/>
    </w:rPr>
  </w:style>
  <w:style w:type="paragraph" w:customStyle="1" w:styleId="xl86">
    <w:name w:val="xl86"/>
    <w:basedOn w:val="Normal"/>
    <w:pPr>
      <w:pBdr>
        <w:bottom w:val="single" w:sz="8" w:space="0" w:color="FFFFFF"/>
        <w:right w:val="single" w:sz="8" w:space="0" w:color="FFFFFF"/>
      </w:pBdr>
      <w:shd w:val="clear" w:color="auto" w:fill="F2F2F2"/>
      <w:spacing w:before="100" w:beforeAutospacing="1" w:after="100" w:afterAutospacing="1" w:line="240" w:lineRule="auto"/>
      <w:jc w:val="center"/>
    </w:pPr>
    <w:rPr>
      <w:rFonts w:ascii="Verdana" w:eastAsia="Times New Roman" w:hAnsi="Verdana" w:cs="Times New Roman"/>
      <w:b/>
      <w:bCs/>
      <w:color w:val="000000"/>
      <w:sz w:val="16"/>
      <w:szCs w:val="16"/>
      <w:lang w:val="it-IT" w:eastAsia="it-IT"/>
    </w:rPr>
  </w:style>
  <w:style w:type="paragraph" w:customStyle="1" w:styleId="xl87">
    <w:name w:val="xl87"/>
    <w:basedOn w:val="Normal"/>
    <w:pPr>
      <w:pBdr>
        <w:top w:val="single" w:sz="8" w:space="0" w:color="FFFFFF"/>
        <w:left w:val="single" w:sz="8" w:space="0" w:color="FFFFFF"/>
        <w:bottom w:val="single" w:sz="8" w:space="0" w:color="FFFFFF"/>
      </w:pBdr>
      <w:shd w:val="clear" w:color="auto" w:fill="F2F2F2"/>
      <w:spacing w:before="100" w:beforeAutospacing="1" w:after="100" w:afterAutospacing="1" w:line="240" w:lineRule="auto"/>
    </w:pPr>
    <w:rPr>
      <w:rFonts w:ascii="Verdana" w:eastAsia="Times New Roman" w:hAnsi="Verdana" w:cs="Times New Roman"/>
      <w:color w:val="000000"/>
      <w:sz w:val="16"/>
      <w:szCs w:val="16"/>
      <w:lang w:val="it-IT" w:eastAsia="it-IT"/>
    </w:rPr>
  </w:style>
  <w:style w:type="character" w:styleId="PageNumber">
    <w:name w:val="page number"/>
    <w:unhideWhenUsed/>
    <w:rPr>
      <w:rFonts w:ascii="Verdana" w:hAnsi="Verdana" w:hint="default"/>
      <w:color w:val="333333"/>
      <w:sz w:val="20"/>
    </w:rPr>
  </w:style>
  <w:style w:type="character" w:styleId="EndnoteReference">
    <w:name w:val="endnote reference"/>
    <w:basedOn w:val="DefaultParagraphFont"/>
    <w:uiPriority w:val="99"/>
    <w:semiHidden/>
    <w:unhideWhenUsed/>
    <w:rPr>
      <w:vertAlign w:val="superscript"/>
    </w:rPr>
  </w:style>
  <w:style w:type="paragraph" w:customStyle="1" w:styleId="Heading20">
    <w:name w:val="Heading2"/>
    <w:basedOn w:val="Normal"/>
    <w:link w:val="Heading2Char0"/>
    <w:qFormat/>
    <w:pPr>
      <w:spacing w:after="240" w:line="240" w:lineRule="auto"/>
      <w:jc w:val="both"/>
    </w:pPr>
    <w:rPr>
      <w:rFonts w:ascii="Times New Roman" w:eastAsia="Times New Roman" w:hAnsi="Times New Roman" w:cs="Times New Roman"/>
      <w:sz w:val="24"/>
      <w:szCs w:val="20"/>
    </w:rPr>
  </w:style>
  <w:style w:type="character" w:customStyle="1" w:styleId="Heading2Char0">
    <w:name w:val="Heading2 Char"/>
    <w:link w:val="Heading20"/>
    <w:locked/>
    <w:rPr>
      <w:rFonts w:ascii="Times New Roman" w:eastAsia="Times New Roman" w:hAnsi="Times New Roman" w:cs="Times New Roman"/>
      <w:sz w:val="24"/>
      <w:szCs w:val="20"/>
    </w:rPr>
  </w:style>
  <w:style w:type="character" w:customStyle="1" w:styleId="ListBullet2Char">
    <w:name w:val="List Bullet 2 Char"/>
    <w:link w:val="ListBullet2"/>
    <w:locked/>
    <w:rPr>
      <w:rFonts w:ascii="Times New Roman" w:eastAsia="Times New Roman" w:hAnsi="Times New Roman" w:cs="Times New Roman"/>
      <w:sz w:val="24"/>
      <w:szCs w:val="20"/>
    </w:rPr>
  </w:style>
  <w:style w:type="character" w:customStyle="1" w:styleId="TestocommentoCarattere">
    <w:name w:val="Testo commento Carattere"/>
    <w:uiPriority w:val="99"/>
    <w:rPr>
      <w:rFonts w:ascii="Verdana" w:hAnsi="Verdana" w:hint="default"/>
      <w:color w:val="333333"/>
      <w:lang w:val="en-GB" w:eastAsia="en-GB"/>
    </w:rPr>
  </w:style>
  <w:style w:type="character" w:customStyle="1" w:styleId="Style2Char">
    <w:name w:val="Style2 Char"/>
    <w:rPr>
      <w:rFonts w:ascii="Times New Roman" w:eastAsia="Times New Roman" w:hAnsi="Times New Roman" w:cs="Times New Roman" w:hint="default"/>
      <w:b/>
      <w:bCs w:val="0"/>
      <w:color w:val="4472C4"/>
      <w:sz w:val="26"/>
      <w:szCs w:val="26"/>
    </w:rPr>
  </w:style>
  <w:style w:type="character" w:customStyle="1" w:styleId="Menzione1">
    <w:name w:val="Menzione1"/>
    <w:uiPriority w:val="99"/>
    <w:semiHidden/>
    <w:rPr>
      <w:color w:val="2B579A"/>
      <w:shd w:val="clear" w:color="auto" w:fill="E6E6E6"/>
    </w:rPr>
  </w:style>
  <w:style w:type="character" w:customStyle="1" w:styleId="hps">
    <w:name w:val="hps"/>
  </w:style>
  <w:style w:type="character" w:customStyle="1" w:styleId="tagt">
    <w:name w:val="tag_t"/>
    <w:basedOn w:val="DefaultParagraphFont"/>
  </w:style>
  <w:style w:type="character" w:customStyle="1" w:styleId="tlid-translation">
    <w:name w:val="tlid-translation"/>
    <w:basedOn w:val="DefaultParagraphFont"/>
  </w:style>
  <w:style w:type="character" w:customStyle="1" w:styleId="shorttext">
    <w:name w:val="short_text"/>
    <w:basedOn w:val="DefaultParagraphFont"/>
  </w:style>
  <w:style w:type="character" w:customStyle="1" w:styleId="fontstyle01">
    <w:name w:val="fontstyle01"/>
    <w:basedOn w:val="DefaultParagraphFont"/>
    <w:rPr>
      <w:rFonts w:ascii="ArialMT" w:hAnsi="ArialMT" w:hint="default"/>
      <w:b w:val="0"/>
      <w:bCs w:val="0"/>
      <w:i w:val="0"/>
      <w:iCs w:val="0"/>
      <w:color w:val="000000"/>
      <w:sz w:val="24"/>
      <w:szCs w:val="24"/>
    </w:rPr>
  </w:style>
  <w:style w:type="character" w:customStyle="1" w:styleId="fontstyle21">
    <w:name w:val="fontstyle21"/>
    <w:basedOn w:val="DefaultParagraphFont"/>
    <w:rPr>
      <w:rFonts w:ascii="Arial-ItalicMT" w:hAnsi="Arial-ItalicMT" w:hint="default"/>
      <w:b w:val="0"/>
      <w:bCs w:val="0"/>
      <w:i/>
      <w:iCs/>
      <w:color w:val="000000"/>
      <w:sz w:val="24"/>
      <w:szCs w:val="24"/>
    </w:rPr>
  </w:style>
  <w:style w:type="character" w:customStyle="1" w:styleId="UnresolvedMention1">
    <w:name w:val="Unresolved Mention1"/>
    <w:basedOn w:val="DefaultParagraphFont"/>
    <w:uiPriority w:val="99"/>
    <w:semiHidden/>
    <w:rPr>
      <w:color w:val="605E5C"/>
      <w:shd w:val="clear" w:color="auto" w:fill="E1DFDD"/>
    </w:rPr>
  </w:style>
  <w:style w:type="character" w:customStyle="1" w:styleId="Menzionenonrisolta1">
    <w:name w:val="Menzione non risolta1"/>
    <w:basedOn w:val="DefaultParagraphFont"/>
    <w:uiPriority w:val="99"/>
    <w:semiHidden/>
    <w:rPr>
      <w:color w:val="605E5C"/>
      <w:shd w:val="clear" w:color="auto" w:fill="E1DFDD"/>
    </w:rPr>
  </w:style>
  <w:style w:type="character" w:customStyle="1" w:styleId="Menzionenonrisolta2">
    <w:name w:val="Menzione non risolta2"/>
    <w:basedOn w:val="DefaultParagraphFont"/>
    <w:uiPriority w:val="99"/>
    <w:semiHidden/>
    <w:rPr>
      <w:color w:val="605E5C"/>
      <w:shd w:val="clear" w:color="auto" w:fill="E1DFDD"/>
    </w:rPr>
  </w:style>
  <w:style w:type="character" w:customStyle="1" w:styleId="A8">
    <w:name w:val="A8"/>
    <w:uiPriority w:val="99"/>
    <w:rPr>
      <w:rFonts w:ascii="Corpid E1s SCd Light" w:hAnsi="Corpid E1s SCd Light" w:cs="Corpid E1s SCd Light" w:hint="default"/>
      <w:color w:val="000000"/>
      <w:sz w:val="11"/>
      <w:szCs w:val="11"/>
    </w:rPr>
  </w:style>
  <w:style w:type="character" w:customStyle="1" w:styleId="A9">
    <w:name w:val="A9"/>
    <w:uiPriority w:val="99"/>
    <w:rPr>
      <w:rFonts w:ascii="Corpid E1s SCd Light" w:hAnsi="Corpid E1s SCd Light" w:cs="Corpid E1s SCd Light" w:hint="default"/>
      <w:color w:val="000000"/>
      <w:sz w:val="11"/>
      <w:szCs w:val="11"/>
    </w:rPr>
  </w:style>
  <w:style w:type="character" w:customStyle="1" w:styleId="super">
    <w:name w:val="super"/>
    <w:basedOn w:val="DefaultParagraphFont"/>
  </w:style>
  <w:style w:type="character" w:customStyle="1" w:styleId="italic">
    <w:name w:val="italic"/>
    <w:basedOn w:val="DefaultParagraphFont"/>
    <w:rPr>
      <w:i/>
      <w:iCs/>
    </w:rPr>
  </w:style>
  <w:style w:type="table" w:styleId="TableClassic2">
    <w:name w:val="Table Classic 2"/>
    <w:basedOn w:val="TableNormal"/>
    <w:unhideWhenUsed/>
    <w:pPr>
      <w:spacing w:after="0" w:line="240" w:lineRule="auto"/>
    </w:pPr>
    <w:rPr>
      <w:rFonts w:ascii="Verdana" w:eastAsia="Times New Roman" w:hAnsi="Verdana" w:cs="Times New Roman"/>
      <w:color w:val="333333"/>
      <w:sz w:val="20"/>
      <w:szCs w:val="20"/>
      <w:lang w:val="it-IT" w:eastAsia="it-IT"/>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1">
    <w:name w:val="Table Grid 1"/>
    <w:basedOn w:val="TableNormal"/>
    <w:unhideWhenUsed/>
    <w:pPr>
      <w:spacing w:after="240" w:line="240" w:lineRule="auto"/>
      <w:jc w:val="both"/>
    </w:pPr>
    <w:rPr>
      <w:rFonts w:ascii="Times New Roman" w:eastAsia="Times New Roman" w:hAnsi="Times New Roman" w:cs="Times New Roman"/>
      <w:sz w:val="20"/>
      <w:szCs w:val="20"/>
      <w:lang w:val="nl-BE" w:eastAsia="nl-B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8">
    <w:name w:val="Table Grid 8"/>
    <w:basedOn w:val="TableNormal"/>
    <w:unhideWhenUsed/>
    <w:pPr>
      <w:spacing w:after="0" w:line="240" w:lineRule="auto"/>
      <w:jc w:val="both"/>
    </w:pPr>
    <w:rPr>
      <w:rFonts w:ascii="Times New Roman" w:eastAsia="Times New Roman" w:hAnsi="Times New Roman" w:cs="Times New Roman"/>
      <w:sz w:val="20"/>
      <w:szCs w:val="20"/>
      <w:lang w:val="it-IT" w:eastAsia="it-IT"/>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1">
    <w:name w:val="Table 3D effects 1"/>
    <w:basedOn w:val="TableNormal"/>
    <w:unhideWhenUsed/>
    <w:pPr>
      <w:spacing w:after="0" w:line="240" w:lineRule="auto"/>
    </w:pPr>
    <w:rPr>
      <w:rFonts w:ascii="Verdana" w:eastAsia="Times New Roman" w:hAnsi="Verdana" w:cs="Times New Roman"/>
      <w:color w:val="333333"/>
      <w:sz w:val="20"/>
      <w:szCs w:val="20"/>
      <w:lang w:val="it-IT" w:eastAsia="it-IT"/>
    </w:rPr>
    <w:tblPr>
      <w:tblCellSpacing w:w="14" w:type="dxa"/>
      <w:tblInd w:w="0" w:type="nil"/>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pPr>
      <w:spacing w:after="0" w:line="240" w:lineRule="auto"/>
    </w:pPr>
    <w:rPr>
      <w:rFonts w:ascii="Verdana" w:eastAsia="Times New Roman" w:hAnsi="Verdana" w:cs="Times New Roman"/>
      <w:color w:val="333333"/>
      <w:sz w:val="20"/>
      <w:szCs w:val="20"/>
      <w:lang w:val="it-IT" w:eastAsia="it-IT"/>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nhideWhenUsed/>
    <w:pPr>
      <w:spacing w:after="240" w:line="240" w:lineRule="auto"/>
      <w:jc w:val="both"/>
    </w:pPr>
    <w:rPr>
      <w:rFonts w:ascii="Times New Roman" w:eastAsia="Times New Roman" w:hAnsi="Times New Roman" w:cs="Times New Roman"/>
      <w:sz w:val="20"/>
      <w:szCs w:val="20"/>
      <w:lang w:val="nl-BE" w:eastAsia="nl-BE"/>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pPr>
      <w:spacing w:after="0" w:line="240" w:lineRule="auto"/>
      <w:jc w:val="both"/>
    </w:pPr>
    <w:rPr>
      <w:rFonts w:ascii="Verdana" w:eastAsia="Times New Roman" w:hAnsi="Verdana" w:cs="Times New Roman"/>
      <w:color w:val="333333"/>
      <w:sz w:val="20"/>
      <w:szCs w:val="20"/>
      <w:lang w:val="it-IT" w:eastAsia="it-IT"/>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ColorfulGrid-Accent3">
    <w:name w:val="Colorful Grid Accent 3"/>
    <w:basedOn w:val="TableNormal"/>
    <w:uiPriority w:val="69"/>
    <w:unhideWhenUsed/>
    <w:pPr>
      <w:spacing w:after="0" w:line="240" w:lineRule="auto"/>
    </w:pPr>
    <w:rPr>
      <w:rFonts w:ascii="Verdana" w:eastAsia="Times New Roman" w:hAnsi="Verdana" w:cs="Times New Roman"/>
      <w:sz w:val="18"/>
      <w:szCs w:val="20"/>
      <w:lang w:val="nl-BE" w:eastAsia="nl-B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Tms Rmn" w:hAnsi="Tms Rmn" w:hint="default"/>
        <w:b/>
        <w:bCs/>
        <w:i w:val="0"/>
        <w:iCs w:val="0"/>
        <w:color w:val="FFFFFF"/>
        <w:sz w:val="18"/>
        <w:szCs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Style1">
    <w:name w:val="Style1"/>
    <w:basedOn w:val="TableNormal"/>
    <w:pPr>
      <w:spacing w:after="0" w:line="240" w:lineRule="auto"/>
    </w:pPr>
    <w:rPr>
      <w:rFonts w:ascii="Times New Roman" w:eastAsia="Times New Roman" w:hAnsi="Times New Roman" w:cs="Times New Roman"/>
      <w:sz w:val="20"/>
      <w:szCs w:val="20"/>
      <w:lang w:val="nl-BE" w:eastAsia="nl-BE"/>
    </w:rPr>
    <w:tblPr>
      <w:tblInd w:w="0" w:type="nil"/>
    </w:tblPr>
  </w:style>
  <w:style w:type="table" w:customStyle="1" w:styleId="GridTable4-Accent51">
    <w:name w:val="Grid Table 4 - Accent 51"/>
    <w:basedOn w:val="TableNormal"/>
    <w:uiPriority w:val="49"/>
    <w:pPr>
      <w:spacing w:after="0" w:line="240" w:lineRule="auto"/>
    </w:pPr>
    <w:rPr>
      <w:rFonts w:ascii="Calibri" w:eastAsia="Calibri" w:hAnsi="Calibri" w:cs="Times New Roman"/>
    </w:rPr>
    <w:tblPr>
      <w:tblStyleRowBandSize w:val="1"/>
      <w:tblStyleColBandSize w:val="1"/>
      <w:tblInd w:w="0" w:type="nil"/>
      <w:tblBorders>
        <w:top w:val="single" w:sz="4" w:space="0" w:color="E1DCC0"/>
        <w:left w:val="single" w:sz="4" w:space="0" w:color="E1DCC0"/>
        <w:bottom w:val="single" w:sz="4" w:space="0" w:color="E1DCC0"/>
        <w:right w:val="single" w:sz="4" w:space="0" w:color="E1DCC0"/>
        <w:insideH w:val="single" w:sz="4" w:space="0" w:color="E1DCC0"/>
        <w:insideV w:val="single" w:sz="4" w:space="0" w:color="E1DCC0"/>
      </w:tblBorders>
    </w:tblPr>
    <w:tblStylePr w:type="firstRow">
      <w:rPr>
        <w:b/>
        <w:bCs/>
        <w:color w:val="FFFFFF"/>
      </w:rPr>
      <w:tblPr/>
      <w:tcPr>
        <w:tcBorders>
          <w:top w:val="single" w:sz="4" w:space="0" w:color="CEC597"/>
          <w:left w:val="single" w:sz="4" w:space="0" w:color="CEC597"/>
          <w:bottom w:val="single" w:sz="4" w:space="0" w:color="CEC597"/>
          <w:right w:val="single" w:sz="4" w:space="0" w:color="CEC597"/>
          <w:insideH w:val="nil"/>
          <w:insideV w:val="nil"/>
        </w:tcBorders>
        <w:shd w:val="clear" w:color="auto" w:fill="CEC597"/>
      </w:tcPr>
    </w:tblStylePr>
    <w:tblStylePr w:type="lastRow">
      <w:rPr>
        <w:b/>
        <w:bCs/>
      </w:rPr>
      <w:tblPr/>
      <w:tcPr>
        <w:tcBorders>
          <w:top w:val="double" w:sz="4" w:space="0" w:color="CEC597"/>
        </w:tcBorders>
      </w:tcPr>
    </w:tblStylePr>
    <w:tblStylePr w:type="firstCol">
      <w:rPr>
        <w:b/>
        <w:bCs/>
      </w:rPr>
    </w:tblStylePr>
    <w:tblStylePr w:type="lastCol">
      <w:rPr>
        <w:b/>
        <w:bCs/>
      </w:rPr>
    </w:tblStylePr>
    <w:tblStylePr w:type="band1Vert">
      <w:tblPr/>
      <w:tcPr>
        <w:shd w:val="clear" w:color="auto" w:fill="F5F3EA"/>
      </w:tcPr>
    </w:tblStylePr>
    <w:tblStylePr w:type="band1Horz">
      <w:tblPr/>
      <w:tcPr>
        <w:shd w:val="clear" w:color="auto" w:fill="F5F3EA"/>
      </w:tcPr>
    </w:tblStylePr>
  </w:style>
  <w:style w:type="table" w:customStyle="1" w:styleId="TABELLATRT">
    <w:name w:val="TABELLA_TRT"/>
    <w:basedOn w:val="TableNormal"/>
    <w:uiPriority w:val="99"/>
    <w:qFormat/>
    <w:pPr>
      <w:spacing w:after="0" w:line="240" w:lineRule="auto"/>
    </w:pPr>
    <w:rPr>
      <w:rFonts w:ascii="Calibri" w:eastAsia="Calibri" w:hAnsi="Calibri" w:cs="Times New Roman"/>
      <w:szCs w:val="20"/>
      <w:lang w:val="it-IT" w:eastAsia="it-IT"/>
    </w:rPr>
    <w:tblPr>
      <w:tblInd w:w="0" w:type="nil"/>
      <w:tblBorders>
        <w:insideH w:val="single" w:sz="8" w:space="0" w:color="808080"/>
        <w:insideV w:val="single" w:sz="8" w:space="0" w:color="808080"/>
      </w:tblBorders>
    </w:tblPr>
    <w:tblStylePr w:type="firstRow">
      <w:pPr>
        <w:wordWrap/>
        <w:spacing w:beforeLines="0" w:before="100" w:beforeAutospacing="1" w:afterLines="0" w:after="100" w:afterAutospacing="1"/>
        <w:jc w:val="left"/>
      </w:pPr>
      <w:rPr>
        <w:rFonts w:ascii="Calibri" w:hAnsi="Calibri" w:cs="Calibri" w:hint="default"/>
        <w:b/>
        <w:color w:val="FFFFFF"/>
        <w:sz w:val="22"/>
        <w:szCs w:val="22"/>
      </w:rPr>
      <w:tblPr/>
      <w:tcPr>
        <w:shd w:val="clear" w:color="auto" w:fill="527D55"/>
        <w:vAlign w:val="center"/>
      </w:tcPr>
    </w:tblStylePr>
  </w:style>
  <w:style w:type="paragraph" w:styleId="ListNumber2">
    <w:name w:val="List Number 2"/>
    <w:basedOn w:val="Text2"/>
    <w:unhideWhenUsed/>
    <w:pPr>
      <w:numPr>
        <w:numId w:val="35"/>
      </w:numPr>
      <w:tabs>
        <w:tab w:val="clear" w:pos="1911"/>
        <w:tab w:val="clear" w:pos="2302"/>
        <w:tab w:val="num" w:pos="1191"/>
      </w:tabs>
      <w:ind w:left="1191"/>
    </w:pPr>
    <w:rPr>
      <w:rFonts w:asciiTheme="minorHAnsi" w:eastAsiaTheme="minorHAnsi" w:hAnsiTheme="minorHAnsi" w:cstheme="minorBidi"/>
      <w:szCs w:val="22"/>
    </w:rPr>
  </w:style>
  <w:style w:type="numbering" w:customStyle="1" w:styleId="Style2">
    <w:name w:val="Style2"/>
    <w:pPr>
      <w:numPr>
        <w:numId w:val="43"/>
      </w:numPr>
    </w:pPr>
  </w:style>
  <w:style w:type="character" w:styleId="Emphasis">
    <w:name w:val="Emphasis"/>
    <w:basedOn w:val="DefaultParagraphFont"/>
    <w:uiPriority w:val="20"/>
    <w:qFormat/>
    <w:rPr>
      <w:i/>
      <w:iCs/>
    </w:rPr>
  </w:style>
  <w:style w:type="character" w:customStyle="1" w:styleId="ecl-u-type-capitalize">
    <w:name w:val="ecl-u-type-capitalize"/>
    <w:basedOn w:val="DefaultParagraphFont"/>
  </w:style>
  <w:style w:type="character" w:customStyle="1" w:styleId="eop">
    <w:name w:val="eop"/>
    <w:basedOn w:val="DefaultParagraphFont"/>
  </w:style>
  <w:style w:type="table" w:customStyle="1" w:styleId="LightShading-Accent11">
    <w:name w:val="Light Shading - Accent 11"/>
    <w:basedOn w:val="TableNormal"/>
    <w:next w:val="LightShading-Accent1"/>
    <w:uiPriority w:val="60"/>
    <w:pPr>
      <w:spacing w:before="140" w:after="0" w:line="240" w:lineRule="auto"/>
    </w:pPr>
    <w:rPr>
      <w:rFonts w:ascii="Calibri" w:eastAsia="Calibri" w:hAnsi="Calibri" w:cs="Mangal"/>
      <w:color w:val="4C8DB0"/>
    </w:rPr>
    <w:tblPr>
      <w:tblStyleRowBandSize w:val="1"/>
      <w:tblStyleColBandSize w:val="1"/>
      <w:tblBorders>
        <w:top w:val="single" w:sz="8" w:space="0" w:color="86B3CB"/>
        <w:bottom w:val="single" w:sz="8" w:space="0" w:color="86B3CB"/>
      </w:tblBorders>
    </w:tblPr>
    <w:tblStylePr w:type="firstRow">
      <w:pPr>
        <w:spacing w:before="0" w:after="0" w:line="240" w:lineRule="auto"/>
      </w:pPr>
      <w:rPr>
        <w:b/>
        <w:bCs/>
      </w:rPr>
      <w:tblPr/>
      <w:tcPr>
        <w:tcBorders>
          <w:top w:val="single" w:sz="8" w:space="0" w:color="86B3CB"/>
          <w:left w:val="nil"/>
          <w:bottom w:val="single" w:sz="8" w:space="0" w:color="86B3CB"/>
          <w:right w:val="nil"/>
          <w:insideH w:val="nil"/>
          <w:insideV w:val="nil"/>
        </w:tcBorders>
      </w:tcPr>
    </w:tblStylePr>
    <w:tblStylePr w:type="lastRow">
      <w:pPr>
        <w:spacing w:before="0" w:after="0" w:line="240" w:lineRule="auto"/>
      </w:pPr>
      <w:rPr>
        <w:b/>
        <w:bCs/>
      </w:rPr>
      <w:tblPr/>
      <w:tcPr>
        <w:tcBorders>
          <w:top w:val="single" w:sz="8" w:space="0" w:color="86B3CB"/>
          <w:left w:val="nil"/>
          <w:bottom w:val="single" w:sz="8" w:space="0" w:color="86B3C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CF2"/>
      </w:tcPr>
    </w:tblStylePr>
    <w:tblStylePr w:type="band1Horz">
      <w:tblPr/>
      <w:tcPr>
        <w:tcBorders>
          <w:left w:val="nil"/>
          <w:right w:val="nil"/>
          <w:insideH w:val="nil"/>
          <w:insideV w:val="nil"/>
        </w:tcBorders>
        <w:shd w:val="clear" w:color="auto" w:fill="E0ECF2"/>
      </w:tcPr>
    </w:tblStylePr>
  </w:style>
  <w:style w:type="table" w:styleId="LightShading-Accent1">
    <w:name w:val="Light Shading Accent 1"/>
    <w:basedOn w:val="TableNormal"/>
    <w:uiPriority w:val="60"/>
    <w:semiHidden/>
    <w:unhideWhenUse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LegalNumPar">
    <w:name w:val="LegalNumPar"/>
    <w:basedOn w:val="Normal"/>
    <w:link w:val="LegalNumParChar"/>
    <w:qFormat/>
    <w:pPr>
      <w:spacing w:after="120" w:line="360" w:lineRule="auto"/>
      <w:jc w:val="both"/>
    </w:pPr>
    <w:rPr>
      <w:rFonts w:ascii="Times New Roman" w:eastAsia="Times New Roman" w:hAnsi="Times New Roman" w:cs="Times New Roman"/>
      <w:sz w:val="24"/>
      <w:szCs w:val="20"/>
      <w:lang w:eastAsia="en-GB"/>
    </w:rPr>
  </w:style>
  <w:style w:type="character" w:customStyle="1" w:styleId="LegalNumParChar">
    <w:name w:val="LegalNumPar Char"/>
    <w:basedOn w:val="DefaultParagraphFont"/>
    <w:link w:val="LegalNumPar"/>
    <w:rPr>
      <w:rFonts w:ascii="Times New Roman" w:eastAsia="Times New Roman" w:hAnsi="Times New Roman" w:cs="Times New Roman"/>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uiPriority="98"/>
    <w:lsdException w:name="index heading" w:uiPriority="0"/>
    <w:lsdException w:name="caption" w:uiPriority="35" w:qFormat="1"/>
    <w:lsdException w:name="envelope address" w:uiPriority="0"/>
    <w:lsdException w:name="envelope return" w:uiPriority="0"/>
    <w:lsdException w:name="footnote reference" w:qFormat="1"/>
    <w:lsdException w:name="annotation reference" w:uiPriority="98"/>
    <w:lsdException w:name="page number" w:uiPriority="0"/>
    <w:lsdException w:name="table of authorities" w:uiPriority="0"/>
    <w:lsdException w:name="macro"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lassic 2" w:uiPriority="0"/>
    <w:lsdException w:name="Table Grid 1" w:uiPriority="0"/>
    <w:lsdException w:name="Table Grid 8" w:uiPriority="0"/>
    <w:lsdException w:name="Table 3D effects 1" w:uiPriority="0"/>
    <w:lsdException w:name="Table 3D effects 2" w:uiPriority="0"/>
    <w:lsdException w:name="Table Elegant" w:uiPriority="0"/>
    <w:lsdException w:name="Table Professional"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69"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Headline 1,h1,Titre1,Hoofdstuk,Section Heading,H11,h11,H12,h12,H13,h13,H14,h14,H15,h15,H16,h16,H111,h111,H121,h121,H131,h131,H141,h141,H151,h151,H17,h17,H112,h112,H122,h122,H132,h132,H142,h142,H152,h152,H18,h18,H113,h113,H123,h123,H133,h133"/>
    <w:basedOn w:val="Normal"/>
    <w:next w:val="Text1"/>
    <w:link w:val="Heading1Char"/>
    <w:uiPriority w:val="9"/>
    <w:qFormat/>
    <w:pPr>
      <w:keepNext/>
      <w:numPr>
        <w:numId w:val="55"/>
      </w:numPr>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aliases w:val="Heading Two,h2,(1.1,1.2,1.3 etc),Prophead 2,2,RFP Heading 2,Activit...,Activity,l2,H2,2/1,Heading 21,Paragraaf,cv titles,(SubSection),F4 Heading 2 - SubSection,(Main Heading),ASection,Heading 2 - Main Heading within Document,Major,Outline2"/>
    <w:basedOn w:val="Normal"/>
    <w:next w:val="Text2"/>
    <w:link w:val="Heading2Char"/>
    <w:uiPriority w:val="9"/>
    <w:qFormat/>
    <w:pPr>
      <w:keepNext/>
      <w:numPr>
        <w:ilvl w:val="1"/>
        <w:numId w:val="55"/>
      </w:numPr>
      <w:spacing w:after="240" w:line="240" w:lineRule="auto"/>
      <w:jc w:val="both"/>
      <w:outlineLvl w:val="1"/>
    </w:pPr>
    <w:rPr>
      <w:rFonts w:ascii="Times New Roman" w:eastAsia="Times New Roman" w:hAnsi="Times New Roman" w:cs="Times New Roman"/>
      <w:b/>
      <w:sz w:val="24"/>
      <w:szCs w:val="20"/>
    </w:rPr>
  </w:style>
  <w:style w:type="paragraph" w:styleId="Heading3">
    <w:name w:val="heading 3"/>
    <w:aliases w:val="H3,Subparagraaf,3 bullet,b,Bullet,SECOND,B1,bullet,h3,b1,Second,bullet pt,bill,palatino,blank1,2-HEADER,second,sub1,S1,List 1,heading 3,3,Heading 3 Char1 Char,Heading 3 Char Char Char,Subhead B Char Char Char Char,Heading 3a,ALK_K3,Headline 3"/>
    <w:basedOn w:val="Normal"/>
    <w:next w:val="Normal"/>
    <w:link w:val="Heading3Char"/>
    <w:uiPriority w:val="9"/>
    <w:qFormat/>
    <w:pPr>
      <w:keepNext/>
      <w:numPr>
        <w:ilvl w:val="2"/>
        <w:numId w:val="55"/>
      </w:numPr>
      <w:spacing w:after="240" w:line="240" w:lineRule="auto"/>
      <w:jc w:val="both"/>
      <w:outlineLvl w:val="2"/>
    </w:pPr>
    <w:rPr>
      <w:rFonts w:ascii="Times New Roman" w:eastAsia="Times New Roman" w:hAnsi="Times New Roman" w:cs="Times New Roman"/>
      <w:i/>
      <w:sz w:val="24"/>
      <w:szCs w:val="20"/>
    </w:rPr>
  </w:style>
  <w:style w:type="paragraph" w:styleId="Heading4">
    <w:name w:val="heading 4"/>
    <w:aliases w:val="ALK_K4,NEA4,Kopje,Tussenkop,Ü 4"/>
    <w:basedOn w:val="Normal"/>
    <w:next w:val="Normal"/>
    <w:link w:val="Heading4Char"/>
    <w:qFormat/>
    <w:pPr>
      <w:keepNext/>
      <w:numPr>
        <w:ilvl w:val="3"/>
        <w:numId w:val="55"/>
      </w:numPr>
      <w:spacing w:after="240" w:line="240" w:lineRule="auto"/>
      <w:jc w:val="both"/>
      <w:outlineLvl w:val="3"/>
    </w:pPr>
    <w:rPr>
      <w:rFonts w:ascii="Times New Roman" w:eastAsia="Times New Roman" w:hAnsi="Times New Roman" w:cs="Times New Roman"/>
      <w:sz w:val="24"/>
      <w:szCs w:val="20"/>
    </w:rPr>
  </w:style>
  <w:style w:type="paragraph" w:styleId="Heading5">
    <w:name w:val="heading 5"/>
    <w:basedOn w:val="Normal"/>
    <w:next w:val="Normal"/>
    <w:link w:val="Heading5Char"/>
    <w:unhideWhenUsed/>
    <w:qFormat/>
    <w:pPr>
      <w:numPr>
        <w:ilvl w:val="4"/>
        <w:numId w:val="55"/>
      </w:numPr>
      <w:spacing w:before="240" w:after="60" w:line="240" w:lineRule="auto"/>
      <w:jc w:val="both"/>
      <w:outlineLvl w:val="4"/>
    </w:pPr>
    <w:rPr>
      <w:rFonts w:ascii="Arial" w:eastAsia="Times New Roman" w:hAnsi="Arial" w:cs="Times New Roman"/>
      <w:szCs w:val="20"/>
    </w:rPr>
  </w:style>
  <w:style w:type="paragraph" w:styleId="Heading6">
    <w:name w:val="heading 6"/>
    <w:basedOn w:val="Normal"/>
    <w:next w:val="Normal"/>
    <w:link w:val="Heading6Char"/>
    <w:unhideWhenUsed/>
    <w:qFormat/>
    <w:pPr>
      <w:numPr>
        <w:ilvl w:val="5"/>
        <w:numId w:val="55"/>
      </w:numPr>
      <w:spacing w:before="240" w:after="60" w:line="240" w:lineRule="auto"/>
      <w:jc w:val="both"/>
      <w:outlineLvl w:val="5"/>
    </w:pPr>
    <w:rPr>
      <w:rFonts w:ascii="Arial" w:eastAsia="Times New Roman" w:hAnsi="Arial" w:cs="Times New Roman"/>
      <w:i/>
      <w:szCs w:val="20"/>
    </w:rPr>
  </w:style>
  <w:style w:type="paragraph" w:styleId="Heading7">
    <w:name w:val="heading 7"/>
    <w:basedOn w:val="Normal"/>
    <w:next w:val="Normal"/>
    <w:link w:val="Heading7Char"/>
    <w:unhideWhenUsed/>
    <w:qFormat/>
    <w:pPr>
      <w:numPr>
        <w:ilvl w:val="6"/>
        <w:numId w:val="55"/>
      </w:numPr>
      <w:spacing w:before="240" w:after="60" w:line="240" w:lineRule="auto"/>
      <w:jc w:val="both"/>
      <w:outlineLvl w:val="6"/>
    </w:pPr>
    <w:rPr>
      <w:rFonts w:ascii="Arial" w:eastAsia="Times New Roman" w:hAnsi="Arial" w:cs="Times New Roman"/>
      <w:sz w:val="20"/>
      <w:szCs w:val="20"/>
    </w:rPr>
  </w:style>
  <w:style w:type="paragraph" w:styleId="Heading8">
    <w:name w:val="heading 8"/>
    <w:basedOn w:val="Normal"/>
    <w:next w:val="Normal"/>
    <w:link w:val="Heading8Char"/>
    <w:unhideWhenUsed/>
    <w:qFormat/>
    <w:pPr>
      <w:numPr>
        <w:ilvl w:val="7"/>
        <w:numId w:val="55"/>
      </w:numPr>
      <w:spacing w:before="240" w:after="60" w:line="240" w:lineRule="auto"/>
      <w:jc w:val="both"/>
      <w:outlineLvl w:val="7"/>
    </w:pPr>
    <w:rPr>
      <w:rFonts w:ascii="Arial" w:eastAsia="Times New Roman" w:hAnsi="Arial" w:cs="Times New Roman"/>
      <w:i/>
      <w:sz w:val="20"/>
      <w:szCs w:val="20"/>
    </w:rPr>
  </w:style>
  <w:style w:type="paragraph" w:styleId="Heading9">
    <w:name w:val="heading 9"/>
    <w:basedOn w:val="Normal"/>
    <w:next w:val="Normal"/>
    <w:link w:val="Heading9Char"/>
    <w:unhideWhenUsed/>
    <w:qFormat/>
    <w:pPr>
      <w:numPr>
        <w:ilvl w:val="8"/>
        <w:numId w:val="55"/>
      </w:numPr>
      <w:spacing w:before="240" w:after="60" w:line="240" w:lineRule="auto"/>
      <w:jc w:val="both"/>
      <w:outlineLvl w:val="8"/>
    </w:pPr>
    <w:rPr>
      <w:rFonts w:ascii="Arial" w:eastAsia="Times New Roman" w:hAnsi="Arial" w:cs="Times New Roman"/>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character" w:customStyle="1" w:styleId="Heading1Char">
    <w:name w:val="Heading 1 Char"/>
    <w:aliases w:val="H1 Char,Headline 1 Char,h1 Char,Titre1 Char,Hoofdstuk Char,Section Heading Char,H11 Char,h11 Char,H12 Char,h12 Char,H13 Char,h13 Char,H14 Char,h14 Char,H15 Char,h15 Char,H16 Char,h16 Char,H111 Char,h111 Char,H121 Char,h121 Char,H131 Char"/>
    <w:basedOn w:val="DefaultParagraphFont"/>
    <w:link w:val="Heading1"/>
    <w:uiPriority w:val="9"/>
    <w:rPr>
      <w:rFonts w:ascii="Times New Roman" w:eastAsia="Times New Roman" w:hAnsi="Times New Roman" w:cs="Times New Roman"/>
      <w:b/>
      <w:smallCaps/>
      <w:sz w:val="24"/>
      <w:szCs w:val="20"/>
    </w:rPr>
  </w:style>
  <w:style w:type="character" w:customStyle="1" w:styleId="Heading2Char">
    <w:name w:val="Heading 2 Char"/>
    <w:aliases w:val="Heading Two Char,h2 Char,(1.1 Char,1.2 Char,1.3 etc) Char,Prophead 2 Char,2 Char,RFP Heading 2 Char,Activit... Char,Activity Char,l2 Char,H2 Char,2/1 Char,Heading 21 Char,Paragraaf Char,cv titles Char,(SubSection) Char,(Main Heading) Char"/>
    <w:basedOn w:val="DefaultParagraphFont"/>
    <w:link w:val="Heading2"/>
    <w:uiPriority w:val="9"/>
    <w:rPr>
      <w:rFonts w:ascii="Times New Roman" w:eastAsia="Times New Roman" w:hAnsi="Times New Roman" w:cs="Times New Roman"/>
      <w:b/>
      <w:sz w:val="24"/>
      <w:szCs w:val="20"/>
    </w:rPr>
  </w:style>
  <w:style w:type="character" w:customStyle="1" w:styleId="Heading3Char">
    <w:name w:val="Heading 3 Char"/>
    <w:aliases w:val="H3 Char,Subparagraaf Char,3 bullet Char,b Char,Bullet Char,SECOND Char,B1 Char,bullet Char,h3 Char,b1 Char,Second Char,bullet pt Char,bill Char,palatino Char,blank1 Char,2-HEADER Char,second Char,sub1 Char,S1 Char,List 1 Char,3 Char"/>
    <w:basedOn w:val="DefaultParagraphFont"/>
    <w:link w:val="Heading3"/>
    <w:uiPriority w:val="9"/>
    <w:rPr>
      <w:rFonts w:ascii="Times New Roman" w:eastAsia="Times New Roman" w:hAnsi="Times New Roman" w:cs="Times New Roman"/>
      <w:i/>
      <w:sz w:val="24"/>
      <w:szCs w:val="20"/>
    </w:rPr>
  </w:style>
  <w:style w:type="character" w:customStyle="1" w:styleId="Heading4Char">
    <w:name w:val="Heading 4 Char"/>
    <w:aliases w:val="ALK_K4 Char,NEA4 Char,Kopje Char,Tussenkop Char,Ü 4 Char"/>
    <w:basedOn w:val="DefaultParagraphFont"/>
    <w:link w:val="Heading4"/>
    <w:rPr>
      <w:rFonts w:ascii="Times New Roman" w:eastAsia="Times New Roman" w:hAnsi="Times New Roman" w:cs="Times New Roman"/>
      <w:sz w:val="24"/>
      <w:szCs w:val="20"/>
    </w:rPr>
  </w:style>
  <w:style w:type="paragraph" w:customStyle="1" w:styleId="Text1">
    <w:name w:val="Text 1"/>
    <w:basedOn w:val="Normal"/>
    <w:pPr>
      <w:spacing w:after="240" w:line="240" w:lineRule="auto"/>
      <w:ind w:left="482"/>
      <w:jc w:val="both"/>
    </w:pPr>
    <w:rPr>
      <w:rFonts w:ascii="Times New Roman" w:eastAsia="Times New Roman" w:hAnsi="Times New Roman" w:cs="Times New Roman"/>
      <w:sz w:val="24"/>
      <w:szCs w:val="20"/>
    </w:rPr>
  </w:style>
  <w:style w:type="paragraph" w:customStyle="1" w:styleId="Text2">
    <w:name w:val="Text 2"/>
    <w:basedOn w:val="Normal"/>
    <w:link w:val="Text2Char1"/>
    <w:pPr>
      <w:tabs>
        <w:tab w:val="left" w:pos="2302"/>
      </w:tabs>
      <w:spacing w:after="240" w:line="240" w:lineRule="auto"/>
      <w:ind w:left="1202"/>
      <w:jc w:val="both"/>
    </w:pPr>
    <w:rPr>
      <w:rFonts w:ascii="Times New Roman" w:eastAsia="Times New Roman" w:hAnsi="Times New Roman" w:cs="Times New Roman"/>
      <w:sz w:val="24"/>
      <w:szCs w:val="20"/>
    </w:rPr>
  </w:style>
  <w:style w:type="paragraph" w:styleId="ListBullet">
    <w:name w:val="List Bullet"/>
    <w:basedOn w:val="Normal"/>
    <w:pPr>
      <w:numPr>
        <w:numId w:val="1"/>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Text1"/>
    <w:pPr>
      <w:numPr>
        <w:numId w:val="2"/>
      </w:numPr>
    </w:pPr>
  </w:style>
  <w:style w:type="table" w:styleId="TableGrid">
    <w:name w:val="Table Grid"/>
    <w:aliases w:val="Document Table,CV1,Gena,Tabellengitternetz"/>
    <w:basedOn w:val="TableNormal"/>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
    <w:name w:val="Annex Title"/>
    <w:basedOn w:val="Normal"/>
    <w:next w:val="Normal"/>
    <w:link w:val="AnnexTitleChar"/>
    <w:qFormat/>
    <w:pPr>
      <w:keepNext/>
      <w:spacing w:after="480" w:line="240" w:lineRule="auto"/>
      <w:jc w:val="center"/>
    </w:pPr>
    <w:rPr>
      <w:rFonts w:ascii="Times New Roman" w:eastAsia="Times New Roman" w:hAnsi="Times New Roman" w:cs="Times New Roman"/>
      <w:b/>
      <w:sz w:val="32"/>
      <w:szCs w:val="20"/>
    </w:rPr>
  </w:style>
  <w:style w:type="character" w:customStyle="1" w:styleId="AnnexTitleChar">
    <w:name w:val="Annex Title Char"/>
    <w:basedOn w:val="DefaultParagraphFont"/>
    <w:link w:val="AnnexTitle"/>
    <w:rPr>
      <w:rFonts w:ascii="Times New Roman" w:eastAsia="Times New Roman" w:hAnsi="Times New Roman" w:cs="Times New Roman"/>
      <w:b/>
      <w:sz w:val="32"/>
      <w:szCs w:val="20"/>
    </w:rPr>
  </w:style>
  <w:style w:type="table" w:customStyle="1" w:styleId="CV11">
    <w:name w:val="CV11"/>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3">
    <w:name w:val="CV13"/>
    <w:basedOn w:val="TableNormal"/>
    <w:next w:val="TableGrid"/>
    <w:uiPriority w:val="3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pPr>
      <w:tabs>
        <w:tab w:val="right" w:leader="dot" w:pos="8640"/>
      </w:tabs>
      <w:spacing w:before="120" w:after="120" w:line="240" w:lineRule="auto"/>
      <w:ind w:left="482" w:right="720" w:hanging="482"/>
      <w:jc w:val="both"/>
    </w:pPr>
    <w:rPr>
      <w:rFonts w:ascii="Times New Roman" w:eastAsia="Times New Roman" w:hAnsi="Times New Roman" w:cs="Times New Roman"/>
      <w:caps/>
      <w:sz w:val="20"/>
      <w:szCs w:val="20"/>
    </w:rPr>
  </w:style>
  <w:style w:type="paragraph" w:styleId="TOC2">
    <w:name w:val="toc 2"/>
    <w:basedOn w:val="Normal"/>
    <w:next w:val="Normal"/>
    <w:uiPriority w:val="39"/>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TOCHeading">
    <w:name w:val="TOC Heading"/>
    <w:basedOn w:val="Normal"/>
    <w:next w:val="Normal"/>
    <w:uiPriority w:val="39"/>
    <w:qFormat/>
    <w:pPr>
      <w:keepNext/>
      <w:spacing w:before="240" w:after="240" w:line="240" w:lineRule="auto"/>
      <w:jc w:val="center"/>
    </w:pPr>
    <w:rPr>
      <w:rFonts w:ascii="Times New Roman" w:eastAsia="Times New Roman" w:hAnsi="Times New Roman" w:cs="Times New Roman"/>
      <w:b/>
      <w:sz w:val="24"/>
      <w:szCs w:val="20"/>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paragraph" w:styleId="ListParagraph">
    <w:name w:val="List Paragraph"/>
    <w:aliases w:val="Numbered Para 1,Dot pt,No Spacing1,List Paragraph Char Char Char,Indicator Text,Bullet 1,List Paragraph1,Bullet Points,MAIN CONTENT,List Paragraph12,F5 List Paragraph,Heading 2_sj,1st level - Bullet List Paragraph,Lettre d'introduction,L"/>
    <w:basedOn w:val="Normal"/>
    <w:link w:val="ListParagraphChar"/>
    <w:uiPriority w:val="34"/>
    <w:qFormat/>
    <w:pPr>
      <w:ind w:left="720"/>
      <w:contextualSpacing/>
    </w:p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Pr>
      <w:sz w:val="20"/>
      <w:szCs w:val="20"/>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FR"/>
    <w:basedOn w:val="DefaultParagraphFont"/>
    <w:link w:val="stylish"/>
    <w:uiPriority w:val="99"/>
    <w:unhideWhenUsed/>
    <w:qFormat/>
    <w:rPr>
      <w:vertAlign w:val="superscript"/>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lang w:val="en-IE"/>
    </w:rPr>
  </w:style>
  <w:style w:type="character" w:styleId="CommentReference">
    <w:name w:val="annotation reference"/>
    <w:basedOn w:val="DefaultParagraphFont"/>
    <w:uiPriority w:val="98"/>
    <w:unhideWhenUsed/>
    <w:rPr>
      <w:sz w:val="16"/>
      <w:szCs w:val="16"/>
    </w:rPr>
  </w:style>
  <w:style w:type="paragraph" w:styleId="CommentText">
    <w:name w:val="annotation text"/>
    <w:basedOn w:val="Normal"/>
    <w:link w:val="CommentTextChar"/>
    <w:uiPriority w:val="98"/>
    <w:unhideWhenUsed/>
    <w:pPr>
      <w:spacing w:line="240" w:lineRule="auto"/>
    </w:pPr>
    <w:rPr>
      <w:sz w:val="20"/>
      <w:szCs w:val="20"/>
    </w:rPr>
  </w:style>
  <w:style w:type="character" w:customStyle="1" w:styleId="CommentTextChar">
    <w:name w:val="Comment Text Char"/>
    <w:basedOn w:val="DefaultParagraphFont"/>
    <w:link w:val="CommentText"/>
    <w:uiPriority w:val="98"/>
    <w:rPr>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sz w:val="20"/>
      <w:szCs w:val="20"/>
    </w:rPr>
  </w:style>
  <w:style w:type="character" w:styleId="FollowedHyperlink">
    <w:name w:val="FollowedHyperlink"/>
    <w:basedOn w:val="DefaultParagraphFont"/>
    <w:uiPriority w:val="99"/>
    <w:semiHidden/>
    <w:unhideWhenUsed/>
    <w:rPr>
      <w:color w:val="800080" w:themeColor="followedHyperlink"/>
      <w:u w:val="single"/>
    </w:rPr>
  </w:style>
  <w:style w:type="paragraph" w:styleId="Caption">
    <w:name w:val="caption"/>
    <w:aliases w:val="Tasks,Beschriftung Char2,Beschriftung Char1 Char1,Beschriftung Char Char Char1,Beschriftung Char1 Char Char,Beschriftung Char Char Char Char,Beschriftung Char Char1 Char,Beschriftung Char Char2,Beschriftung Char1 Cha...,Caption Char,Table legend"/>
    <w:basedOn w:val="Normal"/>
    <w:next w:val="Normal"/>
    <w:link w:val="CaptionChar1"/>
    <w:uiPriority w:val="35"/>
    <w:unhideWhenUsed/>
    <w:qFormat/>
    <w:pPr>
      <w:spacing w:line="240" w:lineRule="auto"/>
    </w:pPr>
    <w:rPr>
      <w:i/>
      <w:iCs/>
      <w:color w:val="1F497D" w:themeColor="text2"/>
      <w:sz w:val="18"/>
      <w:szCs w:val="18"/>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highlight">
    <w:name w:val="highlight"/>
    <w:basedOn w:val="DefaultParagraphFont"/>
  </w:style>
  <w:style w:type="paragraph" w:styleId="Revision">
    <w:name w:val="Revision"/>
    <w:hidden/>
    <w:uiPriority w:val="99"/>
    <w:semiHidden/>
    <w:pPr>
      <w:spacing w:after="0" w:line="240" w:lineRule="auto"/>
    </w:pPr>
  </w:style>
  <w:style w:type="paragraph" w:styleId="TOC3">
    <w:name w:val="toc 3"/>
    <w:basedOn w:val="Normal"/>
    <w:next w:val="Normal"/>
    <w:autoRedefine/>
    <w:uiPriority w:val="39"/>
    <w:unhideWhenUsed/>
    <w:qFormat/>
    <w:pPr>
      <w:tabs>
        <w:tab w:val="left" w:pos="1134"/>
        <w:tab w:val="right" w:leader="dot" w:pos="8608"/>
      </w:tabs>
      <w:spacing w:after="100"/>
      <w:ind w:left="440"/>
    </w:pPr>
  </w:style>
  <w:style w:type="table" w:customStyle="1"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pPr>
      <w:spacing w:after="0" w:line="240" w:lineRule="auto"/>
    </w:pPr>
  </w:style>
  <w:style w:type="paragraph" w:customStyle="1" w:styleId="DefaultText">
    <w:name w:val="Default Text"/>
    <w:basedOn w:val="Normal"/>
    <w:link w:val="DefaultTextChar"/>
    <w:qFormat/>
    <w:pPr>
      <w:spacing w:after="0" w:line="280" w:lineRule="atLeast"/>
    </w:pPr>
    <w:rPr>
      <w:rFonts w:ascii="Arial" w:eastAsia="Times New Roman" w:hAnsi="Arial" w:cs="Times New Roman"/>
      <w:sz w:val="18"/>
      <w:szCs w:val="24"/>
      <w:lang w:eastAsia="nl-NL"/>
    </w:rPr>
  </w:style>
  <w:style w:type="character" w:customStyle="1" w:styleId="DefaultTextChar">
    <w:name w:val="Default Text Char"/>
    <w:basedOn w:val="DefaultParagraphFont"/>
    <w:link w:val="DefaultText"/>
    <w:qFormat/>
    <w:rPr>
      <w:rFonts w:ascii="Arial" w:eastAsia="Times New Roman" w:hAnsi="Arial" w:cs="Times New Roman"/>
      <w:sz w:val="18"/>
      <w:szCs w:val="24"/>
      <w:lang w:eastAsia="nl-NL"/>
    </w:rPr>
  </w:style>
  <w:style w:type="paragraph" w:customStyle="1" w:styleId="bronvermelding">
    <w:name w:val="bronvermelding"/>
    <w:basedOn w:val="DefaultText"/>
    <w:next w:val="DefaultText"/>
    <w:pPr>
      <w:spacing w:line="200" w:lineRule="atLeast"/>
    </w:pPr>
    <w:rPr>
      <w:sz w:val="14"/>
    </w:rPr>
  </w:style>
  <w:style w:type="table" w:customStyle="1" w:styleId="Mainbidtables">
    <w:name w:val="Main bid tables"/>
    <w:basedOn w:val="TableNormal"/>
    <w:uiPriority w:val="99"/>
    <w:pPr>
      <w:spacing w:before="60" w:after="0" w:line="240" w:lineRule="auto"/>
    </w:pPr>
    <w:rPr>
      <w:rFonts w:ascii="Arial" w:eastAsia="Times New Roman" w:hAnsi="Arial" w:cs="Times New Roman"/>
      <w:sz w:val="20"/>
      <w:szCs w:val="20"/>
      <w:lang w:eastAsia="en-GB"/>
    </w:rPr>
    <w:tblPr>
      <w:tblStyleRowBandSize w:val="1"/>
      <w:tblStyleColBandSize w:val="1"/>
      <w:tblBorders>
        <w:left w:val="single" w:sz="4" w:space="0" w:color="0055A0"/>
        <w:bottom w:val="single" w:sz="4" w:space="0" w:color="0055A0"/>
        <w:right w:val="single" w:sz="4" w:space="0" w:color="0055A0"/>
        <w:insideV w:val="single" w:sz="4" w:space="0" w:color="0055A0"/>
      </w:tblBorders>
    </w:tblPr>
    <w:tcPr>
      <w:vAlign w:val="center"/>
    </w:tcPr>
    <w:tblStylePr w:type="firstRow">
      <w:rPr>
        <w:color w:val="FFFFFF" w:themeColor="background1"/>
      </w:rPr>
      <w:tblPr/>
      <w:tcPr>
        <w:tcBorders>
          <w:top w:val="nil"/>
          <w:left w:val="single" w:sz="4" w:space="0" w:color="0055A0"/>
          <w:bottom w:val="nil"/>
          <w:right w:val="single" w:sz="4" w:space="0" w:color="0055A0"/>
          <w:insideH w:val="nil"/>
          <w:insideV w:val="nil"/>
          <w:tl2br w:val="nil"/>
          <w:tr2bl w:val="nil"/>
        </w:tcBorders>
        <w:shd w:val="clear" w:color="auto" w:fill="006BB7"/>
      </w:tcPr>
    </w:tblStylePr>
    <w:tblStylePr w:type="band1Vert">
      <w:pPr>
        <w:jc w:val="left"/>
      </w:pPr>
      <w:tblPr/>
      <w:tcPr>
        <w:shd w:val="clear" w:color="auto" w:fill="F5F9FC"/>
      </w:tcPr>
    </w:tblStylePr>
    <w:tblStylePr w:type="band1Horz">
      <w:tblPr/>
      <w:tcPr>
        <w:shd w:val="clear" w:color="auto" w:fill="EDF3F7"/>
      </w:tcPr>
    </w:tblStylePr>
    <w:tblStylePr w:type="band2Horz">
      <w:tblPr/>
      <w:tcPr>
        <w:tcBorders>
          <w:insideV w:val="single" w:sz="4" w:space="0" w:color="0055A0"/>
        </w:tcBorders>
        <w:shd w:val="clear" w:color="auto" w:fill="FFFFFF" w:themeFill="background1"/>
      </w:tcPr>
    </w:tblStylePr>
  </w:style>
  <w:style w:type="table" w:customStyle="1" w:styleId="GridTable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style-blauw-100-outline">
    <w:name w:val="table-style-blauw-100-outline"/>
    <w:basedOn w:val="TableNormal"/>
    <w:pPr>
      <w:spacing w:after="0" w:line="280" w:lineRule="atLeast"/>
    </w:pPr>
    <w:rPr>
      <w:rFonts w:ascii="Arial" w:eastAsia="Times New Roman" w:hAnsi="Arial" w:cs="Times New Roman"/>
      <w:color w:val="000000"/>
      <w:sz w:val="16"/>
      <w:szCs w:val="20"/>
      <w:lang w:val="nl-NL" w:eastAsia="nl-NL"/>
    </w:rPr>
    <w:tblPr>
      <w:tblStyleRowBandSize w:val="1"/>
      <w:tblBorders>
        <w:top w:val="single" w:sz="6" w:space="0" w:color="006DB6"/>
        <w:left w:val="single" w:sz="6" w:space="0" w:color="006DB6"/>
        <w:bottom w:val="single" w:sz="6" w:space="0" w:color="006DB6"/>
        <w:right w:val="single" w:sz="6" w:space="0" w:color="006DB6"/>
        <w:insideV w:val="single" w:sz="6" w:space="0" w:color="006DB6"/>
      </w:tblBorders>
    </w:tblPr>
    <w:tblStylePr w:type="firstRow">
      <w:pPr>
        <w:keepNext/>
        <w:keepLines/>
        <w:wordWrap/>
      </w:pPr>
      <w:rPr>
        <w:rFonts w:ascii="Arial" w:hAnsi="Arial"/>
        <w:b/>
        <w:i w:val="0"/>
        <w:color w:val="FFFFFF"/>
        <w:sz w:val="16"/>
      </w:rPr>
      <w:tblPr/>
      <w:tcPr>
        <w:tcBorders>
          <w:top w:val="single" w:sz="6" w:space="0" w:color="006DB6"/>
          <w:left w:val="single" w:sz="6" w:space="0" w:color="006DB6"/>
          <w:bottom w:val="single" w:sz="6" w:space="0" w:color="006DB6"/>
          <w:right w:val="single" w:sz="6" w:space="0" w:color="006DB6"/>
          <w:insideH w:val="nil"/>
          <w:insideV w:val="nil"/>
          <w:tl2br w:val="nil"/>
          <w:tr2bl w:val="nil"/>
        </w:tcBorders>
        <w:shd w:val="solid" w:color="006DB6" w:fill="006DB6"/>
      </w:tcPr>
    </w:tblStylePr>
    <w:tblStylePr w:type="band1Horz">
      <w:tblPr/>
      <w:tcPr>
        <w:tcBorders>
          <w:top w:val="single" w:sz="4" w:space="0" w:color="A6A6A6" w:themeColor="background1" w:themeShade="A6"/>
        </w:tcBorders>
      </w:tcPr>
    </w:tblStylePr>
    <w:tblStylePr w:type="band2Horz">
      <w:tblPr/>
      <w:tcPr>
        <w:tcBorders>
          <w:top w:val="single" w:sz="4" w:space="0" w:color="A6A6A6" w:themeColor="background1" w:themeShade="A6"/>
        </w:tcBorders>
      </w:tcPr>
    </w:tblStylePr>
  </w:style>
  <w:style w:type="character" w:customStyle="1" w:styleId="num">
    <w:name w:val="num"/>
    <w:basedOn w:val="DefaultParagraphFont"/>
  </w:style>
  <w:style w:type="paragraph" w:customStyle="1" w:styleId="li">
    <w:name w:val="li"/>
    <w:basedOn w:val="Normal"/>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table-text">
    <w:name w:val="table-text"/>
    <w:basedOn w:val="DefaultText"/>
    <w:link w:val="table-textChar"/>
    <w:rPr>
      <w:sz w:val="16"/>
    </w:rPr>
  </w:style>
  <w:style w:type="character" w:customStyle="1" w:styleId="table-textChar">
    <w:name w:val="table-text Char"/>
    <w:link w:val="table-text"/>
    <w:locked/>
    <w:rPr>
      <w:rFonts w:ascii="Arial" w:eastAsia="Times New Roman" w:hAnsi="Arial" w:cs="Times New Roman"/>
      <w:sz w:val="16"/>
      <w:szCs w:val="24"/>
      <w:lang w:eastAsia="nl-NL"/>
    </w:rPr>
  </w:style>
  <w:style w:type="character" w:customStyle="1" w:styleId="normaltextrun">
    <w:name w:val="normaltextrun"/>
    <w:basedOn w:val="DefaultParagraphFont"/>
  </w:style>
  <w:style w:type="paragraph" w:customStyle="1" w:styleId="stylish">
    <w:name w:val="stylish"/>
    <w:aliases w:val="Footnote,Times 10 Point,Exposant 3 Point,de nota al pie,F"/>
    <w:basedOn w:val="Normal"/>
    <w:link w:val="FootnoteReference"/>
    <w:uiPriority w:val="99"/>
    <w:pPr>
      <w:spacing w:after="160" w:line="240" w:lineRule="exact"/>
    </w:pPr>
    <w:rPr>
      <w:vertAlign w:val="superscript"/>
    </w:rPr>
  </w:style>
  <w:style w:type="character" w:customStyle="1" w:styleId="ListParagraphChar">
    <w:name w:val="List Paragraph Char"/>
    <w:aliases w:val="Numbered Para 1 Char,Dot pt Char,No Spacing1 Char,List Paragraph Char Char Char Char,Indicator Text Char,Bullet 1 Char,List Paragraph1 Char,Bullet Points Char,MAIN CONTENT Char,List Paragraph12 Char,F5 List Paragraph Char,L Char"/>
    <w:basedOn w:val="DefaultParagraphFont"/>
    <w:link w:val="ListParagraph"/>
    <w:uiPriority w:val="34"/>
    <w:qFormat/>
    <w:locked/>
  </w:style>
  <w:style w:type="paragraph" w:customStyle="1" w:styleId="bullettext0">
    <w:name w:val="bullet text"/>
    <w:basedOn w:val="Normal"/>
    <w:link w:val="bullettextChar"/>
    <w:qFormat/>
    <w:pPr>
      <w:spacing w:before="120" w:after="120" w:line="240" w:lineRule="auto"/>
      <w:ind w:left="720" w:hanging="360"/>
      <w:jc w:val="both"/>
    </w:pPr>
    <w:rPr>
      <w:rFonts w:ascii="Arial" w:eastAsia="Times New Roman" w:hAnsi="Arial" w:cs="Times New Roman"/>
      <w:noProof/>
      <w:szCs w:val="24"/>
    </w:rPr>
  </w:style>
  <w:style w:type="character" w:customStyle="1" w:styleId="bullettextChar">
    <w:name w:val="bullet text Char"/>
    <w:basedOn w:val="DefaultParagraphFont"/>
    <w:link w:val="bullettext0"/>
    <w:rPr>
      <w:rFonts w:ascii="Arial" w:eastAsia="Times New Roman" w:hAnsi="Arial" w:cs="Times New Roman"/>
      <w:noProof/>
      <w:szCs w:val="24"/>
    </w:rPr>
  </w:style>
  <w:style w:type="character" w:customStyle="1" w:styleId="Heading5Char">
    <w:name w:val="Heading 5 Char"/>
    <w:basedOn w:val="DefaultParagraphFont"/>
    <w:link w:val="Heading5"/>
    <w:rPr>
      <w:rFonts w:ascii="Arial" w:eastAsia="Times New Roman" w:hAnsi="Arial" w:cs="Times New Roman"/>
      <w:szCs w:val="20"/>
    </w:rPr>
  </w:style>
  <w:style w:type="character" w:customStyle="1" w:styleId="Heading6Char">
    <w:name w:val="Heading 6 Char"/>
    <w:basedOn w:val="DefaultParagraphFont"/>
    <w:link w:val="Heading6"/>
    <w:rPr>
      <w:rFonts w:ascii="Arial" w:eastAsia="Times New Roman" w:hAnsi="Arial" w:cs="Times New Roman"/>
      <w:i/>
      <w:szCs w:val="20"/>
    </w:rPr>
  </w:style>
  <w:style w:type="character" w:customStyle="1" w:styleId="Heading7Char">
    <w:name w:val="Heading 7 Char"/>
    <w:basedOn w:val="DefaultParagraphFont"/>
    <w:link w:val="Heading7"/>
    <w:rPr>
      <w:rFonts w:ascii="Arial" w:eastAsia="Times New Roman" w:hAnsi="Arial" w:cs="Times New Roman"/>
      <w:sz w:val="20"/>
      <w:szCs w:val="20"/>
    </w:rPr>
  </w:style>
  <w:style w:type="character" w:customStyle="1" w:styleId="Heading8Char">
    <w:name w:val="Heading 8 Char"/>
    <w:basedOn w:val="DefaultParagraphFont"/>
    <w:link w:val="Heading8"/>
    <w:rPr>
      <w:rFonts w:ascii="Arial" w:eastAsia="Times New Roman" w:hAnsi="Arial" w:cs="Times New Roman"/>
      <w:i/>
      <w:sz w:val="20"/>
      <w:szCs w:val="20"/>
    </w:rPr>
  </w:style>
  <w:style w:type="character" w:customStyle="1" w:styleId="Heading9Char">
    <w:name w:val="Heading 9 Char"/>
    <w:basedOn w:val="DefaultParagraphFont"/>
    <w:link w:val="Heading9"/>
    <w:rPr>
      <w:rFonts w:ascii="Arial" w:eastAsia="Times New Roman" w:hAnsi="Arial" w:cs="Times New Roman"/>
      <w:i/>
      <w:sz w:val="18"/>
      <w:szCs w:val="20"/>
    </w:rPr>
  </w:style>
  <w:style w:type="paragraph" w:styleId="Date">
    <w:name w:val="Date"/>
    <w:basedOn w:val="Normal"/>
    <w:next w:val="Normal"/>
    <w:link w:val="DateChar"/>
    <w:pPr>
      <w:spacing w:after="0" w:line="264" w:lineRule="auto"/>
      <w:ind w:left="5102" w:right="-567"/>
      <w:jc w:val="both"/>
    </w:pPr>
    <w:rPr>
      <w:rFonts w:ascii="Times New Roman" w:eastAsia="Times New Roman" w:hAnsi="Times New Roman" w:cs="Times New Roman"/>
      <w:szCs w:val="20"/>
      <w:lang w:eastAsia="en-GB"/>
    </w:rPr>
  </w:style>
  <w:style w:type="character" w:customStyle="1" w:styleId="DateChar">
    <w:name w:val="Date Char"/>
    <w:basedOn w:val="DefaultParagraphFont"/>
    <w:link w:val="Date"/>
    <w:rPr>
      <w:rFonts w:ascii="Times New Roman" w:eastAsia="Times New Roman" w:hAnsi="Times New Roman" w:cs="Times New Roman"/>
      <w:szCs w:val="20"/>
      <w:lang w:eastAsia="en-GB"/>
    </w:rPr>
  </w:style>
  <w:style w:type="character" w:customStyle="1" w:styleId="CaptionChar1">
    <w:name w:val="Caption Char1"/>
    <w:aliases w:val="Tasks Char,Beschriftung Char2 Char,Beschriftung Char1 Char1 Char,Beschriftung Char Char Char1 Char,Beschriftung Char1 Char Char Char,Beschriftung Char Char Char Char Char,Beschriftung Char Char1 Char Char,Beschriftung Char Char2 Char"/>
    <w:link w:val="Caption"/>
    <w:uiPriority w:val="35"/>
    <w:locked/>
    <w:rPr>
      <w:i/>
      <w:iCs/>
      <w:color w:val="1F497D" w:themeColor="text2"/>
      <w:sz w:val="18"/>
      <w:szCs w:val="18"/>
    </w:rPr>
  </w:style>
  <w:style w:type="paragraph" w:customStyle="1" w:styleId="Body">
    <w:name w:val="Body"/>
    <w:basedOn w:val="Normal"/>
    <w:link w:val="BodyChar"/>
    <w:qFormat/>
    <w:pPr>
      <w:spacing w:after="240" w:line="240" w:lineRule="auto"/>
      <w:jc w:val="both"/>
    </w:pPr>
    <w:rPr>
      <w:rFonts w:ascii="Verdana" w:eastAsia="Times New Roman" w:hAnsi="Verdana" w:cs="Times New Roman"/>
      <w:sz w:val="20"/>
      <w:szCs w:val="20"/>
    </w:rPr>
  </w:style>
  <w:style w:type="character" w:customStyle="1" w:styleId="BodyChar">
    <w:name w:val="Body Char"/>
    <w:link w:val="Body"/>
    <w:rPr>
      <w:rFonts w:ascii="Verdana" w:eastAsia="Times New Roman" w:hAnsi="Verdana" w:cs="Times New Roman"/>
      <w:sz w:val="20"/>
      <w:szCs w:val="20"/>
    </w:rPr>
  </w:style>
  <w:style w:type="paragraph" w:customStyle="1" w:styleId="footnote">
    <w:name w:val="footnote"/>
    <w:basedOn w:val="FootnoteText"/>
    <w:link w:val="footnoteChar"/>
    <w:qFormat/>
    <w:pPr>
      <w:jc w:val="both"/>
    </w:pPr>
    <w:rPr>
      <w:rFonts w:ascii="Times New Roman" w:eastAsia="Times New Roman" w:hAnsi="Times New Roman" w:cs="Times New Roman"/>
      <w:sz w:val="16"/>
      <w:szCs w:val="16"/>
      <w:lang w:eastAsia="en-GB"/>
    </w:rPr>
  </w:style>
  <w:style w:type="character" w:customStyle="1" w:styleId="footnoteChar">
    <w:name w:val="footnote Char"/>
    <w:link w:val="footnote"/>
    <w:rPr>
      <w:rFonts w:ascii="Times New Roman" w:eastAsia="Times New Roman" w:hAnsi="Times New Roman" w:cs="Times New Roman"/>
      <w:sz w:val="16"/>
      <w:szCs w:val="16"/>
      <w:lang w:eastAsia="en-GB"/>
    </w:rPr>
  </w:style>
  <w:style w:type="paragraph" w:customStyle="1" w:styleId="Source">
    <w:name w:val="Source"/>
    <w:basedOn w:val="Normal"/>
    <w:link w:val="SourceChar"/>
    <w:qFormat/>
    <w:pPr>
      <w:spacing w:after="120" w:line="264" w:lineRule="auto"/>
      <w:jc w:val="right"/>
    </w:pPr>
    <w:rPr>
      <w:rFonts w:eastAsia="Times New Roman" w:cstheme="minorHAnsi"/>
      <w:i/>
      <w:noProof/>
      <w:color w:val="000000" w:themeColor="text1"/>
      <w:sz w:val="20"/>
      <w:szCs w:val="18"/>
      <w:lang w:val="fr-BE" w:eastAsia="en-GB"/>
    </w:rPr>
  </w:style>
  <w:style w:type="character" w:customStyle="1" w:styleId="SourceChar">
    <w:name w:val="Source Char"/>
    <w:basedOn w:val="DefaultParagraphFont"/>
    <w:link w:val="Source"/>
    <w:rPr>
      <w:rFonts w:eastAsia="Times New Roman" w:cstheme="minorHAnsi"/>
      <w:i/>
      <w:noProof/>
      <w:color w:val="000000" w:themeColor="text1"/>
      <w:sz w:val="20"/>
      <w:szCs w:val="18"/>
      <w:lang w:val="fr-BE" w:eastAsia="en-GB"/>
    </w:rPr>
  </w:style>
  <w:style w:type="paragraph" w:styleId="ListBullet5">
    <w:name w:val="List Bullet 5"/>
    <w:basedOn w:val="Normal"/>
    <w:autoRedefine/>
    <w:pPr>
      <w:numPr>
        <w:numId w:val="19"/>
      </w:numPr>
      <w:spacing w:after="240" w:line="240" w:lineRule="auto"/>
      <w:jc w:val="both"/>
    </w:pPr>
    <w:rPr>
      <w:rFonts w:ascii="Times New Roman" w:eastAsia="Times New Roman" w:hAnsi="Times New Roman" w:cs="Times New Roman"/>
      <w:sz w:val="24"/>
      <w:szCs w:val="20"/>
    </w:rPr>
  </w:style>
  <w:style w:type="character" w:customStyle="1" w:styleId="Bulletpoint1Char">
    <w:name w:val="Bullet point1 Char"/>
    <w:basedOn w:val="DefaultParagraphFont"/>
    <w:link w:val="Bulletpoint1"/>
    <w:locked/>
    <w:rPr>
      <w:rFonts w:ascii="Verdana" w:hAnsi="Verdana"/>
    </w:rPr>
  </w:style>
  <w:style w:type="paragraph" w:customStyle="1" w:styleId="Bulletpoint1">
    <w:name w:val="Bullet point1"/>
    <w:basedOn w:val="NormalIndent"/>
    <w:link w:val="Bulletpoint1Char"/>
    <w:qFormat/>
    <w:pPr>
      <w:numPr>
        <w:numId w:val="20"/>
      </w:numPr>
      <w:spacing w:after="0" w:line="240" w:lineRule="auto"/>
      <w:jc w:val="both"/>
    </w:pPr>
    <w:rPr>
      <w:rFonts w:ascii="Verdana" w:hAnsi="Verdana"/>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pPr>
      <w:spacing w:after="160" w:line="240" w:lineRule="exact"/>
      <w:jc w:val="both"/>
    </w:pPr>
    <w:rPr>
      <w:vertAlign w:val="superscript"/>
    </w:rPr>
  </w:style>
  <w:style w:type="paragraph" w:styleId="NormalIndent">
    <w:name w:val="Normal Indent"/>
    <w:basedOn w:val="Normal"/>
    <w:link w:val="NormalIndentChar"/>
    <w:unhideWhenUsed/>
    <w:pPr>
      <w:ind w:left="720"/>
    </w:pPr>
  </w:style>
  <w:style w:type="character" w:styleId="PlaceholderText">
    <w:name w:val="Placeholder Text"/>
    <w:basedOn w:val="DefaultParagraphFont"/>
    <w:uiPriority w:val="99"/>
    <w:semiHidden/>
    <w:rPr>
      <w:color w:val="808080"/>
    </w:rPr>
  </w:style>
  <w:style w:type="character" w:customStyle="1" w:styleId="sub">
    <w:name w:val="sub"/>
    <w:basedOn w:val="DefaultParagraphFont"/>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table" w:customStyle="1" w:styleId="ListTable2Accent1">
    <w:name w:val="List Table 2 Accent 1"/>
    <w:basedOn w:val="TableNormal"/>
    <w:uiPriority w:val="47"/>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
    <w:name w:val="Grid Table 3 Accent 1"/>
    <w:basedOn w:val="TableNormal"/>
    <w:uiPriority w:val="4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Title1">
    <w:name w:val="Title 1"/>
    <w:basedOn w:val="Normal"/>
    <w:link w:val="Title1Char"/>
    <w:qFormat/>
    <w:pPr>
      <w:keepNext/>
      <w:numPr>
        <w:numId w:val="22"/>
      </w:numPr>
      <w:spacing w:before="120" w:after="120" w:line="240" w:lineRule="auto"/>
      <w:jc w:val="both"/>
    </w:pPr>
    <w:rPr>
      <w:rFonts w:ascii="Arial" w:eastAsia="Times New Roman" w:hAnsi="Arial" w:cs="Times New Roman"/>
      <w:color w:val="325BAA"/>
      <w:sz w:val="32"/>
      <w:szCs w:val="32"/>
    </w:rPr>
  </w:style>
  <w:style w:type="character" w:customStyle="1" w:styleId="Title1Char">
    <w:name w:val="Title 1 Char"/>
    <w:link w:val="Title1"/>
    <w:rPr>
      <w:rFonts w:ascii="Arial" w:eastAsia="Times New Roman" w:hAnsi="Arial" w:cs="Times New Roman"/>
      <w:color w:val="325BAA"/>
      <w:sz w:val="32"/>
      <w:szCs w:val="32"/>
    </w:rPr>
  </w:style>
  <w:style w:type="character" w:customStyle="1" w:styleId="FootnotetextChar1">
    <w:name w:val="Footnote text Char1"/>
    <w:aliases w:val="Footnote Text Char Char Char Char Char2,Footnote Text Char Char Char2,Footnote Text Char Char Char Char Char Char1,Footnote Text Char Char Char Char Char Char Char Char Char1,Footnote Text Char Char Char Char2"/>
    <w:basedOn w:val="DefaultParagraphFont"/>
    <w:uiPriority w:val="99"/>
    <w:semiHidden/>
    <w:rPr>
      <w:rFonts w:ascii="Times New Roman" w:eastAsia="Times New Roman" w:hAnsi="Times New Roman" w:cs="Times New Roman"/>
      <w:sz w:val="20"/>
      <w:szCs w:val="20"/>
    </w:rPr>
  </w:style>
  <w:style w:type="paragraph" w:customStyle="1" w:styleId="Text3">
    <w:name w:val="Text 3"/>
    <w:basedOn w:val="Normal"/>
    <w:pPr>
      <w:tabs>
        <w:tab w:val="left" w:pos="2302"/>
      </w:tabs>
      <w:spacing w:after="240" w:line="240" w:lineRule="auto"/>
      <w:ind w:left="1202"/>
      <w:jc w:val="both"/>
    </w:pPr>
    <w:rPr>
      <w:rFonts w:ascii="Times New Roman" w:eastAsia="Times New Roman" w:hAnsi="Times New Roman" w:cs="Times New Roman"/>
      <w:sz w:val="24"/>
      <w:szCs w:val="20"/>
    </w:rPr>
  </w:style>
  <w:style w:type="paragraph" w:customStyle="1" w:styleId="Text4">
    <w:name w:val="Text 4"/>
    <w:basedOn w:val="Normal"/>
    <w:pPr>
      <w:tabs>
        <w:tab w:val="left" w:pos="2302"/>
      </w:tabs>
      <w:spacing w:after="240" w:line="240" w:lineRule="auto"/>
      <w:ind w:left="1202"/>
      <w:jc w:val="both"/>
    </w:pPr>
    <w:rPr>
      <w:rFonts w:ascii="Times New Roman" w:eastAsia="Times New Roman" w:hAnsi="Times New Roman" w:cs="Times New Roman"/>
      <w:sz w:val="24"/>
      <w:szCs w:val="20"/>
    </w:rPr>
  </w:style>
  <w:style w:type="character" w:styleId="Strong">
    <w:name w:val="Strong"/>
    <w:basedOn w:val="DefaultParagraphFont"/>
    <w:uiPriority w:val="22"/>
    <w:qFormat/>
    <w:rPr>
      <w:b/>
      <w:bCs/>
      <w:color w:val="000000" w:themeColor="text1"/>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x1">
    <w:name w:val="index 1"/>
    <w:basedOn w:val="Normal"/>
    <w:next w:val="Normal"/>
    <w:autoRedefine/>
    <w:semiHidden/>
    <w:unhideWhenUsed/>
    <w:pPr>
      <w:spacing w:after="240" w:line="240" w:lineRule="auto"/>
      <w:ind w:left="240" w:hanging="240"/>
      <w:jc w:val="both"/>
    </w:pPr>
    <w:rPr>
      <w:rFonts w:ascii="Times New Roman" w:eastAsia="Times New Roman" w:hAnsi="Times New Roman" w:cs="Times New Roman"/>
      <w:sz w:val="24"/>
      <w:szCs w:val="20"/>
    </w:rPr>
  </w:style>
  <w:style w:type="paragraph" w:styleId="Index2">
    <w:name w:val="index 2"/>
    <w:basedOn w:val="Normal"/>
    <w:next w:val="Normal"/>
    <w:autoRedefine/>
    <w:semiHidden/>
    <w:unhideWhenUsed/>
    <w:pPr>
      <w:spacing w:after="240" w:line="240" w:lineRule="auto"/>
      <w:ind w:left="480" w:hanging="240"/>
      <w:jc w:val="both"/>
    </w:pPr>
    <w:rPr>
      <w:rFonts w:ascii="Times New Roman" w:eastAsia="Times New Roman" w:hAnsi="Times New Roman" w:cs="Times New Roman"/>
      <w:sz w:val="24"/>
      <w:szCs w:val="20"/>
    </w:rPr>
  </w:style>
  <w:style w:type="paragraph" w:styleId="Index3">
    <w:name w:val="index 3"/>
    <w:basedOn w:val="Normal"/>
    <w:next w:val="Normal"/>
    <w:autoRedefine/>
    <w:semiHidden/>
    <w:unhideWhenUsed/>
    <w:pPr>
      <w:spacing w:after="240" w:line="240" w:lineRule="auto"/>
      <w:ind w:left="720" w:hanging="240"/>
      <w:jc w:val="both"/>
    </w:pPr>
    <w:rPr>
      <w:rFonts w:ascii="Times New Roman" w:eastAsia="Times New Roman" w:hAnsi="Times New Roman" w:cs="Times New Roman"/>
      <w:sz w:val="24"/>
      <w:szCs w:val="20"/>
    </w:rPr>
  </w:style>
  <w:style w:type="paragraph" w:styleId="Index4">
    <w:name w:val="index 4"/>
    <w:basedOn w:val="Normal"/>
    <w:next w:val="Normal"/>
    <w:autoRedefine/>
    <w:semiHidden/>
    <w:unhideWhenUsed/>
    <w:pPr>
      <w:spacing w:after="240" w:line="240" w:lineRule="auto"/>
      <w:ind w:left="960" w:hanging="240"/>
      <w:jc w:val="both"/>
    </w:pPr>
    <w:rPr>
      <w:rFonts w:ascii="Times New Roman" w:eastAsia="Times New Roman" w:hAnsi="Times New Roman" w:cs="Times New Roman"/>
      <w:sz w:val="24"/>
      <w:szCs w:val="20"/>
    </w:rPr>
  </w:style>
  <w:style w:type="paragraph" w:styleId="Index5">
    <w:name w:val="index 5"/>
    <w:basedOn w:val="Normal"/>
    <w:next w:val="Normal"/>
    <w:autoRedefine/>
    <w:semiHidden/>
    <w:unhideWhenUsed/>
    <w:pPr>
      <w:spacing w:after="240" w:line="240" w:lineRule="auto"/>
      <w:ind w:left="1200" w:hanging="240"/>
      <w:jc w:val="both"/>
    </w:pPr>
    <w:rPr>
      <w:rFonts w:ascii="Times New Roman" w:eastAsia="Times New Roman" w:hAnsi="Times New Roman" w:cs="Times New Roman"/>
      <w:sz w:val="24"/>
      <w:szCs w:val="20"/>
    </w:rPr>
  </w:style>
  <w:style w:type="paragraph" w:styleId="Index6">
    <w:name w:val="index 6"/>
    <w:basedOn w:val="Normal"/>
    <w:next w:val="Normal"/>
    <w:autoRedefine/>
    <w:semiHidden/>
    <w:unhideWhenUsed/>
    <w:pPr>
      <w:spacing w:after="240" w:line="240" w:lineRule="auto"/>
      <w:ind w:left="1440" w:hanging="240"/>
      <w:jc w:val="both"/>
    </w:pPr>
    <w:rPr>
      <w:rFonts w:ascii="Times New Roman" w:eastAsia="Times New Roman" w:hAnsi="Times New Roman" w:cs="Times New Roman"/>
      <w:sz w:val="24"/>
      <w:szCs w:val="20"/>
    </w:rPr>
  </w:style>
  <w:style w:type="paragraph" w:styleId="Index7">
    <w:name w:val="index 7"/>
    <w:basedOn w:val="Normal"/>
    <w:next w:val="Normal"/>
    <w:autoRedefine/>
    <w:semiHidden/>
    <w:unhideWhenUsed/>
    <w:pPr>
      <w:spacing w:after="240" w:line="240" w:lineRule="auto"/>
      <w:ind w:left="1680" w:hanging="240"/>
      <w:jc w:val="both"/>
    </w:pPr>
    <w:rPr>
      <w:rFonts w:ascii="Times New Roman" w:eastAsia="Times New Roman" w:hAnsi="Times New Roman" w:cs="Times New Roman"/>
      <w:sz w:val="24"/>
      <w:szCs w:val="20"/>
    </w:rPr>
  </w:style>
  <w:style w:type="paragraph" w:styleId="Index8">
    <w:name w:val="index 8"/>
    <w:basedOn w:val="Normal"/>
    <w:next w:val="Normal"/>
    <w:autoRedefine/>
    <w:semiHidden/>
    <w:unhideWhenUsed/>
    <w:pPr>
      <w:spacing w:after="240" w:line="240" w:lineRule="auto"/>
      <w:ind w:left="1920" w:hanging="240"/>
      <w:jc w:val="both"/>
    </w:pPr>
    <w:rPr>
      <w:rFonts w:ascii="Times New Roman" w:eastAsia="Times New Roman" w:hAnsi="Times New Roman" w:cs="Times New Roman"/>
      <w:sz w:val="24"/>
      <w:szCs w:val="20"/>
    </w:rPr>
  </w:style>
  <w:style w:type="paragraph" w:styleId="Index9">
    <w:name w:val="index 9"/>
    <w:basedOn w:val="Normal"/>
    <w:next w:val="Normal"/>
    <w:autoRedefine/>
    <w:semiHidden/>
    <w:unhideWhenUsed/>
    <w:pPr>
      <w:spacing w:after="240" w:line="240" w:lineRule="auto"/>
      <w:ind w:left="2160" w:hanging="240"/>
      <w:jc w:val="both"/>
    </w:pPr>
    <w:rPr>
      <w:rFonts w:ascii="Times New Roman" w:eastAsia="Times New Roman" w:hAnsi="Times New Roman" w:cs="Times New Roman"/>
      <w:sz w:val="24"/>
      <w:szCs w:val="20"/>
    </w:rPr>
  </w:style>
  <w:style w:type="paragraph" w:styleId="TOC4">
    <w:name w:val="toc 4"/>
    <w:basedOn w:val="Normal"/>
    <w:next w:val="Normal"/>
    <w:autoRedefine/>
    <w:uiPriority w:val="39"/>
    <w:unhideWhenUsed/>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rPr>
  </w:style>
  <w:style w:type="paragraph" w:styleId="TOC5">
    <w:name w:val="toc 5"/>
    <w:basedOn w:val="Normal"/>
    <w:next w:val="Normal"/>
    <w:autoRedefine/>
    <w:uiPriority w:val="39"/>
    <w:unhideWhenUse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6">
    <w:name w:val="toc 6"/>
    <w:basedOn w:val="Normal"/>
    <w:next w:val="Normal"/>
    <w:autoRedefine/>
    <w:uiPriority w:val="39"/>
    <w:unhideWhenUsed/>
    <w:pPr>
      <w:spacing w:after="240" w:line="240" w:lineRule="auto"/>
      <w:ind w:left="1200"/>
      <w:jc w:val="both"/>
    </w:pPr>
    <w:rPr>
      <w:rFonts w:ascii="Times New Roman" w:eastAsia="Times New Roman" w:hAnsi="Times New Roman" w:cs="Times New Roman"/>
      <w:sz w:val="24"/>
      <w:szCs w:val="20"/>
    </w:rPr>
  </w:style>
  <w:style w:type="paragraph" w:styleId="TOC7">
    <w:name w:val="toc 7"/>
    <w:basedOn w:val="Normal"/>
    <w:next w:val="Normal"/>
    <w:autoRedefine/>
    <w:uiPriority w:val="39"/>
    <w:unhideWhenUsed/>
    <w:pPr>
      <w:spacing w:after="240" w:line="240" w:lineRule="auto"/>
      <w:ind w:left="1440"/>
      <w:jc w:val="both"/>
    </w:pPr>
    <w:rPr>
      <w:rFonts w:ascii="Times New Roman" w:eastAsia="Times New Roman" w:hAnsi="Times New Roman" w:cs="Times New Roman"/>
      <w:sz w:val="24"/>
      <w:szCs w:val="20"/>
    </w:rPr>
  </w:style>
  <w:style w:type="paragraph" w:styleId="TOC8">
    <w:name w:val="toc 8"/>
    <w:basedOn w:val="Normal"/>
    <w:next w:val="Normal"/>
    <w:autoRedefine/>
    <w:uiPriority w:val="39"/>
    <w:unhideWhenUsed/>
    <w:pPr>
      <w:spacing w:after="240" w:line="240" w:lineRule="auto"/>
      <w:ind w:left="1680"/>
      <w:jc w:val="both"/>
    </w:pPr>
    <w:rPr>
      <w:rFonts w:ascii="Times New Roman" w:eastAsia="Times New Roman" w:hAnsi="Times New Roman" w:cs="Times New Roman"/>
      <w:sz w:val="24"/>
      <w:szCs w:val="20"/>
    </w:rPr>
  </w:style>
  <w:style w:type="paragraph" w:styleId="TOC9">
    <w:name w:val="toc 9"/>
    <w:basedOn w:val="Normal"/>
    <w:next w:val="Normal"/>
    <w:autoRedefine/>
    <w:uiPriority w:val="39"/>
    <w:unhideWhenUsed/>
    <w:pPr>
      <w:spacing w:after="240" w:line="240" w:lineRule="auto"/>
      <w:ind w:left="1920"/>
      <w:jc w:val="both"/>
    </w:pPr>
    <w:rPr>
      <w:rFonts w:ascii="Times New Roman" w:eastAsia="Times New Roman" w:hAnsi="Times New Roman" w:cs="Times New Roman"/>
      <w:sz w:val="24"/>
      <w:szCs w:val="20"/>
    </w:rPr>
  </w:style>
  <w:style w:type="character" w:customStyle="1" w:styleId="NormalIndentChar">
    <w:name w:val="Normal Indent Char"/>
    <w:link w:val="NormalIndent"/>
    <w:locked/>
  </w:style>
  <w:style w:type="paragraph" w:styleId="IndexHeading">
    <w:name w:val="index heading"/>
    <w:basedOn w:val="Normal"/>
    <w:next w:val="Index1"/>
    <w:semiHidden/>
    <w:unhideWhenUsed/>
    <w:pPr>
      <w:spacing w:after="240" w:line="240" w:lineRule="auto"/>
      <w:jc w:val="both"/>
    </w:pPr>
    <w:rPr>
      <w:rFonts w:ascii="Arial" w:eastAsia="Times New Roman" w:hAnsi="Arial" w:cs="Times New Roman"/>
      <w:b/>
      <w:sz w:val="24"/>
      <w:szCs w:val="20"/>
    </w:rPr>
  </w:style>
  <w:style w:type="paragraph" w:styleId="TableofFigures">
    <w:name w:val="table of figures"/>
    <w:basedOn w:val="Normal"/>
    <w:next w:val="Normal"/>
    <w:uiPriority w:val="99"/>
    <w:unhideWhenUsed/>
    <w:pPr>
      <w:spacing w:before="120" w:after="120" w:line="240" w:lineRule="auto"/>
      <w:ind w:left="482" w:hanging="482"/>
      <w:jc w:val="both"/>
    </w:pPr>
    <w:rPr>
      <w:rFonts w:ascii="Verdana" w:eastAsia="Times New Roman" w:hAnsi="Verdana" w:cs="Times New Roman"/>
      <w:sz w:val="18"/>
      <w:szCs w:val="20"/>
    </w:rPr>
  </w:style>
  <w:style w:type="paragraph" w:styleId="EnvelopeAddress">
    <w:name w:val="envelope address"/>
    <w:basedOn w:val="Normal"/>
    <w:unhideWhenUsed/>
    <w:pPr>
      <w:framePr w:w="7920" w:h="1980" w:hSpace="180" w:wrap="auto" w:hAnchor="page" w:xAlign="center" w:yAlign="bottom"/>
      <w:spacing w:after="0" w:line="240" w:lineRule="auto"/>
      <w:jc w:val="both"/>
    </w:pPr>
    <w:rPr>
      <w:rFonts w:ascii="Times New Roman" w:eastAsia="Times New Roman" w:hAnsi="Times New Roman" w:cs="Times New Roman"/>
      <w:sz w:val="24"/>
      <w:szCs w:val="20"/>
    </w:rPr>
  </w:style>
  <w:style w:type="paragraph" w:styleId="EnvelopeReturn">
    <w:name w:val="envelope return"/>
    <w:basedOn w:val="Normal"/>
    <w:unhideWhenUsed/>
    <w:pPr>
      <w:spacing w:after="0" w:line="240" w:lineRule="auto"/>
      <w:jc w:val="both"/>
    </w:pPr>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pPr>
      <w:spacing w:after="240" w:line="240" w:lineRule="auto"/>
      <w:jc w:val="both"/>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Pr>
      <w:rFonts w:ascii="Times New Roman" w:eastAsia="Times New Roman" w:hAnsi="Times New Roman" w:cs="Times New Roman"/>
      <w:sz w:val="20"/>
      <w:szCs w:val="20"/>
    </w:rPr>
  </w:style>
  <w:style w:type="paragraph" w:styleId="TableofAuthorities">
    <w:name w:val="table of authorities"/>
    <w:basedOn w:val="Normal"/>
    <w:next w:val="Normal"/>
    <w:semiHidden/>
    <w:unhideWhenUsed/>
    <w:pPr>
      <w:spacing w:after="240" w:line="240" w:lineRule="auto"/>
      <w:ind w:left="240" w:hanging="240"/>
      <w:jc w:val="both"/>
    </w:pPr>
    <w:rPr>
      <w:rFonts w:ascii="Times New Roman" w:eastAsia="Times New Roman" w:hAnsi="Times New Roman" w:cs="Times New Roman"/>
      <w:sz w:val="24"/>
      <w:szCs w:val="20"/>
    </w:r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rPr>
  </w:style>
  <w:style w:type="character" w:customStyle="1" w:styleId="MacroTextChar">
    <w:name w:val="Macro Text Char"/>
    <w:basedOn w:val="DefaultParagraphFont"/>
    <w:link w:val="MacroText"/>
    <w:semiHidden/>
    <w:rPr>
      <w:rFonts w:ascii="Courier New" w:eastAsia="Times New Roman" w:hAnsi="Courier New" w:cs="Times New Roman"/>
      <w:sz w:val="20"/>
      <w:szCs w:val="20"/>
    </w:rPr>
  </w:style>
  <w:style w:type="paragraph" w:styleId="TOAHeading">
    <w:name w:val="toa heading"/>
    <w:basedOn w:val="Normal"/>
    <w:next w:val="Normal"/>
    <w:semiHidden/>
    <w:unhideWhenUsed/>
    <w:pPr>
      <w:spacing w:before="120" w:after="240" w:line="240" w:lineRule="auto"/>
      <w:jc w:val="both"/>
    </w:pPr>
    <w:rPr>
      <w:rFonts w:ascii="Arial" w:eastAsia="Times New Roman" w:hAnsi="Arial" w:cs="Times New Roman"/>
      <w:b/>
      <w:sz w:val="24"/>
      <w:szCs w:val="20"/>
    </w:rPr>
  </w:style>
  <w:style w:type="paragraph" w:styleId="List">
    <w:name w:val="List"/>
    <w:basedOn w:val="Normal"/>
    <w:unhideWhenUsed/>
    <w:pPr>
      <w:spacing w:after="240" w:line="240" w:lineRule="auto"/>
      <w:ind w:left="283" w:hanging="283"/>
      <w:jc w:val="both"/>
    </w:pPr>
    <w:rPr>
      <w:rFonts w:ascii="Times New Roman" w:eastAsia="Times New Roman" w:hAnsi="Times New Roman" w:cs="Times New Roman"/>
      <w:sz w:val="24"/>
      <w:szCs w:val="20"/>
    </w:rPr>
  </w:style>
  <w:style w:type="paragraph" w:styleId="ListNumber">
    <w:name w:val="List Number"/>
    <w:aliases w:val="List Number Justified"/>
    <w:basedOn w:val="Normal"/>
    <w:uiPriority w:val="99"/>
    <w:unhideWhenUsed/>
    <w:pPr>
      <w:numPr>
        <w:numId w:val="23"/>
      </w:numPr>
      <w:spacing w:after="240" w:line="240" w:lineRule="auto"/>
      <w:jc w:val="both"/>
    </w:pPr>
    <w:rPr>
      <w:rFonts w:ascii="Times New Roman" w:eastAsia="Times New Roman" w:hAnsi="Times New Roman" w:cs="Times New Roman"/>
      <w:sz w:val="24"/>
      <w:szCs w:val="20"/>
    </w:rPr>
  </w:style>
  <w:style w:type="paragraph" w:styleId="List2">
    <w:name w:val="List 2"/>
    <w:basedOn w:val="Normal"/>
    <w:unhideWhenUsed/>
    <w:pPr>
      <w:spacing w:after="240" w:line="240" w:lineRule="auto"/>
      <w:ind w:left="566" w:hanging="283"/>
      <w:jc w:val="both"/>
    </w:pPr>
    <w:rPr>
      <w:rFonts w:ascii="Times New Roman" w:eastAsia="Times New Roman" w:hAnsi="Times New Roman" w:cs="Times New Roman"/>
      <w:sz w:val="24"/>
      <w:szCs w:val="20"/>
    </w:rPr>
  </w:style>
  <w:style w:type="paragraph" w:styleId="List3">
    <w:name w:val="List 3"/>
    <w:basedOn w:val="Normal"/>
    <w:unhideWhenUsed/>
    <w:pPr>
      <w:spacing w:after="240" w:line="240" w:lineRule="auto"/>
      <w:ind w:left="849" w:hanging="283"/>
      <w:jc w:val="both"/>
    </w:pPr>
    <w:rPr>
      <w:rFonts w:ascii="Times New Roman" w:eastAsia="Times New Roman" w:hAnsi="Times New Roman" w:cs="Times New Roman"/>
      <w:sz w:val="24"/>
      <w:szCs w:val="20"/>
    </w:rPr>
  </w:style>
  <w:style w:type="paragraph" w:styleId="List4">
    <w:name w:val="List 4"/>
    <w:basedOn w:val="Normal"/>
    <w:unhideWhenUsed/>
    <w:pPr>
      <w:spacing w:after="240" w:line="240" w:lineRule="auto"/>
      <w:ind w:left="1132" w:hanging="283"/>
      <w:jc w:val="both"/>
    </w:pPr>
    <w:rPr>
      <w:rFonts w:ascii="Times New Roman" w:eastAsia="Times New Roman" w:hAnsi="Times New Roman" w:cs="Times New Roman"/>
      <w:sz w:val="24"/>
      <w:szCs w:val="20"/>
    </w:rPr>
  </w:style>
  <w:style w:type="paragraph" w:styleId="List5">
    <w:name w:val="List 5"/>
    <w:basedOn w:val="Normal"/>
    <w:unhideWhenUsed/>
    <w:pPr>
      <w:spacing w:after="240" w:line="240" w:lineRule="auto"/>
      <w:ind w:left="1415" w:hanging="283"/>
      <w:jc w:val="both"/>
    </w:pPr>
    <w:rPr>
      <w:rFonts w:ascii="Times New Roman" w:eastAsia="Times New Roman" w:hAnsi="Times New Roman" w:cs="Times New Roman"/>
      <w:sz w:val="24"/>
      <w:szCs w:val="20"/>
    </w:rPr>
  </w:style>
  <w:style w:type="paragraph" w:styleId="ListBullet3">
    <w:name w:val="List Bullet 3"/>
    <w:basedOn w:val="Text3"/>
    <w:unhideWhenUsed/>
    <w:pPr>
      <w:numPr>
        <w:numId w:val="24"/>
      </w:numPr>
      <w:tabs>
        <w:tab w:val="clear" w:pos="2302"/>
      </w:tabs>
    </w:pPr>
  </w:style>
  <w:style w:type="paragraph" w:styleId="ListBullet4">
    <w:name w:val="List Bullet 4"/>
    <w:basedOn w:val="Text4"/>
    <w:unhideWhenUsed/>
    <w:pPr>
      <w:numPr>
        <w:numId w:val="25"/>
      </w:numPr>
      <w:tabs>
        <w:tab w:val="clear" w:pos="2302"/>
      </w:tabs>
    </w:pPr>
  </w:style>
  <w:style w:type="paragraph" w:styleId="ListNumber3">
    <w:name w:val="List Number 3"/>
    <w:basedOn w:val="Text3"/>
    <w:unhideWhenUsed/>
    <w:pPr>
      <w:numPr>
        <w:numId w:val="26"/>
      </w:numPr>
      <w:tabs>
        <w:tab w:val="clear" w:pos="2302"/>
      </w:tabs>
    </w:pPr>
  </w:style>
  <w:style w:type="paragraph" w:styleId="ListNumber4">
    <w:name w:val="List Number 4"/>
    <w:basedOn w:val="Text4"/>
    <w:unhideWhenUsed/>
    <w:pPr>
      <w:numPr>
        <w:numId w:val="27"/>
      </w:numPr>
      <w:tabs>
        <w:tab w:val="clear" w:pos="2302"/>
      </w:tabs>
    </w:pPr>
  </w:style>
  <w:style w:type="paragraph" w:styleId="ListNumber5">
    <w:name w:val="List Number 5"/>
    <w:basedOn w:val="Normal"/>
    <w:unhideWhenUsed/>
    <w:pPr>
      <w:numPr>
        <w:numId w:val="28"/>
      </w:numPr>
      <w:spacing w:after="240" w:line="240" w:lineRule="auto"/>
      <w:jc w:val="both"/>
    </w:pPr>
    <w:rPr>
      <w:rFonts w:ascii="Times New Roman" w:eastAsia="Times New Roman" w:hAnsi="Times New Roman" w:cs="Times New Roman"/>
      <w:sz w:val="24"/>
      <w:szCs w:val="20"/>
    </w:rPr>
  </w:style>
  <w:style w:type="paragraph" w:customStyle="1" w:styleId="SubTitle1">
    <w:name w:val="SubTitle 1"/>
    <w:basedOn w:val="Normal"/>
    <w:next w:val="SubTitle2"/>
    <w:pPr>
      <w:spacing w:after="240" w:line="240" w:lineRule="auto"/>
      <w:jc w:val="center"/>
    </w:pPr>
    <w:rPr>
      <w:rFonts w:ascii="Times New Roman" w:eastAsia="Times New Roman" w:hAnsi="Times New Roman" w:cs="Times New Roman"/>
      <w:b/>
      <w:sz w:val="40"/>
      <w:szCs w:val="20"/>
    </w:rPr>
  </w:style>
  <w:style w:type="paragraph" w:styleId="Title">
    <w:name w:val="Title"/>
    <w:basedOn w:val="Normal"/>
    <w:next w:val="SubTitle1"/>
    <w:link w:val="TitleChar"/>
    <w:uiPriority w:val="10"/>
    <w:qFormat/>
    <w:pPr>
      <w:spacing w:after="480" w:line="240" w:lineRule="auto"/>
      <w:jc w:val="center"/>
    </w:pPr>
    <w:rPr>
      <w:rFonts w:ascii="Times New Roman" w:eastAsia="Times New Roman" w:hAnsi="Times New Roman" w:cs="Times New Roman"/>
      <w:b/>
      <w:kern w:val="28"/>
      <w:sz w:val="48"/>
      <w:szCs w:val="20"/>
    </w:rPr>
  </w:style>
  <w:style w:type="character" w:customStyle="1" w:styleId="TitleChar">
    <w:name w:val="Title Char"/>
    <w:basedOn w:val="DefaultParagraphFont"/>
    <w:link w:val="Title"/>
    <w:uiPriority w:val="10"/>
    <w:rPr>
      <w:rFonts w:ascii="Times New Roman" w:eastAsia="Times New Roman" w:hAnsi="Times New Roman" w:cs="Times New Roman"/>
      <w:b/>
      <w:kern w:val="28"/>
      <w:sz w:val="48"/>
      <w:szCs w:val="20"/>
    </w:rPr>
  </w:style>
  <w:style w:type="paragraph" w:styleId="Closing">
    <w:name w:val="Closing"/>
    <w:basedOn w:val="Normal"/>
    <w:link w:val="ClosingChar"/>
    <w:unhideWhenUsed/>
    <w:pPr>
      <w:spacing w:after="240" w:line="240" w:lineRule="auto"/>
      <w:ind w:left="4252"/>
      <w:jc w:val="both"/>
    </w:pPr>
    <w:rPr>
      <w:rFonts w:ascii="Times New Roman" w:eastAsia="Times New Roman" w:hAnsi="Times New Roman" w:cs="Times New Roman"/>
      <w:sz w:val="24"/>
      <w:szCs w:val="20"/>
    </w:rPr>
  </w:style>
  <w:style w:type="character" w:customStyle="1" w:styleId="ClosingChar">
    <w:name w:val="Closing Char"/>
    <w:basedOn w:val="DefaultParagraphFont"/>
    <w:link w:val="Closing"/>
    <w:rPr>
      <w:rFonts w:ascii="Times New Roman" w:eastAsia="Times New Roman" w:hAnsi="Times New Roman" w:cs="Times New Roman"/>
      <w:sz w:val="24"/>
      <w:szCs w:val="20"/>
    </w:rPr>
  </w:style>
  <w:style w:type="paragraph" w:customStyle="1" w:styleId="Enclosures">
    <w:name w:val="Enclosures"/>
    <w:basedOn w:val="Normal"/>
    <w:pPr>
      <w:keepNext/>
      <w:keepLines/>
      <w:tabs>
        <w:tab w:val="left" w:pos="5642"/>
      </w:tabs>
      <w:spacing w:before="480" w:after="0" w:line="240" w:lineRule="auto"/>
      <w:ind w:left="1191" w:hanging="1191"/>
    </w:pPr>
    <w:rPr>
      <w:rFonts w:ascii="Times New Roman" w:eastAsia="Times New Roman" w:hAnsi="Times New Roman" w:cs="Times New Roman"/>
      <w:sz w:val="24"/>
      <w:szCs w:val="20"/>
    </w:rPr>
  </w:style>
  <w:style w:type="paragraph" w:styleId="Signature">
    <w:name w:val="Signature"/>
    <w:basedOn w:val="Normal"/>
    <w:next w:val="Enclosures"/>
    <w:link w:val="SignatureChar"/>
    <w:unhideWhenUsed/>
    <w:pPr>
      <w:tabs>
        <w:tab w:val="left" w:pos="5103"/>
      </w:tabs>
      <w:spacing w:before="1200" w:after="0" w:line="240" w:lineRule="auto"/>
      <w:ind w:left="5103"/>
      <w:jc w:val="center"/>
    </w:pPr>
    <w:rPr>
      <w:rFonts w:ascii="Times New Roman" w:eastAsia="Times New Roman" w:hAnsi="Times New Roman" w:cs="Times New Roman"/>
      <w:sz w:val="24"/>
      <w:szCs w:val="20"/>
    </w:rPr>
  </w:style>
  <w:style w:type="character" w:customStyle="1" w:styleId="SignatureChar">
    <w:name w:val="Signature Char"/>
    <w:basedOn w:val="DefaultParagraphFont"/>
    <w:link w:val="Signature"/>
    <w:rPr>
      <w:rFonts w:ascii="Times New Roman" w:eastAsia="Times New Roman" w:hAnsi="Times New Roman" w:cs="Times New Roman"/>
      <w:sz w:val="24"/>
      <w:szCs w:val="20"/>
    </w:rPr>
  </w:style>
  <w:style w:type="paragraph" w:styleId="BodyText">
    <w:name w:val="Body Text"/>
    <w:basedOn w:val="Normal"/>
    <w:link w:val="BodyTextChar"/>
    <w:unhideWhenUsed/>
    <w:pPr>
      <w:spacing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Pr>
      <w:rFonts w:ascii="Times New Roman" w:eastAsia="Times New Roman" w:hAnsi="Times New Roman" w:cs="Times New Roman"/>
      <w:sz w:val="24"/>
      <w:szCs w:val="20"/>
    </w:rPr>
  </w:style>
  <w:style w:type="paragraph" w:styleId="BodyTextIndent">
    <w:name w:val="Body Text Indent"/>
    <w:basedOn w:val="Normal"/>
    <w:link w:val="BodyTextIndentChar"/>
    <w:unhideWhenUsed/>
    <w:pPr>
      <w:spacing w:after="120" w:line="240" w:lineRule="auto"/>
      <w:ind w:left="283"/>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0"/>
    </w:rPr>
  </w:style>
  <w:style w:type="paragraph" w:styleId="ListContinue">
    <w:name w:val="List Continue"/>
    <w:basedOn w:val="Normal"/>
    <w:unhideWhenUsed/>
    <w:pPr>
      <w:spacing w:after="120" w:line="240" w:lineRule="auto"/>
      <w:ind w:left="283"/>
      <w:jc w:val="both"/>
    </w:pPr>
    <w:rPr>
      <w:rFonts w:ascii="Times New Roman" w:eastAsia="Times New Roman" w:hAnsi="Times New Roman" w:cs="Times New Roman"/>
      <w:sz w:val="24"/>
      <w:szCs w:val="20"/>
    </w:rPr>
  </w:style>
  <w:style w:type="paragraph" w:styleId="ListContinue2">
    <w:name w:val="List Continue 2"/>
    <w:basedOn w:val="Normal"/>
    <w:unhideWhenUsed/>
    <w:pPr>
      <w:spacing w:after="120" w:line="240" w:lineRule="auto"/>
      <w:ind w:left="566"/>
      <w:jc w:val="both"/>
    </w:pPr>
    <w:rPr>
      <w:rFonts w:ascii="Times New Roman" w:eastAsia="Times New Roman" w:hAnsi="Times New Roman" w:cs="Times New Roman"/>
      <w:sz w:val="24"/>
      <w:szCs w:val="20"/>
    </w:rPr>
  </w:style>
  <w:style w:type="paragraph" w:styleId="ListContinue3">
    <w:name w:val="List Continue 3"/>
    <w:basedOn w:val="Normal"/>
    <w:unhideWhenUsed/>
    <w:pPr>
      <w:spacing w:after="120" w:line="240" w:lineRule="auto"/>
      <w:ind w:left="849"/>
      <w:jc w:val="both"/>
    </w:pPr>
    <w:rPr>
      <w:rFonts w:ascii="Times New Roman" w:eastAsia="Times New Roman" w:hAnsi="Times New Roman" w:cs="Times New Roman"/>
      <w:sz w:val="24"/>
      <w:szCs w:val="20"/>
    </w:rPr>
  </w:style>
  <w:style w:type="paragraph" w:styleId="ListContinue4">
    <w:name w:val="List Continue 4"/>
    <w:basedOn w:val="Normal"/>
    <w:unhideWhenUsed/>
    <w:pPr>
      <w:spacing w:after="120" w:line="240" w:lineRule="auto"/>
      <w:ind w:left="1132"/>
      <w:jc w:val="both"/>
    </w:pPr>
    <w:rPr>
      <w:rFonts w:ascii="Times New Roman" w:eastAsia="Times New Roman" w:hAnsi="Times New Roman" w:cs="Times New Roman"/>
      <w:sz w:val="24"/>
      <w:szCs w:val="20"/>
    </w:rPr>
  </w:style>
  <w:style w:type="paragraph" w:styleId="ListContinue5">
    <w:name w:val="List Continue 5"/>
    <w:basedOn w:val="Normal"/>
    <w:unhideWhenUsed/>
    <w:pPr>
      <w:spacing w:after="120" w:line="240" w:lineRule="auto"/>
      <w:ind w:left="1415"/>
      <w:jc w:val="both"/>
    </w:pPr>
    <w:rPr>
      <w:rFonts w:ascii="Times New Roman" w:eastAsia="Times New Roman" w:hAnsi="Times New Roman" w:cs="Times New Roman"/>
      <w:sz w:val="24"/>
      <w:szCs w:val="20"/>
    </w:rPr>
  </w:style>
  <w:style w:type="paragraph" w:styleId="MessageHeader">
    <w:name w:val="Message Header"/>
    <w:basedOn w:val="Normal"/>
    <w:link w:val="MessageHeaderChar"/>
    <w:unhideWhenUsed/>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szCs w:val="20"/>
    </w:rPr>
  </w:style>
  <w:style w:type="character" w:customStyle="1" w:styleId="MessageHeaderChar">
    <w:name w:val="Message Header Char"/>
    <w:basedOn w:val="DefaultParagraphFont"/>
    <w:link w:val="MessageHeader"/>
    <w:rPr>
      <w:rFonts w:ascii="Arial" w:eastAsia="Times New Roman" w:hAnsi="Arial" w:cs="Times New Roman"/>
      <w:sz w:val="24"/>
      <w:szCs w:val="20"/>
      <w:shd w:val="pct20" w:color="auto" w:fill="auto"/>
    </w:rPr>
  </w:style>
  <w:style w:type="paragraph" w:styleId="Subtitle">
    <w:name w:val="Subtitle"/>
    <w:basedOn w:val="Normal"/>
    <w:link w:val="SubtitleChar"/>
    <w:uiPriority w:val="11"/>
    <w:qFormat/>
    <w:pPr>
      <w:spacing w:after="60" w:line="240" w:lineRule="auto"/>
      <w:jc w:val="center"/>
      <w:outlineLvl w:val="1"/>
    </w:pPr>
    <w:rPr>
      <w:rFonts w:ascii="Arial" w:eastAsia="Times New Roman" w:hAnsi="Arial" w:cs="Times New Roman"/>
      <w:sz w:val="24"/>
      <w:szCs w:val="20"/>
    </w:rPr>
  </w:style>
  <w:style w:type="character" w:customStyle="1" w:styleId="SubtitleChar">
    <w:name w:val="Subtitle Char"/>
    <w:basedOn w:val="DefaultParagraphFont"/>
    <w:link w:val="Subtitle"/>
    <w:uiPriority w:val="11"/>
    <w:rPr>
      <w:rFonts w:ascii="Arial" w:eastAsia="Times New Roman" w:hAnsi="Arial" w:cs="Times New Roman"/>
      <w:sz w:val="24"/>
      <w:szCs w:val="20"/>
    </w:rPr>
  </w:style>
  <w:style w:type="paragraph" w:styleId="Salutation">
    <w:name w:val="Salutation"/>
    <w:basedOn w:val="Normal"/>
    <w:next w:val="Normal"/>
    <w:link w:val="SalutationChar"/>
    <w:unhideWhenUsed/>
    <w:pPr>
      <w:spacing w:after="240" w:line="240" w:lineRule="auto"/>
      <w:jc w:val="both"/>
    </w:pPr>
    <w:rPr>
      <w:rFonts w:ascii="Times New Roman" w:eastAsia="Times New Roman" w:hAnsi="Times New Roman" w:cs="Times New Roman"/>
      <w:sz w:val="24"/>
      <w:szCs w:val="20"/>
    </w:rPr>
  </w:style>
  <w:style w:type="character" w:customStyle="1" w:styleId="SalutationChar">
    <w:name w:val="Salutation Char"/>
    <w:basedOn w:val="DefaultParagraphFont"/>
    <w:link w:val="Salutation"/>
    <w:rPr>
      <w:rFonts w:ascii="Times New Roman" w:eastAsia="Times New Roman" w:hAnsi="Times New Roman" w:cs="Times New Roman"/>
      <w:sz w:val="24"/>
      <w:szCs w:val="20"/>
    </w:rPr>
  </w:style>
  <w:style w:type="paragraph" w:customStyle="1" w:styleId="References">
    <w:name w:val="References"/>
    <w:basedOn w:val="Normal"/>
    <w:next w:val="AddressTR"/>
    <w:pPr>
      <w:spacing w:after="240" w:line="240" w:lineRule="auto"/>
      <w:ind w:left="5103"/>
    </w:pPr>
    <w:rPr>
      <w:rFonts w:ascii="Times New Roman" w:eastAsia="Times New Roman" w:hAnsi="Times New Roman" w:cs="Times New Roman"/>
      <w:sz w:val="20"/>
      <w:szCs w:val="20"/>
    </w:rPr>
  </w:style>
  <w:style w:type="paragraph" w:styleId="BodyTextFirstIndent">
    <w:name w:val="Body Text First Indent"/>
    <w:basedOn w:val="BodyText"/>
    <w:link w:val="BodyTextFirstIndentChar"/>
    <w:unhideWhenUsed/>
    <w:pPr>
      <w:ind w:firstLine="210"/>
    </w:pPr>
  </w:style>
  <w:style w:type="character" w:customStyle="1" w:styleId="BodyTextFirstIndentChar">
    <w:name w:val="Body Text First Indent Char"/>
    <w:basedOn w:val="BodyTextChar"/>
    <w:link w:val="BodyTextFirstIndent"/>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unhideWhenUsed/>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Times New Roman"/>
      <w:sz w:val="24"/>
      <w:szCs w:val="20"/>
    </w:rPr>
  </w:style>
  <w:style w:type="paragraph" w:styleId="NoteHeading">
    <w:name w:val="Note Heading"/>
    <w:basedOn w:val="Normal"/>
    <w:next w:val="Normal"/>
    <w:link w:val="NoteHeadingChar"/>
    <w:unhideWhenUsed/>
    <w:pPr>
      <w:spacing w:after="240" w:line="240" w:lineRule="auto"/>
      <w:jc w:val="both"/>
    </w:pPr>
    <w:rPr>
      <w:rFonts w:ascii="Times New Roman" w:eastAsia="Times New Roman" w:hAnsi="Times New Roman" w:cs="Times New Roman"/>
      <w:sz w:val="24"/>
      <w:szCs w:val="20"/>
    </w:rPr>
  </w:style>
  <w:style w:type="character" w:customStyle="1" w:styleId="NoteHeadingChar">
    <w:name w:val="Note Heading Char"/>
    <w:basedOn w:val="DefaultParagraphFont"/>
    <w:link w:val="NoteHeading"/>
    <w:rPr>
      <w:rFonts w:ascii="Times New Roman" w:eastAsia="Times New Roman" w:hAnsi="Times New Roman" w:cs="Times New Roman"/>
      <w:sz w:val="24"/>
      <w:szCs w:val="20"/>
    </w:rPr>
  </w:style>
  <w:style w:type="paragraph" w:styleId="BodyText2">
    <w:name w:val="Body Text 2"/>
    <w:basedOn w:val="Normal"/>
    <w:link w:val="BodyText2Char"/>
    <w:unhideWhenUsed/>
    <w:pPr>
      <w:spacing w:after="120" w:line="48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Pr>
      <w:rFonts w:ascii="Times New Roman" w:eastAsia="Times New Roman" w:hAnsi="Times New Roman" w:cs="Times New Roman"/>
      <w:sz w:val="24"/>
      <w:szCs w:val="20"/>
    </w:rPr>
  </w:style>
  <w:style w:type="paragraph" w:styleId="BodyText3">
    <w:name w:val="Body Text 3"/>
    <w:basedOn w:val="Normal"/>
    <w:link w:val="BodyText3Char"/>
    <w:unhideWhenUsed/>
    <w:pPr>
      <w:spacing w:after="120" w:line="240" w:lineRule="auto"/>
      <w:jc w:val="both"/>
    </w:pPr>
    <w:rPr>
      <w:rFonts w:ascii="Times New Roman" w:eastAsia="Times New Roman" w:hAnsi="Times New Roman" w:cs="Times New Roman"/>
      <w:sz w:val="16"/>
      <w:szCs w:val="20"/>
    </w:rPr>
  </w:style>
  <w:style w:type="character" w:customStyle="1" w:styleId="BodyText3Char">
    <w:name w:val="Body Text 3 Char"/>
    <w:basedOn w:val="DefaultParagraphFont"/>
    <w:link w:val="BodyText3"/>
    <w:rPr>
      <w:rFonts w:ascii="Times New Roman" w:eastAsia="Times New Roman" w:hAnsi="Times New Roman" w:cs="Times New Roman"/>
      <w:sz w:val="16"/>
      <w:szCs w:val="20"/>
    </w:rPr>
  </w:style>
  <w:style w:type="paragraph" w:styleId="BodyTextIndent2">
    <w:name w:val="Body Text Indent 2"/>
    <w:basedOn w:val="Normal"/>
    <w:link w:val="BodyTextIndent2Char"/>
    <w:unhideWhenUsed/>
    <w:pPr>
      <w:spacing w:after="120" w:line="480" w:lineRule="auto"/>
      <w:ind w:left="283"/>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0"/>
    </w:rPr>
  </w:style>
  <w:style w:type="paragraph" w:styleId="BodyTextIndent3">
    <w:name w:val="Body Text Indent 3"/>
    <w:basedOn w:val="Normal"/>
    <w:link w:val="BodyTextIndent3Char"/>
    <w:unhideWhenUsed/>
    <w:pPr>
      <w:spacing w:after="120" w:line="240" w:lineRule="auto"/>
      <w:ind w:left="283"/>
      <w:jc w:val="both"/>
    </w:pPr>
    <w:rPr>
      <w:rFonts w:ascii="Times New Roman" w:eastAsia="Times New Roman" w:hAnsi="Times New Roman" w:cs="Times New Roman"/>
      <w:sz w:val="16"/>
      <w:szCs w:val="20"/>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20"/>
    </w:rPr>
  </w:style>
  <w:style w:type="paragraph" w:styleId="BlockText">
    <w:name w:val="Block Text"/>
    <w:basedOn w:val="Normal"/>
    <w:unhideWhenUsed/>
    <w:pPr>
      <w:spacing w:after="120" w:line="240" w:lineRule="auto"/>
      <w:ind w:left="1440" w:right="1440"/>
      <w:jc w:val="both"/>
    </w:pPr>
    <w:rPr>
      <w:rFonts w:ascii="Times New Roman" w:eastAsia="Times New Roman" w:hAnsi="Times New Roman" w:cs="Times New Roman"/>
      <w:sz w:val="24"/>
      <w:szCs w:val="20"/>
    </w:rPr>
  </w:style>
  <w:style w:type="paragraph" w:styleId="DocumentMap">
    <w:name w:val="Document Map"/>
    <w:basedOn w:val="Normal"/>
    <w:link w:val="DocumentMapChar"/>
    <w:semiHidden/>
    <w:unhideWhenUsed/>
    <w:pPr>
      <w:shd w:val="clear" w:color="auto" w:fill="000080"/>
      <w:spacing w:after="240" w:line="240" w:lineRule="auto"/>
      <w:jc w:val="both"/>
    </w:pPr>
    <w:rPr>
      <w:rFonts w:ascii="Tahoma" w:eastAsia="Times New Roman" w:hAnsi="Tahoma" w:cs="Times New Roman"/>
      <w:sz w:val="24"/>
      <w:szCs w:val="20"/>
    </w:rPr>
  </w:style>
  <w:style w:type="character" w:customStyle="1" w:styleId="DocumentMapChar">
    <w:name w:val="Document Map Char"/>
    <w:basedOn w:val="DefaultParagraphFont"/>
    <w:link w:val="DocumentMap"/>
    <w:semiHidden/>
    <w:rPr>
      <w:rFonts w:ascii="Tahoma" w:eastAsia="Times New Roman" w:hAnsi="Tahoma" w:cs="Times New Roman"/>
      <w:sz w:val="24"/>
      <w:szCs w:val="20"/>
      <w:shd w:val="clear" w:color="auto" w:fill="000080"/>
    </w:rPr>
  </w:style>
  <w:style w:type="paragraph" w:styleId="PlainText">
    <w:name w:val="Plain Text"/>
    <w:basedOn w:val="Normal"/>
    <w:link w:val="PlainTextChar"/>
    <w:uiPriority w:val="99"/>
    <w:unhideWhenUsed/>
    <w:pPr>
      <w:spacing w:after="24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Pr>
      <w:rFonts w:ascii="Courier New" w:eastAsia="Times New Roman" w:hAnsi="Courier New" w:cs="Times New Roman"/>
      <w:sz w:val="20"/>
      <w:szCs w:val="20"/>
    </w:rPr>
  </w:style>
  <w:style w:type="character" w:customStyle="1" w:styleId="NoSpacingChar">
    <w:name w:val="No Spacing Char"/>
    <w:link w:val="NoSpacing"/>
    <w:uiPriority w:val="1"/>
    <w:locked/>
  </w:style>
  <w:style w:type="character" w:customStyle="1" w:styleId="Text2Char1">
    <w:name w:val="Text 2 Char1"/>
    <w:link w:val="Text2"/>
    <w:locked/>
    <w:rPr>
      <w:rFonts w:ascii="Times New Roman" w:eastAsia="Times New Roman" w:hAnsi="Times New Roman" w:cs="Times New Roman"/>
      <w:sz w:val="24"/>
      <w:szCs w:val="20"/>
    </w:rPr>
  </w:style>
  <w:style w:type="paragraph" w:customStyle="1" w:styleId="Address">
    <w:name w:val="Address"/>
    <w:basedOn w:val="Normal"/>
    <w:pPr>
      <w:spacing w:after="0" w:line="240" w:lineRule="auto"/>
    </w:pPr>
    <w:rPr>
      <w:rFonts w:ascii="Times New Roman" w:eastAsia="Times New Roman" w:hAnsi="Times New Roman" w:cs="Times New Roman"/>
      <w:sz w:val="24"/>
      <w:szCs w:val="20"/>
    </w:rPr>
  </w:style>
  <w:style w:type="paragraph" w:customStyle="1" w:styleId="AddressTL">
    <w:name w:val="AddressTL"/>
    <w:basedOn w:val="Normal"/>
    <w:next w:val="Normal"/>
    <w:pPr>
      <w:spacing w:after="720" w:line="240" w:lineRule="auto"/>
    </w:pPr>
    <w:rPr>
      <w:rFonts w:ascii="Times New Roman" w:eastAsia="Times New Roman" w:hAnsi="Times New Roman" w:cs="Times New Roman"/>
      <w:sz w:val="24"/>
      <w:szCs w:val="20"/>
    </w:rPr>
  </w:style>
  <w:style w:type="paragraph" w:customStyle="1" w:styleId="AddressTR">
    <w:name w:val="AddressTR"/>
    <w:basedOn w:val="Normal"/>
    <w:next w:val="Normal"/>
    <w:pPr>
      <w:spacing w:after="720" w:line="240" w:lineRule="auto"/>
      <w:ind w:left="5103"/>
    </w:pPr>
    <w:rPr>
      <w:rFonts w:ascii="Times New Roman" w:eastAsia="Times New Roman" w:hAnsi="Times New Roman" w:cs="Times New Roman"/>
      <w:sz w:val="24"/>
      <w:szCs w:val="20"/>
    </w:rPr>
  </w:style>
  <w:style w:type="paragraph" w:customStyle="1" w:styleId="SectionTitle">
    <w:name w:val="SectionTitle"/>
    <w:basedOn w:val="Normal"/>
    <w:next w:val="Heading1"/>
    <w:pPr>
      <w:keepNext/>
      <w:spacing w:after="480" w:line="240" w:lineRule="auto"/>
      <w:jc w:val="center"/>
    </w:pPr>
    <w:rPr>
      <w:rFonts w:ascii="Times New Roman" w:eastAsia="Times New Roman" w:hAnsi="Times New Roman" w:cs="Times New Roman"/>
      <w:b/>
      <w:smallCaps/>
      <w:sz w:val="28"/>
      <w:szCs w:val="20"/>
    </w:rPr>
  </w:style>
  <w:style w:type="paragraph" w:customStyle="1" w:styleId="ChapterTitle">
    <w:name w:val="ChapterTitle"/>
    <w:basedOn w:val="Normal"/>
    <w:next w:val="SectionTitle"/>
    <w:pPr>
      <w:keepNext/>
      <w:spacing w:after="480" w:line="240" w:lineRule="auto"/>
      <w:jc w:val="center"/>
    </w:pPr>
    <w:rPr>
      <w:rFonts w:ascii="Times New Roman" w:eastAsia="Times New Roman" w:hAnsi="Times New Roman" w:cs="Times New Roman"/>
      <w:b/>
      <w:sz w:val="32"/>
      <w:szCs w:val="20"/>
    </w:rPr>
  </w:style>
  <w:style w:type="paragraph" w:customStyle="1" w:styleId="DoubSign">
    <w:name w:val="DoubSign"/>
    <w:basedOn w:val="Normal"/>
    <w:next w:val="Enclosures"/>
    <w:pPr>
      <w:tabs>
        <w:tab w:val="left" w:pos="5103"/>
      </w:tabs>
      <w:spacing w:before="1200" w:after="0" w:line="240" w:lineRule="auto"/>
    </w:pPr>
    <w:rPr>
      <w:rFonts w:ascii="Times New Roman" w:eastAsia="Times New Roman" w:hAnsi="Times New Roman" w:cs="Times New Roman"/>
      <w:sz w:val="24"/>
      <w:szCs w:val="20"/>
    </w:rPr>
  </w:style>
  <w:style w:type="paragraph" w:customStyle="1" w:styleId="Subject">
    <w:name w:val="Subject"/>
    <w:basedOn w:val="Normal"/>
    <w:next w:val="Normal"/>
    <w:pPr>
      <w:spacing w:after="480" w:line="240" w:lineRule="auto"/>
      <w:ind w:left="1531" w:hanging="1531"/>
    </w:pPr>
    <w:rPr>
      <w:rFonts w:ascii="Times New Roman" w:eastAsia="Times New Roman" w:hAnsi="Times New Roman" w:cs="Times New Roman"/>
      <w:b/>
      <w:sz w:val="24"/>
      <w:szCs w:val="20"/>
    </w:rPr>
  </w:style>
  <w:style w:type="paragraph" w:customStyle="1" w:styleId="NoteHead">
    <w:name w:val="NoteHead"/>
    <w:basedOn w:val="Normal"/>
    <w:next w:val="Subject"/>
    <w:pPr>
      <w:spacing w:before="720" w:after="720" w:line="240" w:lineRule="auto"/>
      <w:jc w:val="center"/>
    </w:pPr>
    <w:rPr>
      <w:rFonts w:ascii="Times New Roman" w:eastAsia="Times New Roman" w:hAnsi="Times New Roman" w:cs="Times New Roman"/>
      <w:b/>
      <w:smallCaps/>
      <w:sz w:val="24"/>
      <w:szCs w:val="20"/>
    </w:rPr>
  </w:style>
  <w:style w:type="paragraph" w:customStyle="1" w:styleId="NoteList">
    <w:name w:val="NoteList"/>
    <w:basedOn w:val="Normal"/>
    <w:next w:val="Subject"/>
    <w:pPr>
      <w:tabs>
        <w:tab w:val="left" w:pos="5823"/>
      </w:tabs>
      <w:spacing w:before="720" w:after="720" w:line="240" w:lineRule="auto"/>
      <w:ind w:left="5104" w:hanging="3119"/>
    </w:pPr>
    <w:rPr>
      <w:rFonts w:ascii="Times New Roman" w:eastAsia="Times New Roman" w:hAnsi="Times New Roman" w:cs="Times New Roman"/>
      <w:b/>
      <w:smallCaps/>
      <w:sz w:val="24"/>
      <w:szCs w:val="20"/>
    </w:rPr>
  </w:style>
  <w:style w:type="paragraph" w:customStyle="1" w:styleId="NumPar1">
    <w:name w:val="NumPar 1"/>
    <w:basedOn w:val="Heading1"/>
    <w:next w:val="Text1"/>
    <w:pPr>
      <w:keepNext w:val="0"/>
      <w:widowControl w:val="0"/>
      <w:tabs>
        <w:tab w:val="right" w:leader="dot" w:pos="8640"/>
      </w:tabs>
      <w:autoSpaceDE w:val="0"/>
      <w:autoSpaceDN w:val="0"/>
      <w:adjustRightInd w:val="0"/>
      <w:spacing w:before="0"/>
      <w:ind w:left="0" w:right="720" w:firstLine="0"/>
      <w:jc w:val="left"/>
      <w:outlineLvl w:val="9"/>
    </w:pPr>
    <w:rPr>
      <w:rFonts w:ascii="Verdana" w:eastAsiaTheme="minorHAnsi" w:hAnsi="Verdana" w:cstheme="minorBidi"/>
      <w:b w:val="0"/>
      <w:caps/>
      <w:sz w:val="22"/>
      <w:szCs w:val="22"/>
      <w:u w:val="single"/>
    </w:rPr>
  </w:style>
  <w:style w:type="paragraph" w:customStyle="1" w:styleId="NumPar2">
    <w:name w:val="NumPar 2"/>
    <w:basedOn w:val="Heading2"/>
    <w:next w:val="Text2"/>
    <w:pPr>
      <w:keepNext w:val="0"/>
      <w:spacing w:before="240"/>
      <w:ind w:left="0" w:firstLine="0"/>
      <w:outlineLvl w:val="9"/>
    </w:pPr>
    <w:rPr>
      <w:rFonts w:ascii="Verdana" w:hAnsi="Verdana"/>
      <w:b w:val="0"/>
      <w:i/>
      <w:sz w:val="20"/>
    </w:rPr>
  </w:style>
  <w:style w:type="paragraph" w:customStyle="1" w:styleId="NumPar3">
    <w:name w:val="NumPar 3"/>
    <w:basedOn w:val="Heading3"/>
    <w:next w:val="Text3"/>
    <w:pPr>
      <w:keepNext w:val="0"/>
      <w:ind w:left="0" w:firstLine="0"/>
      <w:outlineLvl w:val="9"/>
    </w:pPr>
    <w:rPr>
      <w:rFonts w:ascii="Verdana" w:hAnsi="Verdana"/>
      <w:i w:val="0"/>
      <w:sz w:val="20"/>
    </w:rPr>
  </w:style>
  <w:style w:type="paragraph" w:customStyle="1" w:styleId="NumPar4">
    <w:name w:val="NumPar 4"/>
    <w:basedOn w:val="Heading4"/>
    <w:next w:val="Text4"/>
    <w:pPr>
      <w:keepNext w:val="0"/>
      <w:tabs>
        <w:tab w:val="num" w:pos="765"/>
      </w:tabs>
      <w:ind w:left="765" w:hanging="283"/>
      <w:outlineLvl w:val="9"/>
    </w:pPr>
  </w:style>
  <w:style w:type="paragraph" w:customStyle="1" w:styleId="PartTitle">
    <w:name w:val="PartTitle"/>
    <w:basedOn w:val="Normal"/>
    <w:next w:val="ChapterTitle"/>
    <w:pPr>
      <w:keepNext/>
      <w:pageBreakBefore/>
      <w:spacing w:after="480" w:line="240" w:lineRule="auto"/>
      <w:jc w:val="center"/>
    </w:pPr>
    <w:rPr>
      <w:rFonts w:ascii="Times New Roman" w:eastAsia="Times New Roman" w:hAnsi="Times New Roman" w:cs="Times New Roman"/>
      <w:b/>
      <w:sz w:val="36"/>
      <w:szCs w:val="20"/>
    </w:rPr>
  </w:style>
  <w:style w:type="paragraph" w:customStyle="1" w:styleId="SubTitle2">
    <w:name w:val="SubTitle 2"/>
    <w:basedOn w:val="Normal"/>
    <w:pPr>
      <w:spacing w:after="240" w:line="240" w:lineRule="auto"/>
      <w:jc w:val="center"/>
    </w:pPr>
    <w:rPr>
      <w:rFonts w:ascii="Times New Roman" w:eastAsia="Times New Roman" w:hAnsi="Times New Roman" w:cs="Times New Roman"/>
      <w:b/>
      <w:sz w:val="32"/>
      <w:szCs w:val="20"/>
    </w:rPr>
  </w:style>
  <w:style w:type="paragraph" w:customStyle="1" w:styleId="YReferences">
    <w:name w:val="YReferences"/>
    <w:basedOn w:val="Normal"/>
    <w:next w:val="Normal"/>
    <w:pPr>
      <w:spacing w:after="480" w:line="240" w:lineRule="auto"/>
      <w:ind w:left="1531" w:hanging="1531"/>
      <w:jc w:val="both"/>
    </w:pPr>
    <w:rPr>
      <w:rFonts w:ascii="Times New Roman" w:eastAsia="Times New Roman" w:hAnsi="Times New Roman" w:cs="Times New Roman"/>
      <w:sz w:val="24"/>
      <w:szCs w:val="20"/>
    </w:rPr>
  </w:style>
  <w:style w:type="paragraph" w:customStyle="1" w:styleId="ListBullet1">
    <w:name w:val="List Bullet 1"/>
    <w:basedOn w:val="Text1"/>
    <w:pPr>
      <w:numPr>
        <w:numId w:val="29"/>
      </w:numPr>
    </w:pPr>
  </w:style>
  <w:style w:type="paragraph" w:customStyle="1" w:styleId="ListDash">
    <w:name w:val="List Dash"/>
    <w:basedOn w:val="Normal"/>
    <w:pPr>
      <w:numPr>
        <w:numId w:val="3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Text2"/>
    <w:pPr>
      <w:numPr>
        <w:numId w:val="31"/>
      </w:numPr>
      <w:tabs>
        <w:tab w:val="clear" w:pos="1485"/>
        <w:tab w:val="clear" w:pos="2302"/>
        <w:tab w:val="num" w:pos="765"/>
      </w:tabs>
      <w:ind w:left="765"/>
    </w:pPr>
    <w:rPr>
      <w:rFonts w:asciiTheme="minorHAnsi" w:eastAsiaTheme="minorHAnsi" w:hAnsiTheme="minorHAnsi" w:cstheme="minorBidi"/>
      <w:szCs w:val="22"/>
    </w:rPr>
  </w:style>
  <w:style w:type="paragraph" w:customStyle="1" w:styleId="ListDash3">
    <w:name w:val="List Dash 3"/>
    <w:basedOn w:val="Text3"/>
    <w:pPr>
      <w:numPr>
        <w:numId w:val="32"/>
      </w:numPr>
      <w:tabs>
        <w:tab w:val="clear" w:pos="1485"/>
      </w:tabs>
      <w:ind w:left="1202" w:firstLine="0"/>
    </w:pPr>
  </w:style>
  <w:style w:type="paragraph" w:customStyle="1" w:styleId="ListDash4">
    <w:name w:val="List Dash 4"/>
    <w:basedOn w:val="Text4"/>
    <w:pPr>
      <w:numPr>
        <w:numId w:val="33"/>
      </w:numPr>
      <w:tabs>
        <w:tab w:val="clear" w:pos="2302"/>
      </w:tabs>
    </w:pPr>
  </w:style>
  <w:style w:type="paragraph" w:customStyle="1" w:styleId="ListNumberLevel2">
    <w:name w:val="List Number (Level 2)"/>
    <w:basedOn w:val="Normal"/>
    <w:pPr>
      <w:numPr>
        <w:ilvl w:val="1"/>
        <w:numId w:val="23"/>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pPr>
      <w:numPr>
        <w:ilvl w:val="2"/>
        <w:numId w:val="23"/>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pPr>
      <w:numPr>
        <w:ilvl w:val="3"/>
        <w:numId w:val="2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Text1"/>
    <w:pPr>
      <w:numPr>
        <w:numId w:val="34"/>
      </w:numPr>
    </w:pPr>
  </w:style>
  <w:style w:type="paragraph" w:customStyle="1" w:styleId="ListNumber1Level2">
    <w:name w:val="List Number 1 (Level 2)"/>
    <w:basedOn w:val="Text1"/>
    <w:pPr>
      <w:numPr>
        <w:ilvl w:val="1"/>
        <w:numId w:val="34"/>
      </w:numPr>
    </w:pPr>
  </w:style>
  <w:style w:type="paragraph" w:customStyle="1" w:styleId="ListNumber1Level3">
    <w:name w:val="List Number 1 (Level 3)"/>
    <w:basedOn w:val="Text1"/>
    <w:pPr>
      <w:numPr>
        <w:ilvl w:val="2"/>
        <w:numId w:val="34"/>
      </w:numPr>
    </w:pPr>
  </w:style>
  <w:style w:type="paragraph" w:customStyle="1" w:styleId="ListNumber1Level4">
    <w:name w:val="List Number 1 (Level 4)"/>
    <w:basedOn w:val="Text1"/>
    <w:pPr>
      <w:numPr>
        <w:ilvl w:val="3"/>
        <w:numId w:val="34"/>
      </w:numPr>
    </w:pPr>
  </w:style>
  <w:style w:type="paragraph" w:customStyle="1" w:styleId="ListNumber2Level2">
    <w:name w:val="List Number 2 (Level 2)"/>
    <w:basedOn w:val="Text2"/>
    <w:pPr>
      <w:numPr>
        <w:ilvl w:val="1"/>
        <w:numId w:val="35"/>
      </w:numPr>
      <w:tabs>
        <w:tab w:val="clear" w:pos="2302"/>
        <w:tab w:val="clear" w:pos="2619"/>
        <w:tab w:val="num" w:pos="1899"/>
      </w:tabs>
      <w:ind w:left="1899"/>
    </w:pPr>
    <w:rPr>
      <w:rFonts w:asciiTheme="minorHAnsi" w:eastAsiaTheme="minorHAnsi" w:hAnsiTheme="minorHAnsi" w:cstheme="minorBidi"/>
      <w:szCs w:val="22"/>
    </w:rPr>
  </w:style>
  <w:style w:type="paragraph" w:customStyle="1" w:styleId="ListNumber2Level3">
    <w:name w:val="List Number 2 (Level 3)"/>
    <w:basedOn w:val="Text2"/>
    <w:pPr>
      <w:numPr>
        <w:ilvl w:val="2"/>
        <w:numId w:val="35"/>
      </w:numPr>
      <w:tabs>
        <w:tab w:val="clear" w:pos="2302"/>
        <w:tab w:val="clear" w:pos="3328"/>
        <w:tab w:val="num" w:pos="2608"/>
      </w:tabs>
      <w:ind w:left="2608"/>
    </w:pPr>
    <w:rPr>
      <w:rFonts w:asciiTheme="minorHAnsi" w:eastAsiaTheme="minorHAnsi" w:hAnsiTheme="minorHAnsi" w:cstheme="minorBidi"/>
      <w:szCs w:val="22"/>
    </w:rPr>
  </w:style>
  <w:style w:type="paragraph" w:customStyle="1" w:styleId="ListNumber2Level4">
    <w:name w:val="List Number 2 (Level 4)"/>
    <w:basedOn w:val="Text2"/>
    <w:pPr>
      <w:numPr>
        <w:ilvl w:val="3"/>
        <w:numId w:val="35"/>
      </w:numPr>
      <w:tabs>
        <w:tab w:val="clear" w:pos="2302"/>
        <w:tab w:val="clear" w:pos="4037"/>
        <w:tab w:val="num" w:pos="3317"/>
      </w:tabs>
      <w:ind w:left="3317"/>
    </w:pPr>
    <w:rPr>
      <w:rFonts w:asciiTheme="minorHAnsi" w:eastAsiaTheme="minorHAnsi" w:hAnsiTheme="minorHAnsi" w:cstheme="minorBidi"/>
      <w:szCs w:val="22"/>
    </w:rPr>
  </w:style>
  <w:style w:type="paragraph" w:customStyle="1" w:styleId="ListNumber3Level2">
    <w:name w:val="List Number 3 (Level 2)"/>
    <w:basedOn w:val="Text3"/>
    <w:pPr>
      <w:numPr>
        <w:ilvl w:val="1"/>
        <w:numId w:val="26"/>
      </w:numPr>
      <w:tabs>
        <w:tab w:val="clear" w:pos="2619"/>
      </w:tabs>
      <w:ind w:left="1202" w:firstLine="0"/>
    </w:pPr>
  </w:style>
  <w:style w:type="paragraph" w:customStyle="1" w:styleId="ListNumber3Level3">
    <w:name w:val="List Number 3 (Level 3)"/>
    <w:basedOn w:val="Text3"/>
    <w:pPr>
      <w:numPr>
        <w:ilvl w:val="2"/>
        <w:numId w:val="26"/>
      </w:numPr>
      <w:tabs>
        <w:tab w:val="clear" w:pos="3328"/>
      </w:tabs>
      <w:ind w:left="1202" w:firstLine="0"/>
    </w:pPr>
  </w:style>
  <w:style w:type="paragraph" w:customStyle="1" w:styleId="ListNumber3Level4">
    <w:name w:val="List Number 3 (Level 4)"/>
    <w:basedOn w:val="Text3"/>
    <w:pPr>
      <w:numPr>
        <w:ilvl w:val="3"/>
        <w:numId w:val="26"/>
      </w:numPr>
      <w:tabs>
        <w:tab w:val="clear" w:pos="4037"/>
      </w:tabs>
      <w:ind w:left="1202" w:firstLine="0"/>
    </w:pPr>
  </w:style>
  <w:style w:type="paragraph" w:customStyle="1" w:styleId="ListNumber4Level2">
    <w:name w:val="List Number 4 (Level 2)"/>
    <w:basedOn w:val="Text4"/>
    <w:pPr>
      <w:numPr>
        <w:ilvl w:val="1"/>
        <w:numId w:val="27"/>
      </w:numPr>
      <w:tabs>
        <w:tab w:val="clear" w:pos="2302"/>
      </w:tabs>
    </w:pPr>
  </w:style>
  <w:style w:type="paragraph" w:customStyle="1" w:styleId="ListNumber4Level3">
    <w:name w:val="List Number 4 (Level 3)"/>
    <w:basedOn w:val="Text4"/>
    <w:pPr>
      <w:numPr>
        <w:ilvl w:val="2"/>
        <w:numId w:val="27"/>
      </w:numPr>
      <w:tabs>
        <w:tab w:val="clear" w:pos="2302"/>
      </w:tabs>
    </w:pPr>
  </w:style>
  <w:style w:type="paragraph" w:customStyle="1" w:styleId="ListNumber4Level4">
    <w:name w:val="List Number 4 (Level 4)"/>
    <w:basedOn w:val="Text4"/>
    <w:pPr>
      <w:numPr>
        <w:ilvl w:val="3"/>
        <w:numId w:val="27"/>
      </w:numPr>
      <w:tabs>
        <w:tab w:val="clear" w:pos="2302"/>
      </w:tabs>
    </w:pPr>
  </w:style>
  <w:style w:type="paragraph" w:customStyle="1" w:styleId="TOCHeading1">
    <w:name w:val="TOC Heading1"/>
    <w:basedOn w:val="Normal"/>
    <w:next w:val="Normal"/>
    <w:pPr>
      <w:keepNext/>
      <w:spacing w:before="240" w:after="240" w:line="240" w:lineRule="auto"/>
      <w:jc w:val="center"/>
    </w:pPr>
    <w:rPr>
      <w:rFonts w:ascii="Times New Roman" w:eastAsia="Times New Roman" w:hAnsi="Times New Roman" w:cs="Times New Roman"/>
      <w:b/>
      <w:sz w:val="24"/>
      <w:szCs w:val="20"/>
    </w:rPr>
  </w:style>
  <w:style w:type="paragraph" w:customStyle="1" w:styleId="Contact">
    <w:name w:val="Contact"/>
    <w:basedOn w:val="Normal"/>
    <w:next w:val="Normal"/>
    <w:pPr>
      <w:spacing w:after="480" w:line="240" w:lineRule="auto"/>
      <w:ind w:left="567" w:hanging="567"/>
    </w:pPr>
    <w:rPr>
      <w:rFonts w:ascii="Times New Roman" w:eastAsia="Times New Roman" w:hAnsi="Times New Roman" w:cs="Times New Roman"/>
      <w:sz w:val="24"/>
      <w:szCs w:val="20"/>
    </w:rPr>
  </w:style>
  <w:style w:type="paragraph" w:customStyle="1" w:styleId="ZDGName">
    <w:name w:val="Z_DGName"/>
    <w:basedOn w:val="Normal"/>
    <w:pPr>
      <w:widowControl w:val="0"/>
      <w:autoSpaceDE w:val="0"/>
      <w:autoSpaceDN w:val="0"/>
      <w:spacing w:after="0" w:line="240" w:lineRule="auto"/>
      <w:ind w:right="85"/>
    </w:pPr>
    <w:rPr>
      <w:rFonts w:ascii="Arial" w:eastAsia="Times New Roman" w:hAnsi="Arial" w:cs="Arial"/>
      <w:sz w:val="16"/>
      <w:szCs w:val="16"/>
      <w:lang w:eastAsia="en-GB"/>
    </w:rPr>
  </w:style>
  <w:style w:type="paragraph" w:customStyle="1" w:styleId="ZCom">
    <w:name w:val="Z_Com"/>
    <w:basedOn w:val="Normal"/>
    <w:next w:val="ZDGName"/>
    <w:pPr>
      <w:widowControl w:val="0"/>
      <w:autoSpaceDE w:val="0"/>
      <w:autoSpaceDN w:val="0"/>
      <w:spacing w:after="0" w:line="240" w:lineRule="auto"/>
      <w:ind w:right="85"/>
      <w:jc w:val="both"/>
    </w:pPr>
    <w:rPr>
      <w:rFonts w:ascii="Arial" w:eastAsia="Times New Roman" w:hAnsi="Arial" w:cs="Arial"/>
      <w:sz w:val="24"/>
      <w:szCs w:val="24"/>
      <w:lang w:eastAsia="en-GB"/>
    </w:rPr>
  </w:style>
  <w:style w:type="character" w:customStyle="1" w:styleId="DocumentTitleChar">
    <w:name w:val="Document Title Char"/>
    <w:link w:val="DocumentTitle"/>
    <w:locked/>
    <w:rPr>
      <w:rFonts w:ascii="Verdana" w:hAnsi="Verdana"/>
      <w:b/>
      <w:sz w:val="52"/>
    </w:rPr>
  </w:style>
  <w:style w:type="paragraph" w:customStyle="1" w:styleId="DocumentTitle">
    <w:name w:val="Document Title"/>
    <w:basedOn w:val="Normal"/>
    <w:link w:val="DocumentTitleChar"/>
    <w:qFormat/>
    <w:pPr>
      <w:spacing w:after="240" w:line="240" w:lineRule="auto"/>
      <w:jc w:val="center"/>
    </w:pPr>
    <w:rPr>
      <w:rFonts w:ascii="Verdana" w:hAnsi="Verdana"/>
      <w:b/>
      <w:sz w:val="52"/>
    </w:rPr>
  </w:style>
  <w:style w:type="character" w:customStyle="1" w:styleId="ApprovalfooterChar">
    <w:name w:val="Approval_footer Char"/>
    <w:basedOn w:val="FooterChar"/>
    <w:link w:val="Footerapproval"/>
    <w:locked/>
    <w:rPr>
      <w:rFonts w:ascii="Verdana" w:eastAsia="Times New Roman" w:hAnsi="Verdana" w:cs="Arial"/>
      <w:sz w:val="13"/>
      <w:szCs w:val="20"/>
      <w:lang w:val="fr-BE"/>
    </w:rPr>
  </w:style>
  <w:style w:type="paragraph" w:customStyle="1" w:styleId="Footerapproval">
    <w:name w:val="Footer approval"/>
    <w:basedOn w:val="Footer"/>
    <w:link w:val="ApprovalfooterChar"/>
    <w:qFormat/>
    <w:pPr>
      <w:tabs>
        <w:tab w:val="clear" w:pos="4535"/>
        <w:tab w:val="clear" w:pos="9071"/>
        <w:tab w:val="clear" w:pos="9921"/>
        <w:tab w:val="left" w:pos="6804"/>
      </w:tabs>
      <w:spacing w:before="0"/>
      <w:ind w:left="0" w:right="-567"/>
    </w:pPr>
    <w:rPr>
      <w:rFonts w:ascii="Verdana" w:eastAsia="Times New Roman" w:hAnsi="Verdana" w:cs="Arial"/>
      <w:sz w:val="13"/>
      <w:szCs w:val="20"/>
      <w:lang w:val="fr-BE"/>
    </w:rPr>
  </w:style>
  <w:style w:type="character" w:customStyle="1" w:styleId="FooterDateChar">
    <w:name w:val="Footer Date Char"/>
    <w:link w:val="FooterDate"/>
    <w:locked/>
    <w:rPr>
      <w:rFonts w:ascii="Verdana" w:hAnsi="Verdana"/>
      <w:sz w:val="16"/>
      <w:lang w:val="it-IT"/>
    </w:rPr>
  </w:style>
  <w:style w:type="paragraph" w:customStyle="1" w:styleId="FooterDate">
    <w:name w:val="Footer Date"/>
    <w:basedOn w:val="Footer"/>
    <w:link w:val="FooterDateChar"/>
    <w:pPr>
      <w:tabs>
        <w:tab w:val="clear" w:pos="4535"/>
        <w:tab w:val="clear" w:pos="9071"/>
        <w:tab w:val="clear" w:pos="9921"/>
        <w:tab w:val="right" w:pos="9240"/>
      </w:tabs>
      <w:spacing w:before="0"/>
      <w:ind w:left="0" w:right="-567"/>
    </w:pPr>
    <w:rPr>
      <w:rFonts w:ascii="Verdana" w:hAnsi="Verdana" w:cstheme="minorBidi"/>
      <w:sz w:val="16"/>
      <w:lang w:val="it-IT"/>
    </w:rPr>
  </w:style>
  <w:style w:type="character" w:customStyle="1" w:styleId="PagenumberChar">
    <w:name w:val="Page number Char"/>
    <w:link w:val="PageNumber1"/>
    <w:locked/>
    <w:rPr>
      <w:rFonts w:ascii="Verdana" w:hAnsi="Verdana"/>
      <w:sz w:val="16"/>
      <w:lang w:val="fr-BE"/>
    </w:rPr>
  </w:style>
  <w:style w:type="paragraph" w:customStyle="1" w:styleId="PageNumber1">
    <w:name w:val="Page Number1"/>
    <w:basedOn w:val="Footer"/>
    <w:link w:val="PagenumberChar"/>
    <w:pPr>
      <w:tabs>
        <w:tab w:val="clear" w:pos="4535"/>
        <w:tab w:val="clear" w:pos="9071"/>
        <w:tab w:val="clear" w:pos="9921"/>
        <w:tab w:val="right" w:pos="9240"/>
      </w:tabs>
      <w:spacing w:before="0"/>
      <w:ind w:left="0" w:right="-622"/>
    </w:pPr>
    <w:rPr>
      <w:rFonts w:ascii="Verdana" w:hAnsi="Verdana" w:cstheme="minorBidi"/>
      <w:sz w:val="16"/>
      <w:lang w:val="fr-BE"/>
    </w:rPr>
  </w:style>
  <w:style w:type="character" w:customStyle="1" w:styleId="DocumentSubtitleChar">
    <w:name w:val="Document Subtitle Char"/>
    <w:link w:val="DocumentSubtitle"/>
    <w:locked/>
    <w:rPr>
      <w:rFonts w:ascii="Verdana" w:hAnsi="Verdana"/>
      <w:sz w:val="32"/>
      <w:szCs w:val="36"/>
    </w:rPr>
  </w:style>
  <w:style w:type="paragraph" w:customStyle="1" w:styleId="DocumentSubtitle">
    <w:name w:val="Document Subtitle"/>
    <w:basedOn w:val="DocumentTitle"/>
    <w:link w:val="DocumentSubtitleChar"/>
    <w:qFormat/>
    <w:rPr>
      <w:b w:val="0"/>
      <w:sz w:val="32"/>
      <w:szCs w:val="36"/>
    </w:rPr>
  </w:style>
  <w:style w:type="character" w:customStyle="1" w:styleId="HeaderTitleChar">
    <w:name w:val="Header Title Char"/>
    <w:link w:val="HeaderTitle"/>
    <w:locked/>
    <w:rPr>
      <w:rFonts w:ascii="Verdana" w:hAnsi="Verdana"/>
      <w:b/>
      <w:color w:val="808080"/>
      <w:sz w:val="18"/>
      <w:szCs w:val="18"/>
    </w:rPr>
  </w:style>
  <w:style w:type="paragraph" w:customStyle="1" w:styleId="HeaderTitle">
    <w:name w:val="Header Title"/>
    <w:basedOn w:val="Normal"/>
    <w:link w:val="HeaderTitleChar"/>
    <w:pPr>
      <w:spacing w:after="240" w:line="240" w:lineRule="auto"/>
      <w:jc w:val="center"/>
    </w:pPr>
    <w:rPr>
      <w:rFonts w:ascii="Verdana" w:hAnsi="Verdana"/>
      <w:b/>
      <w:color w:val="808080"/>
      <w:sz w:val="18"/>
      <w:szCs w:val="18"/>
    </w:rPr>
  </w:style>
  <w:style w:type="character" w:customStyle="1" w:styleId="HeadingChar">
    <w:name w:val="Heading Char"/>
    <w:link w:val="Heading"/>
    <w:locked/>
    <w:rPr>
      <w:rFonts w:ascii="Verdana" w:hAnsi="Verdana"/>
      <w:b/>
      <w:caps/>
      <w:u w:val="single"/>
    </w:rPr>
  </w:style>
  <w:style w:type="paragraph" w:customStyle="1" w:styleId="Heading">
    <w:name w:val="Heading"/>
    <w:basedOn w:val="TOC1"/>
    <w:link w:val="HeadingChar"/>
    <w:qFormat/>
    <w:pPr>
      <w:widowControl w:val="0"/>
      <w:autoSpaceDE w:val="0"/>
      <w:autoSpaceDN w:val="0"/>
      <w:adjustRightInd w:val="0"/>
      <w:spacing w:after="0"/>
      <w:ind w:left="0" w:firstLine="0"/>
      <w:jc w:val="left"/>
    </w:pPr>
    <w:rPr>
      <w:rFonts w:ascii="Verdana" w:eastAsiaTheme="minorHAnsi" w:hAnsi="Verdana" w:cstheme="minorBidi"/>
      <w:b/>
      <w:sz w:val="22"/>
      <w:szCs w:val="22"/>
      <w:u w:val="single"/>
    </w:rPr>
  </w:style>
  <w:style w:type="character" w:customStyle="1" w:styleId="BulletPoint2Char">
    <w:name w:val="Bullet Point 2 Char"/>
    <w:link w:val="BulletPoint2"/>
    <w:locked/>
    <w:rPr>
      <w:rFonts w:ascii="Verdana" w:hAnsi="Verdana"/>
      <w:sz w:val="18"/>
    </w:rPr>
  </w:style>
  <w:style w:type="paragraph" w:customStyle="1" w:styleId="BulletPoint2">
    <w:name w:val="Bullet Point 2"/>
    <w:basedOn w:val="NormalIndent"/>
    <w:link w:val="BulletPoint2Char"/>
    <w:qFormat/>
    <w:pPr>
      <w:numPr>
        <w:numId w:val="36"/>
      </w:numPr>
      <w:spacing w:after="120" w:line="240" w:lineRule="auto"/>
      <w:ind w:left="1077" w:hanging="357"/>
    </w:pPr>
    <w:rPr>
      <w:rFonts w:ascii="Verdana" w:hAnsi="Verdana"/>
      <w:sz w:val="18"/>
    </w:rPr>
  </w:style>
  <w:style w:type="character" w:customStyle="1" w:styleId="FooterDocumentChar">
    <w:name w:val="Footer Document Char"/>
    <w:link w:val="FooterDocument"/>
    <w:locked/>
    <w:rPr>
      <w:rFonts w:ascii="Verdana" w:hAnsi="Verdana"/>
      <w:i/>
      <w:noProof/>
      <w:sz w:val="13"/>
      <w:lang w:val="en-US"/>
    </w:rPr>
  </w:style>
  <w:style w:type="paragraph" w:customStyle="1" w:styleId="FooterDocument">
    <w:name w:val="Footer Document"/>
    <w:basedOn w:val="Body"/>
    <w:link w:val="FooterDocumentChar"/>
    <w:pPr>
      <w:spacing w:after="0"/>
    </w:pPr>
    <w:rPr>
      <w:rFonts w:eastAsiaTheme="minorHAnsi" w:cstheme="minorBidi"/>
      <w:i/>
      <w:noProof/>
      <w:sz w:val="13"/>
      <w:szCs w:val="22"/>
      <w:lang w:val="en-US"/>
    </w:rPr>
  </w:style>
  <w:style w:type="paragraph" w:customStyle="1" w:styleId="Title2">
    <w:name w:val="Title 2"/>
    <w:basedOn w:val="Normal"/>
    <w:pPr>
      <w:numPr>
        <w:numId w:val="37"/>
      </w:numPr>
      <w:spacing w:after="240" w:line="240" w:lineRule="auto"/>
      <w:jc w:val="both"/>
    </w:pPr>
    <w:rPr>
      <w:rFonts w:ascii="Times New Roman" w:eastAsia="Times New Roman" w:hAnsi="Times New Roman" w:cs="Times New Roman"/>
      <w:sz w:val="24"/>
      <w:szCs w:val="20"/>
    </w:rPr>
  </w:style>
  <w:style w:type="character" w:customStyle="1" w:styleId="SubtitleChar0">
    <w:name w:val="Subtitle_ Char"/>
    <w:basedOn w:val="Heading2Char0"/>
    <w:link w:val="Subtitle0"/>
    <w:locked/>
    <w:rPr>
      <w:rFonts w:ascii="Times New Roman" w:eastAsia="Times New Roman" w:hAnsi="Times New Roman" w:cs="Times New Roman"/>
      <w:sz w:val="24"/>
      <w:szCs w:val="20"/>
    </w:rPr>
  </w:style>
  <w:style w:type="paragraph" w:customStyle="1" w:styleId="Subtitle0">
    <w:name w:val="Subtitle_"/>
    <w:basedOn w:val="TOC2"/>
    <w:link w:val="SubtitleChar0"/>
    <w:qFormat/>
  </w:style>
  <w:style w:type="character" w:customStyle="1" w:styleId="HeadingBodyChar">
    <w:name w:val="Heading Body Char"/>
    <w:basedOn w:val="DefaultParagraphFont"/>
    <w:link w:val="HeadingBody"/>
    <w:locked/>
    <w:rPr>
      <w:rFonts w:ascii="Verdana" w:hAnsi="Verdana"/>
      <w:b/>
      <w:szCs w:val="18"/>
    </w:rPr>
  </w:style>
  <w:style w:type="paragraph" w:customStyle="1" w:styleId="HeadingBody">
    <w:name w:val="Heading Body"/>
    <w:basedOn w:val="Normal"/>
    <w:link w:val="HeadingBodyChar"/>
    <w:qFormat/>
    <w:pPr>
      <w:spacing w:after="120" w:line="240" w:lineRule="auto"/>
      <w:jc w:val="both"/>
    </w:pPr>
    <w:rPr>
      <w:rFonts w:ascii="Verdana" w:hAnsi="Verdana"/>
      <w:b/>
      <w:szCs w:val="18"/>
    </w:rPr>
  </w:style>
  <w:style w:type="character" w:customStyle="1" w:styleId="TitlepublicationChar">
    <w:name w:val="Title publication Char"/>
    <w:basedOn w:val="DefaultParagraphFont"/>
    <w:link w:val="Titlepublication"/>
    <w:locked/>
    <w:rPr>
      <w:rFonts w:ascii="Verdana" w:hAnsi="Verdana"/>
      <w:b/>
      <w:color w:val="FF0000"/>
      <w:sz w:val="52"/>
      <w:szCs w:val="52"/>
    </w:rPr>
  </w:style>
  <w:style w:type="paragraph" w:customStyle="1" w:styleId="Titlepublication">
    <w:name w:val="Title publication"/>
    <w:basedOn w:val="Normal"/>
    <w:link w:val="TitlepublicationChar"/>
    <w:qFormat/>
    <w:pPr>
      <w:spacing w:after="240" w:line="240" w:lineRule="auto"/>
      <w:jc w:val="center"/>
    </w:pPr>
    <w:rPr>
      <w:rFonts w:ascii="Verdana" w:hAnsi="Verdana"/>
      <w:b/>
      <w:color w:val="FF0000"/>
      <w:sz w:val="52"/>
      <w:szCs w:val="52"/>
    </w:rPr>
  </w:style>
  <w:style w:type="character" w:customStyle="1" w:styleId="SubtitlepublicationChar">
    <w:name w:val="Subtitle publication Char"/>
    <w:basedOn w:val="DefaultParagraphFont"/>
    <w:link w:val="Subtitlepublication"/>
    <w:locked/>
    <w:rPr>
      <w:rFonts w:ascii="Verdana" w:hAnsi="Verdana"/>
      <w:b/>
      <w:i/>
      <w:color w:val="FF0000"/>
      <w:sz w:val="32"/>
    </w:rPr>
  </w:style>
  <w:style w:type="paragraph" w:customStyle="1" w:styleId="Subtitlepublication">
    <w:name w:val="Subtitle publication"/>
    <w:basedOn w:val="Normal"/>
    <w:link w:val="SubtitlepublicationChar"/>
    <w:qFormat/>
    <w:pPr>
      <w:spacing w:after="240" w:line="240" w:lineRule="auto"/>
      <w:jc w:val="center"/>
    </w:pPr>
    <w:rPr>
      <w:rFonts w:ascii="Verdana" w:hAnsi="Verdana"/>
      <w:b/>
      <w:i/>
      <w:color w:val="FF0000"/>
      <w:sz w:val="32"/>
    </w:rPr>
  </w:style>
  <w:style w:type="character" w:customStyle="1" w:styleId="EditornameChar">
    <w:name w:val="Editor name Char"/>
    <w:basedOn w:val="DefaultParagraphFont"/>
    <w:link w:val="Editorname"/>
    <w:locked/>
    <w:rPr>
      <w:rFonts w:ascii="Verdana" w:hAnsi="Verdana"/>
      <w:color w:val="FF0000"/>
      <w:sz w:val="24"/>
    </w:rPr>
  </w:style>
  <w:style w:type="paragraph" w:customStyle="1" w:styleId="Editorname">
    <w:name w:val="Editor name"/>
    <w:basedOn w:val="Normal"/>
    <w:link w:val="EditornameChar"/>
    <w:qFormat/>
    <w:pPr>
      <w:spacing w:after="240" w:line="240" w:lineRule="auto"/>
      <w:jc w:val="center"/>
    </w:pPr>
    <w:rPr>
      <w:rFonts w:ascii="Verdana" w:hAnsi="Verdana"/>
      <w:color w:val="FF0000"/>
      <w:sz w:val="24"/>
    </w:rPr>
  </w:style>
  <w:style w:type="character" w:customStyle="1" w:styleId="BackcoversummaryChar">
    <w:name w:val="Backcover_summary Char"/>
    <w:basedOn w:val="DefaultParagraphFont"/>
    <w:link w:val="Backcoversummary"/>
    <w:locked/>
    <w:rPr>
      <w:rFonts w:ascii="Verdana" w:hAnsi="Verdana"/>
      <w:color w:val="FF0000"/>
      <w:sz w:val="24"/>
    </w:rPr>
  </w:style>
  <w:style w:type="paragraph" w:customStyle="1" w:styleId="Backcoversummary">
    <w:name w:val="Backcover_summary"/>
    <w:basedOn w:val="Normal"/>
    <w:link w:val="BackcoversummaryChar"/>
    <w:qFormat/>
    <w:pPr>
      <w:spacing w:after="240" w:line="240" w:lineRule="auto"/>
      <w:jc w:val="both"/>
    </w:pPr>
    <w:rPr>
      <w:rFonts w:ascii="Verdana" w:hAnsi="Verdana"/>
      <w:color w:val="FF0000"/>
      <w:sz w:val="24"/>
    </w:rPr>
  </w:style>
  <w:style w:type="character" w:customStyle="1" w:styleId="BackcovercategoryChar">
    <w:name w:val="Backcover_category Char"/>
    <w:basedOn w:val="DefaultParagraphFont"/>
    <w:link w:val="Backcovercategory"/>
    <w:locked/>
    <w:rPr>
      <w:rFonts w:ascii="Verdana" w:hAnsi="Verdana"/>
      <w:i/>
      <w:color w:val="FF0000"/>
      <w:sz w:val="18"/>
    </w:rPr>
  </w:style>
  <w:style w:type="paragraph" w:customStyle="1" w:styleId="Backcovercategory">
    <w:name w:val="Backcover_category"/>
    <w:basedOn w:val="Normal"/>
    <w:link w:val="BackcovercategoryChar"/>
    <w:qFormat/>
    <w:pPr>
      <w:spacing w:after="240" w:line="240" w:lineRule="auto"/>
      <w:ind w:right="28"/>
      <w:jc w:val="both"/>
    </w:pPr>
    <w:rPr>
      <w:rFonts w:ascii="Verdana" w:hAnsi="Verdana"/>
      <w:i/>
      <w:color w:val="FF0000"/>
      <w:sz w:val="18"/>
    </w:rPr>
  </w:style>
  <w:style w:type="character" w:customStyle="1" w:styleId="BodyTextCarattere">
    <w:name w:val="Body Text Carattere"/>
    <w:basedOn w:val="DefaultParagraphFont"/>
    <w:link w:val="BodyText1"/>
    <w:locked/>
    <w:rPr>
      <w:rFonts w:ascii="Verdana" w:hAnsi="Verdana"/>
    </w:rPr>
  </w:style>
  <w:style w:type="paragraph" w:customStyle="1" w:styleId="BodyText1">
    <w:name w:val="Body Text1"/>
    <w:basedOn w:val="Body"/>
    <w:link w:val="BodyTextCarattere"/>
    <w:qFormat/>
    <w:rPr>
      <w:rFonts w:eastAsiaTheme="minorHAnsi" w:cstheme="minorBidi"/>
      <w:sz w:val="22"/>
      <w:szCs w:val="22"/>
    </w:rPr>
  </w:style>
  <w:style w:type="paragraph" w:customStyle="1" w:styleId="StyleListNumberListNumberJustifiedCustomColorRGB266312">
    <w:name w:val="Style List NumberList Number Justified + Custom Color(RGB(266312..."/>
    <w:basedOn w:val="ListNumber"/>
  </w:style>
  <w:style w:type="character" w:customStyle="1" w:styleId="StyleBodyTextAfter0ptChar">
    <w:name w:val="Style Body Text + After:  0 pt Char"/>
    <w:basedOn w:val="BodyTextChar"/>
    <w:link w:val="StyleBodyTextAfter0pt"/>
    <w:locked/>
    <w:rPr>
      <w:rFonts w:ascii="Times New Roman" w:eastAsia="Times New Roman" w:hAnsi="Times New Roman" w:cs="Times New Roman"/>
      <w:sz w:val="24"/>
      <w:szCs w:val="20"/>
    </w:rPr>
  </w:style>
  <w:style w:type="paragraph" w:customStyle="1" w:styleId="StyleBodyTextAfter0pt">
    <w:name w:val="Style Body Text + After:  0 pt"/>
    <w:basedOn w:val="BodyText"/>
    <w:link w:val="StyleBodyTextAfter0ptChar"/>
    <w:pPr>
      <w:spacing w:after="0"/>
    </w:pPr>
  </w:style>
  <w:style w:type="paragraph" w:customStyle="1" w:styleId="StyleStyleBulleted10ptCustomColorRGB12311170Left">
    <w:name w:val="Style Style Bulleted 10 pt Custom Color(RGB(12311170)) + Left"/>
    <w:basedOn w:val="Normal"/>
    <w:pPr>
      <w:numPr>
        <w:numId w:val="38"/>
      </w:numPr>
      <w:spacing w:after="220" w:line="240" w:lineRule="auto"/>
      <w:ind w:left="360"/>
    </w:pPr>
    <w:rPr>
      <w:rFonts w:ascii="Verdana" w:eastAsia="Times New Roman" w:hAnsi="Verdana" w:cs="Times New Roman"/>
      <w:color w:val="000000"/>
      <w:sz w:val="20"/>
      <w:szCs w:val="24"/>
      <w:lang w:eastAsia="en-GB"/>
    </w:rPr>
  </w:style>
  <w:style w:type="paragraph" w:customStyle="1" w:styleId="StyleListBulletListBulletJustifiedLeft">
    <w:name w:val="Style List BulletList Bullet Justified + Left"/>
    <w:basedOn w:val="Normal"/>
    <w:pPr>
      <w:numPr>
        <w:numId w:val="39"/>
      </w:numPr>
      <w:spacing w:before="80" w:after="80" w:line="240" w:lineRule="auto"/>
    </w:pPr>
    <w:rPr>
      <w:rFonts w:ascii="Verdana" w:eastAsia="Times New Roman" w:hAnsi="Verdana" w:cs="Times New Roman"/>
      <w:color w:val="333333"/>
      <w:sz w:val="20"/>
      <w:szCs w:val="20"/>
      <w:lang w:eastAsia="en-GB"/>
    </w:rPr>
  </w:style>
  <w:style w:type="paragraph" w:customStyle="1" w:styleId="StyleHeading1VerdanaAuto">
    <w:name w:val="Style Heading 1 + Verdana Auto"/>
    <w:basedOn w:val="Heading1"/>
    <w:pPr>
      <w:keepNext w:val="0"/>
      <w:widowControl w:val="0"/>
      <w:tabs>
        <w:tab w:val="right" w:leader="dot" w:pos="8640"/>
      </w:tabs>
      <w:autoSpaceDE w:val="0"/>
      <w:autoSpaceDN w:val="0"/>
      <w:adjustRightInd w:val="0"/>
      <w:spacing w:before="120" w:after="60"/>
      <w:ind w:left="0" w:right="720" w:firstLine="0"/>
      <w:jc w:val="left"/>
    </w:pPr>
    <w:rPr>
      <w:rFonts w:ascii="Verdana" w:eastAsiaTheme="minorHAnsi" w:hAnsi="Verdana" w:cs="Arial"/>
      <w:bCs/>
      <w:caps/>
      <w:color w:val="263673"/>
      <w:kern w:val="32"/>
      <w:sz w:val="28"/>
      <w:szCs w:val="32"/>
      <w:u w:val="single"/>
      <w:lang w:eastAsia="en-GB"/>
    </w:rPr>
  </w:style>
  <w:style w:type="paragraph" w:customStyle="1" w:styleId="StyleHeading1VerdanaAuto1">
    <w:name w:val="Style Heading 1 + Verdana Auto1"/>
    <w:basedOn w:val="Heading1"/>
    <w:pPr>
      <w:keepNext w:val="0"/>
      <w:widowControl w:val="0"/>
      <w:tabs>
        <w:tab w:val="right" w:leader="dot" w:pos="8640"/>
      </w:tabs>
      <w:autoSpaceDE w:val="0"/>
      <w:autoSpaceDN w:val="0"/>
      <w:adjustRightInd w:val="0"/>
      <w:spacing w:before="120" w:after="60"/>
      <w:ind w:left="0" w:right="720" w:firstLine="0"/>
      <w:jc w:val="left"/>
    </w:pPr>
    <w:rPr>
      <w:rFonts w:ascii="Verdana" w:eastAsiaTheme="minorHAnsi" w:hAnsi="Verdana" w:cs="Arial"/>
      <w:bCs/>
      <w:caps/>
      <w:color w:val="263673"/>
      <w:kern w:val="32"/>
      <w:sz w:val="28"/>
      <w:szCs w:val="32"/>
      <w:u w:val="single"/>
      <w:lang w:eastAsia="en-GB"/>
    </w:rPr>
  </w:style>
  <w:style w:type="paragraph" w:customStyle="1" w:styleId="StyleHeading2VerdanaAuto">
    <w:name w:val="Style Heading 2 + Verdana Auto"/>
    <w:basedOn w:val="Heading2"/>
    <w:pPr>
      <w:keepNext w:val="0"/>
      <w:spacing w:before="240" w:after="60"/>
      <w:ind w:left="0" w:firstLine="0"/>
    </w:pPr>
    <w:rPr>
      <w:rFonts w:ascii="Verdana" w:hAnsi="Verdana" w:cs="Arial"/>
      <w:bCs/>
      <w:i/>
      <w:color w:val="263673"/>
      <w:sz w:val="22"/>
      <w:szCs w:val="28"/>
      <w:lang w:eastAsia="en-GB"/>
    </w:rPr>
  </w:style>
  <w:style w:type="paragraph" w:styleId="ListBullet2">
    <w:name w:val="List Bullet 2"/>
    <w:basedOn w:val="Normal"/>
    <w:link w:val="ListBullet2Char"/>
    <w:unhideWhenUsed/>
    <w:pPr>
      <w:numPr>
        <w:numId w:val="40"/>
      </w:numPr>
      <w:tabs>
        <w:tab w:val="clear" w:pos="1485"/>
        <w:tab w:val="num" w:pos="643"/>
      </w:tabs>
      <w:spacing w:after="240" w:line="240" w:lineRule="auto"/>
      <w:ind w:left="643" w:hanging="360"/>
      <w:contextualSpacing/>
      <w:jc w:val="both"/>
    </w:pPr>
    <w:rPr>
      <w:rFonts w:ascii="Times New Roman" w:eastAsia="Times New Roman" w:hAnsi="Times New Roman" w:cs="Times New Roman"/>
      <w:sz w:val="24"/>
      <w:szCs w:val="20"/>
    </w:rPr>
  </w:style>
  <w:style w:type="character" w:customStyle="1" w:styleId="StyleListBullet2Char">
    <w:name w:val="Style List Bullet 2 + Char"/>
    <w:basedOn w:val="ListBullet2Char"/>
    <w:link w:val="StyleListBullet2"/>
    <w:locked/>
    <w:rPr>
      <w:rFonts w:ascii="Times New Roman" w:eastAsia="Times New Roman" w:hAnsi="Times New Roman" w:cs="Times New Roman"/>
      <w:sz w:val="24"/>
      <w:szCs w:val="20"/>
    </w:rPr>
  </w:style>
  <w:style w:type="paragraph" w:customStyle="1" w:styleId="StyleListBullet2">
    <w:name w:val="Style List Bullet 2 +"/>
    <w:basedOn w:val="ListBullet2"/>
    <w:link w:val="StyleListBullet2Char"/>
  </w:style>
  <w:style w:type="character" w:customStyle="1" w:styleId="StyleStyleBodyTextAfter0ptVerdanaChar">
    <w:name w:val="Style Style Body Text + After:  0 pt + Verdana Char"/>
    <w:basedOn w:val="StyleBodyTextAfter0ptChar"/>
    <w:link w:val="StyleStyleBodyTextAfter0ptVerdana"/>
    <w:locked/>
    <w:rPr>
      <w:rFonts w:ascii="Verdana" w:eastAsia="Times New Roman" w:hAnsi="Verdana" w:cs="Times New Roman"/>
      <w:color w:val="333333"/>
      <w:sz w:val="24"/>
      <w:szCs w:val="20"/>
      <w:lang w:eastAsia="en-GB"/>
    </w:rPr>
  </w:style>
  <w:style w:type="paragraph" w:customStyle="1" w:styleId="StyleStyleBodyTextAfter0ptVerdana">
    <w:name w:val="Style Style Body Text + After:  0 pt + Verdana"/>
    <w:basedOn w:val="StyleBodyTextAfter0pt"/>
    <w:link w:val="StyleStyleBodyTextAfter0ptVerdanaChar"/>
    <w:rPr>
      <w:rFonts w:ascii="Verdana" w:hAnsi="Verdana"/>
      <w:color w:val="333333"/>
      <w:lang w:eastAsia="en-GB"/>
    </w:rPr>
  </w:style>
  <w:style w:type="character" w:customStyle="1" w:styleId="StyleStyleBodyTextAfter0ptVerdanaBoldChar">
    <w:name w:val="Style Style Body Text + After:  0 pt + Verdana Bold Char"/>
    <w:link w:val="StyleStyleBodyTextAfter0ptVerdanaBold"/>
    <w:locked/>
    <w:rPr>
      <w:b/>
      <w:bCs/>
      <w:sz w:val="24"/>
      <w:szCs w:val="24"/>
    </w:rPr>
  </w:style>
  <w:style w:type="paragraph" w:customStyle="1" w:styleId="StyleStyleBodyTextAfter0ptVerdanaBold">
    <w:name w:val="Style Style Body Text + After:  0 pt + Verdana Bold"/>
    <w:basedOn w:val="StyleBodyTextAfter0pt"/>
    <w:link w:val="StyleStyleBodyTextAfter0ptVerdanaBoldChar"/>
    <w:rPr>
      <w:rFonts w:asciiTheme="minorHAnsi" w:eastAsiaTheme="minorHAnsi" w:hAnsiTheme="minorHAnsi" w:cstheme="minorBidi"/>
      <w:b/>
      <w:bCs/>
      <w:szCs w:val="24"/>
    </w:rPr>
  </w:style>
  <w:style w:type="character" w:customStyle="1" w:styleId="StyleStyleBodyTextAfter0ptVerdanaBoldAutoChar">
    <w:name w:val="Style Style Body Text + After:  0 pt + Verdana Bold Auto Char"/>
    <w:link w:val="StyleStyleBodyTextAfter0ptVerdanaBoldAuto"/>
    <w:locked/>
    <w:rPr>
      <w:b/>
      <w:bCs/>
      <w:sz w:val="24"/>
      <w:szCs w:val="24"/>
    </w:rPr>
  </w:style>
  <w:style w:type="paragraph" w:customStyle="1" w:styleId="StyleStyleBodyTextAfter0ptVerdanaBoldAuto">
    <w:name w:val="Style Style Body Text + After:  0 pt + Verdana Bold Auto"/>
    <w:basedOn w:val="StyleBodyTextAfter0pt"/>
    <w:link w:val="StyleStyleBodyTextAfter0ptVerdanaBoldAutoChar"/>
    <w:rPr>
      <w:rFonts w:asciiTheme="minorHAnsi" w:eastAsiaTheme="minorHAnsi" w:hAnsiTheme="minorHAnsi" w:cstheme="minorBidi"/>
      <w:b/>
      <w:bCs/>
      <w:szCs w:val="24"/>
    </w:rPr>
  </w:style>
  <w:style w:type="character" w:customStyle="1" w:styleId="StyleHeading1Gray-80Char">
    <w:name w:val="Style Heading 1 + Gray-80% Char"/>
    <w:basedOn w:val="Heading1Char"/>
    <w:link w:val="StyleHeading1Gray-80"/>
    <w:locked/>
    <w:rPr>
      <w:rFonts w:ascii="Verdana" w:eastAsia="Times New Roman" w:hAnsi="Verdana" w:cs="Arial"/>
      <w:b w:val="0"/>
      <w:bCs/>
      <w:smallCaps/>
      <w:color w:val="263673"/>
      <w:kern w:val="32"/>
      <w:sz w:val="28"/>
      <w:szCs w:val="32"/>
      <w:u w:val="single"/>
      <w:lang w:eastAsia="en-GB"/>
    </w:rPr>
  </w:style>
  <w:style w:type="paragraph" w:customStyle="1" w:styleId="StyleHeading1Gray-80">
    <w:name w:val="Style Heading 1 + Gray-80%"/>
    <w:basedOn w:val="Heading1"/>
    <w:link w:val="StyleHeading1Gray-80Char"/>
    <w:pPr>
      <w:keepNext w:val="0"/>
      <w:widowControl w:val="0"/>
      <w:tabs>
        <w:tab w:val="right" w:leader="dot" w:pos="8640"/>
      </w:tabs>
      <w:autoSpaceDE w:val="0"/>
      <w:autoSpaceDN w:val="0"/>
      <w:adjustRightInd w:val="0"/>
      <w:spacing w:before="120" w:after="60"/>
      <w:ind w:left="0" w:right="720" w:firstLine="0"/>
      <w:jc w:val="left"/>
    </w:pPr>
    <w:rPr>
      <w:rFonts w:ascii="Verdana" w:hAnsi="Verdana" w:cs="Arial"/>
      <w:b w:val="0"/>
      <w:bCs/>
      <w:color w:val="263673"/>
      <w:kern w:val="32"/>
      <w:sz w:val="28"/>
      <w:szCs w:val="32"/>
      <w:u w:val="single"/>
      <w:lang w:eastAsia="en-GB"/>
    </w:rPr>
  </w:style>
  <w:style w:type="paragraph" w:customStyle="1" w:styleId="StyleHeading1Auto">
    <w:name w:val="Style Heading 1 + Auto"/>
    <w:basedOn w:val="Heading1"/>
    <w:pPr>
      <w:keepNext w:val="0"/>
      <w:widowControl w:val="0"/>
      <w:tabs>
        <w:tab w:val="right" w:leader="dot" w:pos="8640"/>
      </w:tabs>
      <w:autoSpaceDE w:val="0"/>
      <w:autoSpaceDN w:val="0"/>
      <w:adjustRightInd w:val="0"/>
      <w:spacing w:before="120" w:after="60"/>
      <w:ind w:left="0" w:right="720" w:firstLine="0"/>
      <w:jc w:val="left"/>
    </w:pPr>
    <w:rPr>
      <w:rFonts w:ascii="Verdana" w:eastAsiaTheme="minorHAnsi" w:hAnsi="Verdana" w:cs="Arial"/>
      <w:bCs/>
      <w:caps/>
      <w:color w:val="263673"/>
      <w:kern w:val="32"/>
      <w:sz w:val="28"/>
      <w:szCs w:val="32"/>
      <w:u w:val="single"/>
      <w:lang w:eastAsia="en-GB"/>
    </w:rPr>
  </w:style>
  <w:style w:type="character" w:customStyle="1" w:styleId="BulletedlistCarattere">
    <w:name w:val="Bulleted list Carattere"/>
    <w:basedOn w:val="ListBullet2Char"/>
    <w:link w:val="Bulletedlist"/>
    <w:locked/>
    <w:rPr>
      <w:rFonts w:ascii="Verdana" w:eastAsia="Times New Roman" w:hAnsi="Verdana" w:cs="Times New Roman"/>
      <w:color w:val="333333"/>
      <w:sz w:val="24"/>
      <w:szCs w:val="24"/>
      <w:lang w:eastAsia="en-GB"/>
    </w:rPr>
  </w:style>
  <w:style w:type="paragraph" w:customStyle="1" w:styleId="Bulletedlist">
    <w:name w:val="Bulleted list"/>
    <w:basedOn w:val="ListBullet2"/>
    <w:link w:val="BulletedlistCarattere"/>
    <w:qFormat/>
    <w:pPr>
      <w:numPr>
        <w:numId w:val="43"/>
      </w:numPr>
      <w:tabs>
        <w:tab w:val="clear" w:pos="227"/>
        <w:tab w:val="num" w:pos="480"/>
        <w:tab w:val="num" w:pos="643"/>
      </w:tabs>
      <w:ind w:left="643" w:hanging="360"/>
    </w:pPr>
    <w:rPr>
      <w:rFonts w:ascii="Verdana" w:hAnsi="Verdana"/>
      <w:color w:val="333333"/>
      <w:szCs w:val="24"/>
      <w:lang w:eastAsia="en-GB"/>
    </w:rPr>
  </w:style>
  <w:style w:type="paragraph" w:customStyle="1" w:styleId="ECHeading1">
    <w:name w:val="EC Heading 1"/>
    <w:basedOn w:val="ListParagraph"/>
    <w:qFormat/>
    <w:pPr>
      <w:numPr>
        <w:numId w:val="41"/>
      </w:numPr>
      <w:tabs>
        <w:tab w:val="num" w:pos="360"/>
      </w:tabs>
      <w:spacing w:before="240" w:after="240" w:line="240" w:lineRule="auto"/>
      <w:ind w:left="720" w:firstLine="0"/>
      <w:contextualSpacing w:val="0"/>
      <w:jc w:val="both"/>
      <w:outlineLvl w:val="0"/>
    </w:pPr>
    <w:rPr>
      <w:rFonts w:ascii="Arial" w:hAnsi="Arial"/>
      <w:color w:val="006BB7"/>
      <w:sz w:val="40"/>
      <w:szCs w:val="24"/>
    </w:rPr>
  </w:style>
  <w:style w:type="paragraph" w:customStyle="1" w:styleId="ECHeading2">
    <w:name w:val="EC Heading 2"/>
    <w:basedOn w:val="ListParagraph"/>
    <w:qFormat/>
    <w:pPr>
      <w:numPr>
        <w:ilvl w:val="1"/>
        <w:numId w:val="41"/>
      </w:numPr>
      <w:tabs>
        <w:tab w:val="num" w:pos="360"/>
      </w:tabs>
      <w:spacing w:before="240" w:after="120" w:line="240" w:lineRule="auto"/>
      <w:ind w:left="720" w:firstLine="0"/>
      <w:contextualSpacing w:val="0"/>
      <w:jc w:val="both"/>
      <w:outlineLvl w:val="1"/>
    </w:pPr>
    <w:rPr>
      <w:rFonts w:ascii="Arial" w:hAnsi="Arial"/>
      <w:color w:val="006BB7"/>
      <w:sz w:val="32"/>
      <w:szCs w:val="24"/>
    </w:rPr>
  </w:style>
  <w:style w:type="paragraph" w:customStyle="1" w:styleId="ECHeading3">
    <w:name w:val="EC Heading 3"/>
    <w:basedOn w:val="ECHeading2"/>
    <w:qFormat/>
    <w:pPr>
      <w:numPr>
        <w:ilvl w:val="2"/>
      </w:numPr>
      <w:tabs>
        <w:tab w:val="num" w:pos="360"/>
      </w:tabs>
      <w:spacing w:before="120"/>
      <w:ind w:left="720" w:firstLine="0"/>
      <w:outlineLvl w:val="2"/>
    </w:pPr>
    <w:rPr>
      <w:sz w:val="24"/>
    </w:rPr>
  </w:style>
  <w:style w:type="paragraph" w:customStyle="1" w:styleId="ECHeading4">
    <w:name w:val="EC Heading 4"/>
    <w:basedOn w:val="ECHeading3"/>
    <w:qFormat/>
    <w:pPr>
      <w:numPr>
        <w:ilvl w:val="3"/>
      </w:numPr>
      <w:tabs>
        <w:tab w:val="num" w:pos="360"/>
      </w:tabs>
      <w:ind w:left="720" w:firstLine="0"/>
      <w:outlineLvl w:val="3"/>
    </w:pPr>
    <w:rPr>
      <w:sz w:val="20"/>
    </w:rPr>
  </w:style>
  <w:style w:type="character" w:customStyle="1" w:styleId="TITOLO1Carattere">
    <w:name w:val="TITOLO 1 Carattere"/>
    <w:basedOn w:val="HeadingChar"/>
    <w:link w:val="TITOLO1"/>
    <w:locked/>
    <w:rPr>
      <w:rFonts w:ascii="Verdana" w:hAnsi="Verdana"/>
      <w:b/>
      <w:caps/>
      <w:u w:val="single"/>
    </w:rPr>
  </w:style>
  <w:style w:type="paragraph" w:customStyle="1" w:styleId="TITOLO1">
    <w:name w:val="TITOLO 1"/>
    <w:basedOn w:val="Heading"/>
    <w:link w:val="TITOLO1Carattere"/>
    <w:pPr>
      <w:spacing w:after="240"/>
    </w:pPr>
  </w:style>
  <w:style w:type="paragraph" w:customStyle="1" w:styleId="BulletText">
    <w:name w:val="Bullet Text"/>
    <w:basedOn w:val="Normal"/>
    <w:qFormat/>
    <w:pPr>
      <w:numPr>
        <w:numId w:val="42"/>
      </w:numPr>
      <w:spacing w:after="120" w:line="240" w:lineRule="auto"/>
      <w:jc w:val="both"/>
    </w:pPr>
    <w:rPr>
      <w:rFonts w:asciiTheme="majorHAnsi" w:eastAsia="Times New Roman" w:hAnsiTheme="majorHAnsi" w:cs="Arial"/>
      <w:sz w:val="24"/>
      <w:szCs w:val="24"/>
    </w:rPr>
  </w:style>
  <w:style w:type="paragraph" w:customStyle="1" w:styleId="sti-art">
    <w:name w:val="sti-art"/>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l-hdr">
    <w:name w:val="tbl-hdr"/>
    <w:basedOn w:val="Normal"/>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Normal2">
    <w:name w:val="Normal2"/>
    <w:basedOn w:val="Normal"/>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tbl-txt">
    <w:name w:val="tbl-txt"/>
    <w:basedOn w:val="Normal"/>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note">
    <w:name w:val="note"/>
    <w:basedOn w:val="Normal"/>
    <w:pPr>
      <w:spacing w:before="60" w:after="60" w:line="240" w:lineRule="auto"/>
      <w:jc w:val="both"/>
    </w:pPr>
    <w:rPr>
      <w:rFonts w:ascii="Times New Roman" w:eastAsia="Times New Roman" w:hAnsi="Times New Roman" w:cs="Times New Roman"/>
      <w:sz w:val="19"/>
      <w:szCs w:val="19"/>
      <w:lang w:val="fr-BE" w:eastAsia="fr-BE"/>
    </w:rPr>
  </w:style>
  <w:style w:type="paragraph" w:customStyle="1" w:styleId="ti-grseq-1">
    <w:name w:val="ti-grseq-1"/>
    <w:basedOn w:val="Normal"/>
    <w:pPr>
      <w:spacing w:before="240" w:after="120" w:line="240" w:lineRule="auto"/>
      <w:jc w:val="both"/>
    </w:pPr>
    <w:rPr>
      <w:rFonts w:ascii="Times New Roman" w:eastAsia="Times New Roman" w:hAnsi="Times New Roman" w:cs="Times New Roman"/>
      <w:b/>
      <w:bCs/>
      <w:sz w:val="24"/>
      <w:szCs w:val="24"/>
      <w:lang w:val="fr-BE" w:eastAsia="fr-BE"/>
    </w:rPr>
  </w:style>
  <w:style w:type="paragraph" w:customStyle="1" w:styleId="xl69">
    <w:name w:val="xl69"/>
    <w:basedOn w:val="Normal"/>
    <w:pPr>
      <w:pBdr>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0">
    <w:name w:val="xl70"/>
    <w:basedOn w:val="Normal"/>
    <w:pPr>
      <w:pBdr>
        <w:left w:val="single" w:sz="8" w:space="0" w:color="FFFFFF"/>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1">
    <w:name w:val="xl71"/>
    <w:basedOn w:val="Normal"/>
    <w:pPr>
      <w:pBdr>
        <w:left w:val="single" w:sz="8" w:space="0" w:color="FFFFFF"/>
        <w:bottom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2">
    <w:name w:val="xl72"/>
    <w:basedOn w:val="Normal"/>
    <w:pPr>
      <w:spacing w:before="100" w:beforeAutospacing="1" w:after="100" w:afterAutospacing="1" w:line="240" w:lineRule="auto"/>
    </w:pPr>
    <w:rPr>
      <w:rFonts w:ascii="Verdana" w:eastAsia="Times New Roman" w:hAnsi="Verdana" w:cs="Times New Roman"/>
      <w:sz w:val="16"/>
      <w:szCs w:val="16"/>
      <w:lang w:val="it-IT" w:eastAsia="it-IT"/>
    </w:rPr>
  </w:style>
  <w:style w:type="paragraph" w:customStyle="1" w:styleId="xl73">
    <w:name w:val="xl73"/>
    <w:basedOn w:val="Normal"/>
    <w:pPr>
      <w:pBdr>
        <w:top w:val="single" w:sz="8" w:space="0" w:color="FFFFFF"/>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4">
    <w:name w:val="xl74"/>
    <w:basedOn w:val="Normal"/>
    <w:pPr>
      <w:pBdr>
        <w:top w:val="single" w:sz="8" w:space="0" w:color="FFFFFF"/>
        <w:left w:val="single" w:sz="8" w:space="0" w:color="FFFFFF"/>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5">
    <w:name w:val="xl75"/>
    <w:basedOn w:val="Normal"/>
    <w:pPr>
      <w:pBdr>
        <w:top w:val="single" w:sz="8" w:space="0" w:color="FFFFFF"/>
        <w:left w:val="single" w:sz="8" w:space="0" w:color="FFFFFF"/>
        <w:bottom w:val="single" w:sz="4" w:space="0" w:color="FFFFFF"/>
        <w:right w:val="single" w:sz="8" w:space="0" w:color="FFFFFF"/>
      </w:pBdr>
      <w:shd w:val="clear" w:color="auto" w:fill="002395"/>
      <w:spacing w:before="100" w:beforeAutospacing="1" w:after="100" w:afterAutospacing="1" w:line="240" w:lineRule="auto"/>
    </w:pPr>
    <w:rPr>
      <w:rFonts w:ascii="Verdana" w:eastAsia="Times New Roman" w:hAnsi="Verdana" w:cs="Times New Roman"/>
      <w:b/>
      <w:bCs/>
      <w:color w:val="FFFFFF"/>
      <w:sz w:val="16"/>
      <w:szCs w:val="16"/>
      <w:lang w:val="it-IT" w:eastAsia="it-IT"/>
    </w:rPr>
  </w:style>
  <w:style w:type="paragraph" w:customStyle="1" w:styleId="xl76">
    <w:name w:val="xl76"/>
    <w:basedOn w:val="Normal"/>
    <w:pPr>
      <w:pBdr>
        <w:top w:val="single" w:sz="8" w:space="0" w:color="FFFFFF"/>
        <w:left w:val="single" w:sz="8" w:space="0" w:color="FFFFFF"/>
        <w:bottom w:val="single" w:sz="4"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7">
    <w:name w:val="xl77"/>
    <w:basedOn w:val="Normal"/>
    <w:pPr>
      <w:pBdr>
        <w:top w:val="single" w:sz="8" w:space="0" w:color="FFFFFF"/>
        <w:left w:val="single" w:sz="8" w:space="0" w:color="FFFFFF"/>
        <w:bottom w:val="single" w:sz="4" w:space="0" w:color="FFFFFF"/>
        <w:right w:val="single" w:sz="8" w:space="0" w:color="FFFFFF"/>
      </w:pBdr>
      <w:shd w:val="clear" w:color="auto" w:fill="002395"/>
      <w:spacing w:before="100" w:beforeAutospacing="1" w:after="100" w:afterAutospacing="1" w:line="240" w:lineRule="auto"/>
    </w:pPr>
    <w:rPr>
      <w:rFonts w:ascii="Verdana" w:eastAsia="Times New Roman" w:hAnsi="Verdana" w:cs="Times New Roman"/>
      <w:b/>
      <w:bCs/>
      <w:color w:val="FFFFFF"/>
      <w:sz w:val="16"/>
      <w:szCs w:val="16"/>
      <w:lang w:val="it-IT" w:eastAsia="it-IT"/>
    </w:rPr>
  </w:style>
  <w:style w:type="paragraph" w:customStyle="1" w:styleId="xl78">
    <w:name w:val="xl78"/>
    <w:basedOn w:val="Normal"/>
    <w:pPr>
      <w:pBdr>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79">
    <w:name w:val="xl79"/>
    <w:basedOn w:val="Normal"/>
    <w:pPr>
      <w:pBdr>
        <w:left w:val="single" w:sz="8" w:space="0" w:color="FFFFFF"/>
        <w:bottom w:val="single" w:sz="8" w:space="0" w:color="FFFFFF"/>
        <w:right w:val="single" w:sz="8" w:space="0" w:color="FFFFFF"/>
      </w:pBdr>
      <w:shd w:val="clear" w:color="auto" w:fill="002395"/>
      <w:spacing w:before="100" w:beforeAutospacing="1" w:after="100" w:afterAutospacing="1" w:line="240" w:lineRule="auto"/>
      <w:jc w:val="center"/>
    </w:pPr>
    <w:rPr>
      <w:rFonts w:ascii="Verdana" w:eastAsia="Times New Roman" w:hAnsi="Verdana" w:cs="Times New Roman"/>
      <w:b/>
      <w:bCs/>
      <w:color w:val="FFFFFF"/>
      <w:sz w:val="16"/>
      <w:szCs w:val="16"/>
      <w:lang w:val="it-IT" w:eastAsia="it-IT"/>
    </w:rPr>
  </w:style>
  <w:style w:type="paragraph" w:customStyle="1" w:styleId="xl80">
    <w:name w:val="xl80"/>
    <w:basedOn w:val="Normal"/>
    <w:pPr>
      <w:pBdr>
        <w:bottom w:val="single" w:sz="4" w:space="0" w:color="FFFFFF"/>
      </w:pBdr>
      <w:spacing w:before="100" w:beforeAutospacing="1" w:after="100" w:afterAutospacing="1" w:line="240" w:lineRule="auto"/>
    </w:pPr>
    <w:rPr>
      <w:rFonts w:ascii="Verdana" w:eastAsia="Times New Roman" w:hAnsi="Verdana" w:cs="Times New Roman"/>
      <w:sz w:val="16"/>
      <w:szCs w:val="16"/>
      <w:lang w:val="it-IT" w:eastAsia="it-IT"/>
    </w:rPr>
  </w:style>
  <w:style w:type="paragraph" w:customStyle="1" w:styleId="xl81">
    <w:name w:val="xl81"/>
    <w:basedOn w:val="Normal"/>
    <w:pPr>
      <w:pBdr>
        <w:left w:val="single" w:sz="8" w:space="0" w:color="FFFFFF"/>
        <w:bottom w:val="single" w:sz="8" w:space="0" w:color="FFFFFF"/>
        <w:right w:val="single" w:sz="8" w:space="0" w:color="FFFFFF"/>
      </w:pBdr>
      <w:shd w:val="clear" w:color="auto" w:fill="F2F2F2"/>
      <w:spacing w:before="100" w:beforeAutospacing="1" w:after="100" w:afterAutospacing="1" w:line="240" w:lineRule="auto"/>
    </w:pPr>
    <w:rPr>
      <w:rFonts w:ascii="Verdana" w:eastAsia="Times New Roman" w:hAnsi="Verdana" w:cs="Times New Roman"/>
      <w:color w:val="000000"/>
      <w:sz w:val="16"/>
      <w:szCs w:val="16"/>
      <w:lang w:val="it-IT" w:eastAsia="it-IT"/>
    </w:rPr>
  </w:style>
  <w:style w:type="paragraph" w:customStyle="1" w:styleId="xl82">
    <w:name w:val="xl82"/>
    <w:basedOn w:val="Normal"/>
    <w:pPr>
      <w:pBdr>
        <w:left w:val="single" w:sz="8" w:space="0" w:color="FFFFFF"/>
        <w:bottom w:val="single" w:sz="8" w:space="0" w:color="FFFFFF"/>
      </w:pBdr>
      <w:shd w:val="clear" w:color="auto" w:fill="F2F2F2"/>
      <w:spacing w:before="100" w:beforeAutospacing="1" w:after="100" w:afterAutospacing="1" w:line="240" w:lineRule="auto"/>
    </w:pPr>
    <w:rPr>
      <w:rFonts w:ascii="Verdana" w:eastAsia="Times New Roman" w:hAnsi="Verdana" w:cs="Times New Roman"/>
      <w:color w:val="000000"/>
      <w:sz w:val="16"/>
      <w:szCs w:val="16"/>
      <w:lang w:val="it-IT" w:eastAsia="it-IT"/>
    </w:rPr>
  </w:style>
  <w:style w:type="paragraph" w:customStyle="1" w:styleId="xl83">
    <w:name w:val="xl83"/>
    <w:basedOn w:val="Normal"/>
    <w:pPr>
      <w:pBdr>
        <w:bottom w:val="single" w:sz="8" w:space="0" w:color="FFFFFF"/>
        <w:right w:val="single" w:sz="8" w:space="0" w:color="FFFFFF"/>
      </w:pBdr>
      <w:shd w:val="clear" w:color="auto" w:fill="F2F2F2"/>
      <w:spacing w:before="100" w:beforeAutospacing="1" w:after="100" w:afterAutospacing="1" w:line="240" w:lineRule="auto"/>
      <w:jc w:val="center"/>
    </w:pPr>
    <w:rPr>
      <w:rFonts w:ascii="Verdana" w:eastAsia="Times New Roman" w:hAnsi="Verdana" w:cs="Times New Roman"/>
      <w:color w:val="000000"/>
      <w:sz w:val="16"/>
      <w:szCs w:val="16"/>
      <w:lang w:val="it-IT" w:eastAsia="it-IT"/>
    </w:rPr>
  </w:style>
  <w:style w:type="paragraph" w:customStyle="1" w:styleId="xl84">
    <w:name w:val="xl84"/>
    <w:basedOn w:val="Normal"/>
    <w:pPr>
      <w:pBdr>
        <w:bottom w:val="single" w:sz="8" w:space="0" w:color="FFFFFF"/>
        <w:right w:val="single" w:sz="8" w:space="0" w:color="FFFFFF"/>
      </w:pBdr>
      <w:shd w:val="clear" w:color="auto" w:fill="F2F2F2"/>
      <w:spacing w:before="100" w:beforeAutospacing="1" w:after="100" w:afterAutospacing="1" w:line="240" w:lineRule="auto"/>
      <w:jc w:val="center"/>
    </w:pPr>
    <w:rPr>
      <w:rFonts w:ascii="Verdana" w:eastAsia="Times New Roman" w:hAnsi="Verdana" w:cs="Times New Roman"/>
      <w:b/>
      <w:bCs/>
      <w:color w:val="000000"/>
      <w:sz w:val="16"/>
      <w:szCs w:val="16"/>
      <w:lang w:val="it-IT" w:eastAsia="it-IT"/>
    </w:rPr>
  </w:style>
  <w:style w:type="paragraph" w:customStyle="1" w:styleId="xl85">
    <w:name w:val="xl85"/>
    <w:basedOn w:val="Normal"/>
    <w:pPr>
      <w:pBdr>
        <w:bottom w:val="single" w:sz="8" w:space="0" w:color="FFFFFF"/>
        <w:right w:val="single" w:sz="8" w:space="0" w:color="FFFFFF"/>
      </w:pBdr>
      <w:shd w:val="clear" w:color="auto" w:fill="F2F2F2"/>
      <w:spacing w:before="100" w:beforeAutospacing="1" w:after="100" w:afterAutospacing="1" w:line="240" w:lineRule="auto"/>
      <w:jc w:val="center"/>
    </w:pPr>
    <w:rPr>
      <w:rFonts w:ascii="Verdana" w:eastAsia="Times New Roman" w:hAnsi="Verdana" w:cs="Times New Roman"/>
      <w:sz w:val="16"/>
      <w:szCs w:val="16"/>
      <w:lang w:val="it-IT" w:eastAsia="it-IT"/>
    </w:rPr>
  </w:style>
  <w:style w:type="paragraph" w:customStyle="1" w:styleId="xl86">
    <w:name w:val="xl86"/>
    <w:basedOn w:val="Normal"/>
    <w:pPr>
      <w:pBdr>
        <w:bottom w:val="single" w:sz="8" w:space="0" w:color="FFFFFF"/>
        <w:right w:val="single" w:sz="8" w:space="0" w:color="FFFFFF"/>
      </w:pBdr>
      <w:shd w:val="clear" w:color="auto" w:fill="F2F2F2"/>
      <w:spacing w:before="100" w:beforeAutospacing="1" w:after="100" w:afterAutospacing="1" w:line="240" w:lineRule="auto"/>
      <w:jc w:val="center"/>
    </w:pPr>
    <w:rPr>
      <w:rFonts w:ascii="Verdana" w:eastAsia="Times New Roman" w:hAnsi="Verdana" w:cs="Times New Roman"/>
      <w:b/>
      <w:bCs/>
      <w:color w:val="000000"/>
      <w:sz w:val="16"/>
      <w:szCs w:val="16"/>
      <w:lang w:val="it-IT" w:eastAsia="it-IT"/>
    </w:rPr>
  </w:style>
  <w:style w:type="paragraph" w:customStyle="1" w:styleId="xl87">
    <w:name w:val="xl87"/>
    <w:basedOn w:val="Normal"/>
    <w:pPr>
      <w:pBdr>
        <w:top w:val="single" w:sz="8" w:space="0" w:color="FFFFFF"/>
        <w:left w:val="single" w:sz="8" w:space="0" w:color="FFFFFF"/>
        <w:bottom w:val="single" w:sz="8" w:space="0" w:color="FFFFFF"/>
      </w:pBdr>
      <w:shd w:val="clear" w:color="auto" w:fill="F2F2F2"/>
      <w:spacing w:before="100" w:beforeAutospacing="1" w:after="100" w:afterAutospacing="1" w:line="240" w:lineRule="auto"/>
    </w:pPr>
    <w:rPr>
      <w:rFonts w:ascii="Verdana" w:eastAsia="Times New Roman" w:hAnsi="Verdana" w:cs="Times New Roman"/>
      <w:color w:val="000000"/>
      <w:sz w:val="16"/>
      <w:szCs w:val="16"/>
      <w:lang w:val="it-IT" w:eastAsia="it-IT"/>
    </w:rPr>
  </w:style>
  <w:style w:type="character" w:styleId="PageNumber">
    <w:name w:val="page number"/>
    <w:unhideWhenUsed/>
    <w:rPr>
      <w:rFonts w:ascii="Verdana" w:hAnsi="Verdana" w:hint="default"/>
      <w:color w:val="333333"/>
      <w:sz w:val="20"/>
    </w:rPr>
  </w:style>
  <w:style w:type="character" w:styleId="EndnoteReference">
    <w:name w:val="endnote reference"/>
    <w:basedOn w:val="DefaultParagraphFont"/>
    <w:uiPriority w:val="99"/>
    <w:semiHidden/>
    <w:unhideWhenUsed/>
    <w:rPr>
      <w:vertAlign w:val="superscript"/>
    </w:rPr>
  </w:style>
  <w:style w:type="paragraph" w:customStyle="1" w:styleId="Heading20">
    <w:name w:val="Heading2"/>
    <w:basedOn w:val="Normal"/>
    <w:link w:val="Heading2Char0"/>
    <w:qFormat/>
    <w:pPr>
      <w:spacing w:after="240" w:line="240" w:lineRule="auto"/>
      <w:jc w:val="both"/>
    </w:pPr>
    <w:rPr>
      <w:rFonts w:ascii="Times New Roman" w:eastAsia="Times New Roman" w:hAnsi="Times New Roman" w:cs="Times New Roman"/>
      <w:sz w:val="24"/>
      <w:szCs w:val="20"/>
    </w:rPr>
  </w:style>
  <w:style w:type="character" w:customStyle="1" w:styleId="Heading2Char0">
    <w:name w:val="Heading2 Char"/>
    <w:link w:val="Heading20"/>
    <w:locked/>
    <w:rPr>
      <w:rFonts w:ascii="Times New Roman" w:eastAsia="Times New Roman" w:hAnsi="Times New Roman" w:cs="Times New Roman"/>
      <w:sz w:val="24"/>
      <w:szCs w:val="20"/>
    </w:rPr>
  </w:style>
  <w:style w:type="character" w:customStyle="1" w:styleId="ListBullet2Char">
    <w:name w:val="List Bullet 2 Char"/>
    <w:link w:val="ListBullet2"/>
    <w:locked/>
    <w:rPr>
      <w:rFonts w:ascii="Times New Roman" w:eastAsia="Times New Roman" w:hAnsi="Times New Roman" w:cs="Times New Roman"/>
      <w:sz w:val="24"/>
      <w:szCs w:val="20"/>
    </w:rPr>
  </w:style>
  <w:style w:type="character" w:customStyle="1" w:styleId="TestocommentoCarattere">
    <w:name w:val="Testo commento Carattere"/>
    <w:uiPriority w:val="99"/>
    <w:rPr>
      <w:rFonts w:ascii="Verdana" w:hAnsi="Verdana" w:hint="default"/>
      <w:color w:val="333333"/>
      <w:lang w:val="en-GB" w:eastAsia="en-GB"/>
    </w:rPr>
  </w:style>
  <w:style w:type="character" w:customStyle="1" w:styleId="Style2Char">
    <w:name w:val="Style2 Char"/>
    <w:rPr>
      <w:rFonts w:ascii="Times New Roman" w:eastAsia="Times New Roman" w:hAnsi="Times New Roman" w:cs="Times New Roman" w:hint="default"/>
      <w:b/>
      <w:bCs w:val="0"/>
      <w:color w:val="4472C4"/>
      <w:sz w:val="26"/>
      <w:szCs w:val="26"/>
    </w:rPr>
  </w:style>
  <w:style w:type="character" w:customStyle="1" w:styleId="Menzione1">
    <w:name w:val="Menzione1"/>
    <w:uiPriority w:val="99"/>
    <w:semiHidden/>
    <w:rPr>
      <w:color w:val="2B579A"/>
      <w:shd w:val="clear" w:color="auto" w:fill="E6E6E6"/>
    </w:rPr>
  </w:style>
  <w:style w:type="character" w:customStyle="1" w:styleId="hps">
    <w:name w:val="hps"/>
  </w:style>
  <w:style w:type="character" w:customStyle="1" w:styleId="tagt">
    <w:name w:val="tag_t"/>
    <w:basedOn w:val="DefaultParagraphFont"/>
  </w:style>
  <w:style w:type="character" w:customStyle="1" w:styleId="tlid-translation">
    <w:name w:val="tlid-translation"/>
    <w:basedOn w:val="DefaultParagraphFont"/>
  </w:style>
  <w:style w:type="character" w:customStyle="1" w:styleId="shorttext">
    <w:name w:val="short_text"/>
    <w:basedOn w:val="DefaultParagraphFont"/>
  </w:style>
  <w:style w:type="character" w:customStyle="1" w:styleId="fontstyle01">
    <w:name w:val="fontstyle01"/>
    <w:basedOn w:val="DefaultParagraphFont"/>
    <w:rPr>
      <w:rFonts w:ascii="ArialMT" w:hAnsi="ArialMT" w:hint="default"/>
      <w:b w:val="0"/>
      <w:bCs w:val="0"/>
      <w:i w:val="0"/>
      <w:iCs w:val="0"/>
      <w:color w:val="000000"/>
      <w:sz w:val="24"/>
      <w:szCs w:val="24"/>
    </w:rPr>
  </w:style>
  <w:style w:type="character" w:customStyle="1" w:styleId="fontstyle21">
    <w:name w:val="fontstyle21"/>
    <w:basedOn w:val="DefaultParagraphFont"/>
    <w:rPr>
      <w:rFonts w:ascii="Arial-ItalicMT" w:hAnsi="Arial-ItalicMT" w:hint="default"/>
      <w:b w:val="0"/>
      <w:bCs w:val="0"/>
      <w:i/>
      <w:iCs/>
      <w:color w:val="000000"/>
      <w:sz w:val="24"/>
      <w:szCs w:val="24"/>
    </w:rPr>
  </w:style>
  <w:style w:type="character" w:customStyle="1" w:styleId="UnresolvedMention1">
    <w:name w:val="Unresolved Mention1"/>
    <w:basedOn w:val="DefaultParagraphFont"/>
    <w:uiPriority w:val="99"/>
    <w:semiHidden/>
    <w:rPr>
      <w:color w:val="605E5C"/>
      <w:shd w:val="clear" w:color="auto" w:fill="E1DFDD"/>
    </w:rPr>
  </w:style>
  <w:style w:type="character" w:customStyle="1" w:styleId="Menzionenonrisolta1">
    <w:name w:val="Menzione non risolta1"/>
    <w:basedOn w:val="DefaultParagraphFont"/>
    <w:uiPriority w:val="99"/>
    <w:semiHidden/>
    <w:rPr>
      <w:color w:val="605E5C"/>
      <w:shd w:val="clear" w:color="auto" w:fill="E1DFDD"/>
    </w:rPr>
  </w:style>
  <w:style w:type="character" w:customStyle="1" w:styleId="Menzionenonrisolta2">
    <w:name w:val="Menzione non risolta2"/>
    <w:basedOn w:val="DefaultParagraphFont"/>
    <w:uiPriority w:val="99"/>
    <w:semiHidden/>
    <w:rPr>
      <w:color w:val="605E5C"/>
      <w:shd w:val="clear" w:color="auto" w:fill="E1DFDD"/>
    </w:rPr>
  </w:style>
  <w:style w:type="character" w:customStyle="1" w:styleId="A8">
    <w:name w:val="A8"/>
    <w:uiPriority w:val="99"/>
    <w:rPr>
      <w:rFonts w:ascii="Corpid E1s SCd Light" w:hAnsi="Corpid E1s SCd Light" w:cs="Corpid E1s SCd Light" w:hint="default"/>
      <w:color w:val="000000"/>
      <w:sz w:val="11"/>
      <w:szCs w:val="11"/>
    </w:rPr>
  </w:style>
  <w:style w:type="character" w:customStyle="1" w:styleId="A9">
    <w:name w:val="A9"/>
    <w:uiPriority w:val="99"/>
    <w:rPr>
      <w:rFonts w:ascii="Corpid E1s SCd Light" w:hAnsi="Corpid E1s SCd Light" w:cs="Corpid E1s SCd Light" w:hint="default"/>
      <w:color w:val="000000"/>
      <w:sz w:val="11"/>
      <w:szCs w:val="11"/>
    </w:rPr>
  </w:style>
  <w:style w:type="character" w:customStyle="1" w:styleId="super">
    <w:name w:val="super"/>
    <w:basedOn w:val="DefaultParagraphFont"/>
  </w:style>
  <w:style w:type="character" w:customStyle="1" w:styleId="italic">
    <w:name w:val="italic"/>
    <w:basedOn w:val="DefaultParagraphFont"/>
    <w:rPr>
      <w:i/>
      <w:iCs/>
    </w:rPr>
  </w:style>
  <w:style w:type="table" w:styleId="TableClassic2">
    <w:name w:val="Table Classic 2"/>
    <w:basedOn w:val="TableNormal"/>
    <w:unhideWhenUsed/>
    <w:pPr>
      <w:spacing w:after="0" w:line="240" w:lineRule="auto"/>
    </w:pPr>
    <w:rPr>
      <w:rFonts w:ascii="Verdana" w:eastAsia="Times New Roman" w:hAnsi="Verdana" w:cs="Times New Roman"/>
      <w:color w:val="333333"/>
      <w:sz w:val="20"/>
      <w:szCs w:val="20"/>
      <w:lang w:val="it-IT" w:eastAsia="it-IT"/>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Grid1">
    <w:name w:val="Table Grid 1"/>
    <w:basedOn w:val="TableNormal"/>
    <w:unhideWhenUsed/>
    <w:pPr>
      <w:spacing w:after="240" w:line="240" w:lineRule="auto"/>
      <w:jc w:val="both"/>
    </w:pPr>
    <w:rPr>
      <w:rFonts w:ascii="Times New Roman" w:eastAsia="Times New Roman" w:hAnsi="Times New Roman" w:cs="Times New Roman"/>
      <w:sz w:val="20"/>
      <w:szCs w:val="20"/>
      <w:lang w:val="nl-BE" w:eastAsia="nl-B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8">
    <w:name w:val="Table Grid 8"/>
    <w:basedOn w:val="TableNormal"/>
    <w:unhideWhenUsed/>
    <w:pPr>
      <w:spacing w:after="0" w:line="240" w:lineRule="auto"/>
      <w:jc w:val="both"/>
    </w:pPr>
    <w:rPr>
      <w:rFonts w:ascii="Times New Roman" w:eastAsia="Times New Roman" w:hAnsi="Times New Roman" w:cs="Times New Roman"/>
      <w:sz w:val="20"/>
      <w:szCs w:val="20"/>
      <w:lang w:val="it-IT" w:eastAsia="it-IT"/>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1">
    <w:name w:val="Table 3D effects 1"/>
    <w:basedOn w:val="TableNormal"/>
    <w:unhideWhenUsed/>
    <w:pPr>
      <w:spacing w:after="0" w:line="240" w:lineRule="auto"/>
    </w:pPr>
    <w:rPr>
      <w:rFonts w:ascii="Verdana" w:eastAsia="Times New Roman" w:hAnsi="Verdana" w:cs="Times New Roman"/>
      <w:color w:val="333333"/>
      <w:sz w:val="20"/>
      <w:szCs w:val="20"/>
      <w:lang w:val="it-IT" w:eastAsia="it-IT"/>
    </w:rPr>
    <w:tblPr>
      <w:tblCellSpacing w:w="14" w:type="dxa"/>
      <w:tblInd w:w="0" w:type="nil"/>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pPr>
      <w:spacing w:after="0" w:line="240" w:lineRule="auto"/>
    </w:pPr>
    <w:rPr>
      <w:rFonts w:ascii="Verdana" w:eastAsia="Times New Roman" w:hAnsi="Verdana" w:cs="Times New Roman"/>
      <w:color w:val="333333"/>
      <w:sz w:val="20"/>
      <w:szCs w:val="20"/>
      <w:lang w:val="it-IT" w:eastAsia="it-IT"/>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nhideWhenUsed/>
    <w:pPr>
      <w:spacing w:after="240" w:line="240" w:lineRule="auto"/>
      <w:jc w:val="both"/>
    </w:pPr>
    <w:rPr>
      <w:rFonts w:ascii="Times New Roman" w:eastAsia="Times New Roman" w:hAnsi="Times New Roman" w:cs="Times New Roman"/>
      <w:sz w:val="20"/>
      <w:szCs w:val="20"/>
      <w:lang w:val="nl-BE" w:eastAsia="nl-BE"/>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pPr>
      <w:spacing w:after="0" w:line="240" w:lineRule="auto"/>
      <w:jc w:val="both"/>
    </w:pPr>
    <w:rPr>
      <w:rFonts w:ascii="Verdana" w:eastAsia="Times New Roman" w:hAnsi="Verdana" w:cs="Times New Roman"/>
      <w:color w:val="333333"/>
      <w:sz w:val="20"/>
      <w:szCs w:val="20"/>
      <w:lang w:val="it-IT" w:eastAsia="it-IT"/>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ColorfulGrid-Accent3">
    <w:name w:val="Colorful Grid Accent 3"/>
    <w:basedOn w:val="TableNormal"/>
    <w:uiPriority w:val="69"/>
    <w:unhideWhenUsed/>
    <w:pPr>
      <w:spacing w:after="0" w:line="240" w:lineRule="auto"/>
    </w:pPr>
    <w:rPr>
      <w:rFonts w:ascii="Verdana" w:eastAsia="Times New Roman" w:hAnsi="Verdana" w:cs="Times New Roman"/>
      <w:sz w:val="18"/>
      <w:szCs w:val="20"/>
      <w:lang w:val="nl-BE" w:eastAsia="nl-B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Tms Rmn" w:hAnsi="Tms Rmn" w:hint="default"/>
        <w:b/>
        <w:bCs/>
        <w:i w:val="0"/>
        <w:iCs w:val="0"/>
        <w:color w:val="FFFFFF"/>
        <w:sz w:val="18"/>
        <w:szCs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Style1">
    <w:name w:val="Style1"/>
    <w:basedOn w:val="TableNormal"/>
    <w:pPr>
      <w:spacing w:after="0" w:line="240" w:lineRule="auto"/>
    </w:pPr>
    <w:rPr>
      <w:rFonts w:ascii="Times New Roman" w:eastAsia="Times New Roman" w:hAnsi="Times New Roman" w:cs="Times New Roman"/>
      <w:sz w:val="20"/>
      <w:szCs w:val="20"/>
      <w:lang w:val="nl-BE" w:eastAsia="nl-BE"/>
    </w:rPr>
    <w:tblPr>
      <w:tblInd w:w="0" w:type="nil"/>
    </w:tblPr>
  </w:style>
  <w:style w:type="table" w:customStyle="1" w:styleId="GridTable4-Accent51">
    <w:name w:val="Grid Table 4 - Accent 51"/>
    <w:basedOn w:val="TableNormal"/>
    <w:uiPriority w:val="49"/>
    <w:pPr>
      <w:spacing w:after="0" w:line="240" w:lineRule="auto"/>
    </w:pPr>
    <w:rPr>
      <w:rFonts w:ascii="Calibri" w:eastAsia="Calibri" w:hAnsi="Calibri" w:cs="Times New Roman"/>
    </w:rPr>
    <w:tblPr>
      <w:tblStyleRowBandSize w:val="1"/>
      <w:tblStyleColBandSize w:val="1"/>
      <w:tblInd w:w="0" w:type="nil"/>
      <w:tblBorders>
        <w:top w:val="single" w:sz="4" w:space="0" w:color="E1DCC0"/>
        <w:left w:val="single" w:sz="4" w:space="0" w:color="E1DCC0"/>
        <w:bottom w:val="single" w:sz="4" w:space="0" w:color="E1DCC0"/>
        <w:right w:val="single" w:sz="4" w:space="0" w:color="E1DCC0"/>
        <w:insideH w:val="single" w:sz="4" w:space="0" w:color="E1DCC0"/>
        <w:insideV w:val="single" w:sz="4" w:space="0" w:color="E1DCC0"/>
      </w:tblBorders>
    </w:tblPr>
    <w:tblStylePr w:type="firstRow">
      <w:rPr>
        <w:b/>
        <w:bCs/>
        <w:color w:val="FFFFFF"/>
      </w:rPr>
      <w:tblPr/>
      <w:tcPr>
        <w:tcBorders>
          <w:top w:val="single" w:sz="4" w:space="0" w:color="CEC597"/>
          <w:left w:val="single" w:sz="4" w:space="0" w:color="CEC597"/>
          <w:bottom w:val="single" w:sz="4" w:space="0" w:color="CEC597"/>
          <w:right w:val="single" w:sz="4" w:space="0" w:color="CEC597"/>
          <w:insideH w:val="nil"/>
          <w:insideV w:val="nil"/>
        </w:tcBorders>
        <w:shd w:val="clear" w:color="auto" w:fill="CEC597"/>
      </w:tcPr>
    </w:tblStylePr>
    <w:tblStylePr w:type="lastRow">
      <w:rPr>
        <w:b/>
        <w:bCs/>
      </w:rPr>
      <w:tblPr/>
      <w:tcPr>
        <w:tcBorders>
          <w:top w:val="double" w:sz="4" w:space="0" w:color="CEC597"/>
        </w:tcBorders>
      </w:tcPr>
    </w:tblStylePr>
    <w:tblStylePr w:type="firstCol">
      <w:rPr>
        <w:b/>
        <w:bCs/>
      </w:rPr>
    </w:tblStylePr>
    <w:tblStylePr w:type="lastCol">
      <w:rPr>
        <w:b/>
        <w:bCs/>
      </w:rPr>
    </w:tblStylePr>
    <w:tblStylePr w:type="band1Vert">
      <w:tblPr/>
      <w:tcPr>
        <w:shd w:val="clear" w:color="auto" w:fill="F5F3EA"/>
      </w:tcPr>
    </w:tblStylePr>
    <w:tblStylePr w:type="band1Horz">
      <w:tblPr/>
      <w:tcPr>
        <w:shd w:val="clear" w:color="auto" w:fill="F5F3EA"/>
      </w:tcPr>
    </w:tblStylePr>
  </w:style>
  <w:style w:type="table" w:customStyle="1" w:styleId="TABELLATRT">
    <w:name w:val="TABELLA_TRT"/>
    <w:basedOn w:val="TableNormal"/>
    <w:uiPriority w:val="99"/>
    <w:qFormat/>
    <w:pPr>
      <w:spacing w:after="0" w:line="240" w:lineRule="auto"/>
    </w:pPr>
    <w:rPr>
      <w:rFonts w:ascii="Calibri" w:eastAsia="Calibri" w:hAnsi="Calibri" w:cs="Times New Roman"/>
      <w:szCs w:val="20"/>
      <w:lang w:val="it-IT" w:eastAsia="it-IT"/>
    </w:rPr>
    <w:tblPr>
      <w:tblInd w:w="0" w:type="nil"/>
      <w:tblBorders>
        <w:insideH w:val="single" w:sz="8" w:space="0" w:color="808080"/>
        <w:insideV w:val="single" w:sz="8" w:space="0" w:color="808080"/>
      </w:tblBorders>
    </w:tblPr>
    <w:tblStylePr w:type="firstRow">
      <w:pPr>
        <w:wordWrap/>
        <w:spacing w:beforeLines="0" w:before="100" w:beforeAutospacing="1" w:afterLines="0" w:after="100" w:afterAutospacing="1"/>
        <w:jc w:val="left"/>
      </w:pPr>
      <w:rPr>
        <w:rFonts w:ascii="Calibri" w:hAnsi="Calibri" w:cs="Calibri" w:hint="default"/>
        <w:b/>
        <w:color w:val="FFFFFF"/>
        <w:sz w:val="22"/>
        <w:szCs w:val="22"/>
      </w:rPr>
      <w:tblPr/>
      <w:tcPr>
        <w:shd w:val="clear" w:color="auto" w:fill="527D55"/>
        <w:vAlign w:val="center"/>
      </w:tcPr>
    </w:tblStylePr>
  </w:style>
  <w:style w:type="paragraph" w:styleId="ListNumber2">
    <w:name w:val="List Number 2"/>
    <w:basedOn w:val="Text2"/>
    <w:unhideWhenUsed/>
    <w:pPr>
      <w:numPr>
        <w:numId w:val="35"/>
      </w:numPr>
      <w:tabs>
        <w:tab w:val="clear" w:pos="1911"/>
        <w:tab w:val="clear" w:pos="2302"/>
        <w:tab w:val="num" w:pos="1191"/>
      </w:tabs>
      <w:ind w:left="1191"/>
    </w:pPr>
    <w:rPr>
      <w:rFonts w:asciiTheme="minorHAnsi" w:eastAsiaTheme="minorHAnsi" w:hAnsiTheme="minorHAnsi" w:cstheme="minorBidi"/>
      <w:szCs w:val="22"/>
    </w:rPr>
  </w:style>
  <w:style w:type="numbering" w:customStyle="1" w:styleId="Style2">
    <w:name w:val="Style2"/>
    <w:pPr>
      <w:numPr>
        <w:numId w:val="43"/>
      </w:numPr>
    </w:pPr>
  </w:style>
  <w:style w:type="character" w:styleId="Emphasis">
    <w:name w:val="Emphasis"/>
    <w:basedOn w:val="DefaultParagraphFont"/>
    <w:uiPriority w:val="20"/>
    <w:qFormat/>
    <w:rPr>
      <w:i/>
      <w:iCs/>
    </w:rPr>
  </w:style>
  <w:style w:type="character" w:customStyle="1" w:styleId="ecl-u-type-capitalize">
    <w:name w:val="ecl-u-type-capitalize"/>
    <w:basedOn w:val="DefaultParagraphFont"/>
  </w:style>
  <w:style w:type="character" w:customStyle="1" w:styleId="eop">
    <w:name w:val="eop"/>
    <w:basedOn w:val="DefaultParagraphFont"/>
  </w:style>
  <w:style w:type="table" w:customStyle="1" w:styleId="LightShading-Accent11">
    <w:name w:val="Light Shading - Accent 11"/>
    <w:basedOn w:val="TableNormal"/>
    <w:next w:val="LightShading-Accent1"/>
    <w:uiPriority w:val="60"/>
    <w:pPr>
      <w:spacing w:before="140" w:after="0" w:line="240" w:lineRule="auto"/>
    </w:pPr>
    <w:rPr>
      <w:rFonts w:ascii="Calibri" w:eastAsia="Calibri" w:hAnsi="Calibri" w:cs="Mangal"/>
      <w:color w:val="4C8DB0"/>
    </w:rPr>
    <w:tblPr>
      <w:tblStyleRowBandSize w:val="1"/>
      <w:tblStyleColBandSize w:val="1"/>
      <w:tblBorders>
        <w:top w:val="single" w:sz="8" w:space="0" w:color="86B3CB"/>
        <w:bottom w:val="single" w:sz="8" w:space="0" w:color="86B3CB"/>
      </w:tblBorders>
    </w:tblPr>
    <w:tblStylePr w:type="firstRow">
      <w:pPr>
        <w:spacing w:before="0" w:after="0" w:line="240" w:lineRule="auto"/>
      </w:pPr>
      <w:rPr>
        <w:b/>
        <w:bCs/>
      </w:rPr>
      <w:tblPr/>
      <w:tcPr>
        <w:tcBorders>
          <w:top w:val="single" w:sz="8" w:space="0" w:color="86B3CB"/>
          <w:left w:val="nil"/>
          <w:bottom w:val="single" w:sz="8" w:space="0" w:color="86B3CB"/>
          <w:right w:val="nil"/>
          <w:insideH w:val="nil"/>
          <w:insideV w:val="nil"/>
        </w:tcBorders>
      </w:tcPr>
    </w:tblStylePr>
    <w:tblStylePr w:type="lastRow">
      <w:pPr>
        <w:spacing w:before="0" w:after="0" w:line="240" w:lineRule="auto"/>
      </w:pPr>
      <w:rPr>
        <w:b/>
        <w:bCs/>
      </w:rPr>
      <w:tblPr/>
      <w:tcPr>
        <w:tcBorders>
          <w:top w:val="single" w:sz="8" w:space="0" w:color="86B3CB"/>
          <w:left w:val="nil"/>
          <w:bottom w:val="single" w:sz="8" w:space="0" w:color="86B3C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CF2"/>
      </w:tcPr>
    </w:tblStylePr>
    <w:tblStylePr w:type="band1Horz">
      <w:tblPr/>
      <w:tcPr>
        <w:tcBorders>
          <w:left w:val="nil"/>
          <w:right w:val="nil"/>
          <w:insideH w:val="nil"/>
          <w:insideV w:val="nil"/>
        </w:tcBorders>
        <w:shd w:val="clear" w:color="auto" w:fill="E0ECF2"/>
      </w:tcPr>
    </w:tblStylePr>
  </w:style>
  <w:style w:type="table" w:styleId="LightShading-Accent1">
    <w:name w:val="Light Shading Accent 1"/>
    <w:basedOn w:val="TableNormal"/>
    <w:uiPriority w:val="60"/>
    <w:semiHidden/>
    <w:unhideWhenUse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LegalNumPar">
    <w:name w:val="LegalNumPar"/>
    <w:basedOn w:val="Normal"/>
    <w:link w:val="LegalNumParChar"/>
    <w:qFormat/>
    <w:pPr>
      <w:spacing w:after="120" w:line="360" w:lineRule="auto"/>
      <w:jc w:val="both"/>
    </w:pPr>
    <w:rPr>
      <w:rFonts w:ascii="Times New Roman" w:eastAsia="Times New Roman" w:hAnsi="Times New Roman" w:cs="Times New Roman"/>
      <w:sz w:val="24"/>
      <w:szCs w:val="20"/>
      <w:lang w:eastAsia="en-GB"/>
    </w:rPr>
  </w:style>
  <w:style w:type="character" w:customStyle="1" w:styleId="LegalNumParChar">
    <w:name w:val="LegalNumPar Char"/>
    <w:basedOn w:val="DefaultParagraphFont"/>
    <w:link w:val="LegalNumPa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4553">
      <w:bodyDiv w:val="1"/>
      <w:marLeft w:val="0"/>
      <w:marRight w:val="0"/>
      <w:marTop w:val="0"/>
      <w:marBottom w:val="0"/>
      <w:divBdr>
        <w:top w:val="none" w:sz="0" w:space="0" w:color="auto"/>
        <w:left w:val="none" w:sz="0" w:space="0" w:color="auto"/>
        <w:bottom w:val="none" w:sz="0" w:space="0" w:color="auto"/>
        <w:right w:val="none" w:sz="0" w:space="0" w:color="auto"/>
      </w:divBdr>
    </w:div>
    <w:div w:id="34502915">
      <w:bodyDiv w:val="1"/>
      <w:marLeft w:val="0"/>
      <w:marRight w:val="0"/>
      <w:marTop w:val="0"/>
      <w:marBottom w:val="0"/>
      <w:divBdr>
        <w:top w:val="none" w:sz="0" w:space="0" w:color="auto"/>
        <w:left w:val="none" w:sz="0" w:space="0" w:color="auto"/>
        <w:bottom w:val="none" w:sz="0" w:space="0" w:color="auto"/>
        <w:right w:val="none" w:sz="0" w:space="0" w:color="auto"/>
      </w:divBdr>
    </w:div>
    <w:div w:id="126553171">
      <w:bodyDiv w:val="1"/>
      <w:marLeft w:val="0"/>
      <w:marRight w:val="0"/>
      <w:marTop w:val="0"/>
      <w:marBottom w:val="0"/>
      <w:divBdr>
        <w:top w:val="none" w:sz="0" w:space="0" w:color="auto"/>
        <w:left w:val="none" w:sz="0" w:space="0" w:color="auto"/>
        <w:bottom w:val="none" w:sz="0" w:space="0" w:color="auto"/>
        <w:right w:val="none" w:sz="0" w:space="0" w:color="auto"/>
      </w:divBdr>
    </w:div>
    <w:div w:id="162745802">
      <w:bodyDiv w:val="1"/>
      <w:marLeft w:val="0"/>
      <w:marRight w:val="0"/>
      <w:marTop w:val="0"/>
      <w:marBottom w:val="0"/>
      <w:divBdr>
        <w:top w:val="none" w:sz="0" w:space="0" w:color="auto"/>
        <w:left w:val="none" w:sz="0" w:space="0" w:color="auto"/>
        <w:bottom w:val="none" w:sz="0" w:space="0" w:color="auto"/>
        <w:right w:val="none" w:sz="0" w:space="0" w:color="auto"/>
      </w:divBdr>
    </w:div>
    <w:div w:id="182328956">
      <w:bodyDiv w:val="1"/>
      <w:marLeft w:val="0"/>
      <w:marRight w:val="0"/>
      <w:marTop w:val="0"/>
      <w:marBottom w:val="0"/>
      <w:divBdr>
        <w:top w:val="none" w:sz="0" w:space="0" w:color="auto"/>
        <w:left w:val="none" w:sz="0" w:space="0" w:color="auto"/>
        <w:bottom w:val="none" w:sz="0" w:space="0" w:color="auto"/>
        <w:right w:val="none" w:sz="0" w:space="0" w:color="auto"/>
      </w:divBdr>
    </w:div>
    <w:div w:id="238639854">
      <w:bodyDiv w:val="1"/>
      <w:marLeft w:val="0"/>
      <w:marRight w:val="0"/>
      <w:marTop w:val="0"/>
      <w:marBottom w:val="0"/>
      <w:divBdr>
        <w:top w:val="none" w:sz="0" w:space="0" w:color="auto"/>
        <w:left w:val="none" w:sz="0" w:space="0" w:color="auto"/>
        <w:bottom w:val="none" w:sz="0" w:space="0" w:color="auto"/>
        <w:right w:val="none" w:sz="0" w:space="0" w:color="auto"/>
      </w:divBdr>
    </w:div>
    <w:div w:id="424113953">
      <w:bodyDiv w:val="1"/>
      <w:marLeft w:val="0"/>
      <w:marRight w:val="0"/>
      <w:marTop w:val="0"/>
      <w:marBottom w:val="0"/>
      <w:divBdr>
        <w:top w:val="none" w:sz="0" w:space="0" w:color="auto"/>
        <w:left w:val="none" w:sz="0" w:space="0" w:color="auto"/>
        <w:bottom w:val="none" w:sz="0" w:space="0" w:color="auto"/>
        <w:right w:val="none" w:sz="0" w:space="0" w:color="auto"/>
      </w:divBdr>
    </w:div>
    <w:div w:id="435298243">
      <w:bodyDiv w:val="1"/>
      <w:marLeft w:val="0"/>
      <w:marRight w:val="0"/>
      <w:marTop w:val="0"/>
      <w:marBottom w:val="0"/>
      <w:divBdr>
        <w:top w:val="none" w:sz="0" w:space="0" w:color="auto"/>
        <w:left w:val="none" w:sz="0" w:space="0" w:color="auto"/>
        <w:bottom w:val="none" w:sz="0" w:space="0" w:color="auto"/>
        <w:right w:val="none" w:sz="0" w:space="0" w:color="auto"/>
      </w:divBdr>
      <w:divsChild>
        <w:div w:id="1655526406">
          <w:marLeft w:val="360"/>
          <w:marRight w:val="0"/>
          <w:marTop w:val="0"/>
          <w:marBottom w:val="360"/>
          <w:divBdr>
            <w:top w:val="none" w:sz="0" w:space="0" w:color="auto"/>
            <w:left w:val="none" w:sz="0" w:space="0" w:color="auto"/>
            <w:bottom w:val="none" w:sz="0" w:space="0" w:color="auto"/>
            <w:right w:val="none" w:sz="0" w:space="0" w:color="auto"/>
          </w:divBdr>
        </w:div>
        <w:div w:id="1871412884">
          <w:marLeft w:val="360"/>
          <w:marRight w:val="0"/>
          <w:marTop w:val="0"/>
          <w:marBottom w:val="360"/>
          <w:divBdr>
            <w:top w:val="none" w:sz="0" w:space="0" w:color="auto"/>
            <w:left w:val="none" w:sz="0" w:space="0" w:color="auto"/>
            <w:bottom w:val="none" w:sz="0" w:space="0" w:color="auto"/>
            <w:right w:val="none" w:sz="0" w:space="0" w:color="auto"/>
          </w:divBdr>
        </w:div>
      </w:divsChild>
    </w:div>
    <w:div w:id="446891094">
      <w:bodyDiv w:val="1"/>
      <w:marLeft w:val="0"/>
      <w:marRight w:val="0"/>
      <w:marTop w:val="0"/>
      <w:marBottom w:val="0"/>
      <w:divBdr>
        <w:top w:val="none" w:sz="0" w:space="0" w:color="auto"/>
        <w:left w:val="none" w:sz="0" w:space="0" w:color="auto"/>
        <w:bottom w:val="none" w:sz="0" w:space="0" w:color="auto"/>
        <w:right w:val="none" w:sz="0" w:space="0" w:color="auto"/>
      </w:divBdr>
    </w:div>
    <w:div w:id="447160965">
      <w:bodyDiv w:val="1"/>
      <w:marLeft w:val="0"/>
      <w:marRight w:val="0"/>
      <w:marTop w:val="0"/>
      <w:marBottom w:val="0"/>
      <w:divBdr>
        <w:top w:val="none" w:sz="0" w:space="0" w:color="auto"/>
        <w:left w:val="none" w:sz="0" w:space="0" w:color="auto"/>
        <w:bottom w:val="none" w:sz="0" w:space="0" w:color="auto"/>
        <w:right w:val="none" w:sz="0" w:space="0" w:color="auto"/>
      </w:divBdr>
    </w:div>
    <w:div w:id="448743266">
      <w:bodyDiv w:val="1"/>
      <w:marLeft w:val="0"/>
      <w:marRight w:val="0"/>
      <w:marTop w:val="0"/>
      <w:marBottom w:val="0"/>
      <w:divBdr>
        <w:top w:val="none" w:sz="0" w:space="0" w:color="auto"/>
        <w:left w:val="none" w:sz="0" w:space="0" w:color="auto"/>
        <w:bottom w:val="none" w:sz="0" w:space="0" w:color="auto"/>
        <w:right w:val="none" w:sz="0" w:space="0" w:color="auto"/>
      </w:divBdr>
    </w:div>
    <w:div w:id="553201983">
      <w:bodyDiv w:val="1"/>
      <w:marLeft w:val="0"/>
      <w:marRight w:val="0"/>
      <w:marTop w:val="0"/>
      <w:marBottom w:val="0"/>
      <w:divBdr>
        <w:top w:val="none" w:sz="0" w:space="0" w:color="auto"/>
        <w:left w:val="none" w:sz="0" w:space="0" w:color="auto"/>
        <w:bottom w:val="none" w:sz="0" w:space="0" w:color="auto"/>
        <w:right w:val="none" w:sz="0" w:space="0" w:color="auto"/>
      </w:divBdr>
    </w:div>
    <w:div w:id="554702206">
      <w:bodyDiv w:val="1"/>
      <w:marLeft w:val="0"/>
      <w:marRight w:val="0"/>
      <w:marTop w:val="0"/>
      <w:marBottom w:val="0"/>
      <w:divBdr>
        <w:top w:val="none" w:sz="0" w:space="0" w:color="auto"/>
        <w:left w:val="none" w:sz="0" w:space="0" w:color="auto"/>
        <w:bottom w:val="none" w:sz="0" w:space="0" w:color="auto"/>
        <w:right w:val="none" w:sz="0" w:space="0" w:color="auto"/>
      </w:divBdr>
    </w:div>
    <w:div w:id="604700799">
      <w:bodyDiv w:val="1"/>
      <w:marLeft w:val="0"/>
      <w:marRight w:val="0"/>
      <w:marTop w:val="0"/>
      <w:marBottom w:val="0"/>
      <w:divBdr>
        <w:top w:val="none" w:sz="0" w:space="0" w:color="auto"/>
        <w:left w:val="none" w:sz="0" w:space="0" w:color="auto"/>
        <w:bottom w:val="none" w:sz="0" w:space="0" w:color="auto"/>
        <w:right w:val="none" w:sz="0" w:space="0" w:color="auto"/>
      </w:divBdr>
    </w:div>
    <w:div w:id="671372513">
      <w:bodyDiv w:val="1"/>
      <w:marLeft w:val="0"/>
      <w:marRight w:val="0"/>
      <w:marTop w:val="0"/>
      <w:marBottom w:val="0"/>
      <w:divBdr>
        <w:top w:val="none" w:sz="0" w:space="0" w:color="auto"/>
        <w:left w:val="none" w:sz="0" w:space="0" w:color="auto"/>
        <w:bottom w:val="none" w:sz="0" w:space="0" w:color="auto"/>
        <w:right w:val="none" w:sz="0" w:space="0" w:color="auto"/>
      </w:divBdr>
    </w:div>
    <w:div w:id="676151826">
      <w:bodyDiv w:val="1"/>
      <w:marLeft w:val="0"/>
      <w:marRight w:val="0"/>
      <w:marTop w:val="0"/>
      <w:marBottom w:val="0"/>
      <w:divBdr>
        <w:top w:val="none" w:sz="0" w:space="0" w:color="auto"/>
        <w:left w:val="none" w:sz="0" w:space="0" w:color="auto"/>
        <w:bottom w:val="none" w:sz="0" w:space="0" w:color="auto"/>
        <w:right w:val="none" w:sz="0" w:space="0" w:color="auto"/>
      </w:divBdr>
    </w:div>
    <w:div w:id="698436433">
      <w:bodyDiv w:val="1"/>
      <w:marLeft w:val="0"/>
      <w:marRight w:val="0"/>
      <w:marTop w:val="0"/>
      <w:marBottom w:val="0"/>
      <w:divBdr>
        <w:top w:val="none" w:sz="0" w:space="0" w:color="auto"/>
        <w:left w:val="none" w:sz="0" w:space="0" w:color="auto"/>
        <w:bottom w:val="none" w:sz="0" w:space="0" w:color="auto"/>
        <w:right w:val="none" w:sz="0" w:space="0" w:color="auto"/>
      </w:divBdr>
    </w:div>
    <w:div w:id="708728629">
      <w:bodyDiv w:val="1"/>
      <w:marLeft w:val="0"/>
      <w:marRight w:val="0"/>
      <w:marTop w:val="0"/>
      <w:marBottom w:val="0"/>
      <w:divBdr>
        <w:top w:val="none" w:sz="0" w:space="0" w:color="auto"/>
        <w:left w:val="none" w:sz="0" w:space="0" w:color="auto"/>
        <w:bottom w:val="none" w:sz="0" w:space="0" w:color="auto"/>
        <w:right w:val="none" w:sz="0" w:space="0" w:color="auto"/>
      </w:divBdr>
    </w:div>
    <w:div w:id="724837883">
      <w:bodyDiv w:val="1"/>
      <w:marLeft w:val="0"/>
      <w:marRight w:val="0"/>
      <w:marTop w:val="0"/>
      <w:marBottom w:val="0"/>
      <w:divBdr>
        <w:top w:val="none" w:sz="0" w:space="0" w:color="auto"/>
        <w:left w:val="none" w:sz="0" w:space="0" w:color="auto"/>
        <w:bottom w:val="none" w:sz="0" w:space="0" w:color="auto"/>
        <w:right w:val="none" w:sz="0" w:space="0" w:color="auto"/>
      </w:divBdr>
      <w:divsChild>
        <w:div w:id="469833904">
          <w:marLeft w:val="360"/>
          <w:marRight w:val="0"/>
          <w:marTop w:val="0"/>
          <w:marBottom w:val="360"/>
          <w:divBdr>
            <w:top w:val="none" w:sz="0" w:space="0" w:color="auto"/>
            <w:left w:val="none" w:sz="0" w:space="0" w:color="auto"/>
            <w:bottom w:val="none" w:sz="0" w:space="0" w:color="auto"/>
            <w:right w:val="none" w:sz="0" w:space="0" w:color="auto"/>
          </w:divBdr>
        </w:div>
        <w:div w:id="711926450">
          <w:marLeft w:val="360"/>
          <w:marRight w:val="0"/>
          <w:marTop w:val="0"/>
          <w:marBottom w:val="360"/>
          <w:divBdr>
            <w:top w:val="none" w:sz="0" w:space="0" w:color="auto"/>
            <w:left w:val="none" w:sz="0" w:space="0" w:color="auto"/>
            <w:bottom w:val="none" w:sz="0" w:space="0" w:color="auto"/>
            <w:right w:val="none" w:sz="0" w:space="0" w:color="auto"/>
          </w:divBdr>
        </w:div>
      </w:divsChild>
    </w:div>
    <w:div w:id="726270232">
      <w:bodyDiv w:val="1"/>
      <w:marLeft w:val="0"/>
      <w:marRight w:val="0"/>
      <w:marTop w:val="0"/>
      <w:marBottom w:val="0"/>
      <w:divBdr>
        <w:top w:val="none" w:sz="0" w:space="0" w:color="auto"/>
        <w:left w:val="none" w:sz="0" w:space="0" w:color="auto"/>
        <w:bottom w:val="none" w:sz="0" w:space="0" w:color="auto"/>
        <w:right w:val="none" w:sz="0" w:space="0" w:color="auto"/>
      </w:divBdr>
    </w:div>
    <w:div w:id="733550133">
      <w:bodyDiv w:val="1"/>
      <w:marLeft w:val="0"/>
      <w:marRight w:val="0"/>
      <w:marTop w:val="0"/>
      <w:marBottom w:val="0"/>
      <w:divBdr>
        <w:top w:val="none" w:sz="0" w:space="0" w:color="auto"/>
        <w:left w:val="none" w:sz="0" w:space="0" w:color="auto"/>
        <w:bottom w:val="none" w:sz="0" w:space="0" w:color="auto"/>
        <w:right w:val="none" w:sz="0" w:space="0" w:color="auto"/>
      </w:divBdr>
    </w:div>
    <w:div w:id="807671511">
      <w:bodyDiv w:val="1"/>
      <w:marLeft w:val="0"/>
      <w:marRight w:val="0"/>
      <w:marTop w:val="0"/>
      <w:marBottom w:val="0"/>
      <w:divBdr>
        <w:top w:val="none" w:sz="0" w:space="0" w:color="auto"/>
        <w:left w:val="none" w:sz="0" w:space="0" w:color="auto"/>
        <w:bottom w:val="none" w:sz="0" w:space="0" w:color="auto"/>
        <w:right w:val="none" w:sz="0" w:space="0" w:color="auto"/>
      </w:divBdr>
    </w:div>
    <w:div w:id="817648711">
      <w:bodyDiv w:val="1"/>
      <w:marLeft w:val="0"/>
      <w:marRight w:val="0"/>
      <w:marTop w:val="0"/>
      <w:marBottom w:val="0"/>
      <w:divBdr>
        <w:top w:val="none" w:sz="0" w:space="0" w:color="auto"/>
        <w:left w:val="none" w:sz="0" w:space="0" w:color="auto"/>
        <w:bottom w:val="none" w:sz="0" w:space="0" w:color="auto"/>
        <w:right w:val="none" w:sz="0" w:space="0" w:color="auto"/>
      </w:divBdr>
    </w:div>
    <w:div w:id="822815723">
      <w:bodyDiv w:val="1"/>
      <w:marLeft w:val="0"/>
      <w:marRight w:val="0"/>
      <w:marTop w:val="0"/>
      <w:marBottom w:val="0"/>
      <w:divBdr>
        <w:top w:val="none" w:sz="0" w:space="0" w:color="auto"/>
        <w:left w:val="none" w:sz="0" w:space="0" w:color="auto"/>
        <w:bottom w:val="none" w:sz="0" w:space="0" w:color="auto"/>
        <w:right w:val="none" w:sz="0" w:space="0" w:color="auto"/>
      </w:divBdr>
    </w:div>
    <w:div w:id="870999398">
      <w:bodyDiv w:val="1"/>
      <w:marLeft w:val="0"/>
      <w:marRight w:val="0"/>
      <w:marTop w:val="0"/>
      <w:marBottom w:val="0"/>
      <w:divBdr>
        <w:top w:val="none" w:sz="0" w:space="0" w:color="auto"/>
        <w:left w:val="none" w:sz="0" w:space="0" w:color="auto"/>
        <w:bottom w:val="none" w:sz="0" w:space="0" w:color="auto"/>
        <w:right w:val="none" w:sz="0" w:space="0" w:color="auto"/>
      </w:divBdr>
    </w:div>
    <w:div w:id="873662815">
      <w:bodyDiv w:val="1"/>
      <w:marLeft w:val="0"/>
      <w:marRight w:val="0"/>
      <w:marTop w:val="0"/>
      <w:marBottom w:val="0"/>
      <w:divBdr>
        <w:top w:val="none" w:sz="0" w:space="0" w:color="auto"/>
        <w:left w:val="none" w:sz="0" w:space="0" w:color="auto"/>
        <w:bottom w:val="none" w:sz="0" w:space="0" w:color="auto"/>
        <w:right w:val="none" w:sz="0" w:space="0" w:color="auto"/>
      </w:divBdr>
    </w:div>
    <w:div w:id="875505067">
      <w:bodyDiv w:val="1"/>
      <w:marLeft w:val="0"/>
      <w:marRight w:val="0"/>
      <w:marTop w:val="0"/>
      <w:marBottom w:val="0"/>
      <w:divBdr>
        <w:top w:val="none" w:sz="0" w:space="0" w:color="auto"/>
        <w:left w:val="none" w:sz="0" w:space="0" w:color="auto"/>
        <w:bottom w:val="none" w:sz="0" w:space="0" w:color="auto"/>
        <w:right w:val="none" w:sz="0" w:space="0" w:color="auto"/>
      </w:divBdr>
    </w:div>
    <w:div w:id="896401467">
      <w:bodyDiv w:val="1"/>
      <w:marLeft w:val="0"/>
      <w:marRight w:val="0"/>
      <w:marTop w:val="0"/>
      <w:marBottom w:val="0"/>
      <w:divBdr>
        <w:top w:val="none" w:sz="0" w:space="0" w:color="auto"/>
        <w:left w:val="none" w:sz="0" w:space="0" w:color="auto"/>
        <w:bottom w:val="none" w:sz="0" w:space="0" w:color="auto"/>
        <w:right w:val="none" w:sz="0" w:space="0" w:color="auto"/>
      </w:divBdr>
    </w:div>
    <w:div w:id="910315118">
      <w:bodyDiv w:val="1"/>
      <w:marLeft w:val="0"/>
      <w:marRight w:val="0"/>
      <w:marTop w:val="0"/>
      <w:marBottom w:val="0"/>
      <w:divBdr>
        <w:top w:val="none" w:sz="0" w:space="0" w:color="auto"/>
        <w:left w:val="none" w:sz="0" w:space="0" w:color="auto"/>
        <w:bottom w:val="none" w:sz="0" w:space="0" w:color="auto"/>
        <w:right w:val="none" w:sz="0" w:space="0" w:color="auto"/>
      </w:divBdr>
    </w:div>
    <w:div w:id="919019018">
      <w:bodyDiv w:val="1"/>
      <w:marLeft w:val="0"/>
      <w:marRight w:val="0"/>
      <w:marTop w:val="0"/>
      <w:marBottom w:val="0"/>
      <w:divBdr>
        <w:top w:val="none" w:sz="0" w:space="0" w:color="auto"/>
        <w:left w:val="none" w:sz="0" w:space="0" w:color="auto"/>
        <w:bottom w:val="none" w:sz="0" w:space="0" w:color="auto"/>
        <w:right w:val="none" w:sz="0" w:space="0" w:color="auto"/>
      </w:divBdr>
    </w:div>
    <w:div w:id="939752779">
      <w:bodyDiv w:val="1"/>
      <w:marLeft w:val="0"/>
      <w:marRight w:val="0"/>
      <w:marTop w:val="0"/>
      <w:marBottom w:val="0"/>
      <w:divBdr>
        <w:top w:val="none" w:sz="0" w:space="0" w:color="auto"/>
        <w:left w:val="none" w:sz="0" w:space="0" w:color="auto"/>
        <w:bottom w:val="none" w:sz="0" w:space="0" w:color="auto"/>
        <w:right w:val="none" w:sz="0" w:space="0" w:color="auto"/>
      </w:divBdr>
    </w:div>
    <w:div w:id="970553265">
      <w:bodyDiv w:val="1"/>
      <w:marLeft w:val="0"/>
      <w:marRight w:val="0"/>
      <w:marTop w:val="0"/>
      <w:marBottom w:val="0"/>
      <w:divBdr>
        <w:top w:val="none" w:sz="0" w:space="0" w:color="auto"/>
        <w:left w:val="none" w:sz="0" w:space="0" w:color="auto"/>
        <w:bottom w:val="none" w:sz="0" w:space="0" w:color="auto"/>
        <w:right w:val="none" w:sz="0" w:space="0" w:color="auto"/>
      </w:divBdr>
    </w:div>
    <w:div w:id="1000307871">
      <w:bodyDiv w:val="1"/>
      <w:marLeft w:val="0"/>
      <w:marRight w:val="0"/>
      <w:marTop w:val="0"/>
      <w:marBottom w:val="0"/>
      <w:divBdr>
        <w:top w:val="none" w:sz="0" w:space="0" w:color="auto"/>
        <w:left w:val="none" w:sz="0" w:space="0" w:color="auto"/>
        <w:bottom w:val="none" w:sz="0" w:space="0" w:color="auto"/>
        <w:right w:val="none" w:sz="0" w:space="0" w:color="auto"/>
      </w:divBdr>
    </w:div>
    <w:div w:id="1026323145">
      <w:bodyDiv w:val="1"/>
      <w:marLeft w:val="0"/>
      <w:marRight w:val="0"/>
      <w:marTop w:val="0"/>
      <w:marBottom w:val="0"/>
      <w:divBdr>
        <w:top w:val="none" w:sz="0" w:space="0" w:color="auto"/>
        <w:left w:val="none" w:sz="0" w:space="0" w:color="auto"/>
        <w:bottom w:val="none" w:sz="0" w:space="0" w:color="auto"/>
        <w:right w:val="none" w:sz="0" w:space="0" w:color="auto"/>
      </w:divBdr>
    </w:div>
    <w:div w:id="1028532997">
      <w:bodyDiv w:val="1"/>
      <w:marLeft w:val="0"/>
      <w:marRight w:val="0"/>
      <w:marTop w:val="0"/>
      <w:marBottom w:val="0"/>
      <w:divBdr>
        <w:top w:val="none" w:sz="0" w:space="0" w:color="auto"/>
        <w:left w:val="none" w:sz="0" w:space="0" w:color="auto"/>
        <w:bottom w:val="none" w:sz="0" w:space="0" w:color="auto"/>
        <w:right w:val="none" w:sz="0" w:space="0" w:color="auto"/>
      </w:divBdr>
    </w:div>
    <w:div w:id="1042093054">
      <w:bodyDiv w:val="1"/>
      <w:marLeft w:val="0"/>
      <w:marRight w:val="0"/>
      <w:marTop w:val="0"/>
      <w:marBottom w:val="0"/>
      <w:divBdr>
        <w:top w:val="none" w:sz="0" w:space="0" w:color="auto"/>
        <w:left w:val="none" w:sz="0" w:space="0" w:color="auto"/>
        <w:bottom w:val="none" w:sz="0" w:space="0" w:color="auto"/>
        <w:right w:val="none" w:sz="0" w:space="0" w:color="auto"/>
      </w:divBdr>
    </w:div>
    <w:div w:id="1088229372">
      <w:bodyDiv w:val="1"/>
      <w:marLeft w:val="0"/>
      <w:marRight w:val="0"/>
      <w:marTop w:val="0"/>
      <w:marBottom w:val="0"/>
      <w:divBdr>
        <w:top w:val="none" w:sz="0" w:space="0" w:color="auto"/>
        <w:left w:val="none" w:sz="0" w:space="0" w:color="auto"/>
        <w:bottom w:val="none" w:sz="0" w:space="0" w:color="auto"/>
        <w:right w:val="none" w:sz="0" w:space="0" w:color="auto"/>
      </w:divBdr>
    </w:div>
    <w:div w:id="1105266329">
      <w:bodyDiv w:val="1"/>
      <w:marLeft w:val="0"/>
      <w:marRight w:val="0"/>
      <w:marTop w:val="0"/>
      <w:marBottom w:val="0"/>
      <w:divBdr>
        <w:top w:val="none" w:sz="0" w:space="0" w:color="auto"/>
        <w:left w:val="none" w:sz="0" w:space="0" w:color="auto"/>
        <w:bottom w:val="none" w:sz="0" w:space="0" w:color="auto"/>
        <w:right w:val="none" w:sz="0" w:space="0" w:color="auto"/>
      </w:divBdr>
    </w:div>
    <w:div w:id="1128209288">
      <w:bodyDiv w:val="1"/>
      <w:marLeft w:val="0"/>
      <w:marRight w:val="0"/>
      <w:marTop w:val="0"/>
      <w:marBottom w:val="0"/>
      <w:divBdr>
        <w:top w:val="none" w:sz="0" w:space="0" w:color="auto"/>
        <w:left w:val="none" w:sz="0" w:space="0" w:color="auto"/>
        <w:bottom w:val="none" w:sz="0" w:space="0" w:color="auto"/>
        <w:right w:val="none" w:sz="0" w:space="0" w:color="auto"/>
      </w:divBdr>
    </w:div>
    <w:div w:id="1128550973">
      <w:bodyDiv w:val="1"/>
      <w:marLeft w:val="0"/>
      <w:marRight w:val="0"/>
      <w:marTop w:val="0"/>
      <w:marBottom w:val="0"/>
      <w:divBdr>
        <w:top w:val="none" w:sz="0" w:space="0" w:color="auto"/>
        <w:left w:val="none" w:sz="0" w:space="0" w:color="auto"/>
        <w:bottom w:val="none" w:sz="0" w:space="0" w:color="auto"/>
        <w:right w:val="none" w:sz="0" w:space="0" w:color="auto"/>
      </w:divBdr>
    </w:div>
    <w:div w:id="1136602819">
      <w:bodyDiv w:val="1"/>
      <w:marLeft w:val="0"/>
      <w:marRight w:val="0"/>
      <w:marTop w:val="0"/>
      <w:marBottom w:val="0"/>
      <w:divBdr>
        <w:top w:val="none" w:sz="0" w:space="0" w:color="auto"/>
        <w:left w:val="none" w:sz="0" w:space="0" w:color="auto"/>
        <w:bottom w:val="none" w:sz="0" w:space="0" w:color="auto"/>
        <w:right w:val="none" w:sz="0" w:space="0" w:color="auto"/>
      </w:divBdr>
    </w:div>
    <w:div w:id="1153447865">
      <w:bodyDiv w:val="1"/>
      <w:marLeft w:val="0"/>
      <w:marRight w:val="0"/>
      <w:marTop w:val="0"/>
      <w:marBottom w:val="0"/>
      <w:divBdr>
        <w:top w:val="none" w:sz="0" w:space="0" w:color="auto"/>
        <w:left w:val="none" w:sz="0" w:space="0" w:color="auto"/>
        <w:bottom w:val="none" w:sz="0" w:space="0" w:color="auto"/>
        <w:right w:val="none" w:sz="0" w:space="0" w:color="auto"/>
      </w:divBdr>
    </w:div>
    <w:div w:id="1207789424">
      <w:bodyDiv w:val="1"/>
      <w:marLeft w:val="0"/>
      <w:marRight w:val="0"/>
      <w:marTop w:val="0"/>
      <w:marBottom w:val="0"/>
      <w:divBdr>
        <w:top w:val="none" w:sz="0" w:space="0" w:color="auto"/>
        <w:left w:val="none" w:sz="0" w:space="0" w:color="auto"/>
        <w:bottom w:val="none" w:sz="0" w:space="0" w:color="auto"/>
        <w:right w:val="none" w:sz="0" w:space="0" w:color="auto"/>
      </w:divBdr>
    </w:div>
    <w:div w:id="1218976568">
      <w:bodyDiv w:val="1"/>
      <w:marLeft w:val="0"/>
      <w:marRight w:val="0"/>
      <w:marTop w:val="0"/>
      <w:marBottom w:val="0"/>
      <w:divBdr>
        <w:top w:val="none" w:sz="0" w:space="0" w:color="auto"/>
        <w:left w:val="none" w:sz="0" w:space="0" w:color="auto"/>
        <w:bottom w:val="none" w:sz="0" w:space="0" w:color="auto"/>
        <w:right w:val="none" w:sz="0" w:space="0" w:color="auto"/>
      </w:divBdr>
    </w:div>
    <w:div w:id="1223558363">
      <w:bodyDiv w:val="1"/>
      <w:marLeft w:val="0"/>
      <w:marRight w:val="0"/>
      <w:marTop w:val="0"/>
      <w:marBottom w:val="0"/>
      <w:divBdr>
        <w:top w:val="none" w:sz="0" w:space="0" w:color="auto"/>
        <w:left w:val="none" w:sz="0" w:space="0" w:color="auto"/>
        <w:bottom w:val="none" w:sz="0" w:space="0" w:color="auto"/>
        <w:right w:val="none" w:sz="0" w:space="0" w:color="auto"/>
      </w:divBdr>
    </w:div>
    <w:div w:id="1247614474">
      <w:bodyDiv w:val="1"/>
      <w:marLeft w:val="0"/>
      <w:marRight w:val="0"/>
      <w:marTop w:val="0"/>
      <w:marBottom w:val="0"/>
      <w:divBdr>
        <w:top w:val="none" w:sz="0" w:space="0" w:color="auto"/>
        <w:left w:val="none" w:sz="0" w:space="0" w:color="auto"/>
        <w:bottom w:val="none" w:sz="0" w:space="0" w:color="auto"/>
        <w:right w:val="none" w:sz="0" w:space="0" w:color="auto"/>
      </w:divBdr>
    </w:div>
    <w:div w:id="1261915982">
      <w:bodyDiv w:val="1"/>
      <w:marLeft w:val="0"/>
      <w:marRight w:val="0"/>
      <w:marTop w:val="0"/>
      <w:marBottom w:val="0"/>
      <w:divBdr>
        <w:top w:val="none" w:sz="0" w:space="0" w:color="auto"/>
        <w:left w:val="none" w:sz="0" w:space="0" w:color="auto"/>
        <w:bottom w:val="none" w:sz="0" w:space="0" w:color="auto"/>
        <w:right w:val="none" w:sz="0" w:space="0" w:color="auto"/>
      </w:divBdr>
    </w:div>
    <w:div w:id="1295913897">
      <w:bodyDiv w:val="1"/>
      <w:marLeft w:val="0"/>
      <w:marRight w:val="0"/>
      <w:marTop w:val="0"/>
      <w:marBottom w:val="0"/>
      <w:divBdr>
        <w:top w:val="none" w:sz="0" w:space="0" w:color="auto"/>
        <w:left w:val="none" w:sz="0" w:space="0" w:color="auto"/>
        <w:bottom w:val="none" w:sz="0" w:space="0" w:color="auto"/>
        <w:right w:val="none" w:sz="0" w:space="0" w:color="auto"/>
      </w:divBdr>
    </w:div>
    <w:div w:id="1313674134">
      <w:bodyDiv w:val="1"/>
      <w:marLeft w:val="0"/>
      <w:marRight w:val="0"/>
      <w:marTop w:val="0"/>
      <w:marBottom w:val="0"/>
      <w:divBdr>
        <w:top w:val="none" w:sz="0" w:space="0" w:color="auto"/>
        <w:left w:val="none" w:sz="0" w:space="0" w:color="auto"/>
        <w:bottom w:val="none" w:sz="0" w:space="0" w:color="auto"/>
        <w:right w:val="none" w:sz="0" w:space="0" w:color="auto"/>
      </w:divBdr>
    </w:div>
    <w:div w:id="1323316454">
      <w:bodyDiv w:val="1"/>
      <w:marLeft w:val="0"/>
      <w:marRight w:val="0"/>
      <w:marTop w:val="0"/>
      <w:marBottom w:val="0"/>
      <w:divBdr>
        <w:top w:val="none" w:sz="0" w:space="0" w:color="auto"/>
        <w:left w:val="none" w:sz="0" w:space="0" w:color="auto"/>
        <w:bottom w:val="none" w:sz="0" w:space="0" w:color="auto"/>
        <w:right w:val="none" w:sz="0" w:space="0" w:color="auto"/>
      </w:divBdr>
    </w:div>
    <w:div w:id="1398744553">
      <w:bodyDiv w:val="1"/>
      <w:marLeft w:val="0"/>
      <w:marRight w:val="0"/>
      <w:marTop w:val="0"/>
      <w:marBottom w:val="0"/>
      <w:divBdr>
        <w:top w:val="none" w:sz="0" w:space="0" w:color="auto"/>
        <w:left w:val="none" w:sz="0" w:space="0" w:color="auto"/>
        <w:bottom w:val="none" w:sz="0" w:space="0" w:color="auto"/>
        <w:right w:val="none" w:sz="0" w:space="0" w:color="auto"/>
      </w:divBdr>
    </w:div>
    <w:div w:id="1404176473">
      <w:bodyDiv w:val="1"/>
      <w:marLeft w:val="0"/>
      <w:marRight w:val="0"/>
      <w:marTop w:val="0"/>
      <w:marBottom w:val="0"/>
      <w:divBdr>
        <w:top w:val="none" w:sz="0" w:space="0" w:color="auto"/>
        <w:left w:val="none" w:sz="0" w:space="0" w:color="auto"/>
        <w:bottom w:val="none" w:sz="0" w:space="0" w:color="auto"/>
        <w:right w:val="none" w:sz="0" w:space="0" w:color="auto"/>
      </w:divBdr>
    </w:div>
    <w:div w:id="1410542618">
      <w:bodyDiv w:val="1"/>
      <w:marLeft w:val="0"/>
      <w:marRight w:val="0"/>
      <w:marTop w:val="0"/>
      <w:marBottom w:val="0"/>
      <w:divBdr>
        <w:top w:val="none" w:sz="0" w:space="0" w:color="auto"/>
        <w:left w:val="none" w:sz="0" w:space="0" w:color="auto"/>
        <w:bottom w:val="none" w:sz="0" w:space="0" w:color="auto"/>
        <w:right w:val="none" w:sz="0" w:space="0" w:color="auto"/>
      </w:divBdr>
    </w:div>
    <w:div w:id="1416628811">
      <w:bodyDiv w:val="1"/>
      <w:marLeft w:val="0"/>
      <w:marRight w:val="0"/>
      <w:marTop w:val="0"/>
      <w:marBottom w:val="0"/>
      <w:divBdr>
        <w:top w:val="none" w:sz="0" w:space="0" w:color="auto"/>
        <w:left w:val="none" w:sz="0" w:space="0" w:color="auto"/>
        <w:bottom w:val="none" w:sz="0" w:space="0" w:color="auto"/>
        <w:right w:val="none" w:sz="0" w:space="0" w:color="auto"/>
      </w:divBdr>
    </w:div>
    <w:div w:id="1417635526">
      <w:bodyDiv w:val="1"/>
      <w:marLeft w:val="0"/>
      <w:marRight w:val="0"/>
      <w:marTop w:val="0"/>
      <w:marBottom w:val="0"/>
      <w:divBdr>
        <w:top w:val="none" w:sz="0" w:space="0" w:color="auto"/>
        <w:left w:val="none" w:sz="0" w:space="0" w:color="auto"/>
        <w:bottom w:val="none" w:sz="0" w:space="0" w:color="auto"/>
        <w:right w:val="none" w:sz="0" w:space="0" w:color="auto"/>
      </w:divBdr>
    </w:div>
    <w:div w:id="1482042652">
      <w:bodyDiv w:val="1"/>
      <w:marLeft w:val="0"/>
      <w:marRight w:val="0"/>
      <w:marTop w:val="0"/>
      <w:marBottom w:val="0"/>
      <w:divBdr>
        <w:top w:val="none" w:sz="0" w:space="0" w:color="auto"/>
        <w:left w:val="none" w:sz="0" w:space="0" w:color="auto"/>
        <w:bottom w:val="none" w:sz="0" w:space="0" w:color="auto"/>
        <w:right w:val="none" w:sz="0" w:space="0" w:color="auto"/>
      </w:divBdr>
    </w:div>
    <w:div w:id="1493137342">
      <w:bodyDiv w:val="1"/>
      <w:marLeft w:val="0"/>
      <w:marRight w:val="0"/>
      <w:marTop w:val="0"/>
      <w:marBottom w:val="0"/>
      <w:divBdr>
        <w:top w:val="none" w:sz="0" w:space="0" w:color="auto"/>
        <w:left w:val="none" w:sz="0" w:space="0" w:color="auto"/>
        <w:bottom w:val="none" w:sz="0" w:space="0" w:color="auto"/>
        <w:right w:val="none" w:sz="0" w:space="0" w:color="auto"/>
      </w:divBdr>
    </w:div>
    <w:div w:id="1499268505">
      <w:bodyDiv w:val="1"/>
      <w:marLeft w:val="0"/>
      <w:marRight w:val="0"/>
      <w:marTop w:val="0"/>
      <w:marBottom w:val="0"/>
      <w:divBdr>
        <w:top w:val="none" w:sz="0" w:space="0" w:color="auto"/>
        <w:left w:val="none" w:sz="0" w:space="0" w:color="auto"/>
        <w:bottom w:val="none" w:sz="0" w:space="0" w:color="auto"/>
        <w:right w:val="none" w:sz="0" w:space="0" w:color="auto"/>
      </w:divBdr>
    </w:div>
    <w:div w:id="1667048717">
      <w:bodyDiv w:val="1"/>
      <w:marLeft w:val="0"/>
      <w:marRight w:val="0"/>
      <w:marTop w:val="0"/>
      <w:marBottom w:val="0"/>
      <w:divBdr>
        <w:top w:val="none" w:sz="0" w:space="0" w:color="auto"/>
        <w:left w:val="none" w:sz="0" w:space="0" w:color="auto"/>
        <w:bottom w:val="none" w:sz="0" w:space="0" w:color="auto"/>
        <w:right w:val="none" w:sz="0" w:space="0" w:color="auto"/>
      </w:divBdr>
    </w:div>
    <w:div w:id="1704944556">
      <w:bodyDiv w:val="1"/>
      <w:marLeft w:val="0"/>
      <w:marRight w:val="0"/>
      <w:marTop w:val="0"/>
      <w:marBottom w:val="0"/>
      <w:divBdr>
        <w:top w:val="none" w:sz="0" w:space="0" w:color="auto"/>
        <w:left w:val="none" w:sz="0" w:space="0" w:color="auto"/>
        <w:bottom w:val="none" w:sz="0" w:space="0" w:color="auto"/>
        <w:right w:val="none" w:sz="0" w:space="0" w:color="auto"/>
      </w:divBdr>
    </w:div>
    <w:div w:id="1737819028">
      <w:bodyDiv w:val="1"/>
      <w:marLeft w:val="0"/>
      <w:marRight w:val="0"/>
      <w:marTop w:val="0"/>
      <w:marBottom w:val="0"/>
      <w:divBdr>
        <w:top w:val="none" w:sz="0" w:space="0" w:color="auto"/>
        <w:left w:val="none" w:sz="0" w:space="0" w:color="auto"/>
        <w:bottom w:val="none" w:sz="0" w:space="0" w:color="auto"/>
        <w:right w:val="none" w:sz="0" w:space="0" w:color="auto"/>
      </w:divBdr>
    </w:div>
    <w:div w:id="1757247926">
      <w:bodyDiv w:val="1"/>
      <w:marLeft w:val="0"/>
      <w:marRight w:val="0"/>
      <w:marTop w:val="0"/>
      <w:marBottom w:val="0"/>
      <w:divBdr>
        <w:top w:val="none" w:sz="0" w:space="0" w:color="auto"/>
        <w:left w:val="none" w:sz="0" w:space="0" w:color="auto"/>
        <w:bottom w:val="none" w:sz="0" w:space="0" w:color="auto"/>
        <w:right w:val="none" w:sz="0" w:space="0" w:color="auto"/>
      </w:divBdr>
    </w:div>
    <w:div w:id="1761750729">
      <w:bodyDiv w:val="1"/>
      <w:marLeft w:val="0"/>
      <w:marRight w:val="0"/>
      <w:marTop w:val="0"/>
      <w:marBottom w:val="0"/>
      <w:divBdr>
        <w:top w:val="none" w:sz="0" w:space="0" w:color="auto"/>
        <w:left w:val="none" w:sz="0" w:space="0" w:color="auto"/>
        <w:bottom w:val="none" w:sz="0" w:space="0" w:color="auto"/>
        <w:right w:val="none" w:sz="0" w:space="0" w:color="auto"/>
      </w:divBdr>
    </w:div>
    <w:div w:id="1776319091">
      <w:bodyDiv w:val="1"/>
      <w:marLeft w:val="0"/>
      <w:marRight w:val="0"/>
      <w:marTop w:val="0"/>
      <w:marBottom w:val="0"/>
      <w:divBdr>
        <w:top w:val="none" w:sz="0" w:space="0" w:color="auto"/>
        <w:left w:val="none" w:sz="0" w:space="0" w:color="auto"/>
        <w:bottom w:val="none" w:sz="0" w:space="0" w:color="auto"/>
        <w:right w:val="none" w:sz="0" w:space="0" w:color="auto"/>
      </w:divBdr>
    </w:div>
    <w:div w:id="1823933000">
      <w:bodyDiv w:val="1"/>
      <w:marLeft w:val="0"/>
      <w:marRight w:val="0"/>
      <w:marTop w:val="0"/>
      <w:marBottom w:val="0"/>
      <w:divBdr>
        <w:top w:val="none" w:sz="0" w:space="0" w:color="auto"/>
        <w:left w:val="none" w:sz="0" w:space="0" w:color="auto"/>
        <w:bottom w:val="none" w:sz="0" w:space="0" w:color="auto"/>
        <w:right w:val="none" w:sz="0" w:space="0" w:color="auto"/>
      </w:divBdr>
    </w:div>
    <w:div w:id="1895195164">
      <w:bodyDiv w:val="1"/>
      <w:marLeft w:val="0"/>
      <w:marRight w:val="0"/>
      <w:marTop w:val="0"/>
      <w:marBottom w:val="0"/>
      <w:divBdr>
        <w:top w:val="none" w:sz="0" w:space="0" w:color="auto"/>
        <w:left w:val="none" w:sz="0" w:space="0" w:color="auto"/>
        <w:bottom w:val="none" w:sz="0" w:space="0" w:color="auto"/>
        <w:right w:val="none" w:sz="0" w:space="0" w:color="auto"/>
      </w:divBdr>
    </w:div>
    <w:div w:id="1911190416">
      <w:bodyDiv w:val="1"/>
      <w:marLeft w:val="0"/>
      <w:marRight w:val="0"/>
      <w:marTop w:val="0"/>
      <w:marBottom w:val="0"/>
      <w:divBdr>
        <w:top w:val="none" w:sz="0" w:space="0" w:color="auto"/>
        <w:left w:val="none" w:sz="0" w:space="0" w:color="auto"/>
        <w:bottom w:val="none" w:sz="0" w:space="0" w:color="auto"/>
        <w:right w:val="none" w:sz="0" w:space="0" w:color="auto"/>
      </w:divBdr>
    </w:div>
    <w:div w:id="1924414183">
      <w:bodyDiv w:val="1"/>
      <w:marLeft w:val="0"/>
      <w:marRight w:val="0"/>
      <w:marTop w:val="0"/>
      <w:marBottom w:val="0"/>
      <w:divBdr>
        <w:top w:val="none" w:sz="0" w:space="0" w:color="auto"/>
        <w:left w:val="none" w:sz="0" w:space="0" w:color="auto"/>
        <w:bottom w:val="none" w:sz="0" w:space="0" w:color="auto"/>
        <w:right w:val="none" w:sz="0" w:space="0" w:color="auto"/>
      </w:divBdr>
    </w:div>
    <w:div w:id="1947880752">
      <w:bodyDiv w:val="1"/>
      <w:marLeft w:val="0"/>
      <w:marRight w:val="0"/>
      <w:marTop w:val="0"/>
      <w:marBottom w:val="0"/>
      <w:divBdr>
        <w:top w:val="none" w:sz="0" w:space="0" w:color="auto"/>
        <w:left w:val="none" w:sz="0" w:space="0" w:color="auto"/>
        <w:bottom w:val="none" w:sz="0" w:space="0" w:color="auto"/>
        <w:right w:val="none" w:sz="0" w:space="0" w:color="auto"/>
      </w:divBdr>
    </w:div>
    <w:div w:id="1985237573">
      <w:bodyDiv w:val="1"/>
      <w:marLeft w:val="0"/>
      <w:marRight w:val="0"/>
      <w:marTop w:val="0"/>
      <w:marBottom w:val="0"/>
      <w:divBdr>
        <w:top w:val="none" w:sz="0" w:space="0" w:color="auto"/>
        <w:left w:val="none" w:sz="0" w:space="0" w:color="auto"/>
        <w:bottom w:val="none" w:sz="0" w:space="0" w:color="auto"/>
        <w:right w:val="none" w:sz="0" w:space="0" w:color="auto"/>
      </w:divBdr>
    </w:div>
    <w:div w:id="2032565879">
      <w:bodyDiv w:val="1"/>
      <w:marLeft w:val="0"/>
      <w:marRight w:val="0"/>
      <w:marTop w:val="0"/>
      <w:marBottom w:val="0"/>
      <w:divBdr>
        <w:top w:val="none" w:sz="0" w:space="0" w:color="auto"/>
        <w:left w:val="none" w:sz="0" w:space="0" w:color="auto"/>
        <w:bottom w:val="none" w:sz="0" w:space="0" w:color="auto"/>
        <w:right w:val="none" w:sz="0" w:space="0" w:color="auto"/>
      </w:divBdr>
    </w:div>
    <w:div w:id="2083091166">
      <w:bodyDiv w:val="1"/>
      <w:marLeft w:val="0"/>
      <w:marRight w:val="0"/>
      <w:marTop w:val="0"/>
      <w:marBottom w:val="0"/>
      <w:divBdr>
        <w:top w:val="none" w:sz="0" w:space="0" w:color="auto"/>
        <w:left w:val="none" w:sz="0" w:space="0" w:color="auto"/>
        <w:bottom w:val="none" w:sz="0" w:space="0" w:color="auto"/>
        <w:right w:val="none" w:sz="0" w:space="0" w:color="auto"/>
      </w:divBdr>
    </w:div>
    <w:div w:id="2089307494">
      <w:bodyDiv w:val="1"/>
      <w:marLeft w:val="0"/>
      <w:marRight w:val="0"/>
      <w:marTop w:val="0"/>
      <w:marBottom w:val="0"/>
      <w:divBdr>
        <w:top w:val="none" w:sz="0" w:space="0" w:color="auto"/>
        <w:left w:val="none" w:sz="0" w:space="0" w:color="auto"/>
        <w:bottom w:val="none" w:sz="0" w:space="0" w:color="auto"/>
        <w:right w:val="none" w:sz="0" w:space="0" w:color="auto"/>
      </w:divBdr>
    </w:div>
    <w:div w:id="2120371615">
      <w:bodyDiv w:val="1"/>
      <w:marLeft w:val="0"/>
      <w:marRight w:val="0"/>
      <w:marTop w:val="0"/>
      <w:marBottom w:val="0"/>
      <w:divBdr>
        <w:top w:val="none" w:sz="0" w:space="0" w:color="auto"/>
        <w:left w:val="none" w:sz="0" w:space="0" w:color="auto"/>
        <w:bottom w:val="none" w:sz="0" w:space="0" w:color="auto"/>
        <w:right w:val="none" w:sz="0" w:space="0" w:color="auto"/>
      </w:divBdr>
      <w:divsChild>
        <w:div w:id="70005420">
          <w:marLeft w:val="36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footer" Target="footer4.xml"/><Relationship Id="rId42" Type="http://schemas.openxmlformats.org/officeDocument/2006/relationships/footer" Target="footer7.xml"/><Relationship Id="rId47" Type="http://schemas.openxmlformats.org/officeDocument/2006/relationships/header" Target="header11.xml"/><Relationship Id="rId63" Type="http://schemas.openxmlformats.org/officeDocument/2006/relationships/footer" Target="footer18.xml"/><Relationship Id="rId68" Type="http://schemas.openxmlformats.org/officeDocument/2006/relationships/footer" Target="footer19.xml"/><Relationship Id="rId84" Type="http://schemas.openxmlformats.org/officeDocument/2006/relationships/footer" Target="footer25.xml"/><Relationship Id="rId89" Type="http://schemas.openxmlformats.org/officeDocument/2006/relationships/header" Target="header29.xml"/><Relationship Id="rId7" Type="http://schemas.microsoft.com/office/2007/relationships/stylesWithEffects" Target="stylesWithEffects.xml"/><Relationship Id="rId71" Type="http://schemas.openxmlformats.org/officeDocument/2006/relationships/footer" Target="footer21.xml"/><Relationship Id="rId92" Type="http://schemas.openxmlformats.org/officeDocument/2006/relationships/header" Target="header30.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5.png"/><Relationship Id="rId107" Type="http://schemas.openxmlformats.org/officeDocument/2006/relationships/theme" Target="theme/theme1.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chart" Target="charts/chart3.xml"/><Relationship Id="rId37" Type="http://schemas.openxmlformats.org/officeDocument/2006/relationships/image" Target="media/image10.wmf"/><Relationship Id="rId40" Type="http://schemas.openxmlformats.org/officeDocument/2006/relationships/header" Target="header7.xml"/><Relationship Id="rId45" Type="http://schemas.openxmlformats.org/officeDocument/2006/relationships/footer" Target="footer9.xml"/><Relationship Id="rId53" Type="http://schemas.openxmlformats.org/officeDocument/2006/relationships/header" Target="header14.xml"/><Relationship Id="rId58" Type="http://schemas.openxmlformats.org/officeDocument/2006/relationships/header" Target="header16.xml"/><Relationship Id="rId66" Type="http://schemas.openxmlformats.org/officeDocument/2006/relationships/header" Target="header19.xml"/><Relationship Id="rId74" Type="http://schemas.openxmlformats.org/officeDocument/2006/relationships/image" Target="media/image17.png"/><Relationship Id="rId79" Type="http://schemas.openxmlformats.org/officeDocument/2006/relationships/footer" Target="footer23.xml"/><Relationship Id="rId87" Type="http://schemas.openxmlformats.org/officeDocument/2006/relationships/footer" Target="footer27.xml"/><Relationship Id="rId102" Type="http://schemas.openxmlformats.org/officeDocument/2006/relationships/footer" Target="footer34.xml"/><Relationship Id="rId5" Type="http://schemas.openxmlformats.org/officeDocument/2006/relationships/numbering" Target="numbering.xml"/><Relationship Id="rId61" Type="http://schemas.openxmlformats.org/officeDocument/2006/relationships/footer" Target="footer17.xml"/><Relationship Id="rId82" Type="http://schemas.openxmlformats.org/officeDocument/2006/relationships/header" Target="header25.xml"/><Relationship Id="rId90" Type="http://schemas.openxmlformats.org/officeDocument/2006/relationships/footer" Target="footer28.xml"/><Relationship Id="rId95" Type="http://schemas.openxmlformats.org/officeDocument/2006/relationships/header" Target="header32.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chart" Target="charts/chart1.xml"/><Relationship Id="rId30" Type="http://schemas.openxmlformats.org/officeDocument/2006/relationships/image" Target="media/image6.png"/><Relationship Id="rId35" Type="http://schemas.openxmlformats.org/officeDocument/2006/relationships/image" Target="media/image8.jpeg"/><Relationship Id="rId43" Type="http://schemas.openxmlformats.org/officeDocument/2006/relationships/footer" Target="footer8.xml"/><Relationship Id="rId48" Type="http://schemas.openxmlformats.org/officeDocument/2006/relationships/footer" Target="footer10.xml"/><Relationship Id="rId56" Type="http://schemas.openxmlformats.org/officeDocument/2006/relationships/header" Target="header15.xml"/><Relationship Id="rId64" Type="http://schemas.openxmlformats.org/officeDocument/2006/relationships/image" Target="media/image13.png"/><Relationship Id="rId69" Type="http://schemas.openxmlformats.org/officeDocument/2006/relationships/footer" Target="footer20.xml"/><Relationship Id="rId77" Type="http://schemas.openxmlformats.org/officeDocument/2006/relationships/header" Target="header23.xml"/><Relationship Id="rId100" Type="http://schemas.openxmlformats.org/officeDocument/2006/relationships/header" Target="header34.xml"/><Relationship Id="rId105" Type="http://schemas.openxmlformats.org/officeDocument/2006/relationships/footer" Target="footer36.xml"/><Relationship Id="rId8" Type="http://schemas.openxmlformats.org/officeDocument/2006/relationships/settings" Target="settings.xml"/><Relationship Id="rId51" Type="http://schemas.openxmlformats.org/officeDocument/2006/relationships/footer" Target="footer12.xml"/><Relationship Id="rId72" Type="http://schemas.openxmlformats.org/officeDocument/2006/relationships/image" Target="media/image15.png"/><Relationship Id="rId80" Type="http://schemas.openxmlformats.org/officeDocument/2006/relationships/header" Target="header24.xml"/><Relationship Id="rId85" Type="http://schemas.openxmlformats.org/officeDocument/2006/relationships/footer" Target="footer26.xml"/><Relationship Id="rId93" Type="http://schemas.openxmlformats.org/officeDocument/2006/relationships/footer" Target="footer30.xml"/><Relationship Id="rId98" Type="http://schemas.openxmlformats.org/officeDocument/2006/relationships/header" Target="header33.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image" Target="media/image2.jpeg"/><Relationship Id="rId33" Type="http://schemas.openxmlformats.org/officeDocument/2006/relationships/image" Target="media/image7.emf"/><Relationship Id="rId38" Type="http://schemas.openxmlformats.org/officeDocument/2006/relationships/image" Target="media/image11.emf"/><Relationship Id="rId46" Type="http://schemas.openxmlformats.org/officeDocument/2006/relationships/header" Target="header10.xml"/><Relationship Id="rId59" Type="http://schemas.openxmlformats.org/officeDocument/2006/relationships/header" Target="header17.xml"/><Relationship Id="rId67" Type="http://schemas.openxmlformats.org/officeDocument/2006/relationships/header" Target="header20.xml"/><Relationship Id="rId103" Type="http://schemas.openxmlformats.org/officeDocument/2006/relationships/footer" Target="footer35.xml"/><Relationship Id="rId20" Type="http://schemas.openxmlformats.org/officeDocument/2006/relationships/header" Target="header5.xml"/><Relationship Id="rId41" Type="http://schemas.openxmlformats.org/officeDocument/2006/relationships/header" Target="header8.xml"/><Relationship Id="rId54" Type="http://schemas.openxmlformats.org/officeDocument/2006/relationships/footer" Target="footer13.xml"/><Relationship Id="rId62" Type="http://schemas.openxmlformats.org/officeDocument/2006/relationships/header" Target="header18.xml"/><Relationship Id="rId70" Type="http://schemas.openxmlformats.org/officeDocument/2006/relationships/header" Target="header21.xml"/><Relationship Id="rId75" Type="http://schemas.openxmlformats.org/officeDocument/2006/relationships/image" Target="media/image18.emf"/><Relationship Id="rId83" Type="http://schemas.openxmlformats.org/officeDocument/2006/relationships/header" Target="header26.xml"/><Relationship Id="rId88" Type="http://schemas.openxmlformats.org/officeDocument/2006/relationships/header" Target="header28.xml"/><Relationship Id="rId91" Type="http://schemas.openxmlformats.org/officeDocument/2006/relationships/footer" Target="footer29.xml"/><Relationship Id="rId96" Type="http://schemas.openxmlformats.org/officeDocument/2006/relationships/footer" Target="footer3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image" Target="media/image4.png"/><Relationship Id="rId36" Type="http://schemas.openxmlformats.org/officeDocument/2006/relationships/image" Target="media/image9.png"/><Relationship Id="rId49" Type="http://schemas.openxmlformats.org/officeDocument/2006/relationships/footer" Target="footer11.xml"/><Relationship Id="rId57" Type="http://schemas.openxmlformats.org/officeDocument/2006/relationships/footer" Target="footer15.xml"/><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chart" Target="charts/chart2.xml"/><Relationship Id="rId44" Type="http://schemas.openxmlformats.org/officeDocument/2006/relationships/header" Target="header9.xml"/><Relationship Id="rId52" Type="http://schemas.openxmlformats.org/officeDocument/2006/relationships/header" Target="header13.xml"/><Relationship Id="rId60" Type="http://schemas.openxmlformats.org/officeDocument/2006/relationships/footer" Target="footer16.xml"/><Relationship Id="rId65" Type="http://schemas.openxmlformats.org/officeDocument/2006/relationships/image" Target="media/image14.png"/><Relationship Id="rId73" Type="http://schemas.openxmlformats.org/officeDocument/2006/relationships/image" Target="media/image16.png"/><Relationship Id="rId78" Type="http://schemas.openxmlformats.org/officeDocument/2006/relationships/footer" Target="footer22.xml"/><Relationship Id="rId81" Type="http://schemas.openxmlformats.org/officeDocument/2006/relationships/footer" Target="footer24.xml"/><Relationship Id="rId86" Type="http://schemas.openxmlformats.org/officeDocument/2006/relationships/header" Target="header27.xml"/><Relationship Id="rId94" Type="http://schemas.openxmlformats.org/officeDocument/2006/relationships/header" Target="header31.xml"/><Relationship Id="rId99" Type="http://schemas.openxmlformats.org/officeDocument/2006/relationships/footer" Target="footer33.xml"/><Relationship Id="rId101" Type="http://schemas.openxmlformats.org/officeDocument/2006/relationships/header" Target="header3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2.emf"/><Relationship Id="rId34" Type="http://schemas.openxmlformats.org/officeDocument/2006/relationships/chart" Target="charts/chart4.xml"/><Relationship Id="rId50" Type="http://schemas.openxmlformats.org/officeDocument/2006/relationships/header" Target="header12.xml"/><Relationship Id="rId55" Type="http://schemas.openxmlformats.org/officeDocument/2006/relationships/footer" Target="footer14.xml"/><Relationship Id="rId76" Type="http://schemas.openxmlformats.org/officeDocument/2006/relationships/header" Target="header22.xml"/><Relationship Id="rId97" Type="http://schemas.openxmlformats.org/officeDocument/2006/relationships/footer" Target="footer32.xml"/><Relationship Id="rId104" Type="http://schemas.openxmlformats.org/officeDocument/2006/relationships/header" Target="header36.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EN/TXT/?uri=CELEX:52020SC0176" TargetMode="External"/><Relationship Id="rId18" Type="http://schemas.openxmlformats.org/officeDocument/2006/relationships/hyperlink" Target="https://www.espo.be/media/Environmental%20Report-WEB-FINAL.pdf" TargetMode="External"/><Relationship Id="rId26" Type="http://schemas.openxmlformats.org/officeDocument/2006/relationships/hyperlink" Target="https://www.eafo.eu/" TargetMode="External"/><Relationship Id="rId39" Type="http://schemas.openxmlformats.org/officeDocument/2006/relationships/hyperlink" Target="https://ec.europa.eu/transparency/regexpert/index.cfm?do=groupDetail.groupDetail&amp;groupID=3542" TargetMode="External"/><Relationship Id="rId21" Type="http://schemas.openxmlformats.org/officeDocument/2006/relationships/hyperlink" Target="https://www.researchgate.net/publication/321348262" TargetMode="External"/><Relationship Id="rId34" Type="http://schemas.openxmlformats.org/officeDocument/2006/relationships/hyperlink" Target="https://ec.europa.eu/clima/sites/clima/files/transport/shipping/docs/swd_2019_10_en.pdf" TargetMode="External"/><Relationship Id="rId42" Type="http://schemas.openxmlformats.org/officeDocument/2006/relationships/hyperlink" Target="https://ec.europa.eu/transparency/regexpert/index.cfm?do=groupDetail.groupDetail&amp;groupID=3542" TargetMode="External"/><Relationship Id="rId47" Type="http://schemas.openxmlformats.org/officeDocument/2006/relationships/hyperlink" Target="https://e3modelling.com/modelling-tools/primes/" TargetMode="External"/><Relationship Id="rId50" Type="http://schemas.openxmlformats.org/officeDocument/2006/relationships/hyperlink" Target="https://ec.europa.eu/clima/sites/clima/files/transport/shipping/docs/swd_2019_10_en.pdf" TargetMode="External"/><Relationship Id="rId55" Type="http://schemas.openxmlformats.org/officeDocument/2006/relationships/hyperlink" Target="https://www.hamburg.de/contentblob/3613158/9dbe23fb1cbaf9bcaac9969d7550f4a1/data/landstrom-untersuchung-2012.pdf" TargetMode="External"/><Relationship Id="rId7" Type="http://schemas.openxmlformats.org/officeDocument/2006/relationships/hyperlink" Target="https://www.waterborne.eu/" TargetMode="External"/><Relationship Id="rId12" Type="http://schemas.openxmlformats.org/officeDocument/2006/relationships/hyperlink" Target="http://www.imo.org/en/OurWork/Safety/SafetyTopics/Pages/IGF-Code.aspx" TargetMode="External"/><Relationship Id="rId17" Type="http://schemas.openxmlformats.org/officeDocument/2006/relationships/hyperlink" Target="https://www.iiasa.ac.at/web/home/research/researchPrograms/air/Shipping_emissions_reductions_main.pdf" TargetMode="External"/><Relationship Id="rId25" Type="http://schemas.openxmlformats.org/officeDocument/2006/relationships/hyperlink" Target="https://ec.europa.eu/info/law/better-regulation/have-your-say/initiatives/12251-Revision-of-Alternative-Fuels-Infrastructure-Directive" TargetMode="External"/><Relationship Id="rId33" Type="http://schemas.openxmlformats.org/officeDocument/2006/relationships/hyperlink" Target="https://glomeep.imo.org/technology/shore-power/" TargetMode="External"/><Relationship Id="rId38" Type="http://schemas.openxmlformats.org/officeDocument/2006/relationships/hyperlink" Target="https://ec.europa.eu/info/law/better-regulation/have-your-say/initiatives/12312-FuelEU-Maritime-" TargetMode="External"/><Relationship Id="rId46" Type="http://schemas.openxmlformats.org/officeDocument/2006/relationships/hyperlink" Target="https://ec.europa.eu/jrc/en/poles" TargetMode="External"/><Relationship Id="rId2" Type="http://schemas.openxmlformats.org/officeDocument/2006/relationships/hyperlink" Target="https://www.cedelft.eu/publicatie/stream_freight_transport_2016/1855" TargetMode="External"/><Relationship Id="rId16" Type="http://schemas.openxmlformats.org/officeDocument/2006/relationships/hyperlink" Target="https://www.eea.europa.eu/publications/the-impact-of-international-shipping" TargetMode="External"/><Relationship Id="rId20" Type="http://schemas.openxmlformats.org/officeDocument/2006/relationships/hyperlink" Target="https://unctad.org/en/PublicationsLibrary/rmt2019_en.pdf" TargetMode="External"/><Relationship Id="rId29" Type="http://schemas.openxmlformats.org/officeDocument/2006/relationships/hyperlink" Target="https://ec.europa.eu/clima/sites/clima/files/transport/shipping/docs/ghg_maritime_report_en.pdf" TargetMode="External"/><Relationship Id="rId41" Type="http://schemas.openxmlformats.org/officeDocument/2006/relationships/hyperlink" Target="https://ec.europa.eu/transparency/regexpert/index.cfm?do=groupDetail.groupDetail&amp;groupID=2869" TargetMode="External"/><Relationship Id="rId54" Type="http://schemas.openxmlformats.org/officeDocument/2006/relationships/hyperlink" Target="https://electromobility.gov.mt/en/Documents/PORT-PVEV%20Feasibility%20Study.pdf" TargetMode="External"/><Relationship Id="rId1" Type="http://schemas.openxmlformats.org/officeDocument/2006/relationships/hyperlink" Target="https://ec.europa.eu/transport/media/media-corner/publications_en" TargetMode="External"/><Relationship Id="rId6" Type="http://schemas.openxmlformats.org/officeDocument/2006/relationships/hyperlink" Target="https://ec.europa.eu/info/law/better-regulation/have-your-say/initiatives/12553-Revision-of-the-Renewable-Energy-Directive-EU-2018-2001" TargetMode="External"/><Relationship Id="rId11" Type="http://schemas.openxmlformats.org/officeDocument/2006/relationships/hyperlink" Target="https://unfccc.int/sites/default/files/resource/250_IMO%20submission_Talanoa%20Dialogue_April%202018.pdf" TargetMode="External"/><Relationship Id="rId24" Type="http://schemas.openxmlformats.org/officeDocument/2006/relationships/hyperlink" Target="https://ec.europa.eu/info/law/better-regulation/have-your-say/initiatives/2111-Evaluation-of-the-Alternative-Fuels-Infrastructure-Directive" TargetMode="External"/><Relationship Id="rId32" Type="http://schemas.openxmlformats.org/officeDocument/2006/relationships/hyperlink" Target="https://ec.europa.eu/clima/sites/clima/files/transport/shipping/docs/report_ghg_reduction_potential_en.pdf" TargetMode="External"/><Relationship Id="rId37" Type="http://schemas.openxmlformats.org/officeDocument/2006/relationships/hyperlink" Target="https://ec.europa.eu/info/sites/info/files/cwp-2020-adjusted-annexes_en.pdf" TargetMode="External"/><Relationship Id="rId40" Type="http://schemas.openxmlformats.org/officeDocument/2006/relationships/hyperlink" Target="https://ec.europa.eu/transparency/regexpert/index.cfm?do=groupDetail.groupDetail&amp;groupID=2869" TargetMode="External"/><Relationship Id="rId45" Type="http://schemas.openxmlformats.org/officeDocument/2006/relationships/hyperlink" Target="https://ec.europa.eu/clima/sites/clima/files/docs/pages/com_2018_733_analysis_in_support_en_0.pdf" TargetMode="External"/><Relationship Id="rId53" Type="http://schemas.openxmlformats.org/officeDocument/2006/relationships/hyperlink" Target="http://www.greencruiseport.eu/files/public/download/studies/Opportunities%20and%20Limitations%20for%20Connecting%20Cruise%20Vessels%20to%20Shore%20Power_04.01.2018_Bergen.pdf" TargetMode="External"/><Relationship Id="rId58" Type="http://schemas.openxmlformats.org/officeDocument/2006/relationships/hyperlink" Target="http://www.imo.org/en/OurWork/Safety/SafetyTopics/Pages/IGF-Code.aspx" TargetMode="External"/><Relationship Id="rId5" Type="http://schemas.openxmlformats.org/officeDocument/2006/relationships/hyperlink" Target="https://ec.europa.eu/info/law/better-regulation/have-your-say/initiatives/12251-Low-emission-vehicles-improving-the-EU-s-refuelling-recharging-infrastructure" TargetMode="External"/><Relationship Id="rId15" Type="http://schemas.openxmlformats.org/officeDocument/2006/relationships/hyperlink" Target="https://www.eea.europa.eu/publications/term-report-2017" TargetMode="External"/><Relationship Id="rId23" Type="http://schemas.openxmlformats.org/officeDocument/2006/relationships/hyperlink" Target="https://www.espo.be/media/ESPO%20Green%20Deal%20position%20paper%20Green%20Deal-FINAL_4.pdf" TargetMode="External"/><Relationship Id="rId28" Type="http://schemas.openxmlformats.org/officeDocument/2006/relationships/hyperlink" Target="https://maritimefairtrade.org/top-ten-bunkering-ports/" TargetMode="External"/><Relationship Id="rId36" Type="http://schemas.openxmlformats.org/officeDocument/2006/relationships/hyperlink" Target="http://www.greencruiseport.eu/files/public/download/studies/Opportunities%20and%20Limitations%20for%20Connecting%20Cruise%20Vessels%20to%20Shore%20Power_04.01.2018_Bergen.pdf" TargetMode="External"/><Relationship Id="rId49" Type="http://schemas.openxmlformats.org/officeDocument/2006/relationships/hyperlink" Target="https://ec.europa.eu/eurostat/web/population-demography-migration-projections/population-projections-data" TargetMode="External"/><Relationship Id="rId57" Type="http://schemas.openxmlformats.org/officeDocument/2006/relationships/hyperlink" Target="https://sustainablepower.application.marin.nl/" TargetMode="External"/><Relationship Id="rId10" Type="http://schemas.openxmlformats.org/officeDocument/2006/relationships/hyperlink" Target="http://www.imo.org/en/About/Conventions/ListOfConventions/Pages/International-Convention-for-the-Prevention-of-Pollution-from-Ships-(MARPOL).aspx" TargetMode="External"/><Relationship Id="rId19" Type="http://schemas.openxmlformats.org/officeDocument/2006/relationships/hyperlink" Target="https://sea-lng.org/wp-content/uploads/2020/04/Alternative-Marine-Fuels-Study_final_report_25.09.19.pdf" TargetMode="External"/><Relationship Id="rId31" Type="http://schemas.openxmlformats.org/officeDocument/2006/relationships/hyperlink" Target="https://www.cedelft.eu/publicatie/analysis_of_ghg_marginal_abatement_cost_curves/1155" TargetMode="External"/><Relationship Id="rId44" Type="http://schemas.openxmlformats.org/officeDocument/2006/relationships/hyperlink" Target="https://ec.europa.eu/info/law/better-regulation/have-your-say/initiatives/12312-FuelEU-Maritime-/public-consultation" TargetMode="External"/><Relationship Id="rId52" Type="http://schemas.openxmlformats.org/officeDocument/2006/relationships/hyperlink" Target="https://sustainableworldports.org/wp-content/uploads/Port-of-Rotterdam-Onshore-power-supply-let-stay-connected-2010.pdf" TargetMode="External"/><Relationship Id="rId4" Type="http://schemas.openxmlformats.org/officeDocument/2006/relationships/hyperlink" Target="https://ec.europa.eu/info/law/better-regulation/have-your-say/initiatives/12588-EU-Action-Plan-Towards-a-Zero-Pollution-Ambition-for-air-water-and-soil" TargetMode="External"/><Relationship Id="rId9" Type="http://schemas.openxmlformats.org/officeDocument/2006/relationships/hyperlink" Target="http://www.imo.org/EN/Pages/Default.aspx" TargetMode="External"/><Relationship Id="rId14" Type="http://schemas.openxmlformats.org/officeDocument/2006/relationships/hyperlink" Target="https://ec.europa.eu/clima/sites/clima/files/transport/shipping/docs/swd_2020_82_en.pdf" TargetMode="External"/><Relationship Id="rId22" Type="http://schemas.openxmlformats.org/officeDocument/2006/relationships/hyperlink" Target="https://www.eafo.eu/" TargetMode="External"/><Relationship Id="rId27" Type="http://schemas.openxmlformats.org/officeDocument/2006/relationships/hyperlink" Target="https://www.dnvgl.com/services/alternative-fuels-insight-128171" TargetMode="External"/><Relationship Id="rId30" Type="http://schemas.openxmlformats.org/officeDocument/2006/relationships/hyperlink" Target="https://ec.europa.eu/info/law/better-regulation/have-your-say/initiatives/12660-Updating-the-EU-Emissions-Trading-System" TargetMode="External"/><Relationship Id="rId35" Type="http://schemas.openxmlformats.org/officeDocument/2006/relationships/hyperlink" Target="https://sustainableworldports.org/ops/costs/investments/" TargetMode="External"/><Relationship Id="rId43" Type="http://schemas.openxmlformats.org/officeDocument/2006/relationships/hyperlink" Target="https://ec.europa.eu/info/law/better-regulation/have-your-say/initiatives/12312-FuelEU-Maritime/feedback?p_id=7658088" TargetMode="External"/><Relationship Id="rId48" Type="http://schemas.openxmlformats.org/officeDocument/2006/relationships/hyperlink" Target="https://e3modelling.com/" TargetMode="External"/><Relationship Id="rId56" Type="http://schemas.openxmlformats.org/officeDocument/2006/relationships/hyperlink" Target="https://www.eafo.eu/shipping-transport/port-infrastructure/ops/data" TargetMode="External"/><Relationship Id="rId8" Type="http://schemas.openxmlformats.org/officeDocument/2006/relationships/hyperlink" Target="https://www.consilium.europa.eu/media/44311/st08648-en20.pdf" TargetMode="External"/><Relationship Id="rId51" Type="http://schemas.openxmlformats.org/officeDocument/2006/relationships/hyperlink" Target="https://eur-lex.europa.eu/legal-content/EN/TXT/PDF/?uri=CELEX:52018SC0181&amp;from=EN" TargetMode="External"/><Relationship Id="rId3" Type="http://schemas.openxmlformats.org/officeDocument/2006/relationships/hyperlink" Target="https://www.eea.europa.eu/data-and-maps/data/data-viewers/greenhouse-gases-viewer"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NET1.cec.eu.int\homes\101\kedziae\My%20Documents\Statistics_Export_FuelEUMaritime2020Survey_OPC_FuelEU_Maritime_analysis.xls"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https://ceproject.cedelft.eu/projecten/200249/Documents/map%20Louis/consultation_report/Targeted%20consultation/Kopie%20van%20targeted%20survey%20analysis.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openxmlformats.org/officeDocument/2006/relationships/oleObject" Target="file:///C:\Users\kedziae\Downloads\Statistics_Export_FuelEUMaritime2020Survey_OPC_FuelEU_Maritime_analysis.xls" TargetMode="External"/><Relationship Id="rId1" Type="http://schemas.openxmlformats.org/officeDocument/2006/relationships/themeOverride" Target="../theme/themeOverride1.xml"/><Relationship Id="rId4"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https://ceproject.cedelft.eu/projecten/200249/Documents/map%20Louis/consultation_report/Targeted%20consultation/targeted%20survey%20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IE" sz="1000" b="0" i="0" u="none" strike="noStrike" baseline="0">
                <a:effectLst/>
              </a:rPr>
              <a:t>Q5. How likely is it that – without specific policy intervention - a significant uptake of low or zero-carbon fuels will take place in the following periods?</a:t>
            </a:r>
            <a:endParaRPr lang="en-IE" sz="1000"/>
          </a:p>
        </c:rich>
      </c:tx>
      <c:overlay val="0"/>
      <c:spPr>
        <a:noFill/>
        <a:ln>
          <a:noFill/>
        </a:ln>
        <a:effectLst/>
      </c:spPr>
    </c:title>
    <c:autoTitleDeleted val="0"/>
    <c:plotArea>
      <c:layout/>
      <c:barChart>
        <c:barDir val="bar"/>
        <c:grouping val="percentStacked"/>
        <c:varyColors val="0"/>
        <c:ser>
          <c:idx val="4"/>
          <c:order val="0"/>
          <c:tx>
            <c:strRef>
              <c:f>Sheet3!$H$17</c:f>
              <c:strCache>
                <c:ptCount val="1"/>
                <c:pt idx="0">
                  <c:v>Very likely</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Sheet3!$C$18:$C$20</c:f>
              <c:strCache>
                <c:ptCount val="3"/>
                <c:pt idx="0">
                  <c:v>Before 2030</c:v>
                </c:pt>
                <c:pt idx="1">
                  <c:v>Between 2030 and 2040</c:v>
                </c:pt>
                <c:pt idx="2">
                  <c:v>After 2040</c:v>
                </c:pt>
              </c:strCache>
            </c:strRef>
          </c:cat>
          <c:val>
            <c:numRef>
              <c:f>Sheet3!$H$18:$H$20</c:f>
              <c:numCache>
                <c:formatCode>0.0%</c:formatCode>
                <c:ptCount val="3"/>
                <c:pt idx="0">
                  <c:v>2.9629629629629631E-2</c:v>
                </c:pt>
                <c:pt idx="1">
                  <c:v>5.185185185185185E-2</c:v>
                </c:pt>
                <c:pt idx="2">
                  <c:v>0.19259259259259259</c:v>
                </c:pt>
              </c:numCache>
            </c:numRef>
          </c:val>
          <c:extLst xmlns:c16r2="http://schemas.microsoft.com/office/drawing/2015/06/chart">
            <c:ext xmlns:c16="http://schemas.microsoft.com/office/drawing/2014/chart" uri="{C3380CC4-5D6E-409C-BE32-E72D297353CC}">
              <c16:uniqueId val="{00000000-5736-43E5-BC59-9670435CE87D}"/>
            </c:ext>
          </c:extLst>
        </c:ser>
        <c:ser>
          <c:idx val="3"/>
          <c:order val="1"/>
          <c:tx>
            <c:strRef>
              <c:f>Sheet3!$G$17</c:f>
              <c:strCache>
                <c:ptCount val="1"/>
                <c:pt idx="0">
                  <c:v>Likely</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Sheet3!$C$18:$C$20</c:f>
              <c:strCache>
                <c:ptCount val="3"/>
                <c:pt idx="0">
                  <c:v>Before 2030</c:v>
                </c:pt>
                <c:pt idx="1">
                  <c:v>Between 2030 and 2040</c:v>
                </c:pt>
                <c:pt idx="2">
                  <c:v>After 2040</c:v>
                </c:pt>
              </c:strCache>
            </c:strRef>
          </c:cat>
          <c:val>
            <c:numRef>
              <c:f>Sheet3!$G$18:$G$20</c:f>
              <c:numCache>
                <c:formatCode>0.0%</c:formatCode>
                <c:ptCount val="3"/>
                <c:pt idx="0">
                  <c:v>5.185185185185185E-2</c:v>
                </c:pt>
                <c:pt idx="1">
                  <c:v>0.11851851851851852</c:v>
                </c:pt>
                <c:pt idx="2">
                  <c:v>0.1851851851851852</c:v>
                </c:pt>
              </c:numCache>
            </c:numRef>
          </c:val>
          <c:extLst xmlns:c16r2="http://schemas.microsoft.com/office/drawing/2015/06/chart">
            <c:ext xmlns:c16="http://schemas.microsoft.com/office/drawing/2014/chart" uri="{C3380CC4-5D6E-409C-BE32-E72D297353CC}">
              <c16:uniqueId val="{00000001-5736-43E5-BC59-9670435CE87D}"/>
            </c:ext>
          </c:extLst>
        </c:ser>
        <c:ser>
          <c:idx val="2"/>
          <c:order val="2"/>
          <c:tx>
            <c:strRef>
              <c:f>Sheet3!$F$17</c:f>
              <c:strCache>
                <c:ptCount val="1"/>
                <c:pt idx="0">
                  <c:v>Neither likely nor unlikely</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Sheet3!$C$18:$C$20</c:f>
              <c:strCache>
                <c:ptCount val="3"/>
                <c:pt idx="0">
                  <c:v>Before 2030</c:v>
                </c:pt>
                <c:pt idx="1">
                  <c:v>Between 2030 and 2040</c:v>
                </c:pt>
                <c:pt idx="2">
                  <c:v>After 2040</c:v>
                </c:pt>
              </c:strCache>
            </c:strRef>
          </c:cat>
          <c:val>
            <c:numRef>
              <c:f>Sheet3!$F$18:$F$20</c:f>
              <c:numCache>
                <c:formatCode>0.0%</c:formatCode>
                <c:ptCount val="3"/>
                <c:pt idx="0">
                  <c:v>8.1481481481481488E-2</c:v>
                </c:pt>
                <c:pt idx="1">
                  <c:v>0.25185185185185183</c:v>
                </c:pt>
                <c:pt idx="2">
                  <c:v>0.31111111111111112</c:v>
                </c:pt>
              </c:numCache>
            </c:numRef>
          </c:val>
          <c:extLst xmlns:c16r2="http://schemas.microsoft.com/office/drawing/2015/06/chart">
            <c:ext xmlns:c16="http://schemas.microsoft.com/office/drawing/2014/chart" uri="{C3380CC4-5D6E-409C-BE32-E72D297353CC}">
              <c16:uniqueId val="{00000002-5736-43E5-BC59-9670435CE87D}"/>
            </c:ext>
          </c:extLst>
        </c:ser>
        <c:ser>
          <c:idx val="1"/>
          <c:order val="3"/>
          <c:tx>
            <c:strRef>
              <c:f>Sheet3!$E$17</c:f>
              <c:strCache>
                <c:ptCount val="1"/>
                <c:pt idx="0">
                  <c:v>Unlikely</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Sheet3!$C$18:$C$20</c:f>
              <c:strCache>
                <c:ptCount val="3"/>
                <c:pt idx="0">
                  <c:v>Before 2030</c:v>
                </c:pt>
                <c:pt idx="1">
                  <c:v>Between 2030 and 2040</c:v>
                </c:pt>
                <c:pt idx="2">
                  <c:v>After 2040</c:v>
                </c:pt>
              </c:strCache>
            </c:strRef>
          </c:cat>
          <c:val>
            <c:numRef>
              <c:f>Sheet3!$E$18:$E$20</c:f>
              <c:numCache>
                <c:formatCode>0.0%</c:formatCode>
                <c:ptCount val="3"/>
                <c:pt idx="0">
                  <c:v>0.28888888888888886</c:v>
                </c:pt>
                <c:pt idx="1">
                  <c:v>0.40740740740740738</c:v>
                </c:pt>
                <c:pt idx="2">
                  <c:v>0.14814814814814814</c:v>
                </c:pt>
              </c:numCache>
            </c:numRef>
          </c:val>
          <c:extLst xmlns:c16r2="http://schemas.microsoft.com/office/drawing/2015/06/chart">
            <c:ext xmlns:c16="http://schemas.microsoft.com/office/drawing/2014/chart" uri="{C3380CC4-5D6E-409C-BE32-E72D297353CC}">
              <c16:uniqueId val="{00000003-5736-43E5-BC59-9670435CE87D}"/>
            </c:ext>
          </c:extLst>
        </c:ser>
        <c:ser>
          <c:idx val="0"/>
          <c:order val="4"/>
          <c:tx>
            <c:strRef>
              <c:f>Sheet3!$D$17</c:f>
              <c:strCache>
                <c:ptCount val="1"/>
                <c:pt idx="0">
                  <c:v>Very unlikely</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Sheet3!$C$18:$C$20</c:f>
              <c:strCache>
                <c:ptCount val="3"/>
                <c:pt idx="0">
                  <c:v>Before 2030</c:v>
                </c:pt>
                <c:pt idx="1">
                  <c:v>Between 2030 and 2040</c:v>
                </c:pt>
                <c:pt idx="2">
                  <c:v>After 2040</c:v>
                </c:pt>
              </c:strCache>
            </c:strRef>
          </c:cat>
          <c:val>
            <c:numRef>
              <c:f>Sheet3!$D$18:$D$20</c:f>
              <c:numCache>
                <c:formatCode>0.0%</c:formatCode>
                <c:ptCount val="3"/>
                <c:pt idx="0">
                  <c:v>0.49629629629629624</c:v>
                </c:pt>
                <c:pt idx="1">
                  <c:v>8.1481481481481488E-2</c:v>
                </c:pt>
                <c:pt idx="2">
                  <c:v>5.9259259259259262E-2</c:v>
                </c:pt>
              </c:numCache>
            </c:numRef>
          </c:val>
          <c:extLst xmlns:c16r2="http://schemas.microsoft.com/office/drawing/2015/06/chart">
            <c:ext xmlns:c16="http://schemas.microsoft.com/office/drawing/2014/chart" uri="{C3380CC4-5D6E-409C-BE32-E72D297353CC}">
              <c16:uniqueId val="{00000004-5736-43E5-BC59-9670435CE87D}"/>
            </c:ext>
          </c:extLst>
        </c:ser>
        <c:ser>
          <c:idx val="5"/>
          <c:order val="5"/>
          <c:tx>
            <c:strRef>
              <c:f>Sheet3!$I$17</c:f>
              <c:strCache>
                <c:ptCount val="1"/>
                <c:pt idx="0">
                  <c:v>Not answered / no opinion</c:v>
                </c:pt>
              </c:strCache>
            </c:strRef>
          </c:tx>
          <c:spPr>
            <a:solidFill>
              <a:schemeClr val="accent3">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Sheet3!$C$18:$C$20</c:f>
              <c:strCache>
                <c:ptCount val="3"/>
                <c:pt idx="0">
                  <c:v>Before 2030</c:v>
                </c:pt>
                <c:pt idx="1">
                  <c:v>Between 2030 and 2040</c:v>
                </c:pt>
                <c:pt idx="2">
                  <c:v>After 2040</c:v>
                </c:pt>
              </c:strCache>
            </c:strRef>
          </c:cat>
          <c:val>
            <c:numRef>
              <c:f>Sheet3!$I$18:$I$20</c:f>
              <c:numCache>
                <c:formatCode>0.0%</c:formatCode>
                <c:ptCount val="3"/>
                <c:pt idx="0">
                  <c:v>5.185185185185185E-2</c:v>
                </c:pt>
                <c:pt idx="1">
                  <c:v>8.8888888888888892E-2</c:v>
                </c:pt>
                <c:pt idx="2">
                  <c:v>0.1037037037037037</c:v>
                </c:pt>
              </c:numCache>
            </c:numRef>
          </c:val>
          <c:extLst xmlns:c16r2="http://schemas.microsoft.com/office/drawing/2015/06/chart">
            <c:ext xmlns:c16="http://schemas.microsoft.com/office/drawing/2014/chart" uri="{C3380CC4-5D6E-409C-BE32-E72D297353CC}">
              <c16:uniqueId val="{00000005-5736-43E5-BC59-9670435CE87D}"/>
            </c:ext>
          </c:extLst>
        </c:ser>
        <c:dLbls>
          <c:dLblPos val="ctr"/>
          <c:showLegendKey val="0"/>
          <c:showVal val="1"/>
          <c:showCatName val="0"/>
          <c:showSerName val="0"/>
          <c:showPercent val="0"/>
          <c:showBubbleSize val="0"/>
        </c:dLbls>
        <c:gapWidth val="150"/>
        <c:overlap val="100"/>
        <c:axId val="128640896"/>
        <c:axId val="128642432"/>
      </c:barChart>
      <c:catAx>
        <c:axId val="1286408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642432"/>
        <c:crosses val="autoZero"/>
        <c:auto val="1"/>
        <c:lblAlgn val="ctr"/>
        <c:lblOffset val="100"/>
        <c:noMultiLvlLbl val="0"/>
      </c:catAx>
      <c:valAx>
        <c:axId val="1286424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864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Blad1!$C$72</c:f>
              <c:strCache>
                <c:ptCount val="1"/>
                <c:pt idx="0">
                  <c:v>increases significantly</c:v>
                </c:pt>
              </c:strCache>
            </c:strRef>
          </c:tx>
          <c:spPr>
            <a:solidFill>
              <a:schemeClr val="accent1"/>
            </a:solidFill>
            <a:ln>
              <a:noFill/>
            </a:ln>
            <a:effectLst/>
          </c:spPr>
          <c:invertIfNegative val="0"/>
          <c:cat>
            <c:strRef>
              <c:f>Blad1!$D$71:$G$71</c:f>
              <c:strCache>
                <c:ptCount val="4"/>
                <c:pt idx="0">
                  <c:v>Until 2030: The in-navigation-use of zero-/low-carbon fuels and power of ships calling at EU ports</c:v>
                </c:pt>
                <c:pt idx="1">
                  <c:v>Until 2030: The at-berth-use of zero-/low-carbon fuels and power of ships calling at EU ports</c:v>
                </c:pt>
                <c:pt idx="2">
                  <c:v>Until 2050: The in-navigation-use of zero-/low-carbon fuels and power of ships calling at EU ports</c:v>
                </c:pt>
                <c:pt idx="3">
                  <c:v>Until 2050: The at-berth-use of zero-/low-carbon fuels and power of ships calling at EU ports</c:v>
                </c:pt>
              </c:strCache>
            </c:strRef>
          </c:cat>
          <c:val>
            <c:numRef>
              <c:f>Blad1!$D$72:$G$72</c:f>
              <c:numCache>
                <c:formatCode>General</c:formatCode>
                <c:ptCount val="4"/>
                <c:pt idx="0">
                  <c:v>0</c:v>
                </c:pt>
                <c:pt idx="1">
                  <c:v>0</c:v>
                </c:pt>
                <c:pt idx="2">
                  <c:v>5</c:v>
                </c:pt>
                <c:pt idx="3">
                  <c:v>6</c:v>
                </c:pt>
              </c:numCache>
            </c:numRef>
          </c:val>
          <c:extLst xmlns:c16r2="http://schemas.microsoft.com/office/drawing/2015/06/chart">
            <c:ext xmlns:c16="http://schemas.microsoft.com/office/drawing/2014/chart" uri="{C3380CC4-5D6E-409C-BE32-E72D297353CC}">
              <c16:uniqueId val="{00000000-B1B6-4095-BEC4-5823BA7E175D}"/>
            </c:ext>
          </c:extLst>
        </c:ser>
        <c:ser>
          <c:idx val="1"/>
          <c:order val="1"/>
          <c:tx>
            <c:strRef>
              <c:f>Blad1!$C$73</c:f>
              <c:strCache>
                <c:ptCount val="1"/>
                <c:pt idx="0">
                  <c:v>increases moderately</c:v>
                </c:pt>
              </c:strCache>
            </c:strRef>
          </c:tx>
          <c:spPr>
            <a:solidFill>
              <a:schemeClr val="accent2"/>
            </a:solidFill>
            <a:ln>
              <a:noFill/>
            </a:ln>
            <a:effectLst/>
          </c:spPr>
          <c:invertIfNegative val="0"/>
          <c:cat>
            <c:strRef>
              <c:f>Blad1!$D$71:$G$71</c:f>
              <c:strCache>
                <c:ptCount val="4"/>
                <c:pt idx="0">
                  <c:v>Until 2030: The in-navigation-use of zero-/low-carbon fuels and power of ships calling at EU ports</c:v>
                </c:pt>
                <c:pt idx="1">
                  <c:v>Until 2030: The at-berth-use of zero-/low-carbon fuels and power of ships calling at EU ports</c:v>
                </c:pt>
                <c:pt idx="2">
                  <c:v>Until 2050: The in-navigation-use of zero-/low-carbon fuels and power of ships calling at EU ports</c:v>
                </c:pt>
                <c:pt idx="3">
                  <c:v>Until 2050: The at-berth-use of zero-/low-carbon fuels and power of ships calling at EU ports</c:v>
                </c:pt>
              </c:strCache>
            </c:strRef>
          </c:cat>
          <c:val>
            <c:numRef>
              <c:f>Blad1!$D$73:$G$73</c:f>
              <c:numCache>
                <c:formatCode>General</c:formatCode>
                <c:ptCount val="4"/>
                <c:pt idx="0">
                  <c:v>9</c:v>
                </c:pt>
                <c:pt idx="1">
                  <c:v>13</c:v>
                </c:pt>
                <c:pt idx="2">
                  <c:v>17</c:v>
                </c:pt>
                <c:pt idx="3">
                  <c:v>17</c:v>
                </c:pt>
              </c:numCache>
            </c:numRef>
          </c:val>
          <c:extLst xmlns:c16r2="http://schemas.microsoft.com/office/drawing/2015/06/chart">
            <c:ext xmlns:c16="http://schemas.microsoft.com/office/drawing/2014/chart" uri="{C3380CC4-5D6E-409C-BE32-E72D297353CC}">
              <c16:uniqueId val="{00000001-B1B6-4095-BEC4-5823BA7E175D}"/>
            </c:ext>
          </c:extLst>
        </c:ser>
        <c:ser>
          <c:idx val="2"/>
          <c:order val="2"/>
          <c:tx>
            <c:strRef>
              <c:f>Blad1!$C$74</c:f>
              <c:strCache>
                <c:ptCount val="1"/>
                <c:pt idx="0">
                  <c:v>remains the same</c:v>
                </c:pt>
              </c:strCache>
            </c:strRef>
          </c:tx>
          <c:spPr>
            <a:solidFill>
              <a:schemeClr val="accent3"/>
            </a:solidFill>
            <a:ln>
              <a:noFill/>
            </a:ln>
            <a:effectLst/>
          </c:spPr>
          <c:invertIfNegative val="0"/>
          <c:cat>
            <c:strRef>
              <c:f>Blad1!$D$71:$G$71</c:f>
              <c:strCache>
                <c:ptCount val="4"/>
                <c:pt idx="0">
                  <c:v>Until 2030: The in-navigation-use of zero-/low-carbon fuels and power of ships calling at EU ports</c:v>
                </c:pt>
                <c:pt idx="1">
                  <c:v>Until 2030: The at-berth-use of zero-/low-carbon fuels and power of ships calling at EU ports</c:v>
                </c:pt>
                <c:pt idx="2">
                  <c:v>Until 2050: The in-navigation-use of zero-/low-carbon fuels and power of ships calling at EU ports</c:v>
                </c:pt>
                <c:pt idx="3">
                  <c:v>Until 2050: The at-berth-use of zero-/low-carbon fuels and power of ships calling at EU ports</c:v>
                </c:pt>
              </c:strCache>
            </c:strRef>
          </c:cat>
          <c:val>
            <c:numRef>
              <c:f>Blad1!$D$74:$G$74</c:f>
              <c:numCache>
                <c:formatCode>General</c:formatCode>
                <c:ptCount val="4"/>
                <c:pt idx="0">
                  <c:v>19</c:v>
                </c:pt>
                <c:pt idx="1">
                  <c:v>14</c:v>
                </c:pt>
                <c:pt idx="2">
                  <c:v>4</c:v>
                </c:pt>
                <c:pt idx="3">
                  <c:v>2</c:v>
                </c:pt>
              </c:numCache>
            </c:numRef>
          </c:val>
          <c:extLst xmlns:c16r2="http://schemas.microsoft.com/office/drawing/2015/06/chart">
            <c:ext xmlns:c16="http://schemas.microsoft.com/office/drawing/2014/chart" uri="{C3380CC4-5D6E-409C-BE32-E72D297353CC}">
              <c16:uniqueId val="{00000002-B1B6-4095-BEC4-5823BA7E175D}"/>
            </c:ext>
          </c:extLst>
        </c:ser>
        <c:ser>
          <c:idx val="3"/>
          <c:order val="3"/>
          <c:tx>
            <c:strRef>
              <c:f>Blad1!$C$75</c:f>
              <c:strCache>
                <c:ptCount val="1"/>
                <c:pt idx="0">
                  <c:v>decreases</c:v>
                </c:pt>
              </c:strCache>
            </c:strRef>
          </c:tx>
          <c:spPr>
            <a:solidFill>
              <a:schemeClr val="accent4"/>
            </a:solidFill>
            <a:ln>
              <a:noFill/>
            </a:ln>
            <a:effectLst/>
          </c:spPr>
          <c:invertIfNegative val="0"/>
          <c:cat>
            <c:strRef>
              <c:f>Blad1!$D$71:$G$71</c:f>
              <c:strCache>
                <c:ptCount val="4"/>
                <c:pt idx="0">
                  <c:v>Until 2030: The in-navigation-use of zero-/low-carbon fuels and power of ships calling at EU ports</c:v>
                </c:pt>
                <c:pt idx="1">
                  <c:v>Until 2030: The at-berth-use of zero-/low-carbon fuels and power of ships calling at EU ports</c:v>
                </c:pt>
                <c:pt idx="2">
                  <c:v>Until 2050: The in-navigation-use of zero-/low-carbon fuels and power of ships calling at EU ports</c:v>
                </c:pt>
                <c:pt idx="3">
                  <c:v>Until 2050: The at-berth-use of zero-/low-carbon fuels and power of ships calling at EU ports</c:v>
                </c:pt>
              </c:strCache>
            </c:strRef>
          </c:cat>
          <c:val>
            <c:numRef>
              <c:f>Blad1!$D$75:$G$75</c:f>
              <c:numCache>
                <c:formatCode>General</c:formatCode>
                <c:ptCount val="4"/>
                <c:pt idx="0">
                  <c:v>0</c:v>
                </c:pt>
                <c:pt idx="1">
                  <c:v>1</c:v>
                </c:pt>
                <c:pt idx="2">
                  <c:v>2</c:v>
                </c:pt>
                <c:pt idx="3">
                  <c:v>3</c:v>
                </c:pt>
              </c:numCache>
            </c:numRef>
          </c:val>
          <c:extLst xmlns:c16r2="http://schemas.microsoft.com/office/drawing/2015/06/chart">
            <c:ext xmlns:c16="http://schemas.microsoft.com/office/drawing/2014/chart" uri="{C3380CC4-5D6E-409C-BE32-E72D297353CC}">
              <c16:uniqueId val="{00000003-B1B6-4095-BEC4-5823BA7E175D}"/>
            </c:ext>
          </c:extLst>
        </c:ser>
        <c:ser>
          <c:idx val="4"/>
          <c:order val="4"/>
          <c:tx>
            <c:strRef>
              <c:f>Blad1!$C$76</c:f>
              <c:strCache>
                <c:ptCount val="1"/>
                <c:pt idx="0">
                  <c:v>No opinion</c:v>
                </c:pt>
              </c:strCache>
            </c:strRef>
          </c:tx>
          <c:spPr>
            <a:solidFill>
              <a:schemeClr val="accent5"/>
            </a:solidFill>
            <a:ln>
              <a:noFill/>
            </a:ln>
            <a:effectLst/>
          </c:spPr>
          <c:invertIfNegative val="0"/>
          <c:cat>
            <c:strRef>
              <c:f>Blad1!$D$71:$G$71</c:f>
              <c:strCache>
                <c:ptCount val="4"/>
                <c:pt idx="0">
                  <c:v>Until 2030: The in-navigation-use of zero-/low-carbon fuels and power of ships calling at EU ports</c:v>
                </c:pt>
                <c:pt idx="1">
                  <c:v>Until 2030: The at-berth-use of zero-/low-carbon fuels and power of ships calling at EU ports</c:v>
                </c:pt>
                <c:pt idx="2">
                  <c:v>Until 2050: The in-navigation-use of zero-/low-carbon fuels and power of ships calling at EU ports</c:v>
                </c:pt>
                <c:pt idx="3">
                  <c:v>Until 2050: The at-berth-use of zero-/low-carbon fuels and power of ships calling at EU ports</c:v>
                </c:pt>
              </c:strCache>
            </c:strRef>
          </c:cat>
          <c:val>
            <c:numRef>
              <c:f>Blad1!$D$76:$G$76</c:f>
              <c:numCache>
                <c:formatCode>General</c:formatCode>
                <c:ptCount val="4"/>
                <c:pt idx="0">
                  <c:v>1</c:v>
                </c:pt>
                <c:pt idx="1">
                  <c:v>1</c:v>
                </c:pt>
                <c:pt idx="2">
                  <c:v>1</c:v>
                </c:pt>
                <c:pt idx="3">
                  <c:v>1</c:v>
                </c:pt>
              </c:numCache>
            </c:numRef>
          </c:val>
          <c:extLst xmlns:c16r2="http://schemas.microsoft.com/office/drawing/2015/06/chart">
            <c:ext xmlns:c16="http://schemas.microsoft.com/office/drawing/2014/chart" uri="{C3380CC4-5D6E-409C-BE32-E72D297353CC}">
              <c16:uniqueId val="{00000004-B1B6-4095-BEC4-5823BA7E175D}"/>
            </c:ext>
          </c:extLst>
        </c:ser>
        <c:ser>
          <c:idx val="5"/>
          <c:order val="5"/>
          <c:tx>
            <c:strRef>
              <c:f>Blad1!$C$77</c:f>
              <c:strCache>
                <c:ptCount val="1"/>
                <c:pt idx="0">
                  <c:v>No Answer</c:v>
                </c:pt>
              </c:strCache>
            </c:strRef>
          </c:tx>
          <c:spPr>
            <a:solidFill>
              <a:schemeClr val="accent6"/>
            </a:solidFill>
            <a:ln>
              <a:noFill/>
            </a:ln>
            <a:effectLst/>
          </c:spPr>
          <c:invertIfNegative val="0"/>
          <c:cat>
            <c:strRef>
              <c:f>Blad1!$D$71:$G$71</c:f>
              <c:strCache>
                <c:ptCount val="4"/>
                <c:pt idx="0">
                  <c:v>Until 2030: The in-navigation-use of zero-/low-carbon fuels and power of ships calling at EU ports</c:v>
                </c:pt>
                <c:pt idx="1">
                  <c:v>Until 2030: The at-berth-use of zero-/low-carbon fuels and power of ships calling at EU ports</c:v>
                </c:pt>
                <c:pt idx="2">
                  <c:v>Until 2050: The in-navigation-use of zero-/low-carbon fuels and power of ships calling at EU ports</c:v>
                </c:pt>
                <c:pt idx="3">
                  <c:v>Until 2050: The at-berth-use of zero-/low-carbon fuels and power of ships calling at EU ports</c:v>
                </c:pt>
              </c:strCache>
            </c:strRef>
          </c:cat>
          <c:val>
            <c:numRef>
              <c:f>Blad1!$D$77:$G$77</c:f>
              <c:numCache>
                <c:formatCode>General</c:formatCode>
                <c:ptCount val="4"/>
                <c:pt idx="0">
                  <c:v>3</c:v>
                </c:pt>
                <c:pt idx="1">
                  <c:v>3</c:v>
                </c:pt>
                <c:pt idx="2">
                  <c:v>3</c:v>
                </c:pt>
                <c:pt idx="3">
                  <c:v>3</c:v>
                </c:pt>
              </c:numCache>
            </c:numRef>
          </c:val>
          <c:extLst xmlns:c16r2="http://schemas.microsoft.com/office/drawing/2015/06/chart">
            <c:ext xmlns:c16="http://schemas.microsoft.com/office/drawing/2014/chart" uri="{C3380CC4-5D6E-409C-BE32-E72D297353CC}">
              <c16:uniqueId val="{00000005-B1B6-4095-BEC4-5823BA7E175D}"/>
            </c:ext>
          </c:extLst>
        </c:ser>
        <c:dLbls>
          <c:showLegendKey val="0"/>
          <c:showVal val="0"/>
          <c:showCatName val="0"/>
          <c:showSerName val="0"/>
          <c:showPercent val="0"/>
          <c:showBubbleSize val="0"/>
        </c:dLbls>
        <c:gapWidth val="182"/>
        <c:axId val="41998976"/>
        <c:axId val="42013056"/>
      </c:barChart>
      <c:catAx>
        <c:axId val="41998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13056"/>
        <c:crosses val="autoZero"/>
        <c:auto val="1"/>
        <c:lblAlgn val="ctr"/>
        <c:lblOffset val="100"/>
        <c:noMultiLvlLbl val="0"/>
      </c:catAx>
      <c:valAx>
        <c:axId val="42013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98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4"/>
          <c:order val="0"/>
          <c:tx>
            <c:v>Most important</c:v>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Lack of predictability of the regulatory framework</c:v>
                </c:pt>
                <c:pt idx="1">
                  <c:v>High risk of investment in vessels technology and port infrastructure</c:v>
                </c:pt>
                <c:pt idx="2">
                  <c:v>Lack of mature technologies (e.g. on ships and on shore)</c:v>
                </c:pt>
                <c:pt idx="3">
                  <c:v>Higher price of sustainable alternative fuels</c:v>
                </c:pt>
                <c:pt idx="4">
                  <c:v>Lack of communication between actors and lack of transparency on the environmental performance,incl.of the fuel performance</c:v>
                </c:pt>
                <c:pt idx="5">
                  <c:v>Insufficient supply (fuel production and infrastructure) of sustainable alternative fuels or on-shore power supply</c:v>
                </c:pt>
                <c:pt idx="6">
                  <c:v>Insufficient demand for sustainable alternative fuels or on-shore power supply</c:v>
                </c:pt>
                <c:pt idx="7">
                  <c:v>Bunkering (i.e. fuel supply) of ships outside the EU</c:v>
                </c:pt>
                <c:pt idx="8">
                  <c:v>Presence of split incentives in the sector</c:v>
                </c:pt>
                <c:pt idx="9">
                  <c:v>Other reasons, please specify</c:v>
                </c:pt>
              </c:strCache>
            </c:strRef>
          </c:cat>
          <c:val>
            <c:numRef>
              <c:f>Sheet1!$F$2:$F$11</c:f>
              <c:numCache>
                <c:formatCode>0.0%</c:formatCode>
                <c:ptCount val="10"/>
                <c:pt idx="0">
                  <c:v>0.2814814814814815</c:v>
                </c:pt>
                <c:pt idx="1">
                  <c:v>0.38518518518518519</c:v>
                </c:pt>
                <c:pt idx="2">
                  <c:v>0.22222222222222221</c:v>
                </c:pt>
                <c:pt idx="3">
                  <c:v>0.48148148148148145</c:v>
                </c:pt>
                <c:pt idx="4">
                  <c:v>5.9259259259259262E-2</c:v>
                </c:pt>
                <c:pt idx="5">
                  <c:v>0.31851851851851853</c:v>
                </c:pt>
                <c:pt idx="6">
                  <c:v>0.23703703703703705</c:v>
                </c:pt>
                <c:pt idx="7">
                  <c:v>0.17777777777777778</c:v>
                </c:pt>
                <c:pt idx="8">
                  <c:v>0.17037037037037039</c:v>
                </c:pt>
                <c:pt idx="9">
                  <c:v>0.17777777777777778</c:v>
                </c:pt>
              </c:numCache>
            </c:numRef>
          </c:val>
          <c:extLst xmlns:c16r2="http://schemas.microsoft.com/office/drawing/2015/06/chart">
            <c:ext xmlns:c16="http://schemas.microsoft.com/office/drawing/2014/chart" uri="{C3380CC4-5D6E-409C-BE32-E72D297353CC}">
              <c16:uniqueId val="{00000000-61AF-4346-A0EE-61708F10C17B}"/>
            </c:ext>
          </c:extLst>
        </c:ser>
        <c:ser>
          <c:idx val="3"/>
          <c:order val="1"/>
          <c:tx>
            <c:v>Important</c:v>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Lack of predictability of the regulatory framework</c:v>
                </c:pt>
                <c:pt idx="1">
                  <c:v>High risk of investment in vessels technology and port infrastructure</c:v>
                </c:pt>
                <c:pt idx="2">
                  <c:v>Lack of mature technologies (e.g. on ships and on shore)</c:v>
                </c:pt>
                <c:pt idx="3">
                  <c:v>Higher price of sustainable alternative fuels</c:v>
                </c:pt>
                <c:pt idx="4">
                  <c:v>Lack of communication between actors and lack of transparency on the environmental performance,incl.of the fuel performance</c:v>
                </c:pt>
                <c:pt idx="5">
                  <c:v>Insufficient supply (fuel production and infrastructure) of sustainable alternative fuels or on-shore power supply</c:v>
                </c:pt>
                <c:pt idx="6">
                  <c:v>Insufficient demand for sustainable alternative fuels or on-shore power supply</c:v>
                </c:pt>
                <c:pt idx="7">
                  <c:v>Bunkering (i.e. fuel supply) of ships outside the EU</c:v>
                </c:pt>
                <c:pt idx="8">
                  <c:v>Presence of split incentives in the sector</c:v>
                </c:pt>
                <c:pt idx="9">
                  <c:v>Other reasons, please specify</c:v>
                </c:pt>
              </c:strCache>
            </c:strRef>
          </c:cat>
          <c:val>
            <c:numRef>
              <c:f>Sheet1!$E$2:$E$11</c:f>
              <c:numCache>
                <c:formatCode>0.0%</c:formatCode>
                <c:ptCount val="10"/>
                <c:pt idx="0">
                  <c:v>0.33333333333333326</c:v>
                </c:pt>
                <c:pt idx="1">
                  <c:v>0.34814814814814815</c:v>
                </c:pt>
                <c:pt idx="2">
                  <c:v>0.21481481481481482</c:v>
                </c:pt>
                <c:pt idx="3">
                  <c:v>0.26666666666666666</c:v>
                </c:pt>
                <c:pt idx="4">
                  <c:v>0.17037037037037039</c:v>
                </c:pt>
                <c:pt idx="5">
                  <c:v>0.3037037037037037</c:v>
                </c:pt>
                <c:pt idx="6">
                  <c:v>0.32592592592592595</c:v>
                </c:pt>
                <c:pt idx="7">
                  <c:v>0.22222222222222221</c:v>
                </c:pt>
                <c:pt idx="8">
                  <c:v>0.2814814814814815</c:v>
                </c:pt>
                <c:pt idx="9">
                  <c:v>8.8888888888888892E-2</c:v>
                </c:pt>
              </c:numCache>
            </c:numRef>
          </c:val>
          <c:extLst xmlns:c16r2="http://schemas.microsoft.com/office/drawing/2015/06/chart">
            <c:ext xmlns:c16="http://schemas.microsoft.com/office/drawing/2014/chart" uri="{C3380CC4-5D6E-409C-BE32-E72D297353CC}">
              <c16:uniqueId val="{00000001-61AF-4346-A0EE-61708F10C17B}"/>
            </c:ext>
          </c:extLst>
        </c:ser>
        <c:ser>
          <c:idx val="2"/>
          <c:order val="2"/>
          <c:tx>
            <c:v>Somewhat important</c:v>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Lack of predictability of the regulatory framework</c:v>
                </c:pt>
                <c:pt idx="1">
                  <c:v>High risk of investment in vessels technology and port infrastructure</c:v>
                </c:pt>
                <c:pt idx="2">
                  <c:v>Lack of mature technologies (e.g. on ships and on shore)</c:v>
                </c:pt>
                <c:pt idx="3">
                  <c:v>Higher price of sustainable alternative fuels</c:v>
                </c:pt>
                <c:pt idx="4">
                  <c:v>Lack of communication between actors and lack of transparency on the environmental performance,incl.of the fuel performance</c:v>
                </c:pt>
                <c:pt idx="5">
                  <c:v>Insufficient supply (fuel production and infrastructure) of sustainable alternative fuels or on-shore power supply</c:v>
                </c:pt>
                <c:pt idx="6">
                  <c:v>Insufficient demand for sustainable alternative fuels or on-shore power supply</c:v>
                </c:pt>
                <c:pt idx="7">
                  <c:v>Bunkering (i.e. fuel supply) of ships outside the EU</c:v>
                </c:pt>
                <c:pt idx="8">
                  <c:v>Presence of split incentives in the sector</c:v>
                </c:pt>
                <c:pt idx="9">
                  <c:v>Other reasons, please specify</c:v>
                </c:pt>
              </c:strCache>
            </c:strRef>
          </c:cat>
          <c:val>
            <c:numRef>
              <c:f>Sheet1!$D$2:$D$11</c:f>
              <c:numCache>
                <c:formatCode>0.0%</c:formatCode>
                <c:ptCount val="10"/>
                <c:pt idx="0">
                  <c:v>0.17037037037037039</c:v>
                </c:pt>
                <c:pt idx="1">
                  <c:v>0.14074074074074075</c:v>
                </c:pt>
                <c:pt idx="2">
                  <c:v>0.2</c:v>
                </c:pt>
                <c:pt idx="3">
                  <c:v>9.6296296296296297E-2</c:v>
                </c:pt>
                <c:pt idx="4">
                  <c:v>0.3037037037037037</c:v>
                </c:pt>
                <c:pt idx="5">
                  <c:v>0.16296296296296298</c:v>
                </c:pt>
                <c:pt idx="6">
                  <c:v>0.17037037037037039</c:v>
                </c:pt>
                <c:pt idx="7">
                  <c:v>0.17777777777777778</c:v>
                </c:pt>
                <c:pt idx="8">
                  <c:v>0.15555555555555556</c:v>
                </c:pt>
                <c:pt idx="9">
                  <c:v>2.2222222222222223E-2</c:v>
                </c:pt>
              </c:numCache>
            </c:numRef>
          </c:val>
          <c:extLst xmlns:c16r2="http://schemas.microsoft.com/office/drawing/2015/06/chart">
            <c:ext xmlns:c16="http://schemas.microsoft.com/office/drawing/2014/chart" uri="{C3380CC4-5D6E-409C-BE32-E72D297353CC}">
              <c16:uniqueId val="{00000002-61AF-4346-A0EE-61708F10C17B}"/>
            </c:ext>
          </c:extLst>
        </c:ser>
        <c:ser>
          <c:idx val="1"/>
          <c:order val="3"/>
          <c:tx>
            <c:v>Less important</c:v>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Lack of predictability of the regulatory framework</c:v>
                </c:pt>
                <c:pt idx="1">
                  <c:v>High risk of investment in vessels technology and port infrastructure</c:v>
                </c:pt>
                <c:pt idx="2">
                  <c:v>Lack of mature technologies (e.g. on ships and on shore)</c:v>
                </c:pt>
                <c:pt idx="3">
                  <c:v>Higher price of sustainable alternative fuels</c:v>
                </c:pt>
                <c:pt idx="4">
                  <c:v>Lack of communication between actors and lack of transparency on the environmental performance,incl.of the fuel performance</c:v>
                </c:pt>
                <c:pt idx="5">
                  <c:v>Insufficient supply (fuel production and infrastructure) of sustainable alternative fuels or on-shore power supply</c:v>
                </c:pt>
                <c:pt idx="6">
                  <c:v>Insufficient demand for sustainable alternative fuels or on-shore power supply</c:v>
                </c:pt>
                <c:pt idx="7">
                  <c:v>Bunkering (i.e. fuel supply) of ships outside the EU</c:v>
                </c:pt>
                <c:pt idx="8">
                  <c:v>Presence of split incentives in the sector</c:v>
                </c:pt>
                <c:pt idx="9">
                  <c:v>Other reasons, please specify</c:v>
                </c:pt>
              </c:strCache>
            </c:strRef>
          </c:cat>
          <c:val>
            <c:numRef>
              <c:f>Sheet1!$C$2:$C$11</c:f>
              <c:numCache>
                <c:formatCode>0.0%</c:formatCode>
                <c:ptCount val="10"/>
                <c:pt idx="0">
                  <c:v>8.8888888888888892E-2</c:v>
                </c:pt>
                <c:pt idx="1">
                  <c:v>2.2222222222222223E-2</c:v>
                </c:pt>
                <c:pt idx="2">
                  <c:v>0.17037037037037039</c:v>
                </c:pt>
                <c:pt idx="3">
                  <c:v>5.185185185185185E-2</c:v>
                </c:pt>
                <c:pt idx="4">
                  <c:v>0.25185185185185183</c:v>
                </c:pt>
                <c:pt idx="5">
                  <c:v>6.6666666666666666E-2</c:v>
                </c:pt>
                <c:pt idx="6">
                  <c:v>7.407407407407407E-2</c:v>
                </c:pt>
                <c:pt idx="7">
                  <c:v>0.1037037037037037</c:v>
                </c:pt>
                <c:pt idx="8">
                  <c:v>0.13333333333333333</c:v>
                </c:pt>
                <c:pt idx="9">
                  <c:v>0</c:v>
                </c:pt>
              </c:numCache>
            </c:numRef>
          </c:val>
          <c:extLst xmlns:c16r2="http://schemas.microsoft.com/office/drawing/2015/06/chart">
            <c:ext xmlns:c16="http://schemas.microsoft.com/office/drawing/2014/chart" uri="{C3380CC4-5D6E-409C-BE32-E72D297353CC}">
              <c16:uniqueId val="{00000003-61AF-4346-A0EE-61708F10C17B}"/>
            </c:ext>
          </c:extLst>
        </c:ser>
        <c:ser>
          <c:idx val="0"/>
          <c:order val="4"/>
          <c:tx>
            <c:v>Least important</c:v>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Lack of predictability of the regulatory framework</c:v>
                </c:pt>
                <c:pt idx="1">
                  <c:v>High risk of investment in vessels technology and port infrastructure</c:v>
                </c:pt>
                <c:pt idx="2">
                  <c:v>Lack of mature technologies (e.g. on ships and on shore)</c:v>
                </c:pt>
                <c:pt idx="3">
                  <c:v>Higher price of sustainable alternative fuels</c:v>
                </c:pt>
                <c:pt idx="4">
                  <c:v>Lack of communication between actors and lack of transparency on the environmental performance,incl.of the fuel performance</c:v>
                </c:pt>
                <c:pt idx="5">
                  <c:v>Insufficient supply (fuel production and infrastructure) of sustainable alternative fuels or on-shore power supply</c:v>
                </c:pt>
                <c:pt idx="6">
                  <c:v>Insufficient demand for sustainable alternative fuels or on-shore power supply</c:v>
                </c:pt>
                <c:pt idx="7">
                  <c:v>Bunkering (i.e. fuel supply) of ships outside the EU</c:v>
                </c:pt>
                <c:pt idx="8">
                  <c:v>Presence of split incentives in the sector</c:v>
                </c:pt>
                <c:pt idx="9">
                  <c:v>Other reasons, please specify</c:v>
                </c:pt>
              </c:strCache>
            </c:strRef>
          </c:cat>
          <c:val>
            <c:numRef>
              <c:f>Sheet1!$B$2:$B$11</c:f>
              <c:numCache>
                <c:formatCode>0.0%</c:formatCode>
                <c:ptCount val="10"/>
                <c:pt idx="0">
                  <c:v>4.4444444444444446E-2</c:v>
                </c:pt>
                <c:pt idx="1">
                  <c:v>2.9629629629629631E-2</c:v>
                </c:pt>
                <c:pt idx="2">
                  <c:v>9.6296296296296297E-2</c:v>
                </c:pt>
                <c:pt idx="3">
                  <c:v>2.9629629629629631E-2</c:v>
                </c:pt>
                <c:pt idx="4">
                  <c:v>7.407407407407407E-2</c:v>
                </c:pt>
                <c:pt idx="5">
                  <c:v>5.185185185185185E-2</c:v>
                </c:pt>
                <c:pt idx="6">
                  <c:v>7.407407407407407E-2</c:v>
                </c:pt>
                <c:pt idx="7">
                  <c:v>0.13333333333333333</c:v>
                </c:pt>
                <c:pt idx="8">
                  <c:v>4.4444444444444446E-2</c:v>
                </c:pt>
                <c:pt idx="9">
                  <c:v>1.4814814814814815E-2</c:v>
                </c:pt>
              </c:numCache>
            </c:numRef>
          </c:val>
          <c:extLst xmlns:c16r2="http://schemas.microsoft.com/office/drawing/2015/06/chart">
            <c:ext xmlns:c16="http://schemas.microsoft.com/office/drawing/2014/chart" uri="{C3380CC4-5D6E-409C-BE32-E72D297353CC}">
              <c16:uniqueId val="{00000004-61AF-4346-A0EE-61708F10C17B}"/>
            </c:ext>
          </c:extLst>
        </c:ser>
        <c:ser>
          <c:idx val="5"/>
          <c:order val="5"/>
          <c:tx>
            <c:v>Not answered / no opinion</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Lack of predictability of the regulatory framework</c:v>
                </c:pt>
                <c:pt idx="1">
                  <c:v>High risk of investment in vessels technology and port infrastructure</c:v>
                </c:pt>
                <c:pt idx="2">
                  <c:v>Lack of mature technologies (e.g. on ships and on shore)</c:v>
                </c:pt>
                <c:pt idx="3">
                  <c:v>Higher price of sustainable alternative fuels</c:v>
                </c:pt>
                <c:pt idx="4">
                  <c:v>Lack of communication between actors and lack of transparency on the environmental performance,incl.of the fuel performance</c:v>
                </c:pt>
                <c:pt idx="5">
                  <c:v>Insufficient supply (fuel production and infrastructure) of sustainable alternative fuels or on-shore power supply</c:v>
                </c:pt>
                <c:pt idx="6">
                  <c:v>Insufficient demand for sustainable alternative fuels or on-shore power supply</c:v>
                </c:pt>
                <c:pt idx="7">
                  <c:v>Bunkering (i.e. fuel supply) of ships outside the EU</c:v>
                </c:pt>
                <c:pt idx="8">
                  <c:v>Presence of split incentives in the sector</c:v>
                </c:pt>
                <c:pt idx="9">
                  <c:v>Other reasons, please specify</c:v>
                </c:pt>
              </c:strCache>
            </c:strRef>
          </c:cat>
          <c:val>
            <c:numRef>
              <c:f>Sheet1!$G$2:$G$11</c:f>
              <c:numCache>
                <c:formatCode>0.0%</c:formatCode>
                <c:ptCount val="10"/>
                <c:pt idx="0">
                  <c:v>8.1481481481481488E-2</c:v>
                </c:pt>
                <c:pt idx="1">
                  <c:v>7.407407407407407E-2</c:v>
                </c:pt>
                <c:pt idx="2">
                  <c:v>9.6296296296296297E-2</c:v>
                </c:pt>
                <c:pt idx="3">
                  <c:v>7.407407407407407E-2</c:v>
                </c:pt>
                <c:pt idx="4">
                  <c:v>0.14074074074074075</c:v>
                </c:pt>
                <c:pt idx="5">
                  <c:v>9.6296296296296297E-2</c:v>
                </c:pt>
                <c:pt idx="6">
                  <c:v>0.11851851851851852</c:v>
                </c:pt>
                <c:pt idx="7">
                  <c:v>0.1851851851851852</c:v>
                </c:pt>
                <c:pt idx="8">
                  <c:v>0.21481481481481482</c:v>
                </c:pt>
                <c:pt idx="9">
                  <c:v>0.6962962962962963</c:v>
                </c:pt>
              </c:numCache>
            </c:numRef>
          </c:val>
          <c:extLst xmlns:c16r2="http://schemas.microsoft.com/office/drawing/2015/06/chart">
            <c:ext xmlns:c16="http://schemas.microsoft.com/office/drawing/2014/chart" uri="{C3380CC4-5D6E-409C-BE32-E72D297353CC}">
              <c16:uniqueId val="{00000005-61AF-4346-A0EE-61708F10C17B}"/>
            </c:ext>
          </c:extLst>
        </c:ser>
        <c:dLbls>
          <c:dLblPos val="ctr"/>
          <c:showLegendKey val="0"/>
          <c:showVal val="1"/>
          <c:showCatName val="0"/>
          <c:showSerName val="0"/>
          <c:showPercent val="0"/>
          <c:showBubbleSize val="0"/>
        </c:dLbls>
        <c:gapWidth val="150"/>
        <c:overlap val="100"/>
        <c:axId val="81416576"/>
        <c:axId val="81418112"/>
      </c:barChart>
      <c:catAx>
        <c:axId val="814165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800" b="0" i="0" u="none" strike="noStrike" kern="1200" baseline="0">
                <a:solidFill>
                  <a:schemeClr val="tx1">
                    <a:lumMod val="65000"/>
                    <a:lumOff val="35000"/>
                  </a:schemeClr>
                </a:solidFill>
                <a:latin typeface="+mn-lt"/>
                <a:ea typeface="+mn-ea"/>
                <a:cs typeface="+mn-cs"/>
              </a:defRPr>
            </a:pPr>
            <a:endParaRPr lang="en-US"/>
          </a:p>
        </c:txPr>
        <c:crossAx val="81418112"/>
        <c:crosses val="autoZero"/>
        <c:auto val="1"/>
        <c:lblAlgn val="ctr"/>
        <c:lblOffset val="100"/>
        <c:noMultiLvlLbl val="0"/>
      </c:catAx>
      <c:valAx>
        <c:axId val="8141811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1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ctr" anchorCtr="0"/>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050"/>
              <a:t>In your view, how important is it for the FuelEU Maritime Initiative </a:t>
            </a:r>
          </a:p>
          <a:p>
            <a:pPr>
              <a:defRPr sz="1400" b="0" i="0" u="none" strike="noStrike" kern="1200" spc="0" baseline="0">
                <a:solidFill>
                  <a:schemeClr val="tx1">
                    <a:lumMod val="65000"/>
                    <a:lumOff val="35000"/>
                  </a:schemeClr>
                </a:solidFill>
                <a:latin typeface="+mn-lt"/>
                <a:ea typeface="+mn-ea"/>
                <a:cs typeface="+mn-cs"/>
              </a:defRPr>
            </a:pPr>
            <a:r>
              <a:rPr lang="nl-NL" sz="1050"/>
              <a:t>(from 1 not important to 5 very important):</a:t>
            </a:r>
          </a:p>
        </c:rich>
      </c:tx>
      <c:layout>
        <c:manualLayout>
          <c:xMode val="edge"/>
          <c:yMode val="edge"/>
          <c:x val="0.12031233595800525"/>
          <c:y val="1.9055178244687995E-2"/>
        </c:manualLayout>
      </c:layout>
      <c:overlay val="0"/>
      <c:spPr>
        <a:noFill/>
        <a:ln>
          <a:noFill/>
        </a:ln>
        <a:effectLst/>
      </c:spPr>
    </c:title>
    <c:autoTitleDeleted val="0"/>
    <c:plotArea>
      <c:layout/>
      <c:barChart>
        <c:barDir val="bar"/>
        <c:grouping val="clustered"/>
        <c:varyColors val="0"/>
        <c:ser>
          <c:idx val="0"/>
          <c:order val="0"/>
          <c:tx>
            <c:strRef>
              <c:f>Blad1!$C$873</c:f>
              <c:strCache>
                <c:ptCount val="1"/>
                <c:pt idx="0">
                  <c:v>1</c:v>
                </c:pt>
              </c:strCache>
            </c:strRef>
          </c:tx>
          <c:spPr>
            <a:solidFill>
              <a:schemeClr val="accent1"/>
            </a:solidFill>
            <a:ln>
              <a:noFill/>
            </a:ln>
            <a:effectLst/>
          </c:spPr>
          <c:invertIfNegative val="0"/>
          <c:cat>
            <c:strRef>
              <c:f>Blad1!$D$872:$J$872</c:f>
              <c:strCache>
                <c:ptCount val="7"/>
                <c:pt idx="0">
                  <c:v> To provide more certainty on the climate and environmental requirements for ship operations.</c:v>
                </c:pt>
                <c:pt idx="1">
                  <c:v>to provide more certainty on the size of the demand for sustainable alternative fuels.</c:v>
                </c:pt>
                <c:pt idx="2">
                  <c:v>to ensure coordinated timing of investments in production, distribution and use of sustainable alternative fuels.</c:v>
                </c:pt>
                <c:pt idx="3">
                  <c:v>to provide flexibility on the choice of fuels that can be allowed in maritime transport.</c:v>
                </c:pt>
                <c:pt idx="4">
                  <c:v>to avoid technology lock-in and favour the uptake of more advances technologies.</c:v>
                </c:pt>
                <c:pt idx="5">
                  <c:v>to provide a clear framework for assessing the environmental performance of marine fuels.</c:v>
                </c:pt>
                <c:pt idx="6">
                  <c:v>to establish a number of support measures (e.g. funding, R&amp;I, etc.) to allow for the development of new fuel solutions in maritime transport.</c:v>
                </c:pt>
              </c:strCache>
            </c:strRef>
          </c:cat>
          <c:val>
            <c:numRef>
              <c:f>Blad1!$D$873:$J$873</c:f>
              <c:numCache>
                <c:formatCode>General</c:formatCode>
                <c:ptCount val="7"/>
                <c:pt idx="0">
                  <c:v>2</c:v>
                </c:pt>
                <c:pt idx="1">
                  <c:v>1</c:v>
                </c:pt>
                <c:pt idx="2">
                  <c:v>1</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0-9D9B-4723-87AA-D5E0974B4636}"/>
            </c:ext>
          </c:extLst>
        </c:ser>
        <c:ser>
          <c:idx val="1"/>
          <c:order val="1"/>
          <c:tx>
            <c:strRef>
              <c:f>Blad1!$C$874</c:f>
              <c:strCache>
                <c:ptCount val="1"/>
                <c:pt idx="0">
                  <c:v>2</c:v>
                </c:pt>
              </c:strCache>
            </c:strRef>
          </c:tx>
          <c:spPr>
            <a:solidFill>
              <a:schemeClr val="accent2"/>
            </a:solidFill>
            <a:ln>
              <a:noFill/>
            </a:ln>
            <a:effectLst/>
          </c:spPr>
          <c:invertIfNegative val="0"/>
          <c:cat>
            <c:strRef>
              <c:f>Blad1!$D$872:$J$872</c:f>
              <c:strCache>
                <c:ptCount val="7"/>
                <c:pt idx="0">
                  <c:v> To provide more certainty on the climate and environmental requirements for ship operations.</c:v>
                </c:pt>
                <c:pt idx="1">
                  <c:v>to provide more certainty on the size of the demand for sustainable alternative fuels.</c:v>
                </c:pt>
                <c:pt idx="2">
                  <c:v>to ensure coordinated timing of investments in production, distribution and use of sustainable alternative fuels.</c:v>
                </c:pt>
                <c:pt idx="3">
                  <c:v>to provide flexibility on the choice of fuels that can be allowed in maritime transport.</c:v>
                </c:pt>
                <c:pt idx="4">
                  <c:v>to avoid technology lock-in and favour the uptake of more advances technologies.</c:v>
                </c:pt>
                <c:pt idx="5">
                  <c:v>to provide a clear framework for assessing the environmental performance of marine fuels.</c:v>
                </c:pt>
                <c:pt idx="6">
                  <c:v>to establish a number of support measures (e.g. funding, R&amp;I, etc.) to allow for the development of new fuel solutions in maritime transport.</c:v>
                </c:pt>
              </c:strCache>
            </c:strRef>
          </c:cat>
          <c:val>
            <c:numRef>
              <c:f>Blad1!$D$874:$J$874</c:f>
              <c:numCache>
                <c:formatCode>General</c:formatCode>
                <c:ptCount val="7"/>
                <c:pt idx="0">
                  <c:v>1</c:v>
                </c:pt>
                <c:pt idx="1">
                  <c:v>3</c:v>
                </c:pt>
                <c:pt idx="2">
                  <c:v>2</c:v>
                </c:pt>
                <c:pt idx="3">
                  <c:v>2</c:v>
                </c:pt>
                <c:pt idx="4">
                  <c:v>1</c:v>
                </c:pt>
                <c:pt idx="5">
                  <c:v>2</c:v>
                </c:pt>
                <c:pt idx="6">
                  <c:v>0</c:v>
                </c:pt>
              </c:numCache>
            </c:numRef>
          </c:val>
          <c:extLst xmlns:c16r2="http://schemas.microsoft.com/office/drawing/2015/06/chart">
            <c:ext xmlns:c16="http://schemas.microsoft.com/office/drawing/2014/chart" uri="{C3380CC4-5D6E-409C-BE32-E72D297353CC}">
              <c16:uniqueId val="{00000001-9D9B-4723-87AA-D5E0974B4636}"/>
            </c:ext>
          </c:extLst>
        </c:ser>
        <c:ser>
          <c:idx val="2"/>
          <c:order val="2"/>
          <c:tx>
            <c:strRef>
              <c:f>Blad1!$C$875</c:f>
              <c:strCache>
                <c:ptCount val="1"/>
                <c:pt idx="0">
                  <c:v>3</c:v>
                </c:pt>
              </c:strCache>
            </c:strRef>
          </c:tx>
          <c:spPr>
            <a:solidFill>
              <a:schemeClr val="accent3"/>
            </a:solidFill>
            <a:ln>
              <a:noFill/>
            </a:ln>
            <a:effectLst/>
          </c:spPr>
          <c:invertIfNegative val="0"/>
          <c:cat>
            <c:strRef>
              <c:f>Blad1!$D$872:$J$872</c:f>
              <c:strCache>
                <c:ptCount val="7"/>
                <c:pt idx="0">
                  <c:v> To provide more certainty on the climate and environmental requirements for ship operations.</c:v>
                </c:pt>
                <c:pt idx="1">
                  <c:v>to provide more certainty on the size of the demand for sustainable alternative fuels.</c:v>
                </c:pt>
                <c:pt idx="2">
                  <c:v>to ensure coordinated timing of investments in production, distribution and use of sustainable alternative fuels.</c:v>
                </c:pt>
                <c:pt idx="3">
                  <c:v>to provide flexibility on the choice of fuels that can be allowed in maritime transport.</c:v>
                </c:pt>
                <c:pt idx="4">
                  <c:v>to avoid technology lock-in and favour the uptake of more advances technologies.</c:v>
                </c:pt>
                <c:pt idx="5">
                  <c:v>to provide a clear framework for assessing the environmental performance of marine fuels.</c:v>
                </c:pt>
                <c:pt idx="6">
                  <c:v>to establish a number of support measures (e.g. funding, R&amp;I, etc.) to allow for the development of new fuel solutions in maritime transport.</c:v>
                </c:pt>
              </c:strCache>
            </c:strRef>
          </c:cat>
          <c:val>
            <c:numRef>
              <c:f>Blad1!$D$875:$J$875</c:f>
              <c:numCache>
                <c:formatCode>General</c:formatCode>
                <c:ptCount val="7"/>
                <c:pt idx="0">
                  <c:v>2</c:v>
                </c:pt>
                <c:pt idx="1">
                  <c:v>7</c:v>
                </c:pt>
                <c:pt idx="2">
                  <c:v>8</c:v>
                </c:pt>
                <c:pt idx="3">
                  <c:v>6</c:v>
                </c:pt>
                <c:pt idx="4">
                  <c:v>8</c:v>
                </c:pt>
                <c:pt idx="5">
                  <c:v>3</c:v>
                </c:pt>
                <c:pt idx="6">
                  <c:v>4</c:v>
                </c:pt>
              </c:numCache>
            </c:numRef>
          </c:val>
          <c:extLst xmlns:c16r2="http://schemas.microsoft.com/office/drawing/2015/06/chart">
            <c:ext xmlns:c16="http://schemas.microsoft.com/office/drawing/2014/chart" uri="{C3380CC4-5D6E-409C-BE32-E72D297353CC}">
              <c16:uniqueId val="{00000002-9D9B-4723-87AA-D5E0974B4636}"/>
            </c:ext>
          </c:extLst>
        </c:ser>
        <c:ser>
          <c:idx val="3"/>
          <c:order val="3"/>
          <c:tx>
            <c:strRef>
              <c:f>Blad1!$C$876</c:f>
              <c:strCache>
                <c:ptCount val="1"/>
                <c:pt idx="0">
                  <c:v>4</c:v>
                </c:pt>
              </c:strCache>
            </c:strRef>
          </c:tx>
          <c:spPr>
            <a:solidFill>
              <a:schemeClr val="accent4"/>
            </a:solidFill>
            <a:ln>
              <a:noFill/>
            </a:ln>
            <a:effectLst/>
          </c:spPr>
          <c:invertIfNegative val="0"/>
          <c:cat>
            <c:strRef>
              <c:f>Blad1!$D$872:$J$872</c:f>
              <c:strCache>
                <c:ptCount val="7"/>
                <c:pt idx="0">
                  <c:v> To provide more certainty on the climate and environmental requirements for ship operations.</c:v>
                </c:pt>
                <c:pt idx="1">
                  <c:v>to provide more certainty on the size of the demand for sustainable alternative fuels.</c:v>
                </c:pt>
                <c:pt idx="2">
                  <c:v>to ensure coordinated timing of investments in production, distribution and use of sustainable alternative fuels.</c:v>
                </c:pt>
                <c:pt idx="3">
                  <c:v>to provide flexibility on the choice of fuels that can be allowed in maritime transport.</c:v>
                </c:pt>
                <c:pt idx="4">
                  <c:v>to avoid technology lock-in and favour the uptake of more advances technologies.</c:v>
                </c:pt>
                <c:pt idx="5">
                  <c:v>to provide a clear framework for assessing the environmental performance of marine fuels.</c:v>
                </c:pt>
                <c:pt idx="6">
                  <c:v>to establish a number of support measures (e.g. funding, R&amp;I, etc.) to allow for the development of new fuel solutions in maritime transport.</c:v>
                </c:pt>
              </c:strCache>
            </c:strRef>
          </c:cat>
          <c:val>
            <c:numRef>
              <c:f>Blad1!$D$876:$J$876</c:f>
              <c:numCache>
                <c:formatCode>General</c:formatCode>
                <c:ptCount val="7"/>
                <c:pt idx="0">
                  <c:v>7</c:v>
                </c:pt>
                <c:pt idx="1">
                  <c:v>10</c:v>
                </c:pt>
                <c:pt idx="2">
                  <c:v>7</c:v>
                </c:pt>
                <c:pt idx="3">
                  <c:v>6</c:v>
                </c:pt>
                <c:pt idx="4">
                  <c:v>10</c:v>
                </c:pt>
                <c:pt idx="5">
                  <c:v>10</c:v>
                </c:pt>
                <c:pt idx="6">
                  <c:v>6</c:v>
                </c:pt>
              </c:numCache>
            </c:numRef>
          </c:val>
          <c:extLst xmlns:c16r2="http://schemas.microsoft.com/office/drawing/2015/06/chart">
            <c:ext xmlns:c16="http://schemas.microsoft.com/office/drawing/2014/chart" uri="{C3380CC4-5D6E-409C-BE32-E72D297353CC}">
              <c16:uniqueId val="{00000003-9D9B-4723-87AA-D5E0974B4636}"/>
            </c:ext>
          </c:extLst>
        </c:ser>
        <c:ser>
          <c:idx val="4"/>
          <c:order val="4"/>
          <c:tx>
            <c:strRef>
              <c:f>Blad1!$C$877</c:f>
              <c:strCache>
                <c:ptCount val="1"/>
                <c:pt idx="0">
                  <c:v>5</c:v>
                </c:pt>
              </c:strCache>
            </c:strRef>
          </c:tx>
          <c:spPr>
            <a:solidFill>
              <a:schemeClr val="accent5"/>
            </a:solidFill>
            <a:ln>
              <a:noFill/>
            </a:ln>
            <a:effectLst/>
          </c:spPr>
          <c:invertIfNegative val="0"/>
          <c:cat>
            <c:strRef>
              <c:f>Blad1!$D$872:$J$872</c:f>
              <c:strCache>
                <c:ptCount val="7"/>
                <c:pt idx="0">
                  <c:v> To provide more certainty on the climate and environmental requirements for ship operations.</c:v>
                </c:pt>
                <c:pt idx="1">
                  <c:v>to provide more certainty on the size of the demand for sustainable alternative fuels.</c:v>
                </c:pt>
                <c:pt idx="2">
                  <c:v>to ensure coordinated timing of investments in production, distribution and use of sustainable alternative fuels.</c:v>
                </c:pt>
                <c:pt idx="3">
                  <c:v>to provide flexibility on the choice of fuels that can be allowed in maritime transport.</c:v>
                </c:pt>
                <c:pt idx="4">
                  <c:v>to avoid technology lock-in and favour the uptake of more advances technologies.</c:v>
                </c:pt>
                <c:pt idx="5">
                  <c:v>to provide a clear framework for assessing the environmental performance of marine fuels.</c:v>
                </c:pt>
                <c:pt idx="6">
                  <c:v>to establish a number of support measures (e.g. funding, R&amp;I, etc.) to allow for the development of new fuel solutions in maritime transport.</c:v>
                </c:pt>
              </c:strCache>
            </c:strRef>
          </c:cat>
          <c:val>
            <c:numRef>
              <c:f>Blad1!$D$877:$J$877</c:f>
              <c:numCache>
                <c:formatCode>General</c:formatCode>
                <c:ptCount val="7"/>
                <c:pt idx="0">
                  <c:v>18</c:v>
                </c:pt>
                <c:pt idx="1">
                  <c:v>8</c:v>
                </c:pt>
                <c:pt idx="2">
                  <c:v>12</c:v>
                </c:pt>
                <c:pt idx="3">
                  <c:v>14</c:v>
                </c:pt>
                <c:pt idx="4">
                  <c:v>10</c:v>
                </c:pt>
                <c:pt idx="5">
                  <c:v>14</c:v>
                </c:pt>
                <c:pt idx="6">
                  <c:v>10</c:v>
                </c:pt>
              </c:numCache>
            </c:numRef>
          </c:val>
          <c:extLst xmlns:c16r2="http://schemas.microsoft.com/office/drawing/2015/06/chart">
            <c:ext xmlns:c16="http://schemas.microsoft.com/office/drawing/2014/chart" uri="{C3380CC4-5D6E-409C-BE32-E72D297353CC}">
              <c16:uniqueId val="{00000004-9D9B-4723-87AA-D5E0974B4636}"/>
            </c:ext>
          </c:extLst>
        </c:ser>
        <c:ser>
          <c:idx val="5"/>
          <c:order val="5"/>
          <c:tx>
            <c:strRef>
              <c:f>Blad1!$C$878</c:f>
              <c:strCache>
                <c:ptCount val="1"/>
                <c:pt idx="0">
                  <c:v>No Answer</c:v>
                </c:pt>
              </c:strCache>
            </c:strRef>
          </c:tx>
          <c:spPr>
            <a:solidFill>
              <a:schemeClr val="accent6"/>
            </a:solidFill>
            <a:ln>
              <a:noFill/>
            </a:ln>
            <a:effectLst/>
          </c:spPr>
          <c:invertIfNegative val="0"/>
          <c:cat>
            <c:strRef>
              <c:f>Blad1!$D$872:$J$872</c:f>
              <c:strCache>
                <c:ptCount val="7"/>
                <c:pt idx="0">
                  <c:v> To provide more certainty on the climate and environmental requirements for ship operations.</c:v>
                </c:pt>
                <c:pt idx="1">
                  <c:v>to provide more certainty on the size of the demand for sustainable alternative fuels.</c:v>
                </c:pt>
                <c:pt idx="2">
                  <c:v>to ensure coordinated timing of investments in production, distribution and use of sustainable alternative fuels.</c:v>
                </c:pt>
                <c:pt idx="3">
                  <c:v>to provide flexibility on the choice of fuels that can be allowed in maritime transport.</c:v>
                </c:pt>
                <c:pt idx="4">
                  <c:v>to avoid technology lock-in and favour the uptake of more advances technologies.</c:v>
                </c:pt>
                <c:pt idx="5">
                  <c:v>to provide a clear framework for assessing the environmental performance of marine fuels.</c:v>
                </c:pt>
                <c:pt idx="6">
                  <c:v>to establish a number of support measures (e.g. funding, R&amp;I, etc.) to allow for the development of new fuel solutions in maritime transport.</c:v>
                </c:pt>
              </c:strCache>
            </c:strRef>
          </c:cat>
          <c:val>
            <c:numRef>
              <c:f>Blad1!$D$878:$J$878</c:f>
              <c:numCache>
                <c:formatCode>General</c:formatCode>
                <c:ptCount val="7"/>
                <c:pt idx="0">
                  <c:v>2</c:v>
                </c:pt>
                <c:pt idx="1">
                  <c:v>3</c:v>
                </c:pt>
                <c:pt idx="2">
                  <c:v>2</c:v>
                </c:pt>
                <c:pt idx="3">
                  <c:v>4</c:v>
                </c:pt>
                <c:pt idx="4">
                  <c:v>3</c:v>
                </c:pt>
                <c:pt idx="5">
                  <c:v>3</c:v>
                </c:pt>
                <c:pt idx="6">
                  <c:v>3</c:v>
                </c:pt>
              </c:numCache>
            </c:numRef>
          </c:val>
          <c:extLst xmlns:c16r2="http://schemas.microsoft.com/office/drawing/2015/06/chart">
            <c:ext xmlns:c16="http://schemas.microsoft.com/office/drawing/2014/chart" uri="{C3380CC4-5D6E-409C-BE32-E72D297353CC}">
              <c16:uniqueId val="{00000005-9D9B-4723-87AA-D5E0974B4636}"/>
            </c:ext>
          </c:extLst>
        </c:ser>
        <c:dLbls>
          <c:showLegendKey val="0"/>
          <c:showVal val="0"/>
          <c:showCatName val="0"/>
          <c:showSerName val="0"/>
          <c:showPercent val="0"/>
          <c:showBubbleSize val="0"/>
        </c:dLbls>
        <c:gapWidth val="182"/>
        <c:axId val="81455744"/>
        <c:axId val="81510784"/>
      </c:barChart>
      <c:catAx>
        <c:axId val="81455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81510784"/>
        <c:crosses val="autoZero"/>
        <c:auto val="1"/>
        <c:lblAlgn val="ctr"/>
        <c:lblOffset val="100"/>
        <c:noMultiLvlLbl val="0"/>
      </c:catAx>
      <c:valAx>
        <c:axId val="81510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455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Reference xmlns="21100975-c74c-4c28-84ea-c41c4bf42af9" xsi:nil="true"/>
    <EC_ARES_TRANSFERRED_BY xmlns="21100975-c74c-4c28-84ea-c41c4bf42af9" xsi:nil="true"/>
    <EC_ARES_DATE_TRANSFERRED xmlns="21100975-c74c-4c28-84ea-c41c4bf42af9" xsi:nil="true"/>
    <EC_Collab_DocumentLanguage xmlns="21100975-c74c-4c28-84ea-c41c4bf42af9">EN</EC_Collab_DocumentLanguage>
    <EC_Collab_Status xmlns="21100975-c74c-4c28-84ea-c41c4bf42af9">Not Started</EC_Collab_Status>
    <EC_ARES_NUMBER xmlns="21100975-c74c-4c28-84ea-c41c4bf42af9">
      <Url xsi:nil="true"/>
      <Description xsi:nil="true"/>
    </EC_ARES_NUMBER>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3346AA54EC616E4CAC88625F9BDA7F73" ma:contentTypeVersion="4" ma:contentTypeDescription="Create a new document in this library." ma:contentTypeScope="" ma:versionID="46018e41eb6659cf71b4c1c880bc955a">
  <xsd:schema xmlns:xsd="http://www.w3.org/2001/XMLSchema" xmlns:xs="http://www.w3.org/2001/XMLSchema" xmlns:p="http://schemas.microsoft.com/office/2006/metadata/properties" xmlns:ns3="21100975-c74c-4c28-84ea-c41c4bf42af9" targetNamespace="http://schemas.microsoft.com/office/2006/metadata/properties" ma:root="true" ma:fieldsID="b02179e53de9fba1e3ff198df276a3b5" ns3:_="">
    <xsd:import namespace="21100975-c74c-4c28-84ea-c41c4bf42af9"/>
    <xsd:element name="properties">
      <xsd:complexType>
        <xsd:sequence>
          <xsd:element name="documentManagement">
            <xsd:complexType>
              <xsd:all>
                <xsd:element ref="ns3:EC_Collab_Reference" minOccurs="0"/>
                <xsd:element ref="ns3:EC_Collab_DocumentLanguage"/>
                <xsd:element ref="ns3:EC_Collab_Status"/>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100975-c74c-4c28-84ea-c41c4bf42af9"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EC_ARES_NUMBER" ma:index="15"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6" nillable="true" ma:displayName="Transferred to Ares" ma:format="DateTime" ma:hidden="true" ma:internalName="EC_ARES_DATE_TRANSFERRED">
      <xsd:simpleType>
        <xsd:restriction base="dms:DateTime"/>
      </xsd:simpleType>
    </xsd:element>
    <xsd:element name="EC_ARES_TRANSFERRED_BY" ma:index="17"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b:Source>
    <b:Tag>OEC08</b:Tag>
    <b:SourceType>Report</b:SourceType>
    <b:Guid>{9F36D870-33AB-4FF4-93F4-EE5E35713D09}</b:Guid>
    <b:Author>
      <b:Author>
        <b:Corporate>OECD</b:Corporate>
      </b:Author>
    </b:Author>
    <b:Title>Organization for Economic Cooperation and Development, Clarifying Trade Costs in Maritime Transport</b:Title>
    <b:Year>2008</b:Year>
    <b:Publisher>TAD/TC/WP(2008)10</b:Publisher>
    <b:RefOrder>58</b:RefOrder>
  </b:Source>
  <b:Source>
    <b:Tag>Hum07</b:Tag>
    <b:SourceType>JournalArticle</b:SourceType>
    <b:Guid>{6D1D087D-5B41-48EB-B838-4C8C3A2C784D}</b:Guid>
    <b:Title>Transportation costs and international trade in the second era of globalization</b:Title>
    <b:JournalName>Journal of Economic Perspectives</b:JournalName>
    <b:Year>2007</b:Year>
    <b:Pages>131 - 154</b:Pages>
    <b:Author>
      <b:Author>
        <b:NameList>
          <b:Person>
            <b:Last>Hummels</b:Last>
            <b:First>D.</b:First>
          </b:Person>
        </b:NameList>
      </b:Author>
    </b:Author>
    <b:RefOrder>59</b:RefOrder>
  </b:Source>
  <b:Source>
    <b:Tag>Oil09</b:Tag>
    <b:SourceType>Report</b:SourceType>
    <b:Guid>{25A1CC59-C6BD-434D-94D4-08ED4054E3C6}</b:Guid>
    <b:Title>Oil prices, geography and endogenous regionalism</b:Title>
    <b:Year>2009</b:Year>
    <b:Publisher>Mimeo, CEPII</b:Publisher>
    <b:City>Paris</b:City>
    <b:Author>
      <b:Author>
        <b:NameList>
          <b:Person>
            <b:Last>Mirza </b:Last>
            <b:First>D</b:First>
          </b:Person>
          <b:Person>
            <b:Last>Zitouna</b:Last>
            <b:First>H</b:First>
          </b:Person>
        </b:NameList>
      </b:Author>
    </b:Author>
    <b:RefOrder>60</b:RefOrder>
  </b:Source>
</b:Sources>
</file>

<file path=customXml/itemProps1.xml><?xml version="1.0" encoding="utf-8"?>
<ds:datastoreItem xmlns:ds="http://schemas.openxmlformats.org/officeDocument/2006/customXml" ds:itemID="{C3F3C3E6-B0C5-41F7-9A47-9CF442C7F079}">
  <ds:schemaRefs>
    <ds:schemaRef ds:uri="http://schemas.microsoft.com/sharepoint/v3/contenttype/forms"/>
  </ds:schemaRefs>
</ds:datastoreItem>
</file>

<file path=customXml/itemProps2.xml><?xml version="1.0" encoding="utf-8"?>
<ds:datastoreItem xmlns:ds="http://schemas.openxmlformats.org/officeDocument/2006/customXml" ds:itemID="{4E8BB192-5005-40B2-A27B-CF75DD67563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1100975-c74c-4c28-84ea-c41c4bf42af9"/>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6F94F6E-3061-4F2E-A44D-A7D9C4488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100975-c74c-4c28-84ea-c41c4bf42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C9C663-9581-4113-90C5-50EF0772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75613</Words>
  <Characters>405287</Characters>
  <Application>Microsoft Office Word</Application>
  <DocSecurity>0</DocSecurity>
  <Lines>16211</Lines>
  <Paragraphs>12655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cp:lastPrinted>2021-07-04T17:30:00Z</cp:lastPrinted>
  <dcterms:created xsi:type="dcterms:W3CDTF">2021-07-04T17:28:00Z</dcterms:created>
  <dcterms:modified xsi:type="dcterms:W3CDTF">2021-07-14T08:41:00Z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Level of sensitivity">
    <vt:lpwstr>Standard treatment</vt:lpwstr>
  </property>
  <property fmtid="{D5CDD505-2E9C-101B-9397-08002B2CF9AE}" pid="5" name="DocStatus">
    <vt:lpwstr>Green</vt:lpwstr>
  </property>
  <property fmtid="{D5CDD505-2E9C-101B-9397-08002B2CF9AE}" pid="6" name="Last edited using">
    <vt:lpwstr>LW 7.0.1, Build 20200226</vt:lpwstr>
  </property>
  <property fmtid="{D5CDD505-2E9C-101B-9397-08002B2CF9AE}" pid="7" name="CPTemplateID">
    <vt:lpwstr>CP-026</vt:lpwstr>
  </property>
  <property fmtid="{D5CDD505-2E9C-101B-9397-08002B2CF9AE}" pid="8" name="_LW_INVALIDATED__LW_INVALIDATED__LW_INVALIDATED_ContentTypeId">
    <vt:lpwstr>0x010100258AA79CEB83498886A3A08681123250003346AA54EC616E4CAC88625F9BDA7F73</vt:lpwstr>
  </property>
  <property name="OP_sanitized" fmtid="{D5CDD505-2E9C-101B-9397-08002B2CF9AE}" pid="9">
    <vt:lpwstr>True</vt:lpwstr>
  </property>
</Properties>
</file>