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F576E" w14:textId="5D436D9E" w:rsidR="000B7495" w:rsidRDefault="00A67FAA" w:rsidP="00A67FAA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4EA26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3C7B9FD1-A671-450F-87CD-1A448B665C6E" style="width:450.25pt;height:449.3pt">
            <v:imagedata r:id="rId13" o:title=""/>
          </v:shape>
        </w:pict>
      </w:r>
    </w:p>
    <w:bookmarkEnd w:id="0"/>
    <w:p w14:paraId="5A41E333" w14:textId="77777777" w:rsidR="000B7495" w:rsidRDefault="000B7495" w:rsidP="00E20A1F">
      <w:pPr>
        <w:jc w:val="both"/>
        <w:rPr>
          <w:noProof/>
        </w:rPr>
        <w:sectPr w:rsidR="000B7495" w:rsidSect="00A67FA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Style w:val="TableGrid"/>
        <w:tblW w:w="10188" w:type="dxa"/>
        <w:tblInd w:w="0" w:type="dxa"/>
        <w:tblLook w:val="01E0" w:firstRow="1" w:lastRow="1" w:firstColumn="1" w:lastColumn="1" w:noHBand="0" w:noVBand="0"/>
      </w:tblPr>
      <w:tblGrid>
        <w:gridCol w:w="10188"/>
      </w:tblGrid>
      <w:tr w:rsidR="000B7495" w14:paraId="5CCC3AB9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B5FD89" w14:textId="77777777" w:rsidR="000B7495" w:rsidRDefault="000B7495" w:rsidP="00E20A1F">
            <w:pPr>
              <w:spacing w:before="60" w:after="60"/>
              <w:jc w:val="both"/>
              <w:rPr>
                <w:rFonts w:ascii="Tahoma" w:hAnsi="Tahoma" w:cs="Tahoma"/>
                <w:b/>
                <w:noProof/>
              </w:rPr>
            </w:pPr>
            <w:bookmarkStart w:id="1" w:name="_GoBack"/>
            <w:bookmarkEnd w:id="1"/>
            <w:r>
              <w:rPr>
                <w:rFonts w:ascii="Tahoma" w:hAnsi="Tahoma" w:cs="Tahoma"/>
                <w:b/>
                <w:noProof/>
              </w:rPr>
              <w:lastRenderedPageBreak/>
              <w:t>Executive Summary Sheet</w:t>
            </w:r>
          </w:p>
        </w:tc>
      </w:tr>
      <w:tr w:rsidR="000B7495" w14:paraId="69649C89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14:paraId="21F5AFC3" w14:textId="77777777" w:rsidR="000B7495" w:rsidRDefault="000B7495" w:rsidP="00E20A1F">
            <w:pPr>
              <w:spacing w:before="120" w:after="120"/>
              <w:jc w:val="both"/>
              <w:rPr>
                <w:rFonts w:ascii="Tahoma" w:hAnsi="Tahoma" w:cs="Tahoma"/>
                <w:noProof/>
                <w:color w:val="FFFFFF" w:themeColor="background1"/>
              </w:rPr>
            </w:pPr>
            <w:r>
              <w:rPr>
                <w:rFonts w:ascii="Tahoma" w:hAnsi="Tahoma" w:cs="Tahoma"/>
                <w:noProof/>
                <w:color w:val="FFFFFF" w:themeColor="background1"/>
              </w:rPr>
              <w:t xml:space="preserve">Impact assessment on Proposal for a Revision of the </w:t>
            </w:r>
            <w:r w:rsidR="006B20E3">
              <w:rPr>
                <w:rFonts w:ascii="Tahoma" w:hAnsi="Tahoma" w:cs="Tahoma"/>
                <w:noProof/>
                <w:color w:val="FFFFFF" w:themeColor="background1"/>
              </w:rPr>
              <w:t xml:space="preserve">Regulation (EU) No 600/2014 </w:t>
            </w:r>
            <w:r w:rsidR="006B20E3" w:rsidRPr="006B20E3">
              <w:rPr>
                <w:rFonts w:ascii="Tahoma" w:hAnsi="Tahoma" w:cs="Tahoma"/>
                <w:noProof/>
                <w:color w:val="FFFFFF" w:themeColor="background1"/>
              </w:rPr>
              <w:t>Markets in F</w:t>
            </w:r>
            <w:r w:rsidR="006B20E3">
              <w:rPr>
                <w:rFonts w:ascii="Tahoma" w:hAnsi="Tahoma" w:cs="Tahoma"/>
                <w:noProof/>
                <w:color w:val="FFFFFF" w:themeColor="background1"/>
              </w:rPr>
              <w:t xml:space="preserve">inancial Instruments Regulation (MiFIR) </w:t>
            </w:r>
          </w:p>
        </w:tc>
      </w:tr>
      <w:tr w:rsidR="000B7495" w14:paraId="596FA1D4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D625A9" w14:textId="77777777" w:rsidR="000B7495" w:rsidRDefault="000B7495" w:rsidP="00E20A1F">
            <w:pPr>
              <w:spacing w:before="60" w:after="60"/>
              <w:jc w:val="both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A. Need for action</w:t>
            </w:r>
          </w:p>
        </w:tc>
      </w:tr>
      <w:tr w:rsidR="000B7495" w14:paraId="5E41F0BC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A02F43" w14:textId="77777777" w:rsidR="000B7495" w:rsidRDefault="000B7495" w:rsidP="00E20A1F">
            <w:pPr>
              <w:spacing w:before="60" w:after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 xml:space="preserve">Why? What is the problem being addressed? </w:t>
            </w:r>
          </w:p>
        </w:tc>
      </w:tr>
      <w:tr w:rsidR="000B7495" w14:paraId="6EDD18B6" w14:textId="77777777" w:rsidTr="006B20E3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385" w14:textId="055C4DAE" w:rsidR="006B20E3" w:rsidRPr="004D080C" w:rsidRDefault="00363A9A" w:rsidP="00D04F45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The</w:t>
            </w:r>
            <w:r w:rsidR="0045373A">
              <w:rPr>
                <w:noProof/>
              </w:rPr>
              <w:t xml:space="preserve"> </w:t>
            </w:r>
            <w:r w:rsidR="00283C25">
              <w:rPr>
                <w:noProof/>
              </w:rPr>
              <w:t>MiFIR</w:t>
            </w:r>
            <w:r>
              <w:rPr>
                <w:noProof/>
              </w:rPr>
              <w:t xml:space="preserve"> review</w:t>
            </w:r>
            <w:r w:rsidR="00283C25">
              <w:rPr>
                <w:noProof/>
              </w:rPr>
              <w:t xml:space="preserve"> tackles</w:t>
            </w:r>
            <w:r w:rsidR="00283C25" w:rsidRPr="005F2468">
              <w:rPr>
                <w:noProof/>
              </w:rPr>
              <w:t xml:space="preserve"> </w:t>
            </w:r>
            <w:r w:rsidR="002F3037">
              <w:rPr>
                <w:b/>
                <w:noProof/>
              </w:rPr>
              <w:t>three</w:t>
            </w:r>
            <w:r w:rsidR="002F3037" w:rsidRPr="008E00AC">
              <w:rPr>
                <w:b/>
                <w:noProof/>
              </w:rPr>
              <w:t xml:space="preserve"> </w:t>
            </w:r>
            <w:r w:rsidRPr="008E00AC">
              <w:rPr>
                <w:b/>
                <w:noProof/>
              </w:rPr>
              <w:t>problems</w:t>
            </w:r>
            <w:r w:rsidRPr="00AC3500">
              <w:rPr>
                <w:noProof/>
              </w:rPr>
              <w:t xml:space="preserve"> that prevail in the Union’s capital markets: (1)</w:t>
            </w:r>
            <w:r w:rsidR="007559FB">
              <w:rPr>
                <w:noProof/>
              </w:rPr>
              <w:t xml:space="preserve"> </w:t>
            </w:r>
            <w:r w:rsidR="007559FB" w:rsidRPr="004D080C">
              <w:rPr>
                <w:b/>
                <w:noProof/>
              </w:rPr>
              <w:t>liquidity and trade execution risk for all capital market participants</w:t>
            </w:r>
            <w:r w:rsidRPr="00AC3500">
              <w:rPr>
                <w:noProof/>
              </w:rPr>
              <w:t xml:space="preserve">; </w:t>
            </w:r>
            <w:r>
              <w:rPr>
                <w:noProof/>
              </w:rPr>
              <w:t xml:space="preserve">(2) </w:t>
            </w:r>
            <w:r w:rsidR="007559FB">
              <w:rPr>
                <w:b/>
                <w:noProof/>
              </w:rPr>
              <w:t>high cost in consolidated market data</w:t>
            </w:r>
            <w:r>
              <w:rPr>
                <w:noProof/>
              </w:rPr>
              <w:t>;</w:t>
            </w:r>
            <w:r w:rsidRPr="008E00AC">
              <w:rPr>
                <w:noProof/>
              </w:rPr>
              <w:t xml:space="preserve"> </w:t>
            </w:r>
            <w:r w:rsidR="00D2338F">
              <w:rPr>
                <w:noProof/>
              </w:rPr>
              <w:t xml:space="preserve">and </w:t>
            </w:r>
            <w:r w:rsidRPr="00AC3500">
              <w:rPr>
                <w:noProof/>
              </w:rPr>
              <w:t xml:space="preserve">(3) </w:t>
            </w:r>
            <w:r w:rsidR="007559FB">
              <w:rPr>
                <w:b/>
                <w:noProof/>
              </w:rPr>
              <w:t>the absence of business case for the consolidation of data</w:t>
            </w:r>
            <w:r w:rsidR="00E34994">
              <w:rPr>
                <w:noProof/>
              </w:rPr>
              <w:t>.</w:t>
            </w:r>
            <w:r w:rsidR="00283C25">
              <w:rPr>
                <w:noProof/>
              </w:rPr>
              <w:t xml:space="preserve"> </w:t>
            </w:r>
            <w:r w:rsidR="00E34994">
              <w:rPr>
                <w:noProof/>
              </w:rPr>
              <w:t>D</w:t>
            </w:r>
            <w:r w:rsidR="00283C25" w:rsidRPr="005F2468">
              <w:rPr>
                <w:noProof/>
              </w:rPr>
              <w:t xml:space="preserve">ue to </w:t>
            </w:r>
            <w:r w:rsidR="00283C25">
              <w:rPr>
                <w:noProof/>
              </w:rPr>
              <w:t xml:space="preserve">the </w:t>
            </w:r>
            <w:r w:rsidR="00283C25" w:rsidRPr="005F2468">
              <w:rPr>
                <w:noProof/>
              </w:rPr>
              <w:t xml:space="preserve">MiFID </w:t>
            </w:r>
            <w:r w:rsidR="00283C25">
              <w:rPr>
                <w:noProof/>
              </w:rPr>
              <w:t xml:space="preserve">which opened to competition </w:t>
            </w:r>
            <w:r w:rsidR="006601C3">
              <w:rPr>
                <w:noProof/>
              </w:rPr>
              <w:t xml:space="preserve">in </w:t>
            </w:r>
            <w:r w:rsidR="00283C25">
              <w:rPr>
                <w:noProof/>
              </w:rPr>
              <w:t>trading</w:t>
            </w:r>
            <w:r w:rsidR="00E34994" w:rsidRPr="005F2468">
              <w:rPr>
                <w:noProof/>
              </w:rPr>
              <w:t xml:space="preserve"> </w:t>
            </w:r>
            <w:r w:rsidR="00E34994">
              <w:rPr>
                <w:noProof/>
              </w:rPr>
              <w:t xml:space="preserve">on </w:t>
            </w:r>
            <w:r w:rsidR="00E34994" w:rsidRPr="005F2468">
              <w:rPr>
                <w:noProof/>
              </w:rPr>
              <w:t xml:space="preserve">financial instruments </w:t>
            </w:r>
            <w:r w:rsidR="00E34994">
              <w:rPr>
                <w:noProof/>
              </w:rPr>
              <w:t>(like shares, bonds and derivatives)</w:t>
            </w:r>
            <w:r w:rsidR="00283C25" w:rsidRPr="005F2468">
              <w:rPr>
                <w:noProof/>
              </w:rPr>
              <w:t xml:space="preserve">, many platforms </w:t>
            </w:r>
            <w:r w:rsidR="00390C3F">
              <w:rPr>
                <w:noProof/>
              </w:rPr>
              <w:t xml:space="preserve">now </w:t>
            </w:r>
            <w:r w:rsidR="00283C25" w:rsidRPr="005F2468">
              <w:rPr>
                <w:noProof/>
              </w:rPr>
              <w:t xml:space="preserve">trade identical </w:t>
            </w:r>
            <w:r w:rsidR="00E34994">
              <w:rPr>
                <w:noProof/>
              </w:rPr>
              <w:t>financial instruments</w:t>
            </w:r>
            <w:r w:rsidR="00B33681">
              <w:rPr>
                <w:noProof/>
              </w:rPr>
              <w:t>. This</w:t>
            </w:r>
            <w:r w:rsidR="00E34994">
              <w:rPr>
                <w:noProof/>
              </w:rPr>
              <w:t xml:space="preserve"> </w:t>
            </w:r>
            <w:r w:rsidR="002E58E6">
              <w:rPr>
                <w:noProof/>
              </w:rPr>
              <w:t>mak</w:t>
            </w:r>
            <w:r w:rsidR="00B33681">
              <w:rPr>
                <w:noProof/>
              </w:rPr>
              <w:t>es</w:t>
            </w:r>
            <w:r w:rsidR="002E58E6">
              <w:rPr>
                <w:noProof/>
              </w:rPr>
              <w:t xml:space="preserve"> the </w:t>
            </w:r>
            <w:r w:rsidR="002E58E6" w:rsidRPr="005F2468">
              <w:rPr>
                <w:noProof/>
              </w:rPr>
              <w:t xml:space="preserve">trading </w:t>
            </w:r>
            <w:r w:rsidR="00E34994">
              <w:rPr>
                <w:noProof/>
              </w:rPr>
              <w:t xml:space="preserve">cheaper but also </w:t>
            </w:r>
            <w:r w:rsidR="00390C3F">
              <w:rPr>
                <w:noProof/>
              </w:rPr>
              <w:t>scattered</w:t>
            </w:r>
            <w:r w:rsidR="00E34994" w:rsidRPr="005F2468">
              <w:rPr>
                <w:noProof/>
              </w:rPr>
              <w:t xml:space="preserve"> </w:t>
            </w:r>
            <w:r w:rsidR="00EC39BB">
              <w:rPr>
                <w:noProof/>
              </w:rPr>
              <w:t xml:space="preserve">across over </w:t>
            </w:r>
            <w:r w:rsidR="00E4061D">
              <w:rPr>
                <w:noProof/>
              </w:rPr>
              <w:t>4</w:t>
            </w:r>
            <w:r w:rsidR="00EC39BB">
              <w:rPr>
                <w:noProof/>
              </w:rPr>
              <w:t>00</w:t>
            </w:r>
            <w:r w:rsidR="00EC39BB" w:rsidRPr="00272185">
              <w:rPr>
                <w:noProof/>
              </w:rPr>
              <w:t xml:space="preserve"> </w:t>
            </w:r>
            <w:r w:rsidR="00EC39BB">
              <w:rPr>
                <w:noProof/>
              </w:rPr>
              <w:t xml:space="preserve">trading markets across </w:t>
            </w:r>
            <w:r w:rsidR="00390C3F" w:rsidRPr="005F2468">
              <w:rPr>
                <w:noProof/>
              </w:rPr>
              <w:t>the Union</w:t>
            </w:r>
            <w:r w:rsidR="00390C3F">
              <w:rPr>
                <w:noProof/>
              </w:rPr>
              <w:t>. This fragmentation</w:t>
            </w:r>
            <w:r w:rsidR="00EC39BB">
              <w:rPr>
                <w:noProof/>
              </w:rPr>
              <w:t xml:space="preserve"> </w:t>
            </w:r>
            <w:r w:rsidR="0060195E">
              <w:rPr>
                <w:noProof/>
              </w:rPr>
              <w:t>entails that t</w:t>
            </w:r>
            <w:r w:rsidR="0060195E" w:rsidRPr="005F2468">
              <w:rPr>
                <w:noProof/>
              </w:rPr>
              <w:t xml:space="preserve">he </w:t>
            </w:r>
            <w:r w:rsidR="0060195E">
              <w:rPr>
                <w:noProof/>
              </w:rPr>
              <w:t xml:space="preserve">market </w:t>
            </w:r>
            <w:r w:rsidR="0060195E" w:rsidRPr="005F2468">
              <w:rPr>
                <w:noProof/>
              </w:rPr>
              <w:t xml:space="preserve">data </w:t>
            </w:r>
            <w:r w:rsidR="0060195E">
              <w:rPr>
                <w:noProof/>
              </w:rPr>
              <w:t xml:space="preserve">needed by investors to </w:t>
            </w:r>
            <w:r w:rsidR="00693F2C">
              <w:rPr>
                <w:noProof/>
              </w:rPr>
              <w:t>base their trading decisions upon</w:t>
            </w:r>
            <w:r w:rsidR="0060195E">
              <w:rPr>
                <w:noProof/>
              </w:rPr>
              <w:t xml:space="preserve"> </w:t>
            </w:r>
            <w:r w:rsidR="008D4393">
              <w:rPr>
                <w:noProof/>
              </w:rPr>
              <w:t>i</w:t>
            </w:r>
            <w:r w:rsidR="0060195E" w:rsidRPr="005F2468">
              <w:rPr>
                <w:noProof/>
              </w:rPr>
              <w:t xml:space="preserve">s </w:t>
            </w:r>
            <w:r w:rsidR="00390C3F">
              <w:rPr>
                <w:noProof/>
              </w:rPr>
              <w:t xml:space="preserve">also </w:t>
            </w:r>
            <w:r w:rsidR="0060195E" w:rsidRPr="005F2468">
              <w:rPr>
                <w:noProof/>
              </w:rPr>
              <w:t>scattered</w:t>
            </w:r>
            <w:r w:rsidR="00693F2C">
              <w:rPr>
                <w:noProof/>
              </w:rPr>
              <w:t>. O</w:t>
            </w:r>
            <w:r w:rsidR="00283C25" w:rsidRPr="005F2468">
              <w:rPr>
                <w:noProof/>
              </w:rPr>
              <w:t xml:space="preserve">nly the </w:t>
            </w:r>
            <w:r w:rsidR="00283C25" w:rsidRPr="00201D65">
              <w:rPr>
                <w:b/>
                <w:noProof/>
              </w:rPr>
              <w:t>most sophisticated market professionals</w:t>
            </w:r>
            <w:r w:rsidR="00283C25">
              <w:rPr>
                <w:noProof/>
              </w:rPr>
              <w:t xml:space="preserve"> </w:t>
            </w:r>
            <w:r w:rsidR="00283C25" w:rsidRPr="005F2468">
              <w:rPr>
                <w:noProof/>
              </w:rPr>
              <w:t>(high frequency traders</w:t>
            </w:r>
            <w:r w:rsidR="007C0080">
              <w:rPr>
                <w:noProof/>
              </w:rPr>
              <w:t xml:space="preserve"> </w:t>
            </w:r>
            <w:r w:rsidR="00283C25" w:rsidRPr="005F2468">
              <w:rPr>
                <w:noProof/>
              </w:rPr>
              <w:t xml:space="preserve">and major </w:t>
            </w:r>
            <w:r w:rsidR="00693F2C">
              <w:rPr>
                <w:noProof/>
              </w:rPr>
              <w:t xml:space="preserve">investment </w:t>
            </w:r>
            <w:r w:rsidR="00283C25" w:rsidRPr="005F2468">
              <w:rPr>
                <w:noProof/>
              </w:rPr>
              <w:t xml:space="preserve">banks) have </w:t>
            </w:r>
            <w:r w:rsidR="00283C25">
              <w:rPr>
                <w:noProof/>
              </w:rPr>
              <w:t>the means to buy</w:t>
            </w:r>
            <w:r w:rsidR="00031347">
              <w:rPr>
                <w:noProof/>
              </w:rPr>
              <w:t xml:space="preserve">. </w:t>
            </w:r>
            <w:r w:rsidR="00201D65" w:rsidRPr="00201D65">
              <w:rPr>
                <w:b/>
                <w:noProof/>
              </w:rPr>
              <w:t>M</w:t>
            </w:r>
            <w:r w:rsidR="006B20E3" w:rsidRPr="00201D65">
              <w:rPr>
                <w:b/>
                <w:noProof/>
              </w:rPr>
              <w:t>ost ordinary investors</w:t>
            </w:r>
            <w:r w:rsidR="00693F2C">
              <w:rPr>
                <w:b/>
                <w:noProof/>
              </w:rPr>
              <w:t xml:space="preserve"> and their brokers</w:t>
            </w:r>
            <w:r w:rsidR="006B20E3" w:rsidRPr="005F2468">
              <w:rPr>
                <w:noProof/>
              </w:rPr>
              <w:t xml:space="preserve"> </w:t>
            </w:r>
            <w:r w:rsidR="00031347">
              <w:rPr>
                <w:noProof/>
              </w:rPr>
              <w:t>have no comprehensive view of</w:t>
            </w:r>
            <w:r w:rsidR="008D4393">
              <w:rPr>
                <w:noProof/>
              </w:rPr>
              <w:t xml:space="preserve"> EU</w:t>
            </w:r>
            <w:r w:rsidR="00031347">
              <w:rPr>
                <w:noProof/>
              </w:rPr>
              <w:t xml:space="preserve"> trading markets </w:t>
            </w:r>
            <w:r w:rsidR="006B20E3">
              <w:rPr>
                <w:noProof/>
              </w:rPr>
              <w:t xml:space="preserve">and </w:t>
            </w:r>
            <w:r w:rsidR="007C0080">
              <w:rPr>
                <w:noProof/>
              </w:rPr>
              <w:t xml:space="preserve">often </w:t>
            </w:r>
            <w:r w:rsidR="006B20E3" w:rsidRPr="005F2468">
              <w:rPr>
                <w:noProof/>
              </w:rPr>
              <w:t xml:space="preserve">take </w:t>
            </w:r>
            <w:r w:rsidR="006B20E3">
              <w:rPr>
                <w:noProof/>
              </w:rPr>
              <w:t xml:space="preserve">investment </w:t>
            </w:r>
            <w:r w:rsidR="006B20E3" w:rsidRPr="005F2468">
              <w:rPr>
                <w:noProof/>
              </w:rPr>
              <w:t xml:space="preserve">decisions </w:t>
            </w:r>
            <w:r w:rsidR="00DB2F35" w:rsidRPr="005F2468">
              <w:rPr>
                <w:noProof/>
              </w:rPr>
              <w:t>based on</w:t>
            </w:r>
            <w:r w:rsidR="006B20E3" w:rsidRPr="005F2468">
              <w:rPr>
                <w:noProof/>
              </w:rPr>
              <w:t xml:space="preserve"> a partial view of the market.</w:t>
            </w:r>
            <w:r w:rsidR="00EC39BB">
              <w:rPr>
                <w:noProof/>
              </w:rPr>
              <w:t xml:space="preserve"> </w:t>
            </w:r>
          </w:p>
        </w:tc>
      </w:tr>
      <w:tr w:rsidR="000B7495" w14:paraId="1CA2F8AF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09DE54" w14:textId="77777777" w:rsidR="000B7495" w:rsidRDefault="000B7495" w:rsidP="00E20A1F">
            <w:pPr>
              <w:spacing w:before="60" w:after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 xml:space="preserve">What is this initiative expected to achieve? </w:t>
            </w:r>
          </w:p>
        </w:tc>
      </w:tr>
      <w:tr w:rsidR="006B20E3" w14:paraId="195B7CA0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25F2" w14:textId="3CE9E120" w:rsidR="006B20E3" w:rsidRPr="00EE297E" w:rsidRDefault="009C0192" w:rsidP="00D04F45">
            <w:pPr>
              <w:ind w:right="-29"/>
              <w:jc w:val="both"/>
              <w:rPr>
                <w:noProof/>
              </w:rPr>
            </w:pPr>
            <w:r w:rsidRPr="00C41E06">
              <w:rPr>
                <w:noProof/>
              </w:rPr>
              <w:t>Although MiFIR</w:t>
            </w:r>
            <w:r>
              <w:rPr>
                <w:noProof/>
              </w:rPr>
              <w:t xml:space="preserve"> already includes</w:t>
            </w:r>
            <w:r w:rsidRPr="00C41E06">
              <w:rPr>
                <w:noProof/>
              </w:rPr>
              <w:t xml:space="preserve"> a </w:t>
            </w:r>
            <w:r>
              <w:rPr>
                <w:noProof/>
              </w:rPr>
              <w:t xml:space="preserve">basic </w:t>
            </w:r>
            <w:r w:rsidRPr="00C41E06">
              <w:rPr>
                <w:noProof/>
              </w:rPr>
              <w:t xml:space="preserve">framework for a </w:t>
            </w:r>
            <w:r w:rsidR="005C1773" w:rsidRPr="000B4DB3">
              <w:rPr>
                <w:b/>
                <w:noProof/>
              </w:rPr>
              <w:t>consolidated tape</w:t>
            </w:r>
            <w:r w:rsidR="005C1773" w:rsidRPr="00C86178">
              <w:rPr>
                <w:noProof/>
              </w:rPr>
              <w:t xml:space="preserve"> </w:t>
            </w:r>
            <w:r w:rsidR="005C1773" w:rsidRPr="00272185">
              <w:rPr>
                <w:noProof/>
              </w:rPr>
              <w:t>(CT</w:t>
            </w:r>
            <w:r w:rsidR="005C1773">
              <w:rPr>
                <w:noProof/>
              </w:rPr>
              <w:t xml:space="preserve"> or tape</w:t>
            </w:r>
            <w:r w:rsidR="005C1773" w:rsidRPr="00272185">
              <w:rPr>
                <w:noProof/>
              </w:rPr>
              <w:t>)</w:t>
            </w:r>
            <w:r w:rsidRPr="00C41E06">
              <w:rPr>
                <w:noProof/>
              </w:rPr>
              <w:t>, no provider</w:t>
            </w:r>
            <w:r w:rsidRPr="00B71BF0">
              <w:rPr>
                <w:noProof/>
              </w:rPr>
              <w:t xml:space="preserve"> of a consolidated tape has emerged </w:t>
            </w:r>
            <w:r>
              <w:rPr>
                <w:noProof/>
              </w:rPr>
              <w:t>for</w:t>
            </w:r>
            <w:r w:rsidRPr="00B71BF0">
              <w:rPr>
                <w:noProof/>
              </w:rPr>
              <w:t xml:space="preserve"> any asset classes</w:t>
            </w:r>
            <w:r>
              <w:rPr>
                <w:noProof/>
              </w:rPr>
              <w:t xml:space="preserve"> because there is no</w:t>
            </w:r>
            <w:r w:rsidRPr="00B71BF0">
              <w:rPr>
                <w:noProof/>
              </w:rPr>
              <w:t xml:space="preserve"> commercial rewards</w:t>
            </w:r>
            <w:r>
              <w:rPr>
                <w:noProof/>
              </w:rPr>
              <w:t xml:space="preserve">, a </w:t>
            </w:r>
            <w:r w:rsidRPr="00B71BF0">
              <w:rPr>
                <w:noProof/>
              </w:rPr>
              <w:t xml:space="preserve">need to conclude individual licensing arrangements </w:t>
            </w:r>
            <w:r>
              <w:rPr>
                <w:noProof/>
              </w:rPr>
              <w:t xml:space="preserve">and there is </w:t>
            </w:r>
            <w:r w:rsidRPr="00B71BF0">
              <w:rPr>
                <w:noProof/>
              </w:rPr>
              <w:t>insufficient transaction data quality</w:t>
            </w:r>
            <w:r>
              <w:rPr>
                <w:noProof/>
              </w:rPr>
              <w:t xml:space="preserve">. </w:t>
            </w:r>
            <w:r w:rsidR="009F25FE">
              <w:rPr>
                <w:noProof/>
              </w:rPr>
              <w:t>T</w:t>
            </w:r>
            <w:r w:rsidR="006B20E3">
              <w:rPr>
                <w:noProof/>
              </w:rPr>
              <w:t xml:space="preserve">he </w:t>
            </w:r>
            <w:r w:rsidR="006B20E3" w:rsidRPr="00C86178">
              <w:rPr>
                <w:noProof/>
              </w:rPr>
              <w:t xml:space="preserve">Commission </w:t>
            </w:r>
            <w:r w:rsidR="009F25FE">
              <w:rPr>
                <w:noProof/>
              </w:rPr>
              <w:t>intend</w:t>
            </w:r>
            <w:r w:rsidR="004F249C">
              <w:rPr>
                <w:noProof/>
              </w:rPr>
              <w:t>s</w:t>
            </w:r>
            <w:r w:rsidR="009F25FE">
              <w:rPr>
                <w:noProof/>
              </w:rPr>
              <w:t xml:space="preserve"> to </w:t>
            </w:r>
            <w:r w:rsidR="00173D10">
              <w:rPr>
                <w:noProof/>
              </w:rPr>
              <w:t>amend MiFIR to</w:t>
            </w:r>
            <w:r w:rsidR="003A4239">
              <w:rPr>
                <w:noProof/>
              </w:rPr>
              <w:t xml:space="preserve"> </w:t>
            </w:r>
            <w:r w:rsidR="009F25FE">
              <w:rPr>
                <w:noProof/>
              </w:rPr>
              <w:t>achieve</w:t>
            </w:r>
            <w:r w:rsidR="006B20E3" w:rsidRPr="00C86178">
              <w:rPr>
                <w:noProof/>
              </w:rPr>
              <w:t xml:space="preserve"> the </w:t>
            </w:r>
            <w:r w:rsidR="00654DE0" w:rsidRPr="00C86178">
              <w:rPr>
                <w:noProof/>
              </w:rPr>
              <w:t xml:space="preserve">effective </w:t>
            </w:r>
            <w:r w:rsidR="006B20E3" w:rsidRPr="00C86178">
              <w:rPr>
                <w:noProof/>
              </w:rPr>
              <w:t xml:space="preserve">creation of a </w:t>
            </w:r>
            <w:r w:rsidR="005C1773" w:rsidRPr="00C41E06">
              <w:rPr>
                <w:noProof/>
              </w:rPr>
              <w:t>CT</w:t>
            </w:r>
            <w:r w:rsidR="006B20E3" w:rsidRPr="000B4DB3">
              <w:rPr>
                <w:b/>
                <w:noProof/>
              </w:rPr>
              <w:t xml:space="preserve"> </w:t>
            </w:r>
            <w:r w:rsidR="0090289B">
              <w:rPr>
                <w:noProof/>
              </w:rPr>
              <w:t xml:space="preserve">that </w:t>
            </w:r>
            <w:r w:rsidR="0036799B" w:rsidRPr="00272185">
              <w:rPr>
                <w:noProof/>
              </w:rPr>
              <w:t xml:space="preserve">aims to </w:t>
            </w:r>
            <w:r w:rsidR="00EE297E">
              <w:rPr>
                <w:noProof/>
              </w:rPr>
              <w:t>reduce liquidity and trade execution risk for all market participants</w:t>
            </w:r>
            <w:r w:rsidR="0090289B">
              <w:rPr>
                <w:noProof/>
              </w:rPr>
              <w:t xml:space="preserve">. </w:t>
            </w:r>
            <w:r w:rsidR="00104C16">
              <w:rPr>
                <w:noProof/>
              </w:rPr>
              <w:t>To this end, the</w:t>
            </w:r>
            <w:r w:rsidR="0090289B">
              <w:rPr>
                <w:noProof/>
              </w:rPr>
              <w:t xml:space="preserve"> new framework should aim at improving </w:t>
            </w:r>
            <w:r w:rsidR="00EE297E">
              <w:rPr>
                <w:noProof/>
              </w:rPr>
              <w:t xml:space="preserve">market data quality and </w:t>
            </w:r>
            <w:r w:rsidR="00104C16">
              <w:rPr>
                <w:noProof/>
              </w:rPr>
              <w:t>paving the way for</w:t>
            </w:r>
            <w:r w:rsidR="00EE297E">
              <w:rPr>
                <w:noProof/>
              </w:rPr>
              <w:t xml:space="preserve"> market data consolidation on the one hand</w:t>
            </w:r>
            <w:r w:rsidR="00104C16">
              <w:rPr>
                <w:noProof/>
              </w:rPr>
              <w:t>. It should on the other e</w:t>
            </w:r>
            <w:r w:rsidR="00EE297E">
              <w:rPr>
                <w:noProof/>
              </w:rPr>
              <w:t xml:space="preserve">nd </w:t>
            </w:r>
            <w:r w:rsidR="00104C16">
              <w:rPr>
                <w:noProof/>
              </w:rPr>
              <w:t>facilitate</w:t>
            </w:r>
            <w:r w:rsidR="0090289B">
              <w:rPr>
                <w:noProof/>
              </w:rPr>
              <w:t xml:space="preserve"> </w:t>
            </w:r>
            <w:r w:rsidR="00EE297E">
              <w:rPr>
                <w:noProof/>
              </w:rPr>
              <w:t xml:space="preserve">market data licensing </w:t>
            </w:r>
            <w:r w:rsidR="0090289B">
              <w:rPr>
                <w:noProof/>
              </w:rPr>
              <w:t>and</w:t>
            </w:r>
            <w:r w:rsidR="00EE297E">
              <w:rPr>
                <w:noProof/>
              </w:rPr>
              <w:t xml:space="preserve"> </w:t>
            </w:r>
            <w:r w:rsidR="00104C16">
              <w:rPr>
                <w:noProof/>
              </w:rPr>
              <w:t>provide</w:t>
            </w:r>
            <w:r w:rsidR="00EE297E">
              <w:rPr>
                <w:noProof/>
              </w:rPr>
              <w:t xml:space="preserve"> a business case of </w:t>
            </w:r>
            <w:r w:rsidR="0090289B">
              <w:rPr>
                <w:noProof/>
              </w:rPr>
              <w:t>consolidation</w:t>
            </w:r>
            <w:r w:rsidR="00EE297E">
              <w:rPr>
                <w:noProof/>
              </w:rPr>
              <w:t xml:space="preserve"> of market data. </w:t>
            </w:r>
          </w:p>
        </w:tc>
      </w:tr>
      <w:tr w:rsidR="006B20E3" w14:paraId="5F8B05DE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C8B314" w14:textId="77777777" w:rsidR="006B20E3" w:rsidRDefault="006B20E3" w:rsidP="00E20A1F">
            <w:pPr>
              <w:spacing w:before="60" w:after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What is the value added of action at EU level?</w:t>
            </w:r>
            <w:r>
              <w:rPr>
                <w:rFonts w:ascii="Tahoma" w:hAnsi="Tahoma" w:cs="Tahoma"/>
                <w:noProof/>
              </w:rPr>
              <w:t xml:space="preserve"> </w:t>
            </w:r>
          </w:p>
        </w:tc>
      </w:tr>
      <w:tr w:rsidR="006B20E3" w14:paraId="3717E9F8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FC4C" w14:textId="366FC906" w:rsidR="006B20E3" w:rsidRPr="00921795" w:rsidRDefault="006B20E3" w:rsidP="00DB2F35">
            <w:pPr>
              <w:ind w:right="-29"/>
              <w:jc w:val="both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AE6BA3">
              <w:rPr>
                <w:noProof/>
              </w:rPr>
              <w:t>tape</w:t>
            </w:r>
            <w:r>
              <w:rPr>
                <w:noProof/>
              </w:rPr>
              <w:t xml:space="preserve"> consolidates core market data for a given financial instrument that is traded across several venues in the Union. A CT </w:t>
            </w:r>
            <w:r w:rsidRPr="00272185">
              <w:rPr>
                <w:noProof/>
              </w:rPr>
              <w:t xml:space="preserve">is </w:t>
            </w:r>
            <w:r>
              <w:rPr>
                <w:noProof/>
              </w:rPr>
              <w:t xml:space="preserve">therefore designed </w:t>
            </w:r>
            <w:r w:rsidRPr="00272185">
              <w:rPr>
                <w:noProof/>
              </w:rPr>
              <w:t xml:space="preserve">to </w:t>
            </w:r>
            <w:r w:rsidR="00DB2F35">
              <w:rPr>
                <w:noProof/>
              </w:rPr>
              <w:t>increase transparency and</w:t>
            </w:r>
            <w:r w:rsidR="00AA4855">
              <w:rPr>
                <w:noProof/>
              </w:rPr>
              <w:t xml:space="preserve"> confidence in the </w:t>
            </w:r>
            <w:r w:rsidR="00DB2F35">
              <w:rPr>
                <w:noProof/>
              </w:rPr>
              <w:t>Union’s market and to democratise access to core market data</w:t>
            </w:r>
            <w:r>
              <w:rPr>
                <w:noProof/>
              </w:rPr>
              <w:t xml:space="preserve">. </w:t>
            </w:r>
            <w:r w:rsidR="0036799B">
              <w:rPr>
                <w:noProof/>
              </w:rPr>
              <w:t>Because of the</w:t>
            </w:r>
            <w:r w:rsidR="0036799B" w:rsidRPr="00040D6B">
              <w:rPr>
                <w:noProof/>
              </w:rPr>
              <w:t xml:space="preserve"> direct applicability across the Union, </w:t>
            </w:r>
            <w:r w:rsidR="0036799B">
              <w:rPr>
                <w:noProof/>
              </w:rPr>
              <w:t>the set-up of a tape</w:t>
            </w:r>
            <w:r w:rsidR="0036799B" w:rsidRPr="00040D6B">
              <w:rPr>
                <w:noProof/>
              </w:rPr>
              <w:t xml:space="preserve"> would be swifter and more efficient than if similar initiatives were undertaken on Me</w:t>
            </w:r>
            <w:r w:rsidR="0036799B">
              <w:rPr>
                <w:noProof/>
              </w:rPr>
              <w:t>m</w:t>
            </w:r>
            <w:r w:rsidR="0036799B" w:rsidRPr="00040D6B">
              <w:rPr>
                <w:noProof/>
              </w:rPr>
              <w:t>ber State level.</w:t>
            </w:r>
          </w:p>
        </w:tc>
      </w:tr>
      <w:tr w:rsidR="006B20E3" w14:paraId="266B0396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B779A66" w14:textId="77777777" w:rsidR="006B20E3" w:rsidRDefault="006B20E3" w:rsidP="00E20A1F">
            <w:pPr>
              <w:spacing w:before="60" w:after="60"/>
              <w:jc w:val="both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B. Solutions</w:t>
            </w:r>
          </w:p>
        </w:tc>
      </w:tr>
      <w:tr w:rsidR="006B20E3" w14:paraId="1CA678EF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27564BC" w14:textId="77777777" w:rsidR="006B20E3" w:rsidRDefault="006B20E3" w:rsidP="00E20A1F">
            <w:pPr>
              <w:spacing w:before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What legislative and non-legislative policy options have been considered? Is there a preferred option or not? Why?</w:t>
            </w:r>
            <w:r>
              <w:rPr>
                <w:rFonts w:ascii="Tahoma" w:hAnsi="Tahoma" w:cs="Tahoma"/>
                <w:noProof/>
              </w:rPr>
              <w:t xml:space="preserve"> </w:t>
            </w:r>
          </w:p>
        </w:tc>
      </w:tr>
      <w:tr w:rsidR="006B20E3" w14:paraId="2E3A7F22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A0AF" w14:textId="7428675E" w:rsidR="0036799B" w:rsidRDefault="007F6761" w:rsidP="00E20A1F">
            <w:pPr>
              <w:jc w:val="both"/>
              <w:rPr>
                <w:noProof/>
              </w:rPr>
            </w:pPr>
            <w:r>
              <w:rPr>
                <w:noProof/>
              </w:rPr>
              <w:t>T</w:t>
            </w:r>
            <w:r w:rsidR="007D64CD">
              <w:rPr>
                <w:noProof/>
              </w:rPr>
              <w:t>wo sets of</w:t>
            </w:r>
            <w:r>
              <w:rPr>
                <w:noProof/>
              </w:rPr>
              <w:t xml:space="preserve"> options are explored</w:t>
            </w:r>
            <w:r w:rsidR="00A222D6">
              <w:rPr>
                <w:noProof/>
              </w:rPr>
              <w:t xml:space="preserve"> in the report, all accompanied by l</w:t>
            </w:r>
            <w:r w:rsidR="001A4B1A" w:rsidRPr="000B4DB3">
              <w:rPr>
                <w:noProof/>
              </w:rPr>
              <w:t>evel 2 measure</w:t>
            </w:r>
            <w:r w:rsidRPr="000B4DB3">
              <w:rPr>
                <w:noProof/>
              </w:rPr>
              <w:t xml:space="preserve"> </w:t>
            </w:r>
            <w:r w:rsidR="001A4B1A" w:rsidRPr="00456F2D">
              <w:rPr>
                <w:b/>
                <w:noProof/>
              </w:rPr>
              <w:t>harmonis</w:t>
            </w:r>
            <w:r w:rsidR="00A222D6" w:rsidRPr="00456F2D">
              <w:rPr>
                <w:b/>
                <w:noProof/>
              </w:rPr>
              <w:t>ing</w:t>
            </w:r>
            <w:r w:rsidR="001A4B1A" w:rsidRPr="00456F2D">
              <w:rPr>
                <w:b/>
                <w:noProof/>
              </w:rPr>
              <w:t xml:space="preserve"> the market data fields</w:t>
            </w:r>
            <w:r w:rsidR="001A4B1A" w:rsidRPr="000B4DB3">
              <w:rPr>
                <w:noProof/>
              </w:rPr>
              <w:t xml:space="preserve"> for </w:t>
            </w:r>
            <w:r w:rsidR="00C23630" w:rsidRPr="00456F2D">
              <w:rPr>
                <w:b/>
                <w:noProof/>
              </w:rPr>
              <w:t>mandatory contributions</w:t>
            </w:r>
            <w:r w:rsidR="00C23630" w:rsidRPr="000B4DB3">
              <w:rPr>
                <w:noProof/>
              </w:rPr>
              <w:t xml:space="preserve"> </w:t>
            </w:r>
            <w:r w:rsidR="006B6891" w:rsidRPr="00456F2D">
              <w:rPr>
                <w:b/>
                <w:noProof/>
              </w:rPr>
              <w:t>for free</w:t>
            </w:r>
            <w:r w:rsidR="006B6891">
              <w:rPr>
                <w:noProof/>
              </w:rPr>
              <w:t xml:space="preserve"> </w:t>
            </w:r>
            <w:r w:rsidR="00C23630" w:rsidRPr="00C23630">
              <w:rPr>
                <w:noProof/>
              </w:rPr>
              <w:t xml:space="preserve">by all execution platforms that offer trading in or trade in </w:t>
            </w:r>
            <w:r w:rsidR="001A4B1A" w:rsidRPr="000B4DB3">
              <w:rPr>
                <w:noProof/>
              </w:rPr>
              <w:t>of “reportable securities”</w:t>
            </w:r>
            <w:r w:rsidR="001A4B1A">
              <w:rPr>
                <w:noProof/>
              </w:rPr>
              <w:t>.</w:t>
            </w:r>
          </w:p>
          <w:p w14:paraId="787776C7" w14:textId="32AAB7A1" w:rsidR="00787BE1" w:rsidRPr="00787BE1" w:rsidRDefault="00787BE1" w:rsidP="00E20A1F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1. </w:t>
            </w:r>
            <w:r w:rsidRPr="00787BE1">
              <w:rPr>
                <w:b/>
                <w:noProof/>
              </w:rPr>
              <w:t>Options to improve market data quality/facilitate market data consolidation</w:t>
            </w:r>
            <w:r w:rsidR="00AB52AC">
              <w:rPr>
                <w:b/>
                <w:noProof/>
              </w:rPr>
              <w:t xml:space="preserve"> (“consolidation options”)</w:t>
            </w:r>
          </w:p>
          <w:p w14:paraId="603183D0" w14:textId="5B170668" w:rsidR="00D65564" w:rsidRDefault="00E8431C" w:rsidP="00E20A1F">
            <w:pPr>
              <w:jc w:val="both"/>
              <w:rPr>
                <w:i/>
                <w:noProof/>
                <w:u w:val="single"/>
              </w:rPr>
            </w:pPr>
            <w:r w:rsidRPr="00C919B2">
              <w:rPr>
                <w:i/>
                <w:noProof/>
                <w:u w:val="single"/>
              </w:rPr>
              <w:t xml:space="preserve">Option </w:t>
            </w:r>
            <w:r w:rsidR="004C5BAD">
              <w:rPr>
                <w:i/>
                <w:noProof/>
                <w:u w:val="single"/>
              </w:rPr>
              <w:t>1.</w:t>
            </w:r>
            <w:r w:rsidRPr="00C919B2">
              <w:rPr>
                <w:i/>
                <w:noProof/>
                <w:u w:val="single"/>
              </w:rPr>
              <w:t>1</w:t>
            </w:r>
            <w:r>
              <w:rPr>
                <w:i/>
                <w:noProof/>
                <w:u w:val="single"/>
              </w:rPr>
              <w:t xml:space="preserve"> </w:t>
            </w:r>
            <w:r w:rsidR="00D65564">
              <w:rPr>
                <w:i/>
                <w:noProof/>
                <w:u w:val="single"/>
              </w:rPr>
              <w:t>(self-aggregation)</w:t>
            </w:r>
            <w:r w:rsidR="00880A4F">
              <w:rPr>
                <w:noProof/>
              </w:rPr>
              <w:t>:</w:t>
            </w:r>
            <w:r w:rsidR="000B4DB3">
              <w:rPr>
                <w:noProof/>
              </w:rPr>
              <w:t xml:space="preserve"> </w:t>
            </w:r>
            <w:r w:rsidR="00774F60">
              <w:rPr>
                <w:noProof/>
              </w:rPr>
              <w:t xml:space="preserve">market participants </w:t>
            </w:r>
            <w:r w:rsidR="00A222D6">
              <w:rPr>
                <w:noProof/>
              </w:rPr>
              <w:t xml:space="preserve">would be able to </w:t>
            </w:r>
            <w:r w:rsidR="00774F60">
              <w:rPr>
                <w:noProof/>
              </w:rPr>
              <w:t>registe</w:t>
            </w:r>
            <w:r w:rsidR="00A222D6">
              <w:rPr>
                <w:noProof/>
              </w:rPr>
              <w:t>r</w:t>
            </w:r>
            <w:r w:rsidR="00774F60">
              <w:rPr>
                <w:noProof/>
              </w:rPr>
              <w:t xml:space="preserve"> </w:t>
            </w:r>
            <w:r w:rsidR="00A222D6">
              <w:rPr>
                <w:noProof/>
              </w:rPr>
              <w:t xml:space="preserve">with ESMA </w:t>
            </w:r>
            <w:r w:rsidR="00774F60">
              <w:rPr>
                <w:noProof/>
              </w:rPr>
              <w:t>as</w:t>
            </w:r>
            <w:r w:rsidR="000B4DB3" w:rsidRPr="000B4DB3">
              <w:rPr>
                <w:noProof/>
              </w:rPr>
              <w:t xml:space="preserve"> </w:t>
            </w:r>
            <w:r w:rsidR="000B4DB3" w:rsidRPr="00456F2D">
              <w:rPr>
                <w:b/>
                <w:noProof/>
              </w:rPr>
              <w:t>self-aggregators</w:t>
            </w:r>
            <w:r w:rsidR="007222A5">
              <w:rPr>
                <w:noProof/>
              </w:rPr>
              <w:t xml:space="preserve">. This </w:t>
            </w:r>
            <w:r w:rsidR="00456F2D">
              <w:rPr>
                <w:noProof/>
              </w:rPr>
              <w:t xml:space="preserve">would </w:t>
            </w:r>
            <w:r w:rsidR="00A222D6">
              <w:rPr>
                <w:noProof/>
              </w:rPr>
              <w:t>enabl</w:t>
            </w:r>
            <w:r w:rsidR="007222A5">
              <w:rPr>
                <w:noProof/>
              </w:rPr>
              <w:t>e</w:t>
            </w:r>
            <w:r w:rsidR="00A222D6">
              <w:rPr>
                <w:noProof/>
              </w:rPr>
              <w:t xml:space="preserve"> them to</w:t>
            </w:r>
            <w:r w:rsidR="00774F60">
              <w:rPr>
                <w:noProof/>
              </w:rPr>
              <w:t xml:space="preserve"> collect and consolidate </w:t>
            </w:r>
            <w:r w:rsidR="007222A5">
              <w:rPr>
                <w:noProof/>
              </w:rPr>
              <w:t xml:space="preserve">market data for their own </w:t>
            </w:r>
            <w:r w:rsidR="00E4061D">
              <w:rPr>
                <w:noProof/>
              </w:rPr>
              <w:t xml:space="preserve">internal </w:t>
            </w:r>
            <w:r w:rsidR="007222A5">
              <w:rPr>
                <w:noProof/>
              </w:rPr>
              <w:t>use</w:t>
            </w:r>
            <w:r w:rsidR="003D417F">
              <w:rPr>
                <w:noProof/>
              </w:rPr>
              <w:t xml:space="preserve"> directly at their own data centre</w:t>
            </w:r>
            <w:r w:rsidR="007222A5">
              <w:rPr>
                <w:noProof/>
              </w:rPr>
              <w:t>.</w:t>
            </w:r>
          </w:p>
          <w:p w14:paraId="3D052B0B" w14:textId="5FF0B90D" w:rsidR="00D65564" w:rsidRDefault="00D65564" w:rsidP="00E20A1F">
            <w:pPr>
              <w:jc w:val="both"/>
              <w:rPr>
                <w:i/>
                <w:noProof/>
                <w:u w:val="single"/>
              </w:rPr>
            </w:pPr>
            <w:r>
              <w:rPr>
                <w:i/>
                <w:noProof/>
                <w:u w:val="single"/>
              </w:rPr>
              <w:t xml:space="preserve">Option </w:t>
            </w:r>
            <w:r w:rsidR="004C5BAD">
              <w:rPr>
                <w:i/>
                <w:noProof/>
                <w:u w:val="single"/>
              </w:rPr>
              <w:t>1.</w:t>
            </w:r>
            <w:r>
              <w:rPr>
                <w:i/>
                <w:noProof/>
                <w:u w:val="single"/>
              </w:rPr>
              <w:t>2 (competing consolidators)</w:t>
            </w:r>
            <w:r w:rsidR="001A2D45" w:rsidRPr="001A2D45">
              <w:rPr>
                <w:noProof/>
              </w:rPr>
              <w:t>:</w:t>
            </w:r>
            <w:r w:rsidR="00C23630">
              <w:rPr>
                <w:noProof/>
              </w:rPr>
              <w:t xml:space="preserve"> </w:t>
            </w:r>
            <w:r w:rsidR="00C23630" w:rsidRPr="00456F2D">
              <w:rPr>
                <w:b/>
                <w:noProof/>
              </w:rPr>
              <w:t>competing market data consolidators</w:t>
            </w:r>
            <w:r w:rsidR="001A2D45">
              <w:rPr>
                <w:noProof/>
              </w:rPr>
              <w:t xml:space="preserve"> registered with ESMA</w:t>
            </w:r>
            <w:r w:rsidR="00C23630" w:rsidRPr="00C23630">
              <w:rPr>
                <w:noProof/>
              </w:rPr>
              <w:t xml:space="preserve"> w</w:t>
            </w:r>
            <w:r w:rsidR="001A2D45">
              <w:rPr>
                <w:noProof/>
              </w:rPr>
              <w:t>ould</w:t>
            </w:r>
            <w:r w:rsidR="00C23630" w:rsidRPr="00C23630">
              <w:rPr>
                <w:noProof/>
              </w:rPr>
              <w:t xml:space="preserve"> collect market data and consolidate </w:t>
            </w:r>
            <w:r w:rsidR="001A2D45">
              <w:rPr>
                <w:noProof/>
              </w:rPr>
              <w:t>i</w:t>
            </w:r>
            <w:r w:rsidR="00C23630" w:rsidRPr="00C23630">
              <w:rPr>
                <w:noProof/>
              </w:rPr>
              <w:t>t directly at their subscriber’s data centre (decentralised consolidation)</w:t>
            </w:r>
            <w:r w:rsidR="00B364A0">
              <w:rPr>
                <w:noProof/>
              </w:rPr>
              <w:t xml:space="preserve"> allowing a lower data latency</w:t>
            </w:r>
            <w:r w:rsidR="00C23630" w:rsidRPr="00C23630">
              <w:rPr>
                <w:noProof/>
              </w:rPr>
              <w:t>.</w:t>
            </w:r>
          </w:p>
          <w:p w14:paraId="72C2ED66" w14:textId="7A94935A" w:rsidR="00E8431C" w:rsidRDefault="00D65564" w:rsidP="00E20A1F">
            <w:pPr>
              <w:jc w:val="both"/>
              <w:rPr>
                <w:noProof/>
              </w:rPr>
            </w:pPr>
            <w:r>
              <w:rPr>
                <w:i/>
                <w:noProof/>
                <w:u w:val="single"/>
              </w:rPr>
              <w:t xml:space="preserve">Option </w:t>
            </w:r>
            <w:r w:rsidR="004C5BAD">
              <w:rPr>
                <w:i/>
                <w:noProof/>
                <w:u w:val="single"/>
              </w:rPr>
              <w:t>1.</w:t>
            </w:r>
            <w:r>
              <w:rPr>
                <w:i/>
                <w:noProof/>
                <w:u w:val="single"/>
              </w:rPr>
              <w:t xml:space="preserve">3 </w:t>
            </w:r>
            <w:r w:rsidR="00E8431C">
              <w:rPr>
                <w:i/>
                <w:noProof/>
                <w:u w:val="single"/>
              </w:rPr>
              <w:t>(exchange</w:t>
            </w:r>
            <w:r w:rsidR="000669CA">
              <w:rPr>
                <w:i/>
                <w:noProof/>
                <w:u w:val="single"/>
              </w:rPr>
              <w:t>-</w:t>
            </w:r>
            <w:r>
              <w:rPr>
                <w:i/>
                <w:noProof/>
                <w:u w:val="single"/>
              </w:rPr>
              <w:t>consolidator</w:t>
            </w:r>
            <w:r w:rsidR="00E8431C">
              <w:rPr>
                <w:i/>
                <w:noProof/>
                <w:u w:val="single"/>
              </w:rPr>
              <w:t>)</w:t>
            </w:r>
            <w:r w:rsidR="00E8431C">
              <w:rPr>
                <w:noProof/>
              </w:rPr>
              <w:t xml:space="preserve">. </w:t>
            </w:r>
            <w:r w:rsidR="00681E9E" w:rsidRPr="00787BE1">
              <w:rPr>
                <w:noProof/>
              </w:rPr>
              <w:t xml:space="preserve">EU </w:t>
            </w:r>
            <w:r w:rsidR="00165AB1" w:rsidRPr="004711DE">
              <w:rPr>
                <w:b/>
                <w:noProof/>
              </w:rPr>
              <w:t>exchanges</w:t>
            </w:r>
            <w:r w:rsidR="00165AB1">
              <w:rPr>
                <w:noProof/>
              </w:rPr>
              <w:t xml:space="preserve"> </w:t>
            </w:r>
            <w:r w:rsidR="00937C98">
              <w:rPr>
                <w:noProof/>
              </w:rPr>
              <w:t xml:space="preserve">for shares or the </w:t>
            </w:r>
            <w:r w:rsidR="00937C98" w:rsidRPr="00C41E06">
              <w:rPr>
                <w:b/>
                <w:noProof/>
              </w:rPr>
              <w:t>primary centre of liquidity</w:t>
            </w:r>
            <w:r w:rsidR="00937C98">
              <w:rPr>
                <w:noProof/>
              </w:rPr>
              <w:t xml:space="preserve"> for bonds and derivatives </w:t>
            </w:r>
            <w:r w:rsidR="00165AB1">
              <w:rPr>
                <w:noProof/>
              </w:rPr>
              <w:t xml:space="preserve">to consolidate all trading </w:t>
            </w:r>
            <w:r w:rsidR="00936E9B">
              <w:rPr>
                <w:noProof/>
              </w:rPr>
              <w:t xml:space="preserve">data </w:t>
            </w:r>
            <w:r w:rsidR="00165AB1">
              <w:rPr>
                <w:noProof/>
              </w:rPr>
              <w:t xml:space="preserve">pertaining to the </w:t>
            </w:r>
            <w:r w:rsidR="008B19B5">
              <w:rPr>
                <w:noProof/>
              </w:rPr>
              <w:t xml:space="preserve">securities they list (stock exchanges for shares) or for which they are the main centre of liquidity (all other asset </w:t>
            </w:r>
            <w:r w:rsidR="00C41E06">
              <w:rPr>
                <w:noProof/>
              </w:rPr>
              <w:t>class</w:t>
            </w:r>
            <w:r w:rsidR="008B19B5">
              <w:rPr>
                <w:noProof/>
              </w:rPr>
              <w:t>es)</w:t>
            </w:r>
            <w:r w:rsidR="00936E9B">
              <w:rPr>
                <w:noProof/>
              </w:rPr>
              <w:t xml:space="preserve">. </w:t>
            </w:r>
          </w:p>
          <w:p w14:paraId="7DC834B0" w14:textId="56AE70A5" w:rsidR="00E8431C" w:rsidRDefault="00E8431C" w:rsidP="00E20A1F">
            <w:pPr>
              <w:jc w:val="both"/>
              <w:rPr>
                <w:noProof/>
              </w:rPr>
            </w:pPr>
            <w:r w:rsidRPr="00C919B2">
              <w:rPr>
                <w:i/>
                <w:noProof/>
                <w:u w:val="single"/>
              </w:rPr>
              <w:t xml:space="preserve">Option </w:t>
            </w:r>
            <w:r w:rsidR="004C5BAD">
              <w:rPr>
                <w:i/>
                <w:noProof/>
                <w:u w:val="single"/>
              </w:rPr>
              <w:t>1.</w:t>
            </w:r>
            <w:r w:rsidR="00D65564">
              <w:rPr>
                <w:i/>
                <w:noProof/>
                <w:u w:val="single"/>
              </w:rPr>
              <w:t>4</w:t>
            </w:r>
            <w:r>
              <w:rPr>
                <w:i/>
                <w:noProof/>
                <w:u w:val="single"/>
              </w:rPr>
              <w:t xml:space="preserve"> (</w:t>
            </w:r>
            <w:r w:rsidR="006276CC">
              <w:rPr>
                <w:i/>
                <w:noProof/>
                <w:u w:val="single"/>
              </w:rPr>
              <w:t xml:space="preserve">single </w:t>
            </w:r>
            <w:r>
              <w:rPr>
                <w:i/>
                <w:noProof/>
                <w:u w:val="single"/>
              </w:rPr>
              <w:t>consolidator)</w:t>
            </w:r>
            <w:r>
              <w:rPr>
                <w:noProof/>
              </w:rPr>
              <w:t xml:space="preserve">. </w:t>
            </w:r>
            <w:r w:rsidR="00FD4584">
              <w:rPr>
                <w:noProof/>
              </w:rPr>
              <w:t>T</w:t>
            </w:r>
            <w:r>
              <w:rPr>
                <w:noProof/>
              </w:rPr>
              <w:t xml:space="preserve">he task of </w:t>
            </w:r>
            <w:r w:rsidRPr="005F2468">
              <w:rPr>
                <w:noProof/>
              </w:rPr>
              <w:t xml:space="preserve">consolidation </w:t>
            </w:r>
            <w:r w:rsidR="006E5C17">
              <w:rPr>
                <w:noProof/>
              </w:rPr>
              <w:t xml:space="preserve">of all </w:t>
            </w:r>
            <w:r w:rsidR="006E5C17" w:rsidRPr="005F2468">
              <w:rPr>
                <w:noProof/>
              </w:rPr>
              <w:t xml:space="preserve">market data </w:t>
            </w:r>
            <w:r w:rsidR="00FD4584">
              <w:rPr>
                <w:noProof/>
              </w:rPr>
              <w:t xml:space="preserve">would be given </w:t>
            </w:r>
            <w:r w:rsidRPr="005F2468">
              <w:rPr>
                <w:noProof/>
              </w:rPr>
              <w:t>to a</w:t>
            </w:r>
            <w:r w:rsidR="00681E9E">
              <w:rPr>
                <w:noProof/>
              </w:rPr>
              <w:t xml:space="preserve"> </w:t>
            </w:r>
            <w:r w:rsidR="004457C4" w:rsidRPr="00E95B24">
              <w:rPr>
                <w:b/>
                <w:noProof/>
              </w:rPr>
              <w:t>single</w:t>
            </w:r>
            <w:r w:rsidRPr="005F2468">
              <w:rPr>
                <w:noProof/>
              </w:rPr>
              <w:t xml:space="preserve"> </w:t>
            </w:r>
            <w:r w:rsidR="00D20F0D" w:rsidRPr="00CA3D06">
              <w:rPr>
                <w:b/>
                <w:noProof/>
              </w:rPr>
              <w:t>market data consolidator</w:t>
            </w:r>
            <w:r w:rsidR="00F72854">
              <w:rPr>
                <w:b/>
                <w:noProof/>
              </w:rPr>
              <w:t xml:space="preserve"> </w:t>
            </w:r>
            <w:r w:rsidR="00F72854">
              <w:rPr>
                <w:noProof/>
              </w:rPr>
              <w:t>selected by ESMA on the basis of a tender</w:t>
            </w:r>
            <w:r>
              <w:rPr>
                <w:noProof/>
              </w:rPr>
              <w:t xml:space="preserve">. </w:t>
            </w:r>
            <w:r w:rsidR="00681E9E">
              <w:rPr>
                <w:noProof/>
              </w:rPr>
              <w:t>The CTP would be</w:t>
            </w:r>
            <w:r>
              <w:rPr>
                <w:noProof/>
              </w:rPr>
              <w:t xml:space="preserve"> </w:t>
            </w:r>
            <w:r w:rsidR="00681E9E" w:rsidRPr="005F2468">
              <w:rPr>
                <w:noProof/>
              </w:rPr>
              <w:t>independent</w:t>
            </w:r>
            <w:r>
              <w:rPr>
                <w:noProof/>
              </w:rPr>
              <w:t xml:space="preserve"> from any of the </w:t>
            </w:r>
            <w:r w:rsidR="00DB2F35">
              <w:rPr>
                <w:noProof/>
              </w:rPr>
              <w:t>contributors</w:t>
            </w:r>
            <w:r w:rsidR="00D95224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720B6171" w14:textId="2A535829" w:rsidR="0066188A" w:rsidRDefault="00E8431C" w:rsidP="004457C4">
            <w:pPr>
              <w:jc w:val="both"/>
              <w:rPr>
                <w:noProof/>
              </w:rPr>
            </w:pPr>
            <w:r w:rsidRPr="00C919B2">
              <w:rPr>
                <w:i/>
                <w:noProof/>
                <w:u w:val="single"/>
              </w:rPr>
              <w:t xml:space="preserve">Option </w:t>
            </w:r>
            <w:r w:rsidR="004C5BAD">
              <w:rPr>
                <w:i/>
                <w:noProof/>
                <w:u w:val="single"/>
              </w:rPr>
              <w:t>1.</w:t>
            </w:r>
            <w:r w:rsidR="00C51ECB">
              <w:rPr>
                <w:i/>
                <w:noProof/>
                <w:u w:val="single"/>
              </w:rPr>
              <w:t>5</w:t>
            </w:r>
            <w:r>
              <w:rPr>
                <w:i/>
                <w:noProof/>
                <w:u w:val="single"/>
              </w:rPr>
              <w:t xml:space="preserve"> (trade concentration</w:t>
            </w:r>
            <w:r w:rsidR="00D65564">
              <w:rPr>
                <w:i/>
                <w:noProof/>
                <w:u w:val="single"/>
              </w:rPr>
              <w:t xml:space="preserve"> rule</w:t>
            </w:r>
            <w:r>
              <w:rPr>
                <w:i/>
                <w:noProof/>
                <w:u w:val="single"/>
              </w:rPr>
              <w:t>)</w:t>
            </w:r>
            <w:r>
              <w:rPr>
                <w:noProof/>
              </w:rPr>
              <w:t xml:space="preserve">. This option would </w:t>
            </w:r>
            <w:r w:rsidR="00F3101E">
              <w:rPr>
                <w:noProof/>
              </w:rPr>
              <w:t xml:space="preserve">not entail </w:t>
            </w:r>
            <w:r>
              <w:rPr>
                <w:noProof/>
              </w:rPr>
              <w:t xml:space="preserve">a </w:t>
            </w:r>
            <w:r w:rsidR="0099309C">
              <w:rPr>
                <w:noProof/>
              </w:rPr>
              <w:t>CT</w:t>
            </w:r>
            <w:r w:rsidR="00C41E06">
              <w:rPr>
                <w:noProof/>
              </w:rPr>
              <w:t>, but</w:t>
            </w:r>
            <w:r>
              <w:rPr>
                <w:noProof/>
              </w:rPr>
              <w:t xml:space="preserve"> instead </w:t>
            </w:r>
            <w:r w:rsidRPr="00456F2D">
              <w:rPr>
                <w:b/>
                <w:noProof/>
              </w:rPr>
              <w:t xml:space="preserve">consolidate </w:t>
            </w:r>
            <w:r w:rsidRPr="00456F2D">
              <w:rPr>
                <w:b/>
                <w:i/>
                <w:noProof/>
              </w:rPr>
              <w:t>trading</w:t>
            </w:r>
            <w:r>
              <w:rPr>
                <w:noProof/>
              </w:rPr>
              <w:t xml:space="preserve"> in a given category of financial instrument on a limited set of trading platforms. By consolidating</w:t>
            </w:r>
            <w:r w:rsidRPr="005F2468">
              <w:rPr>
                <w:noProof/>
              </w:rPr>
              <w:t xml:space="preserve"> trading</w:t>
            </w:r>
            <w:r w:rsidR="0099309C">
              <w:rPr>
                <w:noProof/>
              </w:rPr>
              <w:t>,</w:t>
            </w:r>
            <w:r w:rsidRPr="005F2468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sources of market data are reduced and the need for consolidating data is less urgent or even redundant. </w:t>
            </w:r>
          </w:p>
          <w:p w14:paraId="6F8CCE45" w14:textId="1FBE8B9A" w:rsidR="00DB02B9" w:rsidRDefault="00DB02B9" w:rsidP="00992E39">
            <w:pPr>
              <w:jc w:val="both"/>
              <w:rPr>
                <w:noProof/>
              </w:rPr>
            </w:pPr>
            <w:r w:rsidRPr="00456F2D">
              <w:rPr>
                <w:noProof/>
              </w:rPr>
              <w:t>Option</w:t>
            </w:r>
            <w:r w:rsidRPr="00F3101E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1.</w:t>
            </w:r>
            <w:r w:rsidRPr="00F3101E">
              <w:rPr>
                <w:b/>
                <w:noProof/>
              </w:rPr>
              <w:t xml:space="preserve">2 </w:t>
            </w:r>
            <w:r w:rsidRPr="000B4DB3">
              <w:rPr>
                <w:noProof/>
              </w:rPr>
              <w:t>and</w:t>
            </w:r>
            <w:r>
              <w:rPr>
                <w:b/>
                <w:noProof/>
              </w:rPr>
              <w:t xml:space="preserve"> 1.4 </w:t>
            </w:r>
            <w:r w:rsidR="00423C8E" w:rsidRPr="00456F2D">
              <w:rPr>
                <w:noProof/>
              </w:rPr>
              <w:t>of this set</w:t>
            </w:r>
            <w:r>
              <w:rPr>
                <w:b/>
                <w:noProof/>
              </w:rPr>
              <w:t xml:space="preserve"> </w:t>
            </w:r>
            <w:r>
              <w:rPr>
                <w:noProof/>
              </w:rPr>
              <w:t xml:space="preserve">are the </w:t>
            </w:r>
            <w:r w:rsidRPr="00D95224">
              <w:rPr>
                <w:b/>
                <w:noProof/>
              </w:rPr>
              <w:t>preferred option</w:t>
            </w:r>
            <w:r>
              <w:rPr>
                <w:b/>
                <w:noProof/>
              </w:rPr>
              <w:t>s</w:t>
            </w:r>
            <w:r w:rsidR="00266C2B">
              <w:rPr>
                <w:noProof/>
              </w:rPr>
              <w:t>:</w:t>
            </w:r>
            <w:r>
              <w:rPr>
                <w:noProof/>
              </w:rPr>
              <w:t xml:space="preserve"> a single or multiple consolidators</w:t>
            </w:r>
            <w:r w:rsidRPr="00E62773">
              <w:rPr>
                <w:noProof/>
              </w:rPr>
              <w:t xml:space="preserve">, coupled with </w:t>
            </w:r>
            <w:r>
              <w:rPr>
                <w:noProof/>
              </w:rPr>
              <w:t>the possibility to self-aggregate</w:t>
            </w:r>
            <w:r w:rsidR="00311DA6">
              <w:rPr>
                <w:noProof/>
              </w:rPr>
              <w:t xml:space="preserve"> (option </w:t>
            </w:r>
            <w:r w:rsidR="00311DA6" w:rsidRPr="00456F2D">
              <w:rPr>
                <w:b/>
                <w:noProof/>
              </w:rPr>
              <w:t>1.1.</w:t>
            </w:r>
            <w:r w:rsidR="00311DA6">
              <w:rPr>
                <w:noProof/>
              </w:rPr>
              <w:t>)</w:t>
            </w:r>
            <w:r>
              <w:rPr>
                <w:noProof/>
              </w:rPr>
              <w:t>,</w:t>
            </w:r>
            <w:r w:rsidRPr="00E62773">
              <w:rPr>
                <w:noProof/>
              </w:rPr>
              <w:t xml:space="preserve"> </w:t>
            </w:r>
            <w:r>
              <w:rPr>
                <w:noProof/>
              </w:rPr>
              <w:t>are</w:t>
            </w:r>
            <w:r w:rsidRPr="00E62773">
              <w:rPr>
                <w:noProof/>
              </w:rPr>
              <w:t xml:space="preserve"> </w:t>
            </w:r>
            <w:r>
              <w:rPr>
                <w:noProof/>
              </w:rPr>
              <w:t>the most effective in making post-trade core data available to all market participants in a fair and efficient manner, increasing post-trade transparency</w:t>
            </w:r>
            <w:r w:rsidR="00311DA6">
              <w:rPr>
                <w:noProof/>
              </w:rPr>
              <w:t>.</w:t>
            </w:r>
            <w:r w:rsidR="00F72854">
              <w:rPr>
                <w:noProof/>
              </w:rPr>
              <w:t xml:space="preserve"> </w:t>
            </w:r>
            <w:r w:rsidR="00F72854" w:rsidRPr="00F72854">
              <w:rPr>
                <w:noProof/>
              </w:rPr>
              <w:t xml:space="preserve">). Option </w:t>
            </w:r>
            <w:r w:rsidR="00B364A0">
              <w:rPr>
                <w:noProof/>
              </w:rPr>
              <w:t>1.2 enjoys a slight</w:t>
            </w:r>
            <w:r w:rsidR="00F72854" w:rsidRPr="00F72854">
              <w:rPr>
                <w:noProof/>
              </w:rPr>
              <w:t xml:space="preserve"> advantage </w:t>
            </w:r>
            <w:r w:rsidR="00B364A0">
              <w:rPr>
                <w:noProof/>
              </w:rPr>
              <w:t>i</w:t>
            </w:r>
            <w:r w:rsidR="00B364A0" w:rsidRPr="00F72854">
              <w:rPr>
                <w:noProof/>
              </w:rPr>
              <w:t>n terms of achieving optimal and timely market data quality</w:t>
            </w:r>
            <w:r w:rsidR="00B364A0">
              <w:rPr>
                <w:noProof/>
              </w:rPr>
              <w:t>.</w:t>
            </w:r>
            <w:r w:rsidR="00F72854" w:rsidRPr="00F72854">
              <w:rPr>
                <w:noProof/>
              </w:rPr>
              <w:t xml:space="preserve"> On the other hand, Option </w:t>
            </w:r>
            <w:r w:rsidR="00B364A0">
              <w:rPr>
                <w:noProof/>
              </w:rPr>
              <w:t>1.</w:t>
            </w:r>
            <w:r w:rsidR="00F72854" w:rsidRPr="00F72854">
              <w:rPr>
                <w:noProof/>
              </w:rPr>
              <w:t xml:space="preserve">4 </w:t>
            </w:r>
            <w:r w:rsidR="00B364A0">
              <w:rPr>
                <w:noProof/>
              </w:rPr>
              <w:t>ranks better in granting t</w:t>
            </w:r>
            <w:r w:rsidR="00F72854" w:rsidRPr="00F72854">
              <w:rPr>
                <w:noProof/>
              </w:rPr>
              <w:t xml:space="preserve">he opportunity to </w:t>
            </w:r>
            <w:r w:rsidR="00D7724C">
              <w:rPr>
                <w:noProof/>
              </w:rPr>
              <w:t>select as</w:t>
            </w:r>
            <w:r w:rsidR="00B364A0">
              <w:rPr>
                <w:noProof/>
              </w:rPr>
              <w:t xml:space="preserve"> </w:t>
            </w:r>
            <w:r w:rsidR="00F72854" w:rsidRPr="00F72854">
              <w:rPr>
                <w:noProof/>
              </w:rPr>
              <w:t>consolidator a</w:t>
            </w:r>
            <w:r w:rsidR="00B364A0">
              <w:rPr>
                <w:noProof/>
              </w:rPr>
              <w:t xml:space="preserve"> new market entrant </w:t>
            </w:r>
            <w:r w:rsidR="00D7724C">
              <w:rPr>
                <w:noProof/>
              </w:rPr>
              <w:t xml:space="preserve">entirely independent </w:t>
            </w:r>
            <w:r w:rsidR="00F72854" w:rsidRPr="00F72854">
              <w:rPr>
                <w:noProof/>
              </w:rPr>
              <w:t>f</w:t>
            </w:r>
            <w:r w:rsidR="00D7724C">
              <w:rPr>
                <w:noProof/>
              </w:rPr>
              <w:t>rom</w:t>
            </w:r>
            <w:r w:rsidR="00F72854" w:rsidRPr="00F72854">
              <w:rPr>
                <w:noProof/>
              </w:rPr>
              <w:t xml:space="preserve"> both market data contributors and market data companies.  </w:t>
            </w:r>
          </w:p>
          <w:p w14:paraId="76CA6C5F" w14:textId="1358E254" w:rsidR="00992E39" w:rsidRDefault="00992E39" w:rsidP="00992E39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2. </w:t>
            </w:r>
            <w:r w:rsidRPr="00787BE1">
              <w:rPr>
                <w:b/>
                <w:noProof/>
              </w:rPr>
              <w:t>Options to facilitate market data licensing/create a business case for market data consolidation</w:t>
            </w:r>
            <w:r w:rsidR="00AB52AC">
              <w:rPr>
                <w:b/>
                <w:noProof/>
              </w:rPr>
              <w:t>(‘licensing options’)</w:t>
            </w:r>
          </w:p>
          <w:p w14:paraId="385BC213" w14:textId="712C9711" w:rsidR="00F15236" w:rsidRDefault="00992E39" w:rsidP="00992E39">
            <w:pPr>
              <w:jc w:val="both"/>
              <w:rPr>
                <w:noProof/>
                <w:u w:val="single"/>
              </w:rPr>
            </w:pPr>
            <w:r w:rsidRPr="00456F2D">
              <w:rPr>
                <w:i/>
                <w:noProof/>
                <w:u w:val="single"/>
              </w:rPr>
              <w:t xml:space="preserve">Option </w:t>
            </w:r>
            <w:r w:rsidR="004D4BA2" w:rsidRPr="00456F2D">
              <w:rPr>
                <w:i/>
                <w:noProof/>
                <w:u w:val="single"/>
              </w:rPr>
              <w:t>2.</w:t>
            </w:r>
            <w:r w:rsidRPr="00456F2D">
              <w:rPr>
                <w:i/>
                <w:noProof/>
                <w:u w:val="single"/>
              </w:rPr>
              <w:t xml:space="preserve">1 </w:t>
            </w:r>
            <w:r w:rsidR="00F15236" w:rsidRPr="00456F2D">
              <w:rPr>
                <w:i/>
                <w:noProof/>
                <w:u w:val="single"/>
              </w:rPr>
              <w:t>(</w:t>
            </w:r>
            <w:r w:rsidRPr="00456F2D">
              <w:rPr>
                <w:i/>
                <w:noProof/>
                <w:u w:val="single"/>
              </w:rPr>
              <w:t>no statutory subscription fees</w:t>
            </w:r>
            <w:r w:rsidR="00F15236">
              <w:rPr>
                <w:i/>
                <w:noProof/>
                <w:u w:val="single"/>
              </w:rPr>
              <w:t>)</w:t>
            </w:r>
            <w:r w:rsidRPr="004D4BA2">
              <w:rPr>
                <w:noProof/>
              </w:rPr>
              <w:t>.</w:t>
            </w:r>
            <w:r w:rsidR="004D4BA2" w:rsidRPr="00456F2D">
              <w:rPr>
                <w:noProof/>
              </w:rPr>
              <w:t xml:space="preserve"> </w:t>
            </w:r>
            <w:r w:rsidR="006478A9" w:rsidRPr="006478A9">
              <w:rPr>
                <w:b/>
                <w:noProof/>
              </w:rPr>
              <w:t>N</w:t>
            </w:r>
            <w:r w:rsidR="004D4BA2" w:rsidRPr="006478A9">
              <w:rPr>
                <w:b/>
                <w:noProof/>
              </w:rPr>
              <w:t>o</w:t>
            </w:r>
            <w:r w:rsidR="004D4BA2" w:rsidRPr="00456F2D">
              <w:rPr>
                <w:b/>
                <w:noProof/>
              </w:rPr>
              <w:t xml:space="preserve"> minimum subscription fees</w:t>
            </w:r>
            <w:r w:rsidR="006478A9">
              <w:rPr>
                <w:b/>
                <w:noProof/>
              </w:rPr>
              <w:t xml:space="preserve"> </w:t>
            </w:r>
            <w:r w:rsidR="006478A9">
              <w:rPr>
                <w:noProof/>
              </w:rPr>
              <w:t>would be required. Consequently,</w:t>
            </w:r>
            <w:r w:rsidR="004D4BA2">
              <w:rPr>
                <w:noProof/>
              </w:rPr>
              <w:t xml:space="preserve"> subscription fees would be expected to cover </w:t>
            </w:r>
            <w:r w:rsidR="00B86FBC">
              <w:rPr>
                <w:noProof/>
              </w:rPr>
              <w:t xml:space="preserve">only </w:t>
            </w:r>
            <w:r w:rsidR="006478A9">
              <w:rPr>
                <w:noProof/>
              </w:rPr>
              <w:t xml:space="preserve">the CTP </w:t>
            </w:r>
            <w:r w:rsidR="004D4BA2">
              <w:rPr>
                <w:noProof/>
              </w:rPr>
              <w:t>operating cost</w:t>
            </w:r>
            <w:r w:rsidR="006478A9">
              <w:rPr>
                <w:noProof/>
              </w:rPr>
              <w:t>s</w:t>
            </w:r>
            <w:r w:rsidR="004D4BA2">
              <w:rPr>
                <w:noProof/>
              </w:rPr>
              <w:t xml:space="preserve"> </w:t>
            </w:r>
            <w:r w:rsidR="004D584C">
              <w:rPr>
                <w:noProof/>
              </w:rPr>
              <w:t>no</w:t>
            </w:r>
            <w:r w:rsidR="00D32519">
              <w:rPr>
                <w:noProof/>
              </w:rPr>
              <w:t>t allowing</w:t>
            </w:r>
            <w:r w:rsidR="004D584C">
              <w:rPr>
                <w:noProof/>
              </w:rPr>
              <w:t xml:space="preserve"> revenues </w:t>
            </w:r>
            <w:r w:rsidR="00D32519">
              <w:rPr>
                <w:noProof/>
              </w:rPr>
              <w:t>to be distributed to</w:t>
            </w:r>
            <w:r w:rsidR="004D584C">
              <w:rPr>
                <w:noProof/>
              </w:rPr>
              <w:t xml:space="preserve"> </w:t>
            </w:r>
            <w:r w:rsidR="00D32519">
              <w:rPr>
                <w:noProof/>
              </w:rPr>
              <w:t>data contributors</w:t>
            </w:r>
            <w:r w:rsidR="006478A9">
              <w:rPr>
                <w:noProof/>
              </w:rPr>
              <w:t>.</w:t>
            </w:r>
          </w:p>
          <w:p w14:paraId="337A5428" w14:textId="6B6CA8FA" w:rsidR="00F15236" w:rsidRPr="00456F2D" w:rsidRDefault="00F15236" w:rsidP="00992E39">
            <w:pPr>
              <w:jc w:val="both"/>
              <w:rPr>
                <w:i/>
                <w:noProof/>
              </w:rPr>
            </w:pPr>
            <w:r w:rsidRPr="00456F2D">
              <w:rPr>
                <w:i/>
                <w:noProof/>
                <w:u w:val="single"/>
              </w:rPr>
              <w:t xml:space="preserve">Option </w:t>
            </w:r>
            <w:r>
              <w:rPr>
                <w:i/>
                <w:noProof/>
                <w:u w:val="single"/>
              </w:rPr>
              <w:t>2</w:t>
            </w:r>
            <w:r w:rsidR="0042121E">
              <w:rPr>
                <w:i/>
                <w:noProof/>
                <w:u w:val="single"/>
              </w:rPr>
              <w:t>.</w:t>
            </w:r>
            <w:r w:rsidRPr="00CA3D06">
              <w:rPr>
                <w:i/>
                <w:noProof/>
                <w:u w:val="single"/>
              </w:rPr>
              <w:t>2 (statutory subscription fee)</w:t>
            </w:r>
            <w:r w:rsidR="004D4BA2">
              <w:rPr>
                <w:i/>
                <w:noProof/>
              </w:rPr>
              <w:t xml:space="preserve">. </w:t>
            </w:r>
            <w:r w:rsidR="004D4BA2">
              <w:rPr>
                <w:noProof/>
              </w:rPr>
              <w:t xml:space="preserve">This option sets a </w:t>
            </w:r>
            <w:r w:rsidR="004D4BA2" w:rsidRPr="00456F2D">
              <w:rPr>
                <w:b/>
                <w:noProof/>
              </w:rPr>
              <w:t xml:space="preserve">minimum </w:t>
            </w:r>
            <w:r w:rsidR="004D4BA2">
              <w:rPr>
                <w:b/>
                <w:noProof/>
              </w:rPr>
              <w:t xml:space="preserve">statutory </w:t>
            </w:r>
            <w:r w:rsidR="004D4BA2" w:rsidRPr="00456F2D">
              <w:rPr>
                <w:b/>
                <w:noProof/>
              </w:rPr>
              <w:t>subscription fee</w:t>
            </w:r>
            <w:r w:rsidR="004D4BA2">
              <w:rPr>
                <w:noProof/>
              </w:rPr>
              <w:t xml:space="preserve"> in order to create commonality between the consolidator</w:t>
            </w:r>
            <w:r w:rsidR="00423C8E">
              <w:rPr>
                <w:noProof/>
              </w:rPr>
              <w:t>(s)</w:t>
            </w:r>
            <w:r w:rsidR="004D4BA2">
              <w:rPr>
                <w:noProof/>
              </w:rPr>
              <w:t xml:space="preserve"> and the contributor</w:t>
            </w:r>
            <w:r w:rsidR="00423C8E">
              <w:rPr>
                <w:noProof/>
              </w:rPr>
              <w:t>s</w:t>
            </w:r>
            <w:r w:rsidR="004D4BA2">
              <w:rPr>
                <w:noProof/>
              </w:rPr>
              <w:t xml:space="preserve"> as there would </w:t>
            </w:r>
            <w:r w:rsidR="00423C8E">
              <w:rPr>
                <w:noProof/>
              </w:rPr>
              <w:t xml:space="preserve">allow </w:t>
            </w:r>
            <w:r w:rsidR="004D4BA2">
              <w:rPr>
                <w:noProof/>
              </w:rPr>
              <w:t xml:space="preserve">a </w:t>
            </w:r>
            <w:r w:rsidR="004D4BA2" w:rsidRPr="00456F2D">
              <w:rPr>
                <w:b/>
                <w:noProof/>
              </w:rPr>
              <w:t>revenue redistribution</w:t>
            </w:r>
            <w:r w:rsidR="004D4BA2">
              <w:rPr>
                <w:noProof/>
              </w:rPr>
              <w:t xml:space="preserve"> to </w:t>
            </w:r>
            <w:r w:rsidR="00AF6FA8">
              <w:rPr>
                <w:noProof/>
              </w:rPr>
              <w:t>market</w:t>
            </w:r>
            <w:r w:rsidR="004D4BA2">
              <w:rPr>
                <w:noProof/>
              </w:rPr>
              <w:t xml:space="preserve"> data contributors.</w:t>
            </w:r>
          </w:p>
          <w:p w14:paraId="6C0374E1" w14:textId="0FD1B4CA" w:rsidR="00F90A32" w:rsidRDefault="00F15236" w:rsidP="00992E39">
            <w:pPr>
              <w:jc w:val="both"/>
              <w:rPr>
                <w:noProof/>
              </w:rPr>
            </w:pPr>
            <w:r w:rsidRPr="00456F2D">
              <w:rPr>
                <w:i/>
                <w:noProof/>
                <w:u w:val="single"/>
              </w:rPr>
              <w:t xml:space="preserve">Option </w:t>
            </w:r>
            <w:r w:rsidR="004D4BA2">
              <w:rPr>
                <w:i/>
                <w:noProof/>
                <w:u w:val="single"/>
              </w:rPr>
              <w:t>2.</w:t>
            </w:r>
            <w:r w:rsidRPr="00CA3D06">
              <w:rPr>
                <w:i/>
                <w:noProof/>
                <w:u w:val="single"/>
              </w:rPr>
              <w:t>3 (statutory subscription fee and RPW access fee)</w:t>
            </w:r>
            <w:r w:rsidR="004D4BA2">
              <w:rPr>
                <w:noProof/>
              </w:rPr>
              <w:t xml:space="preserve">. This option sets a </w:t>
            </w:r>
            <w:r w:rsidR="004D4BA2" w:rsidRPr="00456F2D">
              <w:rPr>
                <w:b/>
                <w:noProof/>
              </w:rPr>
              <w:t>minimum statutory subscription fee</w:t>
            </w:r>
            <w:r w:rsidR="004D4BA2">
              <w:rPr>
                <w:noProof/>
              </w:rPr>
              <w:t xml:space="preserve"> </w:t>
            </w:r>
            <w:r w:rsidR="00423C8E">
              <w:rPr>
                <w:noProof/>
              </w:rPr>
              <w:t>(</w:t>
            </w:r>
            <w:r w:rsidR="004D4BA2">
              <w:rPr>
                <w:noProof/>
              </w:rPr>
              <w:t xml:space="preserve">with </w:t>
            </w:r>
            <w:r w:rsidR="004D4BA2" w:rsidRPr="00456F2D">
              <w:rPr>
                <w:b/>
                <w:noProof/>
              </w:rPr>
              <w:lastRenderedPageBreak/>
              <w:t>revenue redistribution</w:t>
            </w:r>
            <w:r w:rsidR="00423C8E">
              <w:rPr>
                <w:b/>
                <w:noProof/>
              </w:rPr>
              <w:t>)</w:t>
            </w:r>
            <w:r w:rsidR="004D4BA2">
              <w:rPr>
                <w:noProof/>
              </w:rPr>
              <w:t xml:space="preserve"> and incudes an </w:t>
            </w:r>
            <w:r w:rsidR="004D4BA2" w:rsidRPr="00456F2D">
              <w:rPr>
                <w:b/>
                <w:noProof/>
              </w:rPr>
              <w:t>additional usage fee</w:t>
            </w:r>
            <w:r w:rsidR="004D4BA2">
              <w:rPr>
                <w:noProof/>
              </w:rPr>
              <w:t xml:space="preserve"> for venues using market data as a </w:t>
            </w:r>
            <w:r w:rsidR="004D4BA2" w:rsidRPr="00456F2D">
              <w:rPr>
                <w:b/>
                <w:noProof/>
              </w:rPr>
              <w:t>reference price</w:t>
            </w:r>
            <w:r w:rsidR="004D4BA2">
              <w:rPr>
                <w:noProof/>
              </w:rPr>
              <w:t>.</w:t>
            </w:r>
          </w:p>
          <w:p w14:paraId="049A4AF6" w14:textId="4DDFBC75" w:rsidR="00F3101E" w:rsidRPr="00ED69F3" w:rsidRDefault="00F90A32" w:rsidP="007F13B8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Option </w:t>
            </w:r>
            <w:r w:rsidRPr="00456F2D">
              <w:rPr>
                <w:b/>
                <w:noProof/>
              </w:rPr>
              <w:t>2.3</w:t>
            </w:r>
            <w:r>
              <w:rPr>
                <w:noProof/>
              </w:rPr>
              <w:t xml:space="preserve"> of this set is the </w:t>
            </w:r>
            <w:r w:rsidRPr="00456F2D">
              <w:rPr>
                <w:b/>
                <w:noProof/>
              </w:rPr>
              <w:t>preferred option</w:t>
            </w:r>
            <w:r>
              <w:rPr>
                <w:noProof/>
              </w:rPr>
              <w:t xml:space="preserve"> as this not only facilitates more qualitative market data from the data contributors but also encourages the market participants to favour lit markets.</w:t>
            </w:r>
          </w:p>
        </w:tc>
      </w:tr>
      <w:tr w:rsidR="006B20E3" w14:paraId="54C60689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2C04EF" w14:textId="77777777" w:rsidR="006B20E3" w:rsidRDefault="006B20E3" w:rsidP="00E20A1F">
            <w:pPr>
              <w:spacing w:before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lastRenderedPageBreak/>
              <w:t>Who supports which option?</w:t>
            </w:r>
            <w:r>
              <w:rPr>
                <w:rFonts w:ascii="Tahoma" w:hAnsi="Tahoma" w:cs="Tahoma"/>
                <w:noProof/>
              </w:rPr>
              <w:t xml:space="preserve"> </w:t>
            </w:r>
          </w:p>
        </w:tc>
      </w:tr>
      <w:tr w:rsidR="006B20E3" w14:paraId="48370883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D8AB" w14:textId="24AD7F93" w:rsidR="0019607D" w:rsidRPr="00921795" w:rsidRDefault="0099309C" w:rsidP="00424A1A">
            <w:pPr>
              <w:ind w:right="-29"/>
              <w:jc w:val="both"/>
              <w:rPr>
                <w:noProof/>
              </w:rPr>
            </w:pPr>
            <w:r>
              <w:rPr>
                <w:noProof/>
              </w:rPr>
              <w:t>I</w:t>
            </w:r>
            <w:r w:rsidR="0019607D">
              <w:rPr>
                <w:noProof/>
              </w:rPr>
              <w:t>nvestors</w:t>
            </w:r>
            <w:r w:rsidR="00AA4855">
              <w:rPr>
                <w:noProof/>
              </w:rPr>
              <w:t>, alternative trading venues, asset managers</w:t>
            </w:r>
            <w:r w:rsidR="00CC1A05">
              <w:rPr>
                <w:noProof/>
              </w:rPr>
              <w:t>, banks, high frequency traders</w:t>
            </w:r>
            <w:r w:rsidR="00AA4855">
              <w:rPr>
                <w:noProof/>
              </w:rPr>
              <w:t xml:space="preserve"> and national supervisors</w:t>
            </w:r>
            <w:r w:rsidR="0019607D">
              <w:rPr>
                <w:noProof/>
              </w:rPr>
              <w:t xml:space="preserve"> </w:t>
            </w:r>
            <w:r w:rsidR="008B6F3D">
              <w:rPr>
                <w:noProof/>
              </w:rPr>
              <w:t xml:space="preserve">in general </w:t>
            </w:r>
            <w:r w:rsidR="0019607D">
              <w:rPr>
                <w:noProof/>
              </w:rPr>
              <w:t xml:space="preserve">support </w:t>
            </w:r>
            <w:r w:rsidR="00933E15">
              <w:rPr>
                <w:noProof/>
              </w:rPr>
              <w:t xml:space="preserve">the creation of a </w:t>
            </w:r>
            <w:r w:rsidR="00184C15">
              <w:rPr>
                <w:noProof/>
              </w:rPr>
              <w:t xml:space="preserve">consolidated </w:t>
            </w:r>
            <w:r w:rsidR="00933E15">
              <w:rPr>
                <w:noProof/>
              </w:rPr>
              <w:t>tape</w:t>
            </w:r>
            <w:r w:rsidR="00184C15">
              <w:rPr>
                <w:noProof/>
              </w:rPr>
              <w:t xml:space="preserve"> operated by an entity independent of the listing exchanges (Options 1.2 and 1.4, not Option 1.3)</w:t>
            </w:r>
            <w:r w:rsidR="00AA4855">
              <w:rPr>
                <w:noProof/>
              </w:rPr>
              <w:t xml:space="preserve">. Some retail representation believes </w:t>
            </w:r>
            <w:r w:rsidR="004D3913">
              <w:rPr>
                <w:noProof/>
              </w:rPr>
              <w:t>the CT will not solve all problems</w:t>
            </w:r>
            <w:r w:rsidR="00184C15">
              <w:rPr>
                <w:noProof/>
              </w:rPr>
              <w:t xml:space="preserve"> linked to information asymmetries in financial markets</w:t>
            </w:r>
            <w:r w:rsidR="00FE5AB7">
              <w:rPr>
                <w:noProof/>
              </w:rPr>
              <w:t xml:space="preserve">. </w:t>
            </w:r>
            <w:r w:rsidR="004D3913">
              <w:rPr>
                <w:noProof/>
              </w:rPr>
              <w:t xml:space="preserve">Incumbent </w:t>
            </w:r>
            <w:r w:rsidR="00AF3CCF">
              <w:rPr>
                <w:noProof/>
              </w:rPr>
              <w:t>exchanges</w:t>
            </w:r>
            <w:r w:rsidR="0019607D">
              <w:rPr>
                <w:noProof/>
              </w:rPr>
              <w:t xml:space="preserve"> </w:t>
            </w:r>
            <w:r>
              <w:rPr>
                <w:noProof/>
              </w:rPr>
              <w:t>are sceptical about</w:t>
            </w:r>
            <w:r w:rsidR="00AF3CCF">
              <w:rPr>
                <w:noProof/>
              </w:rPr>
              <w:t xml:space="preserve"> </w:t>
            </w:r>
            <w:r w:rsidR="00C51ECB">
              <w:rPr>
                <w:noProof/>
              </w:rPr>
              <w:t xml:space="preserve">the creation of a </w:t>
            </w:r>
            <w:r w:rsidR="00424A1A">
              <w:rPr>
                <w:noProof/>
              </w:rPr>
              <w:t>CT</w:t>
            </w:r>
            <w:r w:rsidR="00184C15">
              <w:rPr>
                <w:noProof/>
              </w:rPr>
              <w:t xml:space="preserve">, due to potential revenue impacts that a timely consolidated tape might have on their venue-specific proprietary data products. </w:t>
            </w:r>
            <w:r w:rsidR="00151071">
              <w:rPr>
                <w:noProof/>
              </w:rPr>
              <w:t xml:space="preserve">Incumbent stock exchanges also advocate that ESMA administers or at least supervises the consolidated tape provider to apprehend conflicts of interest. </w:t>
            </w:r>
            <w:r w:rsidR="00C51ECB">
              <w:rPr>
                <w:noProof/>
              </w:rPr>
              <w:t xml:space="preserve"> </w:t>
            </w:r>
            <w:r w:rsidR="003D10F0">
              <w:rPr>
                <w:noProof/>
              </w:rPr>
              <w:t xml:space="preserve"> </w:t>
            </w:r>
          </w:p>
        </w:tc>
      </w:tr>
      <w:tr w:rsidR="006B20E3" w14:paraId="16EFA61D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4E751E" w14:textId="77777777" w:rsidR="006B20E3" w:rsidRDefault="006B20E3" w:rsidP="00E20A1F">
            <w:pPr>
              <w:spacing w:before="60" w:after="60"/>
              <w:jc w:val="both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C. Impacts of the preferred option</w:t>
            </w:r>
          </w:p>
        </w:tc>
      </w:tr>
      <w:tr w:rsidR="006B20E3" w14:paraId="4567239B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C47272" w14:textId="77777777" w:rsidR="006B20E3" w:rsidRDefault="006B20E3" w:rsidP="00E20A1F">
            <w:pPr>
              <w:spacing w:before="60" w:after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What are the benefits of the preferred option (if any, otherwise the main ones)?</w:t>
            </w:r>
            <w:r>
              <w:rPr>
                <w:rFonts w:ascii="Tahoma" w:hAnsi="Tahoma" w:cs="Tahoma"/>
                <w:noProof/>
              </w:rPr>
              <w:t xml:space="preserve">                                       </w:t>
            </w:r>
          </w:p>
        </w:tc>
      </w:tr>
      <w:tr w:rsidR="006B20E3" w14:paraId="5C4305F1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8317" w14:textId="6C31CDF8" w:rsidR="00A8737A" w:rsidRDefault="00512BDC" w:rsidP="00CD41EA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Consolidation o</w:t>
            </w:r>
            <w:r w:rsidR="008D4381" w:rsidRPr="00CD41EA">
              <w:rPr>
                <w:rFonts w:ascii="Times New Roman" w:hAnsi="Times New Roman" w:cs="Times New Roman"/>
                <w:noProof/>
              </w:rPr>
              <w:t>ption</w:t>
            </w:r>
            <w:r w:rsidR="00D32519">
              <w:rPr>
                <w:rFonts w:ascii="Times New Roman" w:hAnsi="Times New Roman" w:cs="Times New Roman"/>
                <w:noProof/>
              </w:rPr>
              <w:t>s</w:t>
            </w:r>
            <w:r w:rsidR="008D4381" w:rsidRPr="00CD41EA">
              <w:rPr>
                <w:rFonts w:ascii="Times New Roman" w:hAnsi="Times New Roman" w:cs="Times New Roman"/>
                <w:noProof/>
              </w:rPr>
              <w:t xml:space="preserve"> </w:t>
            </w:r>
            <w:r w:rsidR="00D32519">
              <w:rPr>
                <w:rFonts w:ascii="Times New Roman" w:hAnsi="Times New Roman" w:cs="Times New Roman"/>
                <w:noProof/>
              </w:rPr>
              <w:t>1.</w:t>
            </w:r>
            <w:r w:rsidR="008D4381" w:rsidRPr="00CD41EA">
              <w:rPr>
                <w:rFonts w:ascii="Times New Roman" w:hAnsi="Times New Roman" w:cs="Times New Roman"/>
                <w:noProof/>
              </w:rPr>
              <w:t>2</w:t>
            </w:r>
            <w:r w:rsidR="00AA6E5A">
              <w:rPr>
                <w:rFonts w:ascii="Times New Roman" w:hAnsi="Times New Roman" w:cs="Times New Roman"/>
                <w:noProof/>
              </w:rPr>
              <w:t xml:space="preserve"> and </w:t>
            </w:r>
            <w:r w:rsidR="00D32519">
              <w:rPr>
                <w:rFonts w:ascii="Times New Roman" w:hAnsi="Times New Roman" w:cs="Times New Roman"/>
                <w:noProof/>
              </w:rPr>
              <w:t>1.</w:t>
            </w:r>
            <w:r w:rsidR="00AA6E5A">
              <w:rPr>
                <w:rFonts w:ascii="Times New Roman" w:hAnsi="Times New Roman" w:cs="Times New Roman"/>
                <w:noProof/>
              </w:rPr>
              <w:t>4</w:t>
            </w:r>
            <w:r w:rsidR="008D4381" w:rsidRPr="00CD41EA">
              <w:rPr>
                <w:rFonts w:ascii="Times New Roman" w:hAnsi="Times New Roman" w:cs="Times New Roman"/>
                <w:noProof/>
              </w:rPr>
              <w:t xml:space="preserve"> would </w:t>
            </w:r>
            <w:r w:rsidR="00E95B24" w:rsidRPr="00CD41EA">
              <w:rPr>
                <w:rFonts w:ascii="Times New Roman" w:hAnsi="Times New Roman" w:cs="Times New Roman"/>
                <w:noProof/>
              </w:rPr>
              <w:t>“</w:t>
            </w:r>
            <w:r w:rsidR="008D4381" w:rsidRPr="00CD41EA">
              <w:rPr>
                <w:rFonts w:ascii="Times New Roman" w:hAnsi="Times New Roman" w:cs="Times New Roman"/>
                <w:noProof/>
              </w:rPr>
              <w:t>democratise</w:t>
            </w:r>
            <w:r w:rsidR="00E95B24" w:rsidRPr="00CD41EA">
              <w:rPr>
                <w:rFonts w:ascii="Times New Roman" w:hAnsi="Times New Roman" w:cs="Times New Roman"/>
                <w:noProof/>
              </w:rPr>
              <w:t>”</w:t>
            </w:r>
            <w:r w:rsidR="008D4381" w:rsidRPr="00CD41EA">
              <w:rPr>
                <w:rFonts w:ascii="Times New Roman" w:hAnsi="Times New Roman" w:cs="Times New Roman"/>
                <w:noProof/>
              </w:rPr>
              <w:t xml:space="preserve"> insights into where the best price and the deepest pool of liquidity in any given </w:t>
            </w:r>
            <w:r w:rsidR="00DB689B" w:rsidRPr="00CD41EA">
              <w:rPr>
                <w:rFonts w:ascii="Times New Roman" w:hAnsi="Times New Roman" w:cs="Times New Roman"/>
                <w:noProof/>
              </w:rPr>
              <w:t>financial</w:t>
            </w:r>
            <w:r w:rsidR="008D4381" w:rsidRPr="00CD41EA">
              <w:rPr>
                <w:rFonts w:ascii="Times New Roman" w:hAnsi="Times New Roman" w:cs="Times New Roman"/>
                <w:noProof/>
              </w:rPr>
              <w:t xml:space="preserve"> instrument obtained. </w:t>
            </w:r>
            <w:r w:rsidR="00267620" w:rsidRPr="00CD41EA">
              <w:rPr>
                <w:rFonts w:ascii="Times New Roman" w:hAnsi="Times New Roman" w:cs="Times New Roman"/>
                <w:noProof/>
              </w:rPr>
              <w:t xml:space="preserve">It </w:t>
            </w:r>
            <w:r w:rsidR="006A0E5E">
              <w:rPr>
                <w:rFonts w:ascii="Times New Roman" w:hAnsi="Times New Roman" w:cs="Times New Roman"/>
                <w:noProof/>
              </w:rPr>
              <w:t>would</w:t>
            </w:r>
            <w:r w:rsidR="006A0E5E" w:rsidRPr="00CD41EA">
              <w:rPr>
                <w:rFonts w:ascii="Times New Roman" w:hAnsi="Times New Roman" w:cs="Times New Roman"/>
                <w:noProof/>
              </w:rPr>
              <w:t xml:space="preserve"> </w:t>
            </w:r>
            <w:r w:rsidR="00986093" w:rsidRPr="00CD41EA">
              <w:rPr>
                <w:rFonts w:ascii="Times New Roman" w:hAnsi="Times New Roman" w:cs="Times New Roman"/>
                <w:noProof/>
              </w:rPr>
              <w:t xml:space="preserve">level </w:t>
            </w:r>
            <w:r w:rsidR="00DB689B" w:rsidRPr="00CD41EA">
              <w:rPr>
                <w:rFonts w:ascii="Times New Roman" w:hAnsi="Times New Roman" w:cs="Times New Roman"/>
                <w:noProof/>
              </w:rPr>
              <w:t xml:space="preserve">the </w:t>
            </w:r>
            <w:r w:rsidR="00986093" w:rsidRPr="00CD41EA">
              <w:rPr>
                <w:rFonts w:ascii="Times New Roman" w:hAnsi="Times New Roman" w:cs="Times New Roman"/>
                <w:noProof/>
              </w:rPr>
              <w:t xml:space="preserve">playing field: </w:t>
            </w:r>
            <w:r w:rsidR="008D4381" w:rsidRPr="00CD41EA">
              <w:rPr>
                <w:rFonts w:ascii="Times New Roman" w:hAnsi="Times New Roman" w:cs="Times New Roman"/>
                <w:noProof/>
              </w:rPr>
              <w:t>a retail investor</w:t>
            </w:r>
            <w:r w:rsidR="00CC1A05">
              <w:rPr>
                <w:rFonts w:ascii="Times New Roman" w:hAnsi="Times New Roman" w:cs="Times New Roman"/>
                <w:noProof/>
              </w:rPr>
              <w:t>, its broker</w:t>
            </w:r>
            <w:r w:rsidR="008D4381" w:rsidRPr="00CD41EA">
              <w:rPr>
                <w:rFonts w:ascii="Times New Roman" w:hAnsi="Times New Roman" w:cs="Times New Roman"/>
                <w:noProof/>
              </w:rPr>
              <w:t xml:space="preserve">, a trader working for a small asset manager or a </w:t>
            </w:r>
            <w:r w:rsidR="00DB689B" w:rsidRPr="00CD41EA">
              <w:rPr>
                <w:rFonts w:ascii="Times New Roman" w:hAnsi="Times New Roman" w:cs="Times New Roman"/>
                <w:noProof/>
              </w:rPr>
              <w:t xml:space="preserve">major </w:t>
            </w:r>
            <w:r w:rsidR="008D4381" w:rsidRPr="00CD41EA">
              <w:rPr>
                <w:rFonts w:ascii="Times New Roman" w:hAnsi="Times New Roman" w:cs="Times New Roman"/>
                <w:noProof/>
              </w:rPr>
              <w:t xml:space="preserve">bank </w:t>
            </w:r>
            <w:r w:rsidR="006A0E5E">
              <w:rPr>
                <w:rFonts w:ascii="Times New Roman" w:hAnsi="Times New Roman" w:cs="Times New Roman"/>
                <w:noProof/>
              </w:rPr>
              <w:t>would</w:t>
            </w:r>
            <w:r w:rsidR="006A0E5E" w:rsidRPr="00CD41EA">
              <w:rPr>
                <w:rFonts w:ascii="Times New Roman" w:hAnsi="Times New Roman" w:cs="Times New Roman"/>
                <w:noProof/>
              </w:rPr>
              <w:t xml:space="preserve"> </w:t>
            </w:r>
            <w:r w:rsidR="008D4381" w:rsidRPr="00CD41EA">
              <w:rPr>
                <w:rFonts w:ascii="Times New Roman" w:hAnsi="Times New Roman" w:cs="Times New Roman"/>
                <w:noProof/>
              </w:rPr>
              <w:t>all have some of the same market intelligence that currently only large</w:t>
            </w:r>
            <w:r w:rsidR="00D32519">
              <w:rPr>
                <w:rFonts w:ascii="Times New Roman" w:hAnsi="Times New Roman" w:cs="Times New Roman"/>
                <w:noProof/>
              </w:rPr>
              <w:t>r</w:t>
            </w:r>
            <w:r w:rsidR="008D4381" w:rsidRPr="00CD41EA">
              <w:rPr>
                <w:rFonts w:ascii="Times New Roman" w:hAnsi="Times New Roman" w:cs="Times New Roman"/>
                <w:noProof/>
              </w:rPr>
              <w:t xml:space="preserve"> market makers have. </w:t>
            </w:r>
            <w:r w:rsidR="00C73010" w:rsidRPr="00CD41EA">
              <w:rPr>
                <w:rFonts w:ascii="Times New Roman" w:hAnsi="Times New Roman" w:cs="Times New Roman"/>
                <w:noProof/>
              </w:rPr>
              <w:t xml:space="preserve">A </w:t>
            </w:r>
            <w:r w:rsidR="00424A1A">
              <w:rPr>
                <w:rFonts w:ascii="Times New Roman" w:hAnsi="Times New Roman" w:cs="Times New Roman"/>
                <w:noProof/>
              </w:rPr>
              <w:t>CT</w:t>
            </w:r>
            <w:r w:rsidR="00AA6E5A">
              <w:rPr>
                <w:rFonts w:ascii="Times New Roman" w:hAnsi="Times New Roman" w:cs="Times New Roman"/>
                <w:noProof/>
              </w:rPr>
              <w:t xml:space="preserve">, provided either by a single provider (option </w:t>
            </w:r>
            <w:r w:rsidR="00DB02B9">
              <w:rPr>
                <w:rFonts w:ascii="Times New Roman" w:hAnsi="Times New Roman" w:cs="Times New Roman"/>
                <w:noProof/>
              </w:rPr>
              <w:t>1.</w:t>
            </w:r>
            <w:r w:rsidR="00AA6E5A">
              <w:rPr>
                <w:rFonts w:ascii="Times New Roman" w:hAnsi="Times New Roman" w:cs="Times New Roman"/>
                <w:noProof/>
              </w:rPr>
              <w:t xml:space="preserve">4), or by competing providers (option </w:t>
            </w:r>
            <w:r w:rsidR="00DB02B9">
              <w:rPr>
                <w:rFonts w:ascii="Times New Roman" w:hAnsi="Times New Roman" w:cs="Times New Roman"/>
                <w:noProof/>
              </w:rPr>
              <w:t>1.</w:t>
            </w:r>
            <w:r w:rsidR="00AA6E5A">
              <w:rPr>
                <w:rFonts w:ascii="Times New Roman" w:hAnsi="Times New Roman" w:cs="Times New Roman"/>
                <w:noProof/>
              </w:rPr>
              <w:t>2),</w:t>
            </w:r>
            <w:r w:rsidR="00C73010" w:rsidRPr="00CD41EA">
              <w:rPr>
                <w:rFonts w:ascii="Times New Roman" w:hAnsi="Times New Roman" w:cs="Times New Roman"/>
                <w:noProof/>
              </w:rPr>
              <w:t xml:space="preserve"> would avoid that retail clients and their intermediaries miss out on </w:t>
            </w:r>
            <w:r w:rsidR="00C73010" w:rsidRPr="00CD41EA">
              <w:rPr>
                <w:rFonts w:ascii="Times New Roman" w:hAnsi="Times New Roman" w:cs="Times New Roman"/>
                <w:b/>
                <w:noProof/>
              </w:rPr>
              <w:t>obtaining the best available price</w:t>
            </w:r>
            <w:r w:rsidR="00C73010" w:rsidRPr="00CD41EA">
              <w:rPr>
                <w:rFonts w:ascii="Times New Roman" w:hAnsi="Times New Roman" w:cs="Times New Roman"/>
                <w:noProof/>
              </w:rPr>
              <w:t xml:space="preserve"> for their orders</w:t>
            </w:r>
            <w:r w:rsidR="00267620" w:rsidRPr="00CD41EA">
              <w:rPr>
                <w:rFonts w:ascii="Times New Roman" w:hAnsi="Times New Roman" w:cs="Times New Roman"/>
                <w:noProof/>
              </w:rPr>
              <w:t xml:space="preserve"> and provide </w:t>
            </w:r>
            <w:r w:rsidR="00580F42" w:rsidRPr="00CD41EA">
              <w:rPr>
                <w:rFonts w:ascii="Times New Roman" w:hAnsi="Times New Roman" w:cs="Times New Roman"/>
                <w:noProof/>
              </w:rPr>
              <w:t xml:space="preserve">them with </w:t>
            </w:r>
            <w:r w:rsidR="00267620" w:rsidRPr="00CD41EA">
              <w:rPr>
                <w:rFonts w:ascii="Times New Roman" w:hAnsi="Times New Roman" w:cs="Times New Roman"/>
                <w:noProof/>
              </w:rPr>
              <w:t xml:space="preserve">a tool </w:t>
            </w:r>
            <w:r w:rsidR="00C73010" w:rsidRPr="00CD41EA">
              <w:rPr>
                <w:rStyle w:val="normaltextrun"/>
                <w:rFonts w:ascii="Times New Roman" w:hAnsi="Times New Roman" w:cs="Times New Roman"/>
                <w:noProof/>
              </w:rPr>
              <w:t xml:space="preserve">to </w:t>
            </w:r>
            <w:r w:rsidR="00267620" w:rsidRPr="00CD41EA">
              <w:rPr>
                <w:rStyle w:val="normaltextrun"/>
                <w:rFonts w:ascii="Times New Roman" w:hAnsi="Times New Roman" w:cs="Times New Roman"/>
                <w:b/>
                <w:noProof/>
              </w:rPr>
              <w:t>check compliance</w:t>
            </w:r>
            <w:r w:rsidR="00C73010" w:rsidRPr="00CD41EA">
              <w:rPr>
                <w:rStyle w:val="normaltextrun"/>
                <w:rFonts w:ascii="Times New Roman" w:hAnsi="Times New Roman" w:cs="Times New Roman"/>
                <w:b/>
                <w:noProof/>
              </w:rPr>
              <w:t xml:space="preserve"> </w:t>
            </w:r>
            <w:r w:rsidR="00C73010" w:rsidRPr="00CD41EA">
              <w:rPr>
                <w:rStyle w:val="normaltextrun"/>
                <w:rFonts w:ascii="Times New Roman" w:hAnsi="Times New Roman" w:cs="Times New Roman"/>
                <w:noProof/>
              </w:rPr>
              <w:t>with the</w:t>
            </w:r>
            <w:r w:rsidR="00C73010" w:rsidRPr="00CD41EA">
              <w:rPr>
                <w:rStyle w:val="normaltextrun"/>
                <w:rFonts w:ascii="Times New Roman" w:hAnsi="Times New Roman" w:cs="Times New Roman"/>
                <w:b/>
                <w:noProof/>
              </w:rPr>
              <w:t xml:space="preserve"> best execution rule</w:t>
            </w:r>
            <w:r w:rsidR="00155F2E" w:rsidRPr="00CD41EA">
              <w:rPr>
                <w:rFonts w:ascii="Times New Roman" w:hAnsi="Times New Roman" w:cs="Times New Roman"/>
                <w:noProof/>
              </w:rPr>
              <w:t xml:space="preserve">. </w:t>
            </w:r>
          </w:p>
          <w:p w14:paraId="2A85B462" w14:textId="4D4D33CB" w:rsidR="007C3978" w:rsidRPr="00CD41EA" w:rsidRDefault="007C3978" w:rsidP="00CD41EA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Consolidation Option 1.2 has a slight latency advantage</w:t>
            </w:r>
            <w:r w:rsidR="00FA5ACF">
              <w:rPr>
                <w:rFonts w:ascii="Times New Roman" w:hAnsi="Times New Roman" w:cs="Times New Roman"/>
                <w:noProof/>
              </w:rPr>
              <w:t>,</w:t>
            </w:r>
            <w:r>
              <w:rPr>
                <w:rFonts w:ascii="Times New Roman" w:hAnsi="Times New Roman" w:cs="Times New Roman"/>
                <w:noProof/>
              </w:rPr>
              <w:t xml:space="preserve"> as the decentralised delivery of data is slightly more accurate </w:t>
            </w:r>
            <w:r w:rsidR="00274A4D">
              <w:rPr>
                <w:rFonts w:ascii="Times New Roman" w:hAnsi="Times New Roman" w:cs="Times New Roman"/>
                <w:noProof/>
              </w:rPr>
              <w:t>in terms of latency.</w:t>
            </w:r>
            <w:r w:rsidR="00354DBB">
              <w:rPr>
                <w:rFonts w:ascii="Times New Roman" w:hAnsi="Times New Roman" w:cs="Times New Roman"/>
                <w:noProof/>
              </w:rPr>
              <w:t xml:space="preserve"> Consolidation Option 1.4 provides ESMA with the possibility to award the consolidator r</w:t>
            </w:r>
            <w:r w:rsidR="00EC688F">
              <w:rPr>
                <w:rFonts w:ascii="Times New Roman" w:hAnsi="Times New Roman" w:cs="Times New Roman"/>
                <w:noProof/>
              </w:rPr>
              <w:t>ole to an entirely new entrant.</w:t>
            </w:r>
          </w:p>
          <w:p w14:paraId="27EF062D" w14:textId="20FC73E2" w:rsidR="00A8737A" w:rsidRDefault="00155F2E" w:rsidP="00A8737A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rFonts w:ascii="Times New Roman" w:hAnsi="Times New Roman" w:cs="Times New Roman"/>
                <w:noProof/>
              </w:rPr>
            </w:pPr>
            <w:r w:rsidRPr="00CD41EA">
              <w:rPr>
                <w:rFonts w:ascii="Times New Roman" w:hAnsi="Times New Roman" w:cs="Times New Roman"/>
                <w:noProof/>
              </w:rPr>
              <w:t xml:space="preserve">The </w:t>
            </w:r>
            <w:r w:rsidR="0072125B" w:rsidRPr="00CD41EA">
              <w:rPr>
                <w:rFonts w:ascii="Times New Roman" w:hAnsi="Times New Roman" w:cs="Times New Roman"/>
                <w:noProof/>
              </w:rPr>
              <w:t xml:space="preserve">monitoring through the </w:t>
            </w:r>
            <w:r w:rsidRPr="00CD41EA">
              <w:rPr>
                <w:rFonts w:ascii="Times New Roman" w:hAnsi="Times New Roman" w:cs="Times New Roman"/>
                <w:noProof/>
              </w:rPr>
              <w:t xml:space="preserve">tape will </w:t>
            </w:r>
            <w:r w:rsidRPr="00CD41EA">
              <w:rPr>
                <w:rFonts w:ascii="Times New Roman" w:hAnsi="Times New Roman" w:cs="Times New Roman"/>
                <w:b/>
                <w:noProof/>
              </w:rPr>
              <w:t>incentivi</w:t>
            </w:r>
            <w:r w:rsidR="00CC1A05">
              <w:rPr>
                <w:rFonts w:ascii="Times New Roman" w:hAnsi="Times New Roman" w:cs="Times New Roman"/>
                <w:b/>
                <w:noProof/>
              </w:rPr>
              <w:t>s</w:t>
            </w:r>
            <w:r w:rsidRPr="00CD41EA">
              <w:rPr>
                <w:rFonts w:ascii="Times New Roman" w:hAnsi="Times New Roman" w:cs="Times New Roman"/>
                <w:b/>
                <w:noProof/>
              </w:rPr>
              <w:t>e brokers</w:t>
            </w:r>
            <w:r w:rsidRPr="00CD41EA">
              <w:rPr>
                <w:rFonts w:ascii="Times New Roman" w:hAnsi="Times New Roman" w:cs="Times New Roman"/>
                <w:noProof/>
              </w:rPr>
              <w:t xml:space="preserve"> </w:t>
            </w:r>
            <w:r w:rsidR="007B0327" w:rsidRPr="00CD41EA">
              <w:rPr>
                <w:rFonts w:ascii="Times New Roman" w:hAnsi="Times New Roman" w:cs="Times New Roman"/>
                <w:noProof/>
              </w:rPr>
              <w:t>and</w:t>
            </w:r>
            <w:r w:rsidRPr="00CD41EA">
              <w:rPr>
                <w:rFonts w:ascii="Times New Roman" w:hAnsi="Times New Roman" w:cs="Times New Roman"/>
                <w:noProof/>
              </w:rPr>
              <w:t xml:space="preserve"> asset managers to </w:t>
            </w:r>
            <w:r w:rsidR="007B0327" w:rsidRPr="00CD41EA">
              <w:rPr>
                <w:rFonts w:ascii="Times New Roman" w:hAnsi="Times New Roman" w:cs="Times New Roman"/>
                <w:noProof/>
              </w:rPr>
              <w:t xml:space="preserve">actively seek to </w:t>
            </w:r>
            <w:r w:rsidRPr="00CD41EA">
              <w:rPr>
                <w:rFonts w:ascii="Times New Roman" w:hAnsi="Times New Roman" w:cs="Times New Roman"/>
                <w:noProof/>
              </w:rPr>
              <w:t>include in the</w:t>
            </w:r>
            <w:r w:rsidR="00CD41EA">
              <w:rPr>
                <w:rFonts w:ascii="Times New Roman" w:hAnsi="Times New Roman" w:cs="Times New Roman"/>
                <w:noProof/>
              </w:rPr>
              <w:t>ir</w:t>
            </w:r>
            <w:r w:rsidR="007B0327" w:rsidRPr="00CD41EA">
              <w:rPr>
                <w:rFonts w:ascii="Times New Roman" w:hAnsi="Times New Roman" w:cs="Times New Roman"/>
                <w:noProof/>
              </w:rPr>
              <w:t xml:space="preserve"> </w:t>
            </w:r>
            <w:r w:rsidRPr="00A8737A">
              <w:rPr>
                <w:rFonts w:ascii="Times New Roman" w:hAnsi="Times New Roman" w:cs="Times New Roman"/>
                <w:noProof/>
              </w:rPr>
              <w:t xml:space="preserve">portfolios </w:t>
            </w:r>
            <w:r w:rsidR="00CD41EA">
              <w:rPr>
                <w:rFonts w:ascii="Times New Roman" w:hAnsi="Times New Roman" w:cs="Times New Roman"/>
                <w:noProof/>
              </w:rPr>
              <w:t xml:space="preserve">the most optimal </w:t>
            </w:r>
            <w:r w:rsidRPr="00A8737A">
              <w:rPr>
                <w:rFonts w:ascii="Times New Roman" w:hAnsi="Times New Roman" w:cs="Times New Roman"/>
                <w:noProof/>
              </w:rPr>
              <w:t xml:space="preserve">instruments and not just </w:t>
            </w:r>
            <w:r w:rsidR="00CD41EA">
              <w:rPr>
                <w:rFonts w:ascii="Times New Roman" w:hAnsi="Times New Roman" w:cs="Times New Roman"/>
                <w:noProof/>
              </w:rPr>
              <w:t>those</w:t>
            </w:r>
            <w:r w:rsidRPr="00A8737A">
              <w:rPr>
                <w:rFonts w:ascii="Times New Roman" w:hAnsi="Times New Roman" w:cs="Times New Roman"/>
                <w:noProof/>
              </w:rPr>
              <w:t xml:space="preserve"> available on the few venues they currently subscribe to. </w:t>
            </w:r>
          </w:p>
          <w:p w14:paraId="4B0D675C" w14:textId="45B36B83" w:rsidR="009211A3" w:rsidRPr="002474A7" w:rsidRDefault="0033262D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noProof/>
              </w:rPr>
            </w:pPr>
            <w:r w:rsidRPr="00A8737A">
              <w:rPr>
                <w:rFonts w:ascii="Times New Roman" w:hAnsi="Times New Roman" w:cs="Times New Roman"/>
                <w:noProof/>
              </w:rPr>
              <w:t>B</w:t>
            </w:r>
            <w:r w:rsidR="00E80932" w:rsidRPr="00A8737A">
              <w:rPr>
                <w:rFonts w:ascii="Times New Roman" w:hAnsi="Times New Roman" w:cs="Times New Roman"/>
                <w:noProof/>
              </w:rPr>
              <w:t xml:space="preserve">y providing a revenue allocation model that functions as an economic </w:t>
            </w:r>
            <w:r w:rsidR="00E80932" w:rsidRPr="00A8737A">
              <w:rPr>
                <w:rFonts w:ascii="Times New Roman" w:hAnsi="Times New Roman" w:cs="Times New Roman"/>
                <w:b/>
                <w:noProof/>
              </w:rPr>
              <w:t>incentive to channel trades</w:t>
            </w:r>
            <w:r w:rsidRPr="00A8737A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E80932" w:rsidRPr="00A8737A">
              <w:rPr>
                <w:rFonts w:ascii="Times New Roman" w:hAnsi="Times New Roman" w:cs="Times New Roman"/>
                <w:b/>
                <w:noProof/>
              </w:rPr>
              <w:t>to execution protocols</w:t>
            </w:r>
            <w:r w:rsidR="00E80932" w:rsidRPr="00A8737A">
              <w:rPr>
                <w:rFonts w:ascii="Times New Roman" w:hAnsi="Times New Roman" w:cs="Times New Roman"/>
                <w:noProof/>
              </w:rPr>
              <w:t xml:space="preserve"> that are pre-trade transparent, </w:t>
            </w:r>
            <w:r w:rsidRPr="00A8737A">
              <w:rPr>
                <w:rFonts w:ascii="Times New Roman" w:hAnsi="Times New Roman" w:cs="Times New Roman"/>
                <w:noProof/>
              </w:rPr>
              <w:t xml:space="preserve">the CT </w:t>
            </w:r>
            <w:r w:rsidR="00E80932" w:rsidRPr="00A8737A">
              <w:rPr>
                <w:rFonts w:ascii="Times New Roman" w:hAnsi="Times New Roman" w:cs="Times New Roman"/>
                <w:noProof/>
              </w:rPr>
              <w:t xml:space="preserve">could </w:t>
            </w:r>
            <w:r w:rsidR="00FA5ACF">
              <w:rPr>
                <w:rFonts w:ascii="Times New Roman" w:hAnsi="Times New Roman" w:cs="Times New Roman"/>
                <w:noProof/>
              </w:rPr>
              <w:t>increase incentives to provide accurate and timely data using the harmonised data format.  This leads to an alignment of incentives between market data contributors and market data consolidators</w:t>
            </w:r>
            <w:r w:rsidR="00A8737A" w:rsidRPr="00A8737A">
              <w:rPr>
                <w:rFonts w:ascii="Times New Roman" w:hAnsi="Times New Roman" w:cs="Times New Roman"/>
                <w:noProof/>
              </w:rPr>
              <w:t>,</w:t>
            </w:r>
            <w:r w:rsidR="007B0327" w:rsidRPr="00A8737A">
              <w:rPr>
                <w:rFonts w:ascii="Times New Roman" w:hAnsi="Times New Roman" w:cs="Times New Roman"/>
                <w:noProof/>
              </w:rPr>
              <w:t xml:space="preserve"> which</w:t>
            </w:r>
            <w:r w:rsidR="00E80932" w:rsidRPr="00A8737A">
              <w:rPr>
                <w:rFonts w:ascii="Times New Roman" w:hAnsi="Times New Roman" w:cs="Times New Roman"/>
                <w:noProof/>
              </w:rPr>
              <w:t xml:space="preserve"> would also boost confidence in the operation of the Union’s capital market.</w:t>
            </w:r>
            <w:r w:rsidR="00C90799" w:rsidRPr="00A8737A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6B20E3" w14:paraId="6A774C9D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47E05F" w14:textId="77777777" w:rsidR="006B20E3" w:rsidRDefault="006B20E3" w:rsidP="00E20A1F">
            <w:pPr>
              <w:spacing w:before="60" w:after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What are the costs of the preferred option (if any, otherwise the main ones)?</w:t>
            </w:r>
            <w:r>
              <w:rPr>
                <w:rFonts w:ascii="Tahoma" w:hAnsi="Tahoma" w:cs="Tahoma"/>
                <w:noProof/>
              </w:rPr>
              <w:t xml:space="preserve">                                       </w:t>
            </w:r>
          </w:p>
        </w:tc>
      </w:tr>
      <w:tr w:rsidR="006B20E3" w14:paraId="2EFF6168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5B88" w14:textId="65868555" w:rsidR="00D475B7" w:rsidRDefault="00D475B7" w:rsidP="00D475B7">
            <w:pPr>
              <w:rPr>
                <w:noProof/>
              </w:rPr>
            </w:pPr>
            <w:r w:rsidRPr="00ED4A06">
              <w:rPr>
                <w:rFonts w:eastAsia="Calibri"/>
                <w:noProof/>
                <w:szCs w:val="24"/>
              </w:rPr>
              <w:t xml:space="preserve">Projected </w:t>
            </w:r>
            <w:r w:rsidR="001D7162">
              <w:rPr>
                <w:rFonts w:eastAsia="Calibri"/>
                <w:noProof/>
                <w:szCs w:val="24"/>
              </w:rPr>
              <w:t xml:space="preserve">operational </w:t>
            </w:r>
            <w:r w:rsidRPr="00ED4A06">
              <w:rPr>
                <w:rFonts w:eastAsia="Calibri"/>
                <w:noProof/>
                <w:szCs w:val="24"/>
              </w:rPr>
              <w:t>cost for the provider o</w:t>
            </w:r>
            <w:r>
              <w:rPr>
                <w:rFonts w:eastAsia="Calibri"/>
                <w:noProof/>
                <w:szCs w:val="24"/>
              </w:rPr>
              <w:t>f a consolidated tape</w:t>
            </w:r>
            <w:r w:rsidRPr="00ED4A06">
              <w:rPr>
                <w:rFonts w:eastAsia="Calibri"/>
                <w:noProof/>
                <w:szCs w:val="24"/>
              </w:rPr>
              <w:t xml:space="preserve"> </w:t>
            </w:r>
            <w:r w:rsidR="004329D3">
              <w:rPr>
                <w:rFonts w:eastAsia="Calibri"/>
                <w:noProof/>
                <w:szCs w:val="24"/>
              </w:rPr>
              <w:t xml:space="preserve">for shares and bonds </w:t>
            </w:r>
            <w:r>
              <w:rPr>
                <w:noProof/>
              </w:rPr>
              <w:t>have been assessed as follows: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78"/>
              <w:gridCol w:w="4979"/>
            </w:tblGrid>
            <w:tr w:rsidR="00CB4910" w14:paraId="1F93696F" w14:textId="77777777" w:rsidTr="007559FB">
              <w:tc>
                <w:tcPr>
                  <w:tcW w:w="4978" w:type="dxa"/>
                </w:tcPr>
                <w:p w14:paraId="0F2C63EA" w14:textId="3A11B194" w:rsidR="00CB4910" w:rsidRPr="004329D3" w:rsidRDefault="00CB4910" w:rsidP="00CB4910">
                  <w:pPr>
                    <w:rPr>
                      <w:b/>
                      <w:noProof/>
                    </w:rPr>
                  </w:pPr>
                  <w:r w:rsidRPr="004329D3">
                    <w:rPr>
                      <w:b/>
                      <w:noProof/>
                    </w:rPr>
                    <w:t>Equity tape</w:t>
                  </w:r>
                  <w:r>
                    <w:rPr>
                      <w:b/>
                      <w:noProof/>
                    </w:rPr>
                    <w:t xml:space="preserve"> costs (annual)</w:t>
                  </w:r>
                </w:p>
              </w:tc>
              <w:tc>
                <w:tcPr>
                  <w:tcW w:w="4979" w:type="dxa"/>
                </w:tcPr>
                <w:p w14:paraId="3501C29A" w14:textId="77777777" w:rsidR="00CB4910" w:rsidRPr="004329D3" w:rsidRDefault="00CB4910" w:rsidP="00CB4910">
                  <w:pPr>
                    <w:rPr>
                      <w:b/>
                      <w:noProof/>
                    </w:rPr>
                  </w:pPr>
                  <w:r>
                    <w:rPr>
                      <w:b/>
                      <w:noProof/>
                    </w:rPr>
                    <w:t>B</w:t>
                  </w:r>
                  <w:r w:rsidRPr="004329D3">
                    <w:rPr>
                      <w:b/>
                      <w:noProof/>
                    </w:rPr>
                    <w:t xml:space="preserve">ond </w:t>
                  </w:r>
                  <w:r>
                    <w:rPr>
                      <w:b/>
                      <w:noProof/>
                    </w:rPr>
                    <w:t xml:space="preserve">or derivative </w:t>
                  </w:r>
                  <w:r w:rsidRPr="004329D3">
                    <w:rPr>
                      <w:b/>
                      <w:noProof/>
                    </w:rPr>
                    <w:t>tape</w:t>
                  </w:r>
                  <w:r>
                    <w:rPr>
                      <w:b/>
                      <w:noProof/>
                    </w:rPr>
                    <w:t xml:space="preserve"> costs (annual)</w:t>
                  </w:r>
                </w:p>
              </w:tc>
            </w:tr>
            <w:tr w:rsidR="00CB4910" w14:paraId="5C5D2F0F" w14:textId="77777777" w:rsidTr="007559FB">
              <w:tc>
                <w:tcPr>
                  <w:tcW w:w="4978" w:type="dxa"/>
                </w:tcPr>
                <w:p w14:paraId="754098D8" w14:textId="6AF39D2C" w:rsidR="00CB4910" w:rsidRPr="004329D3" w:rsidRDefault="00CB4910" w:rsidP="00CB4910">
                  <w:pPr>
                    <w:rPr>
                      <w:rFonts w:eastAsia="Calibri"/>
                      <w:noProof/>
                      <w:szCs w:val="24"/>
                    </w:rPr>
                  </w:pPr>
                  <w:r w:rsidRPr="00FD2DC7">
                    <w:rPr>
                      <w:noProof/>
                      <w:lang w:eastAsia="fr-BE"/>
                    </w:rPr>
                    <w:t>B</w:t>
                  </w:r>
                  <w:r>
                    <w:rPr>
                      <w:noProof/>
                      <w:lang w:eastAsia="fr-BE"/>
                    </w:rPr>
                    <w:t>uild/Setup costs</w:t>
                  </w:r>
                  <w:r w:rsidRPr="004329D3">
                    <w:rPr>
                      <w:rFonts w:eastAsia="Calibri"/>
                      <w:noProof/>
                      <w:szCs w:val="24"/>
                    </w:rPr>
                    <w:t xml:space="preserve"> – </w:t>
                  </w:r>
                  <w:r w:rsidRPr="004329D3">
                    <w:rPr>
                      <w:rFonts w:eastAsia="Calibri"/>
                      <w:noProof/>
                      <w:szCs w:val="24"/>
                      <w:lang w:val="en-US"/>
                    </w:rPr>
                    <w:t xml:space="preserve">EUR </w:t>
                  </w:r>
                  <w:r>
                    <w:rPr>
                      <w:noProof/>
                      <w:lang w:val="en-US" w:eastAsia="fr-BE"/>
                    </w:rPr>
                    <w:t>0.8</w:t>
                  </w:r>
                  <w:r>
                    <w:rPr>
                      <w:noProof/>
                      <w:lang w:eastAsia="fr-BE"/>
                    </w:rPr>
                    <w:t>-</w:t>
                  </w:r>
                  <w:r>
                    <w:rPr>
                      <w:rFonts w:eastAsia="Calibri"/>
                      <w:noProof/>
                      <w:szCs w:val="24"/>
                    </w:rPr>
                    <w:t>2</w:t>
                  </w:r>
                  <w:r w:rsidDel="00750AA9">
                    <w:rPr>
                      <w:rFonts w:eastAsia="Calibri"/>
                      <w:noProof/>
                      <w:szCs w:val="24"/>
                    </w:rPr>
                    <w:t>.</w:t>
                  </w:r>
                  <w:r>
                    <w:rPr>
                      <w:noProof/>
                      <w:lang w:eastAsia="fr-BE"/>
                    </w:rPr>
                    <w:t xml:space="preserve">4 </w:t>
                  </w:r>
                  <w:r>
                    <w:rPr>
                      <w:rFonts w:eastAsia="Calibri"/>
                      <w:noProof/>
                      <w:szCs w:val="24"/>
                    </w:rPr>
                    <w:t xml:space="preserve"> million/yr</w:t>
                  </w:r>
                </w:p>
              </w:tc>
              <w:tc>
                <w:tcPr>
                  <w:tcW w:w="4979" w:type="dxa"/>
                </w:tcPr>
                <w:p w14:paraId="4A348849" w14:textId="77777777" w:rsidR="00CB4910" w:rsidRDefault="00CB4910" w:rsidP="00CB4910">
                  <w:pPr>
                    <w:rPr>
                      <w:noProof/>
                    </w:rPr>
                  </w:pPr>
                  <w:r w:rsidRPr="00FD2DC7">
                    <w:rPr>
                      <w:noProof/>
                      <w:lang w:eastAsia="fr-BE"/>
                    </w:rPr>
                    <w:t>B</w:t>
                  </w:r>
                  <w:r>
                    <w:rPr>
                      <w:noProof/>
                      <w:lang w:eastAsia="fr-BE"/>
                    </w:rPr>
                    <w:t>uild/Setup costs – EUR 0.16-1.4</w:t>
                  </w:r>
                  <w:r w:rsidRPr="00FD2DC7">
                    <w:rPr>
                      <w:noProof/>
                      <w:lang w:eastAsia="fr-BE"/>
                    </w:rPr>
                    <w:t xml:space="preserve"> million</w:t>
                  </w:r>
                  <w:r>
                    <w:rPr>
                      <w:noProof/>
                      <w:lang w:eastAsia="fr-BE"/>
                    </w:rPr>
                    <w:t>/yr</w:t>
                  </w:r>
                </w:p>
              </w:tc>
            </w:tr>
            <w:tr w:rsidR="00CB4910" w14:paraId="340D4E8D" w14:textId="77777777" w:rsidTr="007559FB">
              <w:tc>
                <w:tcPr>
                  <w:tcW w:w="4978" w:type="dxa"/>
                </w:tcPr>
                <w:p w14:paraId="7DE34AC8" w14:textId="77777777" w:rsidR="00CB4910" w:rsidRPr="004329D3" w:rsidRDefault="00CB4910" w:rsidP="00CB4910">
                  <w:pPr>
                    <w:rPr>
                      <w:rFonts w:eastAsia="Calibri"/>
                      <w:noProof/>
                      <w:szCs w:val="24"/>
                    </w:rPr>
                  </w:pPr>
                  <w:r w:rsidRPr="004329D3">
                    <w:rPr>
                      <w:rFonts w:eastAsia="Calibri"/>
                      <w:noProof/>
                      <w:szCs w:val="24"/>
                    </w:rPr>
                    <w:t>Run</w:t>
                  </w:r>
                  <w:r>
                    <w:rPr>
                      <w:rFonts w:eastAsia="Calibri"/>
                      <w:noProof/>
                      <w:szCs w:val="24"/>
                    </w:rPr>
                    <w:t>ning costs</w:t>
                  </w:r>
                  <w:r w:rsidRPr="004329D3">
                    <w:rPr>
                      <w:rFonts w:eastAsia="Calibri"/>
                      <w:noProof/>
                      <w:szCs w:val="24"/>
                    </w:rPr>
                    <w:t xml:space="preserve"> –</w:t>
                  </w:r>
                  <w:r>
                    <w:rPr>
                      <w:rFonts w:eastAsia="Calibri"/>
                      <w:noProof/>
                      <w:szCs w:val="24"/>
                    </w:rPr>
                    <w:t xml:space="preserve"> </w:t>
                  </w:r>
                  <w:r w:rsidRPr="004329D3">
                    <w:rPr>
                      <w:rFonts w:eastAsia="Calibri"/>
                      <w:noProof/>
                      <w:szCs w:val="24"/>
                    </w:rPr>
                    <w:t xml:space="preserve">EUR </w:t>
                  </w:r>
                  <w:r>
                    <w:rPr>
                      <w:rFonts w:eastAsia="Calibri"/>
                      <w:noProof/>
                      <w:szCs w:val="24"/>
                    </w:rPr>
                    <w:t>1.</w:t>
                  </w:r>
                  <w:r w:rsidDel="00750AA9">
                    <w:rPr>
                      <w:rFonts w:eastAsia="Calibri"/>
                      <w:noProof/>
                      <w:szCs w:val="24"/>
                    </w:rPr>
                    <w:t>4</w:t>
                  </w:r>
                  <w:r>
                    <w:rPr>
                      <w:rFonts w:eastAsia="Calibri"/>
                      <w:noProof/>
                      <w:szCs w:val="24"/>
                    </w:rPr>
                    <w:t>-5.5 million/yr</w:t>
                  </w:r>
                </w:p>
              </w:tc>
              <w:tc>
                <w:tcPr>
                  <w:tcW w:w="4979" w:type="dxa"/>
                </w:tcPr>
                <w:p w14:paraId="13B8CFEC" w14:textId="77777777" w:rsidR="00CB4910" w:rsidRDefault="00CB4910" w:rsidP="00CB4910">
                  <w:pPr>
                    <w:rPr>
                      <w:noProof/>
                      <w:lang w:eastAsia="fr-BE"/>
                    </w:rPr>
                  </w:pPr>
                  <w:r>
                    <w:rPr>
                      <w:noProof/>
                      <w:lang w:eastAsia="fr-BE"/>
                    </w:rPr>
                    <w:t>Running costs –  EUR 1.3-4 million/yr</w:t>
                  </w:r>
                </w:p>
              </w:tc>
            </w:tr>
            <w:tr w:rsidR="00CB4910" w14:paraId="3F5EFCB6" w14:textId="77777777" w:rsidTr="007559FB">
              <w:tc>
                <w:tcPr>
                  <w:tcW w:w="4978" w:type="dxa"/>
                </w:tcPr>
                <w:p w14:paraId="7D8B4B70" w14:textId="3F1DD8F7" w:rsidR="00CB4910" w:rsidRDefault="00CB4910" w:rsidP="00AF5EF6">
                  <w:pPr>
                    <w:jc w:val="both"/>
                    <w:rPr>
                      <w:noProof/>
                    </w:rPr>
                  </w:pPr>
                  <w:r w:rsidRPr="004329D3">
                    <w:rPr>
                      <w:rFonts w:eastAsia="Calibri"/>
                      <w:b/>
                      <w:noProof/>
                      <w:szCs w:val="24"/>
                    </w:rPr>
                    <w:t>Total</w:t>
                  </w:r>
                  <w:r w:rsidRPr="004329D3">
                    <w:rPr>
                      <w:rFonts w:eastAsia="Calibri"/>
                      <w:noProof/>
                      <w:szCs w:val="24"/>
                    </w:rPr>
                    <w:t xml:space="preserve"> –</w:t>
                  </w:r>
                  <w:r>
                    <w:rPr>
                      <w:rFonts w:eastAsia="Calibri"/>
                      <w:noProof/>
                      <w:szCs w:val="24"/>
                    </w:rPr>
                    <w:t xml:space="preserve"> </w:t>
                  </w:r>
                  <w:r w:rsidRPr="004329D3">
                    <w:rPr>
                      <w:rFonts w:eastAsia="Calibri"/>
                      <w:b/>
                      <w:noProof/>
                      <w:szCs w:val="24"/>
                    </w:rPr>
                    <w:t xml:space="preserve">EUR </w:t>
                  </w:r>
                  <w:r>
                    <w:rPr>
                      <w:rFonts w:eastAsia="Calibri"/>
                      <w:b/>
                      <w:noProof/>
                      <w:szCs w:val="24"/>
                    </w:rPr>
                    <w:t>2.2</w:t>
                  </w:r>
                  <w:r w:rsidRPr="004329D3">
                    <w:rPr>
                      <w:rFonts w:eastAsia="Calibri"/>
                      <w:b/>
                      <w:noProof/>
                      <w:szCs w:val="24"/>
                    </w:rPr>
                    <w:t>-7.8 million</w:t>
                  </w:r>
                  <w:r w:rsidR="003F4700">
                    <w:rPr>
                      <w:rFonts w:eastAsia="Calibri"/>
                      <w:noProof/>
                      <w:szCs w:val="24"/>
                    </w:rPr>
                    <w:t>/</w:t>
                  </w:r>
                  <w:r w:rsidR="00AF5EF6">
                    <w:rPr>
                      <w:rFonts w:eastAsia="Calibri"/>
                      <w:noProof/>
                      <w:szCs w:val="24"/>
                    </w:rPr>
                    <w:t>yr</w:t>
                  </w:r>
                </w:p>
              </w:tc>
              <w:tc>
                <w:tcPr>
                  <w:tcW w:w="4979" w:type="dxa"/>
                </w:tcPr>
                <w:p w14:paraId="63DA0E2F" w14:textId="40B41D98" w:rsidR="00CB4910" w:rsidRDefault="00CB4910" w:rsidP="00CB4910">
                  <w:pPr>
                    <w:rPr>
                      <w:noProof/>
                    </w:rPr>
                  </w:pPr>
                  <w:r w:rsidRPr="004329D3">
                    <w:rPr>
                      <w:b/>
                      <w:noProof/>
                      <w:lang w:eastAsia="fr-BE"/>
                    </w:rPr>
                    <w:t>Total –</w:t>
                  </w:r>
                  <w:r>
                    <w:rPr>
                      <w:b/>
                      <w:noProof/>
                      <w:lang w:eastAsia="fr-BE"/>
                    </w:rPr>
                    <w:t xml:space="preserve"> </w:t>
                  </w:r>
                  <w:r w:rsidRPr="004329D3">
                    <w:rPr>
                      <w:b/>
                      <w:noProof/>
                      <w:lang w:eastAsia="fr-BE"/>
                    </w:rPr>
                    <w:t>EUR 1.</w:t>
                  </w:r>
                  <w:r>
                    <w:rPr>
                      <w:b/>
                      <w:noProof/>
                      <w:lang w:eastAsia="fr-BE"/>
                    </w:rPr>
                    <w:t>4</w:t>
                  </w:r>
                  <w:r w:rsidR="00A34427">
                    <w:rPr>
                      <w:b/>
                      <w:noProof/>
                      <w:lang w:eastAsia="fr-BE"/>
                    </w:rPr>
                    <w:t>6</w:t>
                  </w:r>
                  <w:r w:rsidRPr="004329D3">
                    <w:rPr>
                      <w:b/>
                      <w:noProof/>
                      <w:lang w:eastAsia="fr-BE"/>
                    </w:rPr>
                    <w:t>-</w:t>
                  </w:r>
                  <w:r>
                    <w:rPr>
                      <w:b/>
                      <w:noProof/>
                      <w:lang w:eastAsia="fr-BE"/>
                    </w:rPr>
                    <w:t>5.4</w:t>
                  </w:r>
                  <w:r w:rsidRPr="004329D3">
                    <w:rPr>
                      <w:b/>
                      <w:noProof/>
                      <w:lang w:eastAsia="fr-BE"/>
                    </w:rPr>
                    <w:t xml:space="preserve"> million</w:t>
                  </w:r>
                  <w:r>
                    <w:rPr>
                      <w:noProof/>
                      <w:lang w:eastAsia="fr-BE"/>
                    </w:rPr>
                    <w:t>/yr</w:t>
                  </w:r>
                </w:p>
              </w:tc>
            </w:tr>
          </w:tbl>
          <w:p w14:paraId="7AF89F2C" w14:textId="3ABA87FD" w:rsidR="00D475B7" w:rsidRPr="006826E3" w:rsidRDefault="001C6E19" w:rsidP="00C045C5">
            <w:pPr>
              <w:jc w:val="both"/>
              <w:rPr>
                <w:rFonts w:eastAsia="Calibri"/>
                <w:noProof/>
                <w:szCs w:val="24"/>
              </w:rPr>
            </w:pPr>
            <w:r>
              <w:rPr>
                <w:rFonts w:eastAsia="Calibri"/>
                <w:noProof/>
                <w:szCs w:val="24"/>
              </w:rPr>
              <w:t>The tape</w:t>
            </w:r>
            <w:r w:rsidR="00E072E3">
              <w:rPr>
                <w:rFonts w:eastAsia="Calibri"/>
                <w:noProof/>
                <w:szCs w:val="24"/>
              </w:rPr>
              <w:t xml:space="preserve"> would function under a revenue model from the users, </w:t>
            </w:r>
            <w:r w:rsidR="009E37AC">
              <w:rPr>
                <w:rFonts w:eastAsia="Calibri"/>
                <w:noProof/>
                <w:szCs w:val="24"/>
              </w:rPr>
              <w:t xml:space="preserve">where the </w:t>
            </w:r>
            <w:r w:rsidR="006826E3" w:rsidRPr="006826E3">
              <w:rPr>
                <w:rFonts w:eastAsia="Calibri"/>
                <w:noProof/>
                <w:szCs w:val="24"/>
              </w:rPr>
              <w:t xml:space="preserve">tape </w:t>
            </w:r>
            <w:r w:rsidR="009E37AC">
              <w:rPr>
                <w:rFonts w:eastAsia="Calibri"/>
                <w:noProof/>
                <w:szCs w:val="24"/>
              </w:rPr>
              <w:t xml:space="preserve">provider </w:t>
            </w:r>
            <w:r w:rsidR="006826E3" w:rsidRPr="006826E3">
              <w:rPr>
                <w:rFonts w:eastAsia="Calibri"/>
                <w:noProof/>
                <w:szCs w:val="24"/>
              </w:rPr>
              <w:t>would charge professional users an annual “per user” subscription</w:t>
            </w:r>
            <w:r w:rsidR="009E37AC">
              <w:rPr>
                <w:rFonts w:eastAsia="Calibri"/>
                <w:noProof/>
                <w:szCs w:val="24"/>
              </w:rPr>
              <w:t xml:space="preserve"> of EUR 100/month</w:t>
            </w:r>
            <w:r w:rsidR="00185B0A">
              <w:rPr>
                <w:rFonts w:eastAsia="Calibri"/>
                <w:noProof/>
                <w:szCs w:val="24"/>
              </w:rPr>
              <w:t>.</w:t>
            </w:r>
            <w:r w:rsidR="009E37AC">
              <w:rPr>
                <w:rFonts w:eastAsia="Calibri"/>
                <w:noProof/>
                <w:szCs w:val="24"/>
              </w:rPr>
              <w:t xml:space="preserve"> </w:t>
            </w:r>
            <w:r w:rsidR="00185B0A">
              <w:rPr>
                <w:rFonts w:eastAsia="Calibri"/>
                <w:noProof/>
                <w:szCs w:val="24"/>
              </w:rPr>
              <w:t>N</w:t>
            </w:r>
            <w:r w:rsidR="009E37AC">
              <w:rPr>
                <w:rFonts w:eastAsia="Calibri"/>
                <w:noProof/>
                <w:szCs w:val="24"/>
              </w:rPr>
              <w:t>on-professional users would either pay no fee or a maximum of EUR 1/month</w:t>
            </w:r>
            <w:r w:rsidR="006826E3" w:rsidRPr="006826E3">
              <w:rPr>
                <w:rFonts w:eastAsia="Calibri"/>
                <w:noProof/>
                <w:szCs w:val="24"/>
              </w:rPr>
              <w:t xml:space="preserve">. </w:t>
            </w:r>
            <w:r w:rsidR="00046721">
              <w:rPr>
                <w:rFonts w:eastAsia="Calibri"/>
                <w:noProof/>
                <w:szCs w:val="24"/>
              </w:rPr>
              <w:t>E</w:t>
            </w:r>
            <w:r w:rsidR="006826E3" w:rsidRPr="006826E3">
              <w:rPr>
                <w:rFonts w:eastAsia="Calibri"/>
                <w:noProof/>
                <w:szCs w:val="24"/>
              </w:rPr>
              <w:t>xcess profit shall be redistributed to data contributors</w:t>
            </w:r>
            <w:r w:rsidR="00E072E3">
              <w:rPr>
                <w:rFonts w:eastAsia="Calibri"/>
                <w:noProof/>
                <w:szCs w:val="24"/>
              </w:rPr>
              <w:t xml:space="preserve">. </w:t>
            </w:r>
            <w:r w:rsidR="006826E3">
              <w:rPr>
                <w:rFonts w:eastAsia="Calibri"/>
                <w:noProof/>
                <w:szCs w:val="24"/>
              </w:rPr>
              <w:t xml:space="preserve">Estimates for an </w:t>
            </w:r>
            <w:r w:rsidR="006826E3" w:rsidRPr="00C85E6E">
              <w:rPr>
                <w:rFonts w:eastAsia="Calibri"/>
                <w:b/>
                <w:noProof/>
                <w:szCs w:val="24"/>
              </w:rPr>
              <w:t>equity</w:t>
            </w:r>
            <w:r w:rsidR="006826E3">
              <w:rPr>
                <w:rFonts w:eastAsia="Calibri"/>
                <w:noProof/>
                <w:szCs w:val="24"/>
              </w:rPr>
              <w:t xml:space="preserve"> tape show that </w:t>
            </w:r>
            <w:r w:rsidR="009E37AC">
              <w:rPr>
                <w:rFonts w:eastAsia="Calibri"/>
                <w:noProof/>
                <w:szCs w:val="24"/>
              </w:rPr>
              <w:t xml:space="preserve">annual </w:t>
            </w:r>
            <w:r w:rsidR="006826E3">
              <w:rPr>
                <w:rFonts w:eastAsia="Calibri"/>
                <w:noProof/>
                <w:szCs w:val="24"/>
              </w:rPr>
              <w:t xml:space="preserve">total </w:t>
            </w:r>
            <w:r w:rsidR="006826E3" w:rsidRPr="006826E3">
              <w:rPr>
                <w:rFonts w:eastAsia="Calibri"/>
                <w:b/>
                <w:noProof/>
                <w:szCs w:val="24"/>
              </w:rPr>
              <w:t>revenues</w:t>
            </w:r>
            <w:r w:rsidR="006826E3">
              <w:rPr>
                <w:rFonts w:eastAsia="Calibri"/>
                <w:noProof/>
                <w:szCs w:val="24"/>
              </w:rPr>
              <w:t xml:space="preserve"> </w:t>
            </w:r>
            <w:r w:rsidR="00BE0B25">
              <w:rPr>
                <w:rFonts w:eastAsia="Calibri"/>
                <w:noProof/>
                <w:szCs w:val="24"/>
              </w:rPr>
              <w:t>are estimated at approximately</w:t>
            </w:r>
            <w:r w:rsidR="009E37AC">
              <w:rPr>
                <w:rFonts w:eastAsia="Calibri"/>
                <w:noProof/>
                <w:szCs w:val="24"/>
              </w:rPr>
              <w:t xml:space="preserve"> </w:t>
            </w:r>
            <w:r w:rsidR="006826E3">
              <w:rPr>
                <w:rFonts w:eastAsia="Calibri"/>
                <w:noProof/>
                <w:szCs w:val="24"/>
              </w:rPr>
              <w:t xml:space="preserve">EUR </w:t>
            </w:r>
            <w:r w:rsidR="00BE0B25">
              <w:rPr>
                <w:rFonts w:eastAsia="Calibri"/>
                <w:noProof/>
                <w:szCs w:val="24"/>
              </w:rPr>
              <w:t>200</w:t>
            </w:r>
            <w:r w:rsidR="006826E3">
              <w:rPr>
                <w:rFonts w:eastAsia="Calibri"/>
                <w:noProof/>
                <w:szCs w:val="24"/>
              </w:rPr>
              <w:t xml:space="preserve"> million</w:t>
            </w:r>
            <w:r w:rsidR="00BA2BC7">
              <w:rPr>
                <w:rFonts w:eastAsia="Calibri"/>
                <w:noProof/>
                <w:szCs w:val="24"/>
              </w:rPr>
              <w:t xml:space="preserve"> depending on the specific features of the tape</w:t>
            </w:r>
            <w:r w:rsidR="006826E3">
              <w:rPr>
                <w:rFonts w:eastAsia="Calibri"/>
                <w:noProof/>
                <w:szCs w:val="24"/>
              </w:rPr>
              <w:t xml:space="preserve">. </w:t>
            </w:r>
            <w:r w:rsidR="007C342C" w:rsidRPr="00B86E16">
              <w:rPr>
                <w:noProof/>
                <w:lang w:eastAsia="fr-BE"/>
              </w:rPr>
              <w:t xml:space="preserve">Subtracting average annual </w:t>
            </w:r>
            <w:r w:rsidR="00BE0B25">
              <w:rPr>
                <w:noProof/>
                <w:lang w:eastAsia="fr-BE"/>
              </w:rPr>
              <w:t xml:space="preserve">operating </w:t>
            </w:r>
            <w:r w:rsidR="007C342C" w:rsidRPr="00B86E16">
              <w:rPr>
                <w:noProof/>
                <w:lang w:eastAsia="fr-BE"/>
              </w:rPr>
              <w:t>costs</w:t>
            </w:r>
            <w:r w:rsidR="007C342C">
              <w:rPr>
                <w:noProof/>
                <w:lang w:eastAsia="fr-BE"/>
              </w:rPr>
              <w:t>,</w:t>
            </w:r>
            <w:r w:rsidR="007C342C" w:rsidRPr="00B86E16">
              <w:rPr>
                <w:noProof/>
                <w:lang w:eastAsia="fr-BE"/>
              </w:rPr>
              <w:t xml:space="preserve"> </w:t>
            </w:r>
            <w:r w:rsidR="007C342C">
              <w:rPr>
                <w:rFonts w:eastAsia="Calibri"/>
                <w:noProof/>
                <w:szCs w:val="24"/>
              </w:rPr>
              <w:t>t</w:t>
            </w:r>
            <w:r w:rsidR="006826E3">
              <w:rPr>
                <w:rFonts w:eastAsia="Calibri"/>
                <w:noProof/>
                <w:szCs w:val="24"/>
              </w:rPr>
              <w:t>hat means a total</w:t>
            </w:r>
            <w:r w:rsidR="00CC5231">
              <w:rPr>
                <w:rFonts w:eastAsia="Calibri"/>
                <w:noProof/>
                <w:szCs w:val="24"/>
              </w:rPr>
              <w:t xml:space="preserve"> of</w:t>
            </w:r>
            <w:r w:rsidR="00E81AA1">
              <w:rPr>
                <w:rFonts w:eastAsia="Calibri"/>
                <w:noProof/>
                <w:szCs w:val="24"/>
              </w:rPr>
              <w:t xml:space="preserve"> </w:t>
            </w:r>
            <w:r w:rsidR="006826E3" w:rsidRPr="006826E3">
              <w:rPr>
                <w:rFonts w:eastAsia="Calibri"/>
                <w:b/>
                <w:noProof/>
                <w:szCs w:val="24"/>
              </w:rPr>
              <w:t>EUR</w:t>
            </w:r>
            <w:r w:rsidR="006826E3">
              <w:rPr>
                <w:rFonts w:eastAsia="Calibri"/>
                <w:noProof/>
                <w:szCs w:val="24"/>
              </w:rPr>
              <w:t xml:space="preserve"> </w:t>
            </w:r>
            <w:r w:rsidR="00BE0B25" w:rsidRPr="00E81AA1">
              <w:rPr>
                <w:rFonts w:eastAsia="Calibri"/>
                <w:b/>
                <w:noProof/>
                <w:szCs w:val="24"/>
              </w:rPr>
              <w:t xml:space="preserve">100 to 150 </w:t>
            </w:r>
            <w:r w:rsidR="006826E3" w:rsidRPr="00E81AA1">
              <w:rPr>
                <w:rFonts w:eastAsia="Calibri"/>
                <w:b/>
                <w:bCs/>
                <w:noProof/>
                <w:szCs w:val="24"/>
              </w:rPr>
              <w:t>million</w:t>
            </w:r>
            <w:r w:rsidR="006826E3" w:rsidRPr="00D475B7">
              <w:rPr>
                <w:rFonts w:eastAsia="Calibri"/>
                <w:b/>
                <w:bCs/>
                <w:noProof/>
                <w:szCs w:val="24"/>
              </w:rPr>
              <w:t xml:space="preserve"> revenue </w:t>
            </w:r>
            <w:r w:rsidR="006826E3">
              <w:rPr>
                <w:rFonts w:eastAsia="Calibri"/>
                <w:b/>
                <w:bCs/>
                <w:noProof/>
                <w:szCs w:val="24"/>
              </w:rPr>
              <w:t xml:space="preserve">allocation </w:t>
            </w:r>
            <w:r w:rsidR="00C045C5">
              <w:rPr>
                <w:rFonts w:eastAsia="Calibri"/>
                <w:b/>
                <w:bCs/>
                <w:noProof/>
                <w:szCs w:val="24"/>
              </w:rPr>
              <w:t>could</w:t>
            </w:r>
            <w:r w:rsidR="006826E3">
              <w:rPr>
                <w:rFonts w:eastAsia="Calibri"/>
                <w:b/>
                <w:bCs/>
                <w:noProof/>
                <w:szCs w:val="24"/>
              </w:rPr>
              <w:t xml:space="preserve"> be distributed among data contributors</w:t>
            </w:r>
            <w:r w:rsidR="007C342C" w:rsidRPr="007C342C">
              <w:rPr>
                <w:rFonts w:eastAsia="Calibri"/>
                <w:bCs/>
                <w:noProof/>
                <w:szCs w:val="24"/>
              </w:rPr>
              <w:t xml:space="preserve"> (</w:t>
            </w:r>
            <w:r w:rsidR="00817CD5">
              <w:rPr>
                <w:rFonts w:eastAsia="Calibri"/>
                <w:bCs/>
                <w:noProof/>
                <w:szCs w:val="24"/>
              </w:rPr>
              <w:t>for bonds a</w:t>
            </w:r>
            <w:r w:rsidR="00817CD5" w:rsidRPr="00817CD5">
              <w:rPr>
                <w:rFonts w:eastAsia="Calibri"/>
                <w:bCs/>
                <w:noProof/>
                <w:szCs w:val="24"/>
              </w:rPr>
              <w:t xml:space="preserve">nd </w:t>
            </w:r>
            <w:r w:rsidR="00817CD5">
              <w:rPr>
                <w:rFonts w:eastAsia="Calibri"/>
                <w:bCs/>
                <w:noProof/>
                <w:szCs w:val="24"/>
              </w:rPr>
              <w:t>derivatives</w:t>
            </w:r>
            <w:r w:rsidR="00817CD5" w:rsidRPr="00817CD5">
              <w:rPr>
                <w:rFonts w:eastAsia="Calibri"/>
                <w:bCs/>
                <w:noProof/>
                <w:szCs w:val="24"/>
              </w:rPr>
              <w:t>, the dependence on data revenue is less pronounced</w:t>
            </w:r>
            <w:r w:rsidR="00817CD5">
              <w:rPr>
                <w:rFonts w:eastAsia="Calibri"/>
                <w:bCs/>
                <w:noProof/>
                <w:szCs w:val="24"/>
              </w:rPr>
              <w:t>, t</w:t>
            </w:r>
            <w:r w:rsidR="00817CD5" w:rsidRPr="00817CD5">
              <w:rPr>
                <w:rFonts w:eastAsia="Calibri"/>
                <w:bCs/>
                <w:noProof/>
                <w:szCs w:val="24"/>
              </w:rPr>
              <w:t>herefore, no revenue simulation has been conducted</w:t>
            </w:r>
            <w:r w:rsidR="00817CD5">
              <w:rPr>
                <w:rFonts w:eastAsia="Calibri"/>
                <w:bCs/>
                <w:noProof/>
                <w:szCs w:val="24"/>
              </w:rPr>
              <w:t xml:space="preserve"> for those tapes</w:t>
            </w:r>
            <w:r w:rsidR="007C342C" w:rsidRPr="007C342C">
              <w:rPr>
                <w:rFonts w:eastAsia="Calibri"/>
                <w:bCs/>
                <w:noProof/>
                <w:szCs w:val="24"/>
              </w:rPr>
              <w:t>)</w:t>
            </w:r>
            <w:r w:rsidR="00817CD5">
              <w:rPr>
                <w:rFonts w:eastAsia="Calibri"/>
                <w:bCs/>
                <w:noProof/>
                <w:szCs w:val="24"/>
              </w:rPr>
              <w:t>.</w:t>
            </w:r>
          </w:p>
        </w:tc>
      </w:tr>
      <w:tr w:rsidR="006B20E3" w14:paraId="7C4FAA39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48A787" w14:textId="77777777" w:rsidR="006B20E3" w:rsidRDefault="006B20E3" w:rsidP="00E20A1F">
            <w:pPr>
              <w:spacing w:before="60" w:after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 xml:space="preserve">How will businesses, SMEs and micro-companies be affected? </w:t>
            </w:r>
          </w:p>
        </w:tc>
      </w:tr>
      <w:tr w:rsidR="001D7162" w:rsidRPr="001D7162" w14:paraId="673C84FE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5827" w14:textId="7F35517F" w:rsidR="006B20E3" w:rsidRPr="001D7162" w:rsidRDefault="00512BDC" w:rsidP="00754B28">
            <w:pPr>
              <w:jc w:val="both"/>
              <w:rPr>
                <w:noProof/>
              </w:rPr>
            </w:pPr>
            <w:r>
              <w:rPr>
                <w:noProof/>
              </w:rPr>
              <w:t>Consolidation o</w:t>
            </w:r>
            <w:r w:rsidR="001D7162" w:rsidRPr="001D7162">
              <w:rPr>
                <w:noProof/>
              </w:rPr>
              <w:t>ption</w:t>
            </w:r>
            <w:r w:rsidR="00824BB6">
              <w:rPr>
                <w:noProof/>
              </w:rPr>
              <w:t>s 1</w:t>
            </w:r>
            <w:r w:rsidR="00B173D8">
              <w:rPr>
                <w:noProof/>
              </w:rPr>
              <w:t>.</w:t>
            </w:r>
            <w:r w:rsidR="00824BB6">
              <w:rPr>
                <w:noProof/>
              </w:rPr>
              <w:t>1,</w:t>
            </w:r>
            <w:r w:rsidR="001D7162" w:rsidRPr="001D7162" w:rsidDel="00824BB6">
              <w:rPr>
                <w:noProof/>
              </w:rPr>
              <w:t xml:space="preserve"> </w:t>
            </w:r>
            <w:r w:rsidR="00B173D8">
              <w:rPr>
                <w:noProof/>
              </w:rPr>
              <w:t>1.</w:t>
            </w:r>
            <w:r w:rsidR="001D7162" w:rsidRPr="001D7162">
              <w:rPr>
                <w:noProof/>
              </w:rPr>
              <w:t>2</w:t>
            </w:r>
            <w:r w:rsidR="00824BB6">
              <w:rPr>
                <w:noProof/>
              </w:rPr>
              <w:t xml:space="preserve"> and </w:t>
            </w:r>
            <w:r w:rsidR="00B173D8">
              <w:rPr>
                <w:noProof/>
              </w:rPr>
              <w:t>1.</w:t>
            </w:r>
            <w:r w:rsidR="00824BB6">
              <w:rPr>
                <w:noProof/>
              </w:rPr>
              <w:t>4</w:t>
            </w:r>
            <w:r w:rsidR="001D7162" w:rsidRPr="001D7162">
              <w:rPr>
                <w:noProof/>
              </w:rPr>
              <w:t xml:space="preserve"> would have the benefit that </w:t>
            </w:r>
            <w:r w:rsidR="001D7162" w:rsidRPr="001D7162">
              <w:rPr>
                <w:b/>
                <w:noProof/>
              </w:rPr>
              <w:t>SME</w:t>
            </w:r>
            <w:r w:rsidR="00754B28">
              <w:rPr>
                <w:b/>
                <w:noProof/>
              </w:rPr>
              <w:t>s</w:t>
            </w:r>
            <w:r w:rsidR="001D7162" w:rsidRPr="001D7162">
              <w:rPr>
                <w:b/>
                <w:noProof/>
              </w:rPr>
              <w:t xml:space="preserve"> shares</w:t>
            </w:r>
            <w:r w:rsidR="001D7162" w:rsidRPr="001D7162">
              <w:rPr>
                <w:noProof/>
              </w:rPr>
              <w:t xml:space="preserve"> listed on only one or a few regulated markets or SME Growth Markets become visible to every (non-local) investor and broker</w:t>
            </w:r>
            <w:r w:rsidR="00824BB6">
              <w:rPr>
                <w:noProof/>
              </w:rPr>
              <w:t>, or, f</w:t>
            </w:r>
            <w:r w:rsidR="00291810">
              <w:rPr>
                <w:noProof/>
              </w:rPr>
              <w:t>or</w:t>
            </w:r>
            <w:r w:rsidR="00824BB6">
              <w:rPr>
                <w:noProof/>
              </w:rPr>
              <w:t xml:space="preserve"> option 1</w:t>
            </w:r>
            <w:r w:rsidR="00B173D8">
              <w:rPr>
                <w:noProof/>
              </w:rPr>
              <w:t>.1</w:t>
            </w:r>
            <w:r w:rsidR="00824BB6">
              <w:rPr>
                <w:noProof/>
              </w:rPr>
              <w:t>, to self</w:t>
            </w:r>
            <w:r w:rsidR="00B173D8">
              <w:rPr>
                <w:noProof/>
              </w:rPr>
              <w:t>-</w:t>
            </w:r>
            <w:r w:rsidR="00824BB6">
              <w:rPr>
                <w:noProof/>
              </w:rPr>
              <w:t>aggregators</w:t>
            </w:r>
            <w:r w:rsidR="001D7162" w:rsidRPr="001D7162">
              <w:rPr>
                <w:noProof/>
              </w:rPr>
              <w:t xml:space="preserve"> in the Union. This </w:t>
            </w:r>
            <w:r w:rsidR="00B173D8">
              <w:rPr>
                <w:noProof/>
              </w:rPr>
              <w:t>would</w:t>
            </w:r>
            <w:r w:rsidR="001D7162" w:rsidRPr="001D7162">
              <w:rPr>
                <w:noProof/>
              </w:rPr>
              <w:t xml:space="preserve"> increase the attractiveness of investments and the possibilities of the</w:t>
            </w:r>
            <w:r w:rsidR="0026038D">
              <w:rPr>
                <w:noProof/>
              </w:rPr>
              <w:t>ir</w:t>
            </w:r>
            <w:r w:rsidR="001D7162" w:rsidRPr="001D7162">
              <w:rPr>
                <w:noProof/>
              </w:rPr>
              <w:t xml:space="preserve"> shares being included in investment funds or investment portfolios</w:t>
            </w:r>
            <w:r w:rsidR="00B173D8">
              <w:rPr>
                <w:noProof/>
              </w:rPr>
              <w:t xml:space="preserve"> which would</w:t>
            </w:r>
            <w:r w:rsidR="00291810">
              <w:rPr>
                <w:noProof/>
              </w:rPr>
              <w:t>,</w:t>
            </w:r>
            <w:r w:rsidR="00B173D8">
              <w:rPr>
                <w:noProof/>
              </w:rPr>
              <w:t xml:space="preserve"> in turn</w:t>
            </w:r>
            <w:r w:rsidR="00291810">
              <w:rPr>
                <w:noProof/>
              </w:rPr>
              <w:t>,</w:t>
            </w:r>
            <w:r w:rsidR="001D7162" w:rsidRPr="001D7162">
              <w:rPr>
                <w:noProof/>
              </w:rPr>
              <w:t xml:space="preserve"> increase </w:t>
            </w:r>
            <w:r w:rsidR="00291810">
              <w:rPr>
                <w:noProof/>
              </w:rPr>
              <w:t>SMEs’</w:t>
            </w:r>
            <w:r w:rsidR="001D7162" w:rsidRPr="001D7162">
              <w:rPr>
                <w:noProof/>
              </w:rPr>
              <w:t xml:space="preserve"> effectiveness of raising capital</w:t>
            </w:r>
            <w:r w:rsidR="00291810">
              <w:rPr>
                <w:noProof/>
              </w:rPr>
              <w:t>.</w:t>
            </w:r>
          </w:p>
        </w:tc>
      </w:tr>
      <w:tr w:rsidR="006B20E3" w14:paraId="43972C75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7C6E04A" w14:textId="77777777" w:rsidR="006B20E3" w:rsidRDefault="006B20E3" w:rsidP="00E20A1F">
            <w:pPr>
              <w:spacing w:before="60"/>
              <w:jc w:val="both"/>
              <w:rPr>
                <w:rFonts w:ascii="Tahoma" w:hAnsi="Tahoma" w:cs="Tahoma"/>
                <w:b/>
                <w:i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Will there be significant impacts</w:t>
            </w:r>
            <w:r>
              <w:rPr>
                <w:rFonts w:ascii="Tahoma" w:hAnsi="Tahoma" w:cs="Tahoma"/>
                <w:noProof/>
              </w:rPr>
              <w:t xml:space="preserve"> </w:t>
            </w:r>
            <w:r>
              <w:rPr>
                <w:rFonts w:ascii="Tahoma" w:hAnsi="Tahoma" w:cs="Tahoma"/>
                <w:b/>
                <w:noProof/>
              </w:rPr>
              <w:t>on national budgets and administrations?</w:t>
            </w:r>
            <w:r>
              <w:rPr>
                <w:rFonts w:ascii="Tahoma" w:hAnsi="Tahoma" w:cs="Tahoma"/>
                <w:noProof/>
              </w:rPr>
              <w:t xml:space="preserve"> </w:t>
            </w:r>
          </w:p>
        </w:tc>
      </w:tr>
      <w:tr w:rsidR="006B20E3" w14:paraId="5765B513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500B" w14:textId="612BA28C" w:rsidR="006B20E3" w:rsidRPr="00D87B29" w:rsidRDefault="00F41C1B" w:rsidP="00EE297E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There will be </w:t>
            </w:r>
            <w:r w:rsidRPr="00B556AB">
              <w:rPr>
                <w:b/>
                <w:noProof/>
              </w:rPr>
              <w:t>no direct impact</w:t>
            </w:r>
            <w:r>
              <w:rPr>
                <w:noProof/>
              </w:rPr>
              <w:t xml:space="preserve"> on national </w:t>
            </w:r>
            <w:r w:rsidR="00726AAE">
              <w:rPr>
                <w:noProof/>
              </w:rPr>
              <w:t>budgets.</w:t>
            </w:r>
            <w:r w:rsidR="002703B2">
              <w:rPr>
                <w:noProof/>
              </w:rPr>
              <w:t xml:space="preserve"> </w:t>
            </w:r>
            <w:r w:rsidR="00921795">
              <w:rPr>
                <w:noProof/>
              </w:rPr>
              <w:t>Option</w:t>
            </w:r>
            <w:r w:rsidR="00291810">
              <w:rPr>
                <w:noProof/>
              </w:rPr>
              <w:t>s</w:t>
            </w:r>
            <w:r w:rsidR="00921795">
              <w:rPr>
                <w:noProof/>
              </w:rPr>
              <w:t xml:space="preserve"> </w:t>
            </w:r>
            <w:r w:rsidR="00291810">
              <w:rPr>
                <w:noProof/>
              </w:rPr>
              <w:t>1.</w:t>
            </w:r>
            <w:r w:rsidR="00BA6667">
              <w:rPr>
                <w:noProof/>
              </w:rPr>
              <w:t xml:space="preserve">2 </w:t>
            </w:r>
            <w:r w:rsidR="004C5BAD">
              <w:rPr>
                <w:noProof/>
              </w:rPr>
              <w:t xml:space="preserve">and </w:t>
            </w:r>
            <w:r w:rsidR="00291810">
              <w:rPr>
                <w:noProof/>
              </w:rPr>
              <w:t>1.</w:t>
            </w:r>
            <w:r w:rsidR="004C5BAD">
              <w:rPr>
                <w:noProof/>
              </w:rPr>
              <w:t>4</w:t>
            </w:r>
            <w:r w:rsidR="00BA6667">
              <w:rPr>
                <w:noProof/>
              </w:rPr>
              <w:t xml:space="preserve"> </w:t>
            </w:r>
            <w:r w:rsidR="009C6598" w:rsidRPr="00D319ED">
              <w:rPr>
                <w:noProof/>
              </w:rPr>
              <w:t xml:space="preserve">require </w:t>
            </w:r>
            <w:r w:rsidR="009C6598">
              <w:rPr>
                <w:noProof/>
              </w:rPr>
              <w:t xml:space="preserve">the adoption of </w:t>
            </w:r>
            <w:r w:rsidR="00B556AB">
              <w:rPr>
                <w:noProof/>
              </w:rPr>
              <w:t>level</w:t>
            </w:r>
            <w:r w:rsidR="00A82491">
              <w:rPr>
                <w:noProof/>
              </w:rPr>
              <w:t>-</w:t>
            </w:r>
            <w:r w:rsidR="00B556AB">
              <w:rPr>
                <w:noProof/>
              </w:rPr>
              <w:t xml:space="preserve">2 legislation for </w:t>
            </w:r>
            <w:r w:rsidR="00A82491">
              <w:rPr>
                <w:noProof/>
              </w:rPr>
              <w:t>a harmonised</w:t>
            </w:r>
            <w:r w:rsidR="009C6598" w:rsidRPr="00D319ED">
              <w:rPr>
                <w:noProof/>
              </w:rPr>
              <w:t xml:space="preserve"> data reporting standards</w:t>
            </w:r>
            <w:r w:rsidR="00380CFD">
              <w:rPr>
                <w:noProof/>
              </w:rPr>
              <w:t xml:space="preserve">. </w:t>
            </w:r>
            <w:r w:rsidR="00291810">
              <w:rPr>
                <w:noProof/>
              </w:rPr>
              <w:t xml:space="preserve">The preferred options </w:t>
            </w:r>
            <w:r w:rsidR="00380CFD">
              <w:rPr>
                <w:noProof/>
              </w:rPr>
              <w:t xml:space="preserve">will also require </w:t>
            </w:r>
            <w:r w:rsidR="00921795">
              <w:rPr>
                <w:noProof/>
              </w:rPr>
              <w:t xml:space="preserve">supervision </w:t>
            </w:r>
            <w:r w:rsidR="00B556AB">
              <w:rPr>
                <w:noProof/>
              </w:rPr>
              <w:t xml:space="preserve">and enforcement </w:t>
            </w:r>
            <w:r w:rsidR="00380CFD">
              <w:rPr>
                <w:noProof/>
              </w:rPr>
              <w:t>by</w:t>
            </w:r>
            <w:r w:rsidR="00726AAE">
              <w:rPr>
                <w:noProof/>
              </w:rPr>
              <w:t xml:space="preserve"> ESMA</w:t>
            </w:r>
            <w:r w:rsidR="00921795">
              <w:rPr>
                <w:noProof/>
              </w:rPr>
              <w:t xml:space="preserve">. </w:t>
            </w:r>
          </w:p>
        </w:tc>
      </w:tr>
      <w:tr w:rsidR="006B20E3" w14:paraId="05210D90" w14:textId="77777777" w:rsidTr="00EE297E">
        <w:trPr>
          <w:trHeight w:val="60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E07623" w14:textId="77777777" w:rsidR="006B20E3" w:rsidRDefault="006B20E3" w:rsidP="00E20A1F">
            <w:pPr>
              <w:spacing w:before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Will there be other significant impacts?</w:t>
            </w:r>
            <w:r>
              <w:rPr>
                <w:rFonts w:ascii="Tahoma" w:hAnsi="Tahoma" w:cs="Tahoma"/>
                <w:noProof/>
              </w:rPr>
              <w:t xml:space="preserve"> </w:t>
            </w:r>
            <w:r>
              <w:rPr>
                <w:rFonts w:ascii="Tahoma" w:hAnsi="Tahoma" w:cs="Tahoma"/>
                <w:noProof/>
                <w:u w:val="single"/>
              </w:rPr>
              <w:t xml:space="preserve"> </w:t>
            </w:r>
          </w:p>
        </w:tc>
      </w:tr>
      <w:tr w:rsidR="006B20E3" w14:paraId="608BFE67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B48B" w14:textId="0DE401DF" w:rsidR="006B20E3" w:rsidRPr="00D87B29" w:rsidRDefault="00E80932" w:rsidP="00D3694D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In terms of </w:t>
            </w:r>
            <w:r w:rsidRPr="007B46DD">
              <w:rPr>
                <w:b/>
                <w:noProof/>
              </w:rPr>
              <w:t>social i</w:t>
            </w:r>
            <w:r w:rsidRPr="00D265CB">
              <w:rPr>
                <w:b/>
                <w:noProof/>
              </w:rPr>
              <w:t>mpact</w:t>
            </w:r>
            <w:r w:rsidRPr="00202E33">
              <w:rPr>
                <w:noProof/>
              </w:rPr>
              <w:t>,</w:t>
            </w:r>
            <w:r w:rsidR="00202E33">
              <w:rPr>
                <w:noProof/>
              </w:rPr>
              <w:t xml:space="preserve"> option </w:t>
            </w:r>
            <w:r w:rsidR="00824BB6">
              <w:rPr>
                <w:noProof/>
              </w:rPr>
              <w:t>1</w:t>
            </w:r>
            <w:r w:rsidR="00EB16FD">
              <w:rPr>
                <w:noProof/>
              </w:rPr>
              <w:t>.</w:t>
            </w:r>
            <w:r w:rsidR="00824BB6">
              <w:rPr>
                <w:noProof/>
              </w:rPr>
              <w:t xml:space="preserve">1, </w:t>
            </w:r>
            <w:r w:rsidR="00EB16FD">
              <w:rPr>
                <w:noProof/>
              </w:rPr>
              <w:t>1.</w:t>
            </w:r>
            <w:r w:rsidR="00202E33">
              <w:rPr>
                <w:noProof/>
              </w:rPr>
              <w:t>2</w:t>
            </w:r>
            <w:r w:rsidR="00824BB6">
              <w:rPr>
                <w:noProof/>
              </w:rPr>
              <w:t xml:space="preserve"> and </w:t>
            </w:r>
            <w:r w:rsidR="00EB16FD">
              <w:rPr>
                <w:noProof/>
              </w:rPr>
              <w:t>1.</w:t>
            </w:r>
            <w:r w:rsidR="00824BB6">
              <w:rPr>
                <w:noProof/>
              </w:rPr>
              <w:t>4</w:t>
            </w:r>
            <w:r>
              <w:rPr>
                <w:noProof/>
              </w:rPr>
              <w:t xml:space="preserve"> would potentially favour the participation to markets from a larger section of the population. </w:t>
            </w:r>
            <w:r w:rsidR="00EB16FD">
              <w:rPr>
                <w:noProof/>
              </w:rPr>
              <w:t>They</w:t>
            </w:r>
            <w:r w:rsidR="00D3694D">
              <w:rPr>
                <w:noProof/>
              </w:rPr>
              <w:t xml:space="preserve"> </w:t>
            </w:r>
            <w:r>
              <w:rPr>
                <w:noProof/>
              </w:rPr>
              <w:t xml:space="preserve">would also have impacts of an </w:t>
            </w:r>
            <w:r w:rsidRPr="007B46DD">
              <w:rPr>
                <w:b/>
                <w:noProof/>
              </w:rPr>
              <w:t>indirect</w:t>
            </w:r>
            <w:r>
              <w:rPr>
                <w:noProof/>
              </w:rPr>
              <w:t xml:space="preserve"> nature as a consequence of more efficient financial markets.</w:t>
            </w:r>
          </w:p>
        </w:tc>
      </w:tr>
      <w:tr w:rsidR="006B20E3" w14:paraId="5458697B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BA150" w14:textId="77777777" w:rsidR="006B20E3" w:rsidRDefault="006B20E3" w:rsidP="00E20A1F">
            <w:pPr>
              <w:spacing w:before="60" w:after="60"/>
              <w:jc w:val="both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D. Follow up</w:t>
            </w:r>
          </w:p>
        </w:tc>
      </w:tr>
      <w:tr w:rsidR="006B20E3" w14:paraId="70B2F8A0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D3716B" w14:textId="77777777" w:rsidR="006B20E3" w:rsidRDefault="006B20E3" w:rsidP="00E20A1F">
            <w:pPr>
              <w:spacing w:before="6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 xml:space="preserve">When will the policy be reviewed? </w:t>
            </w:r>
            <w:r>
              <w:rPr>
                <w:rFonts w:ascii="Tahoma" w:hAnsi="Tahoma" w:cs="Tahoma"/>
                <w:noProof/>
              </w:rPr>
              <w:t xml:space="preserve"> </w:t>
            </w:r>
          </w:p>
        </w:tc>
      </w:tr>
      <w:tr w:rsidR="006B20E3" w14:paraId="16D159D7" w14:textId="77777777" w:rsidTr="000B749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B67" w14:textId="5492F74A" w:rsidR="006B20E3" w:rsidRDefault="00F023E9" w:rsidP="00F54219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noProof/>
              </w:rPr>
              <w:t>A</w:t>
            </w:r>
            <w:r w:rsidRPr="00F023E9">
              <w:rPr>
                <w:noProof/>
              </w:rPr>
              <w:t xml:space="preserve"> first analysis </w:t>
            </w:r>
            <w:r>
              <w:rPr>
                <w:noProof/>
              </w:rPr>
              <w:t>by ESMA would be</w:t>
            </w:r>
            <w:r w:rsidRPr="00F023E9">
              <w:rPr>
                <w:noProof/>
              </w:rPr>
              <w:t xml:space="preserve"> provided 24 months after the</w:t>
            </w:r>
            <w:r>
              <w:rPr>
                <w:noProof/>
              </w:rPr>
              <w:t xml:space="preserve"> new rules</w:t>
            </w:r>
            <w:r w:rsidR="00824BB6">
              <w:rPr>
                <w:noProof/>
              </w:rPr>
              <w:t>’</w:t>
            </w:r>
            <w:r>
              <w:rPr>
                <w:noProof/>
              </w:rPr>
              <w:t xml:space="preserve"> implementation</w:t>
            </w:r>
            <w:r w:rsidR="00811C37">
              <w:rPr>
                <w:noProof/>
              </w:rPr>
              <w:t xml:space="preserve"> followed by annual </w:t>
            </w:r>
            <w:r w:rsidR="00811C37" w:rsidRPr="00640815">
              <w:rPr>
                <w:noProof/>
              </w:rPr>
              <w:t>updates</w:t>
            </w:r>
            <w:r w:rsidRPr="00F023E9">
              <w:rPr>
                <w:noProof/>
              </w:rPr>
              <w:t>.</w:t>
            </w:r>
          </w:p>
        </w:tc>
      </w:tr>
    </w:tbl>
    <w:p w14:paraId="78704227" w14:textId="77777777" w:rsidR="00E245A3" w:rsidRDefault="00E245A3" w:rsidP="00D95224">
      <w:pPr>
        <w:jc w:val="both"/>
        <w:rPr>
          <w:noProof/>
        </w:rPr>
      </w:pPr>
    </w:p>
    <w:sectPr w:rsidR="00E245A3" w:rsidSect="000B749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EEB2E" w14:textId="77777777" w:rsidR="00274A4D" w:rsidRDefault="00274A4D" w:rsidP="000B7495">
      <w:pPr>
        <w:spacing w:after="0" w:line="240" w:lineRule="auto"/>
      </w:pPr>
      <w:r>
        <w:separator/>
      </w:r>
    </w:p>
  </w:endnote>
  <w:endnote w:type="continuationSeparator" w:id="0">
    <w:p w14:paraId="5131BC27" w14:textId="77777777" w:rsidR="00274A4D" w:rsidRDefault="00274A4D" w:rsidP="000B7495">
      <w:pPr>
        <w:spacing w:after="0" w:line="240" w:lineRule="auto"/>
      </w:pPr>
      <w:r>
        <w:continuationSeparator/>
      </w:r>
    </w:p>
  </w:endnote>
  <w:endnote w:type="continuationNotice" w:id="1">
    <w:p w14:paraId="744756F2" w14:textId="77777777" w:rsidR="00274A4D" w:rsidRDefault="00274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A6B3E" w14:textId="77777777" w:rsidR="00A67FAA" w:rsidRPr="00A67FAA" w:rsidRDefault="00A67FAA" w:rsidP="00A67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00B44" w14:textId="0F591668" w:rsidR="00A67FAA" w:rsidRPr="00A67FAA" w:rsidRDefault="00A67FAA" w:rsidP="00A67FAA">
    <w:pPr>
      <w:pStyle w:val="FooterCoverPage"/>
      <w:rPr>
        <w:rFonts w:ascii="Arial" w:hAnsi="Arial" w:cs="Arial"/>
        <w:b/>
        <w:sz w:val="48"/>
      </w:rPr>
    </w:pPr>
    <w:r w:rsidRPr="00A67FAA">
      <w:rPr>
        <w:rFonts w:ascii="Arial" w:hAnsi="Arial" w:cs="Arial"/>
        <w:b/>
        <w:sz w:val="48"/>
      </w:rPr>
      <w:t>EN</w:t>
    </w:r>
    <w:r w:rsidRPr="00A67FAA">
      <w:rPr>
        <w:rFonts w:ascii="Arial" w:hAnsi="Arial" w:cs="Arial"/>
        <w:b/>
        <w:sz w:val="48"/>
      </w:rPr>
      <w:tab/>
    </w:r>
    <w:r w:rsidRPr="00A67FAA">
      <w:rPr>
        <w:rFonts w:ascii="Arial" w:hAnsi="Arial" w:cs="Arial"/>
        <w:b/>
        <w:sz w:val="48"/>
      </w:rPr>
      <w:tab/>
    </w:r>
    <w:r w:rsidRPr="00A67FAA">
      <w:tab/>
    </w:r>
    <w:proofErr w:type="spellStart"/>
    <w:r w:rsidRPr="00A67FAA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906A3" w14:textId="77777777" w:rsidR="00A67FAA" w:rsidRPr="00A67FAA" w:rsidRDefault="00A67FAA" w:rsidP="00A67FAA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016A" w14:textId="77777777" w:rsidR="00274A4D" w:rsidRDefault="00274A4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93E9" w14:textId="77777777" w:rsidR="00274A4D" w:rsidRDefault="00274A4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EC7C0" w14:textId="77777777" w:rsidR="00274A4D" w:rsidRDefault="00274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192B" w14:textId="77777777" w:rsidR="00274A4D" w:rsidRDefault="00274A4D" w:rsidP="000B7495">
      <w:pPr>
        <w:spacing w:after="0" w:line="240" w:lineRule="auto"/>
      </w:pPr>
      <w:r>
        <w:separator/>
      </w:r>
    </w:p>
  </w:footnote>
  <w:footnote w:type="continuationSeparator" w:id="0">
    <w:p w14:paraId="68088E0F" w14:textId="77777777" w:rsidR="00274A4D" w:rsidRDefault="00274A4D" w:rsidP="000B7495">
      <w:pPr>
        <w:spacing w:after="0" w:line="240" w:lineRule="auto"/>
      </w:pPr>
      <w:r>
        <w:continuationSeparator/>
      </w:r>
    </w:p>
  </w:footnote>
  <w:footnote w:type="continuationNotice" w:id="1">
    <w:p w14:paraId="23720688" w14:textId="77777777" w:rsidR="00274A4D" w:rsidRDefault="00274A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54BF6" w14:textId="77777777" w:rsidR="00A67FAA" w:rsidRPr="00A67FAA" w:rsidRDefault="00A67FAA" w:rsidP="00A6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38AA" w14:textId="77777777" w:rsidR="00A67FAA" w:rsidRPr="00A67FAA" w:rsidRDefault="00A67FAA" w:rsidP="00A67FAA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E918" w14:textId="77777777" w:rsidR="00A67FAA" w:rsidRPr="00A67FAA" w:rsidRDefault="00A67FAA" w:rsidP="00A67FAA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6F2A4" w14:textId="77777777" w:rsidR="00274A4D" w:rsidRDefault="00274A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D0FFB" w14:textId="77777777" w:rsidR="00274A4D" w:rsidRDefault="00274A4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79D1" w14:textId="77777777" w:rsidR="00274A4D" w:rsidRDefault="00274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09F"/>
    <w:multiLevelType w:val="hybridMultilevel"/>
    <w:tmpl w:val="BCA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2890"/>
    <w:multiLevelType w:val="hybridMultilevel"/>
    <w:tmpl w:val="B4A4A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54204"/>
    <w:multiLevelType w:val="hybridMultilevel"/>
    <w:tmpl w:val="A658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7B71"/>
    <w:multiLevelType w:val="hybridMultilevel"/>
    <w:tmpl w:val="EE72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82510"/>
    <w:multiLevelType w:val="hybridMultilevel"/>
    <w:tmpl w:val="FAB8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E4462"/>
    <w:multiLevelType w:val="hybridMultilevel"/>
    <w:tmpl w:val="44E4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4C60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5FAC"/>
    <w:multiLevelType w:val="hybridMultilevel"/>
    <w:tmpl w:val="1C6E1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Accompanying the"/>
    <w:docVar w:name="LW_CORRIGENDUM" w:val="&lt;UNUSED&gt;"/>
    <w:docVar w:name="LW_COVERPAGE_EXISTS" w:val="True"/>
    <w:docVar w:name="LW_COVERPAGE_GUID" w:val="3C7B9FD1-A671-450F-87CD-1A448B665C6E"/>
    <w:docVar w:name="LW_COVERPAGE_TYPE" w:val="1"/>
    <w:docVar w:name="LW_CROSSREFERENCE" w:val="{COM(2021) 726 final}_x000a_{COM(2021) 727 final}_x000a_{SEC(2021) 573 final}_x000a_{SWD(2021) 346 final}"/>
    <w:docVar w:name="LW_DocType" w:val="NORMAL"/>
    <w:docVar w:name="LW_EMISSION" w:val="25.11.2021"/>
    <w:docVar w:name="LW_EMISSION_ISODATE" w:val="2021-11-25"/>
    <w:docVar w:name="LW_EMISSION_LOCATION" w:val="BRX"/>
    <w:docVar w:name="LW_EMISSION_PREFIX" w:val="Brussels, "/>
    <w:docVar w:name="LW_EMISSION_SUFFIX" w:val=" "/>
    <w:docVar w:name="LW_ID_DOCTYPE_NONLW" w:val="CP-027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Proposal for a Directive of the European Parliament and of the Council_x000d__x000d__x000b_amending Directive 2014/65/EU on markets in financial instruments"/>
    <w:docVar w:name="LW_PART_NBR" w:val="1"/>
    <w:docVar w:name="LW_PART_NBR_TOTAL" w:val="1"/>
    <w:docVar w:name="LW_REF.INST.NEW" w:val="SWD"/>
    <w:docVar w:name="LW_REF.INST.NEW_ADOPTED" w:val="final"/>
    <w:docVar w:name="LW_REF.INST.NEW_TEXT" w:val="(2021) 34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COMMISSION STAFF WORKING DOCUMENT_x000b__x000b_EXECUTIVE SUMMARY OF THE IMPACT ASSESSMENT REPORT_x000b_"/>
    <w:docVar w:name="LW_TYPEACTEPRINCIPAL.CP" w:val="Proposal for a Regulation of the European Parliament and of the Council_x000b_amending Regulation (EU) No 600/2014 as regards enhancing market data transparency, removing obstacles to the emergence of a consolidated tape, optimising the trading obligations and prohibiting receiving payments for forwarding client orders"/>
    <w:docVar w:name="LwApiVersions" w:val="LW4CoDe 1.23.1.0; LW 8.0, Build 20210728"/>
  </w:docVars>
  <w:rsids>
    <w:rsidRoot w:val="000B7495"/>
    <w:rsid w:val="00005953"/>
    <w:rsid w:val="00016349"/>
    <w:rsid w:val="00026FC1"/>
    <w:rsid w:val="00031347"/>
    <w:rsid w:val="00041DD9"/>
    <w:rsid w:val="00043FA3"/>
    <w:rsid w:val="00046721"/>
    <w:rsid w:val="00065F5F"/>
    <w:rsid w:val="00065FCD"/>
    <w:rsid w:val="000669CA"/>
    <w:rsid w:val="00066CFD"/>
    <w:rsid w:val="00070AA9"/>
    <w:rsid w:val="00071087"/>
    <w:rsid w:val="000722EB"/>
    <w:rsid w:val="00074179"/>
    <w:rsid w:val="0007718D"/>
    <w:rsid w:val="00081CC9"/>
    <w:rsid w:val="00085A12"/>
    <w:rsid w:val="000B2048"/>
    <w:rsid w:val="000B4DB3"/>
    <w:rsid w:val="000B7495"/>
    <w:rsid w:val="000C5007"/>
    <w:rsid w:val="000C611E"/>
    <w:rsid w:val="000D7957"/>
    <w:rsid w:val="00102A5E"/>
    <w:rsid w:val="00104C16"/>
    <w:rsid w:val="00112C57"/>
    <w:rsid w:val="00151071"/>
    <w:rsid w:val="00155856"/>
    <w:rsid w:val="00155F2E"/>
    <w:rsid w:val="00165AB1"/>
    <w:rsid w:val="00173D10"/>
    <w:rsid w:val="0018117C"/>
    <w:rsid w:val="00184C15"/>
    <w:rsid w:val="00185B0A"/>
    <w:rsid w:val="001928E8"/>
    <w:rsid w:val="0019404E"/>
    <w:rsid w:val="0019607D"/>
    <w:rsid w:val="001A2D45"/>
    <w:rsid w:val="001A4B1A"/>
    <w:rsid w:val="001B4D0F"/>
    <w:rsid w:val="001B4E6F"/>
    <w:rsid w:val="001C330A"/>
    <w:rsid w:val="001C6E19"/>
    <w:rsid w:val="001C6EDA"/>
    <w:rsid w:val="001D3B5B"/>
    <w:rsid w:val="001D7162"/>
    <w:rsid w:val="001D73A9"/>
    <w:rsid w:val="001F4DDE"/>
    <w:rsid w:val="001F7A0D"/>
    <w:rsid w:val="00201D65"/>
    <w:rsid w:val="00202E33"/>
    <w:rsid w:val="002053E9"/>
    <w:rsid w:val="002170B3"/>
    <w:rsid w:val="00223A3D"/>
    <w:rsid w:val="00227E6F"/>
    <w:rsid w:val="00244572"/>
    <w:rsid w:val="002474A7"/>
    <w:rsid w:val="002515F4"/>
    <w:rsid w:val="00253CF6"/>
    <w:rsid w:val="00253D5D"/>
    <w:rsid w:val="0026038D"/>
    <w:rsid w:val="00263D37"/>
    <w:rsid w:val="0026619C"/>
    <w:rsid w:val="00266C2B"/>
    <w:rsid w:val="00267620"/>
    <w:rsid w:val="00267AD3"/>
    <w:rsid w:val="002703B2"/>
    <w:rsid w:val="00274A4D"/>
    <w:rsid w:val="00283C25"/>
    <w:rsid w:val="0028739C"/>
    <w:rsid w:val="0029073A"/>
    <w:rsid w:val="00291810"/>
    <w:rsid w:val="00296E6E"/>
    <w:rsid w:val="002977E9"/>
    <w:rsid w:val="002A1678"/>
    <w:rsid w:val="002A64E3"/>
    <w:rsid w:val="002C0D46"/>
    <w:rsid w:val="002D2212"/>
    <w:rsid w:val="002E58E6"/>
    <w:rsid w:val="002F3037"/>
    <w:rsid w:val="003117B0"/>
    <w:rsid w:val="00311DA6"/>
    <w:rsid w:val="00316C4F"/>
    <w:rsid w:val="00327B88"/>
    <w:rsid w:val="0033164A"/>
    <w:rsid w:val="0033262D"/>
    <w:rsid w:val="003457F6"/>
    <w:rsid w:val="0035285B"/>
    <w:rsid w:val="00354DBB"/>
    <w:rsid w:val="00363A9A"/>
    <w:rsid w:val="00364A59"/>
    <w:rsid w:val="0036799B"/>
    <w:rsid w:val="00380CFD"/>
    <w:rsid w:val="0038378D"/>
    <w:rsid w:val="00385070"/>
    <w:rsid w:val="00390C3F"/>
    <w:rsid w:val="00394293"/>
    <w:rsid w:val="003A19C4"/>
    <w:rsid w:val="003A4239"/>
    <w:rsid w:val="003A56C3"/>
    <w:rsid w:val="003A5EA7"/>
    <w:rsid w:val="003D10F0"/>
    <w:rsid w:val="003D142E"/>
    <w:rsid w:val="003D417F"/>
    <w:rsid w:val="003E0189"/>
    <w:rsid w:val="003E617B"/>
    <w:rsid w:val="003F23DC"/>
    <w:rsid w:val="003F4700"/>
    <w:rsid w:val="00403A27"/>
    <w:rsid w:val="00405844"/>
    <w:rsid w:val="004119F3"/>
    <w:rsid w:val="0042121E"/>
    <w:rsid w:val="00423C8E"/>
    <w:rsid w:val="004240E5"/>
    <w:rsid w:val="00424A1A"/>
    <w:rsid w:val="004329D3"/>
    <w:rsid w:val="00433D78"/>
    <w:rsid w:val="00440402"/>
    <w:rsid w:val="00443CCC"/>
    <w:rsid w:val="004457C4"/>
    <w:rsid w:val="004519AA"/>
    <w:rsid w:val="0045373A"/>
    <w:rsid w:val="00456F2D"/>
    <w:rsid w:val="00470123"/>
    <w:rsid w:val="004711DE"/>
    <w:rsid w:val="004732F2"/>
    <w:rsid w:val="00492975"/>
    <w:rsid w:val="004A17FD"/>
    <w:rsid w:val="004B28D1"/>
    <w:rsid w:val="004C5BAD"/>
    <w:rsid w:val="004D080C"/>
    <w:rsid w:val="004D1238"/>
    <w:rsid w:val="004D3913"/>
    <w:rsid w:val="004D4BA2"/>
    <w:rsid w:val="004D584C"/>
    <w:rsid w:val="004D5DB7"/>
    <w:rsid w:val="004F00E3"/>
    <w:rsid w:val="004F249C"/>
    <w:rsid w:val="00503312"/>
    <w:rsid w:val="00512BDC"/>
    <w:rsid w:val="00533CBA"/>
    <w:rsid w:val="00534EB3"/>
    <w:rsid w:val="0055062E"/>
    <w:rsid w:val="00557268"/>
    <w:rsid w:val="00564127"/>
    <w:rsid w:val="00580F42"/>
    <w:rsid w:val="005B4A53"/>
    <w:rsid w:val="005B4D82"/>
    <w:rsid w:val="005B65CA"/>
    <w:rsid w:val="005B7413"/>
    <w:rsid w:val="005C1773"/>
    <w:rsid w:val="005C207F"/>
    <w:rsid w:val="005E2661"/>
    <w:rsid w:val="005F3364"/>
    <w:rsid w:val="0060195E"/>
    <w:rsid w:val="0060722D"/>
    <w:rsid w:val="00610C64"/>
    <w:rsid w:val="00617033"/>
    <w:rsid w:val="006262A3"/>
    <w:rsid w:val="006276CC"/>
    <w:rsid w:val="00637262"/>
    <w:rsid w:val="0064614B"/>
    <w:rsid w:val="006478A9"/>
    <w:rsid w:val="00647D03"/>
    <w:rsid w:val="00654DE0"/>
    <w:rsid w:val="006601C3"/>
    <w:rsid w:val="0066188A"/>
    <w:rsid w:val="006769F3"/>
    <w:rsid w:val="00681E9E"/>
    <w:rsid w:val="006826E3"/>
    <w:rsid w:val="00687BB6"/>
    <w:rsid w:val="006900BB"/>
    <w:rsid w:val="00693F2C"/>
    <w:rsid w:val="006A0E5E"/>
    <w:rsid w:val="006A70B2"/>
    <w:rsid w:val="006B20E3"/>
    <w:rsid w:val="006B6891"/>
    <w:rsid w:val="006E2362"/>
    <w:rsid w:val="006E2F39"/>
    <w:rsid w:val="006E5929"/>
    <w:rsid w:val="006E5C17"/>
    <w:rsid w:val="006F238D"/>
    <w:rsid w:val="007060C8"/>
    <w:rsid w:val="0070626E"/>
    <w:rsid w:val="0071110F"/>
    <w:rsid w:val="00717652"/>
    <w:rsid w:val="0072125B"/>
    <w:rsid w:val="007222A5"/>
    <w:rsid w:val="00726AAE"/>
    <w:rsid w:val="00732B8F"/>
    <w:rsid w:val="00742582"/>
    <w:rsid w:val="00745113"/>
    <w:rsid w:val="00750AA9"/>
    <w:rsid w:val="007516C7"/>
    <w:rsid w:val="00754B28"/>
    <w:rsid w:val="007559FB"/>
    <w:rsid w:val="007651F7"/>
    <w:rsid w:val="00767AF6"/>
    <w:rsid w:val="00774422"/>
    <w:rsid w:val="00774F60"/>
    <w:rsid w:val="0078662D"/>
    <w:rsid w:val="00787BE1"/>
    <w:rsid w:val="00791B1F"/>
    <w:rsid w:val="007B0327"/>
    <w:rsid w:val="007C0080"/>
    <w:rsid w:val="007C342C"/>
    <w:rsid w:val="007C3978"/>
    <w:rsid w:val="007C56F5"/>
    <w:rsid w:val="007D1E8D"/>
    <w:rsid w:val="007D52E2"/>
    <w:rsid w:val="007D64CD"/>
    <w:rsid w:val="007E0DE2"/>
    <w:rsid w:val="007F13B8"/>
    <w:rsid w:val="007F3561"/>
    <w:rsid w:val="007F6761"/>
    <w:rsid w:val="00804FB4"/>
    <w:rsid w:val="00811C37"/>
    <w:rsid w:val="00815CAB"/>
    <w:rsid w:val="00817CD5"/>
    <w:rsid w:val="008231D6"/>
    <w:rsid w:val="00824BB6"/>
    <w:rsid w:val="00857E56"/>
    <w:rsid w:val="00880A4F"/>
    <w:rsid w:val="00881692"/>
    <w:rsid w:val="008B19B5"/>
    <w:rsid w:val="008B6F3D"/>
    <w:rsid w:val="008C4E41"/>
    <w:rsid w:val="008D4381"/>
    <w:rsid w:val="008D4393"/>
    <w:rsid w:val="008E0B23"/>
    <w:rsid w:val="008F241D"/>
    <w:rsid w:val="0090289B"/>
    <w:rsid w:val="009040C6"/>
    <w:rsid w:val="0090441C"/>
    <w:rsid w:val="0091056A"/>
    <w:rsid w:val="009211A3"/>
    <w:rsid w:val="00921795"/>
    <w:rsid w:val="009267DA"/>
    <w:rsid w:val="00933E15"/>
    <w:rsid w:val="00936E9B"/>
    <w:rsid w:val="00937C98"/>
    <w:rsid w:val="00974FB2"/>
    <w:rsid w:val="00986093"/>
    <w:rsid w:val="00992E39"/>
    <w:rsid w:val="0099309C"/>
    <w:rsid w:val="009C0192"/>
    <w:rsid w:val="009C6598"/>
    <w:rsid w:val="009D1299"/>
    <w:rsid w:val="009D1CBD"/>
    <w:rsid w:val="009E37AC"/>
    <w:rsid w:val="009F25FE"/>
    <w:rsid w:val="00A222D6"/>
    <w:rsid w:val="00A23CD4"/>
    <w:rsid w:val="00A34427"/>
    <w:rsid w:val="00A426CE"/>
    <w:rsid w:val="00A54A54"/>
    <w:rsid w:val="00A67FAA"/>
    <w:rsid w:val="00A70D8E"/>
    <w:rsid w:val="00A74187"/>
    <w:rsid w:val="00A82491"/>
    <w:rsid w:val="00A8737A"/>
    <w:rsid w:val="00A95504"/>
    <w:rsid w:val="00A975CA"/>
    <w:rsid w:val="00AA1822"/>
    <w:rsid w:val="00AA4855"/>
    <w:rsid w:val="00AA6E5A"/>
    <w:rsid w:val="00AB52AC"/>
    <w:rsid w:val="00AC04B2"/>
    <w:rsid w:val="00AC2B74"/>
    <w:rsid w:val="00AC62FF"/>
    <w:rsid w:val="00AE5B34"/>
    <w:rsid w:val="00AE6BA3"/>
    <w:rsid w:val="00AF3CCF"/>
    <w:rsid w:val="00AF5EF6"/>
    <w:rsid w:val="00AF6FA8"/>
    <w:rsid w:val="00B07216"/>
    <w:rsid w:val="00B07B50"/>
    <w:rsid w:val="00B150D8"/>
    <w:rsid w:val="00B173D8"/>
    <w:rsid w:val="00B23653"/>
    <w:rsid w:val="00B33681"/>
    <w:rsid w:val="00B364A0"/>
    <w:rsid w:val="00B422C4"/>
    <w:rsid w:val="00B556AB"/>
    <w:rsid w:val="00B83F70"/>
    <w:rsid w:val="00B86FBC"/>
    <w:rsid w:val="00B93934"/>
    <w:rsid w:val="00BA2BC7"/>
    <w:rsid w:val="00BA6667"/>
    <w:rsid w:val="00BB450E"/>
    <w:rsid w:val="00BB660F"/>
    <w:rsid w:val="00BC17DE"/>
    <w:rsid w:val="00BC26D6"/>
    <w:rsid w:val="00BE0B25"/>
    <w:rsid w:val="00BE13A9"/>
    <w:rsid w:val="00BE213D"/>
    <w:rsid w:val="00BE23FD"/>
    <w:rsid w:val="00BE5F86"/>
    <w:rsid w:val="00BF1214"/>
    <w:rsid w:val="00BF592F"/>
    <w:rsid w:val="00C045C5"/>
    <w:rsid w:val="00C0741B"/>
    <w:rsid w:val="00C10303"/>
    <w:rsid w:val="00C23630"/>
    <w:rsid w:val="00C2413A"/>
    <w:rsid w:val="00C41E06"/>
    <w:rsid w:val="00C51ECB"/>
    <w:rsid w:val="00C53EB4"/>
    <w:rsid w:val="00C62C61"/>
    <w:rsid w:val="00C73010"/>
    <w:rsid w:val="00C74EB1"/>
    <w:rsid w:val="00C85CF6"/>
    <w:rsid w:val="00C85E6E"/>
    <w:rsid w:val="00C90799"/>
    <w:rsid w:val="00C9096B"/>
    <w:rsid w:val="00CA0609"/>
    <w:rsid w:val="00CA1297"/>
    <w:rsid w:val="00CA3D06"/>
    <w:rsid w:val="00CB0F0C"/>
    <w:rsid w:val="00CB1012"/>
    <w:rsid w:val="00CB4910"/>
    <w:rsid w:val="00CC1A05"/>
    <w:rsid w:val="00CC34C8"/>
    <w:rsid w:val="00CC3EC6"/>
    <w:rsid w:val="00CC5231"/>
    <w:rsid w:val="00CD41EA"/>
    <w:rsid w:val="00CE6567"/>
    <w:rsid w:val="00CF1E29"/>
    <w:rsid w:val="00D04F45"/>
    <w:rsid w:val="00D0568B"/>
    <w:rsid w:val="00D20F0D"/>
    <w:rsid w:val="00D22356"/>
    <w:rsid w:val="00D22DE6"/>
    <w:rsid w:val="00D2338F"/>
    <w:rsid w:val="00D2469E"/>
    <w:rsid w:val="00D31553"/>
    <w:rsid w:val="00D32519"/>
    <w:rsid w:val="00D3406C"/>
    <w:rsid w:val="00D35187"/>
    <w:rsid w:val="00D3694D"/>
    <w:rsid w:val="00D4501F"/>
    <w:rsid w:val="00D475B7"/>
    <w:rsid w:val="00D542C7"/>
    <w:rsid w:val="00D57470"/>
    <w:rsid w:val="00D65564"/>
    <w:rsid w:val="00D7724C"/>
    <w:rsid w:val="00D831F3"/>
    <w:rsid w:val="00D87B29"/>
    <w:rsid w:val="00D940D3"/>
    <w:rsid w:val="00D95224"/>
    <w:rsid w:val="00DA79E4"/>
    <w:rsid w:val="00DB02B9"/>
    <w:rsid w:val="00DB2F35"/>
    <w:rsid w:val="00DB59B4"/>
    <w:rsid w:val="00DB6306"/>
    <w:rsid w:val="00DB689B"/>
    <w:rsid w:val="00DC01C1"/>
    <w:rsid w:val="00DC6088"/>
    <w:rsid w:val="00DD1EF7"/>
    <w:rsid w:val="00DD7439"/>
    <w:rsid w:val="00DE0753"/>
    <w:rsid w:val="00DE6B6D"/>
    <w:rsid w:val="00E072E3"/>
    <w:rsid w:val="00E20A1F"/>
    <w:rsid w:val="00E22A09"/>
    <w:rsid w:val="00E245A3"/>
    <w:rsid w:val="00E26E3A"/>
    <w:rsid w:val="00E3142C"/>
    <w:rsid w:val="00E34994"/>
    <w:rsid w:val="00E4061D"/>
    <w:rsid w:val="00E47CCA"/>
    <w:rsid w:val="00E65661"/>
    <w:rsid w:val="00E71EDF"/>
    <w:rsid w:val="00E80932"/>
    <w:rsid w:val="00E81AA1"/>
    <w:rsid w:val="00E8431C"/>
    <w:rsid w:val="00E95B24"/>
    <w:rsid w:val="00EB16FD"/>
    <w:rsid w:val="00EB4AFF"/>
    <w:rsid w:val="00EC39BB"/>
    <w:rsid w:val="00EC688F"/>
    <w:rsid w:val="00ED351D"/>
    <w:rsid w:val="00ED69F3"/>
    <w:rsid w:val="00EE297E"/>
    <w:rsid w:val="00F0075E"/>
    <w:rsid w:val="00F023E9"/>
    <w:rsid w:val="00F02FB9"/>
    <w:rsid w:val="00F15236"/>
    <w:rsid w:val="00F17782"/>
    <w:rsid w:val="00F24EE1"/>
    <w:rsid w:val="00F3101E"/>
    <w:rsid w:val="00F41C1B"/>
    <w:rsid w:val="00F42EF8"/>
    <w:rsid w:val="00F458C4"/>
    <w:rsid w:val="00F54219"/>
    <w:rsid w:val="00F71850"/>
    <w:rsid w:val="00F72854"/>
    <w:rsid w:val="00F74FB4"/>
    <w:rsid w:val="00F75B59"/>
    <w:rsid w:val="00F90A32"/>
    <w:rsid w:val="00F923A9"/>
    <w:rsid w:val="00F92E8A"/>
    <w:rsid w:val="00FA5ACF"/>
    <w:rsid w:val="00FB5BA2"/>
    <w:rsid w:val="00FD4584"/>
    <w:rsid w:val="00FE425C"/>
    <w:rsid w:val="00FE48E8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290A605"/>
  <w15:chartTrackingRefBased/>
  <w15:docId w15:val="{A2BEC0EF-97ED-42D5-A53B-C7B9FF8F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0B749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0B749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B7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495"/>
  </w:style>
  <w:style w:type="paragraph" w:styleId="Footer">
    <w:name w:val="footer"/>
    <w:basedOn w:val="Normal"/>
    <w:link w:val="FooterChar"/>
    <w:uiPriority w:val="99"/>
    <w:unhideWhenUsed/>
    <w:rsid w:val="000B7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495"/>
  </w:style>
  <w:style w:type="paragraph" w:customStyle="1" w:styleId="FooterCoverPage">
    <w:name w:val="Footer Cover Page"/>
    <w:basedOn w:val="Normal"/>
    <w:link w:val="FooterCoverPageChar"/>
    <w:rsid w:val="000B749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0B7495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0B74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0B7495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0B749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0B7495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0B74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0B7495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0B7495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0B7495"/>
    <w:rPr>
      <w:rFonts w:ascii="Times New Roman" w:hAnsi="Times New Roman" w:cs="Times New Roman"/>
      <w:sz w:val="28"/>
    </w:rPr>
  </w:style>
  <w:style w:type="table" w:styleId="TableGrid">
    <w:name w:val="Table Grid"/>
    <w:basedOn w:val="TableNormal"/>
    <w:rsid w:val="000B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B20E3"/>
    <w:pP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0E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B20E3"/>
    <w:rPr>
      <w:vertAlign w:val="superscript"/>
    </w:rPr>
  </w:style>
  <w:style w:type="paragraph" w:customStyle="1" w:styleId="Text1">
    <w:name w:val="Text 1"/>
    <w:basedOn w:val="Normal"/>
    <w:rsid w:val="00E80932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E80932"/>
    <w:pPr>
      <w:spacing w:after="20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932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093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32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F92E8A"/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4240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2">
    <w:name w:val="Grid Table 5 Dark Accent 2"/>
    <w:basedOn w:val="TableNormal"/>
    <w:uiPriority w:val="50"/>
    <w:rsid w:val="004240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customStyle="1" w:styleId="normaltextrun">
    <w:name w:val="normaltextrun"/>
    <w:basedOn w:val="DefaultParagraphFont"/>
    <w:rsid w:val="00921795"/>
  </w:style>
  <w:style w:type="paragraph" w:styleId="ListParagraph">
    <w:name w:val="List Paragraph"/>
    <w:basedOn w:val="Normal"/>
    <w:uiPriority w:val="34"/>
    <w:qFormat/>
    <w:rsid w:val="0066188A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05"/>
    <w:pPr>
      <w:spacing w:after="160"/>
      <w:jc w:val="left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05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475B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34EB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8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41087D88BCA9B4CB35120202DDD7B44" ma:contentTypeVersion="12" ma:contentTypeDescription="Create a new document in this library." ma:contentTypeScope="" ma:versionID="135f6d5d27a7780945f71edd1dee251c">
  <xsd:schema xmlns:xsd="http://www.w3.org/2001/XMLSchema" xmlns:xs="http://www.w3.org/2001/XMLSchema" xmlns:p="http://schemas.microsoft.com/office/2006/metadata/properties" xmlns:ns1="http://schemas.microsoft.com/sharepoint/v3" xmlns:ns3="B98945D3-5456-4CD3-B95D-0E1431E310C5" xmlns:ns4="b98945d3-5456-4cd3-b95d-0e1431e310c5" xmlns:ns5="02ebb043-5898-4877-8c1f-28652c7a58c8" targetNamespace="http://schemas.microsoft.com/office/2006/metadata/properties" ma:root="true" ma:fieldsID="c2b43677146d52a5ef563c40ea3adbfe" ns1:_="" ns3:_="" ns4:_="" ns5:_="">
    <xsd:import namespace="http://schemas.microsoft.com/sharepoint/v3"/>
    <xsd:import namespace="B98945D3-5456-4CD3-B95D-0E1431E310C5"/>
    <xsd:import namespace="b98945d3-5456-4cd3-b95d-0e1431e310c5"/>
    <xsd:import namespace="02ebb043-5898-4877-8c1f-28652c7a58c8"/>
    <xsd:element name="properties">
      <xsd:complexType>
        <xsd:sequence>
          <xsd:element name="documentManagement">
            <xsd:complexType>
              <xsd:all>
                <xsd:element ref="ns3:EC_Collab_DocumentLanguage"/>
                <xsd:element ref="ns4:Topic" minOccurs="0"/>
                <xsd:element ref="ns3:EC_ARES_NUMBER" minOccurs="0"/>
                <xsd:element ref="ns3:EC_ARES_DATE_TRANSFERRED" minOccurs="0"/>
                <xsd:element ref="ns3:EC_ARES_TRANSFERRED_BY" minOccurs="0"/>
                <xsd:element ref="ns3:kda1bb0e60714e759e76d829bf85cf68" minOccurs="0"/>
                <xsd:element ref="ns5:TaxCatchAll" minOccurs="0"/>
                <xsd:element ref="ns3:o52cb62f36a04edbb3bac4b73eb58afc" minOccurs="0"/>
                <xsd:element ref="ns5:pc1cb72997644c168a67816bee9648ad" minOccurs="0"/>
                <xsd:element ref="ns5:i65add8783a54065a8ae717033658b9b" minOccurs="0"/>
                <xsd:element ref="ns3:b2e4566d1cfc4e6eb55a8bd63695e673" minOccurs="0"/>
                <xsd:element ref="ns5:_dlc_DocId" minOccurs="0"/>
                <xsd:element ref="ns5:_dlc_DocIdUrl" minOccurs="0"/>
                <xsd:element ref="ns5:_dlc_DocIdPersistId" minOccurs="0"/>
                <xsd:element ref="ns1:TranslationStateLis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ListUrl" ma:index="30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45D3-5456-4CD3-B95D-0E1431E310C5" elementFormDefault="qualified">
    <xsd:import namespace="http://schemas.microsoft.com/office/2006/documentManagement/types"/>
    <xsd:import namespace="http://schemas.microsoft.com/office/infopath/2007/PartnerControls"/>
    <xsd:element name="EC_Collab_DocumentLanguage" ma:index="5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ARES_NUMBER" ma:index="12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13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14" nillable="true" ma:displayName="Transferred By" ma:hidden="true" ma:internalName="EC_ARES_TRANSFERRED_BY">
      <xsd:simpleType>
        <xsd:restriction base="dms:Text"/>
      </xsd:simpleType>
    </xsd:element>
    <xsd:element name="kda1bb0e60714e759e76d829bf85cf68" ma:index="20" nillable="true" ma:taxonomy="true" ma:internalName="kda1bb0e60714e759e76d829bf85cf68" ma:taxonomyFieldName="Financial_x0020_Regulation" ma:displayName="Financial Regulation" ma:default="" ma:fieldId="{4da1bb0e-6071-4e75-9e76-d829bf85cf68}" ma:sspId="c1588629-5f01-4420-b1c1-1ab4af18d9bf" ma:termSetId="e008b820-acb0-4187-b0ce-76ecc38df2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2cb62f36a04edbb3bac4b73eb58afc" ma:index="22" nillable="true" ma:taxonomy="true" ma:internalName="o52cb62f36a04edbb3bac4b73eb58afc" ma:taxonomyFieldName="institution" ma:displayName="Procedure" ma:default="" ma:fieldId="{852cb62f-36a0-4edb-b3ba-c4b73eb58afc}" ma:sspId="c1588629-5f01-4420-b1c1-1ab4af18d9bf" ma:termSetId="444eeb24-c360-4a65-9513-c563f7a1bc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e4566d1cfc4e6eb55a8bd63695e673" ma:index="25" nillable="true" ma:taxonomy="true" ma:internalName="b2e4566d1cfc4e6eb55a8bd63695e673" ma:taxonomyFieldName="Confidentiality" ma:displayName="Confidentiality" ma:indexed="true" ma:default="" ma:fieldId="{b2e4566d-1cfc-4e6e-b55a-8bd63695e673}" ma:sspId="c1588629-5f01-4420-b1c1-1ab4af18d9bf" ma:termSetId="875f2d54-a299-447c-8802-ef4aa5a6850b" ma:anchorId="62652adf-f500-423a-8994-bf286ce0c464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45d3-5456-4cd3-b95d-0e1431e310c5" elementFormDefault="qualified">
    <xsd:import namespace="http://schemas.microsoft.com/office/2006/documentManagement/types"/>
    <xsd:import namespace="http://schemas.microsoft.com/office/infopath/2007/PartnerControls"/>
    <xsd:element name="Topic" ma:index="6" nillable="true" ma:displayName="Topic" ma:format="Dropdown" ma:internalName="Topic">
      <xsd:simpleType>
        <xsd:restriction base="dms:Choice">
          <xsd:enumeration value="Review"/>
          <xsd:enumeration value="Fixed income"/>
          <xsd:enumeration value="Market data - CT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b043-5898-4877-8c1f-28652c7a58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a4fb2a-9ff3-4ca8-b82e-fd02b4b8326f}" ma:internalName="TaxCatchAll" ma:showField="CatchAllData" ma:web="02ebb043-5898-4877-8c1f-28652c7a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1cb72997644c168a67816bee9648ad" ma:index="23" nillable="true" ma:taxonomy="true" ma:internalName="pc1cb72997644c168a67816bee9648ad" ma:taxonomyFieldName="Document_x0020_type" ma:displayName="Document type" ma:indexed="true" ma:default="" ma:fieldId="{9c1cb729-9764-4c16-8a67-816bee9648ad}" ma:sspId="c1588629-5f01-4420-b1c1-1ab4af18d9bf" ma:termSetId="875f2d54-a299-447c-8802-ef4aa5a6850b" ma:anchorId="8ec034f4-7394-4efe-9efc-137f6f5c45bd" ma:open="false" ma:isKeyword="false">
      <xsd:complexType>
        <xsd:sequence>
          <xsd:element ref="pc:Terms" minOccurs="0" maxOccurs="1"/>
        </xsd:sequence>
      </xsd:complexType>
    </xsd:element>
    <xsd:element name="i65add8783a54065a8ae717033658b9b" ma:index="24" nillable="true" ma:taxonomy="true" ma:internalName="i65add8783a54065a8ae717033658b9b" ma:taxonomyFieldName="Doc_x0020_Status" ma:displayName="Doc Status" ma:indexed="true" ma:default="" ma:fieldId="{265add87-83a5-4065-a8ae-717033658b9b}" ma:sspId="c1588629-5f01-4420-b1c1-1ab4af18d9bf" ma:termSetId="875f2d54-a299-447c-8802-ef4aa5a6850b" ma:anchorId="ec0a32be-6382-4c35-9ad9-e691aa103528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e4566d1cfc4e6eb55a8bd63695e673 xmlns="B98945D3-5456-4CD3-B95D-0E1431E31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b2e4566d1cfc4e6eb55a8bd63695e673>
    <EC_ARES_DATE_TRANSFERRED xmlns="B98945D3-5456-4CD3-B95D-0E1431E310C5" xsi:nil="true"/>
    <EC_ARES_NUMBER xmlns="B98945D3-5456-4CD3-B95D-0E1431E310C5">
      <Url xsi:nil="true"/>
      <Description xsi:nil="true"/>
    </EC_ARES_NUMBER>
    <o52cb62f36a04edbb3bac4b73eb58afc xmlns="B98945D3-5456-4CD3-B95D-0E1431E31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o52cb62f36a04edbb3bac4b73eb58afc>
    <TaxCatchAll xmlns="02ebb043-5898-4877-8c1f-28652c7a58c8">
      <Value>144</Value>
    </TaxCatchAll>
    <kda1bb0e60714e759e76d829bf85cf68 xmlns="B98945D3-5456-4CD3-B95D-0E1431E31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kda1bb0e60714e759e76d829bf85cf68>
    <TranslationStateListUrl xmlns="http://schemas.microsoft.com/sharepoint/v3">
      <Url xsi:nil="true"/>
      <Description xsi:nil="true"/>
    </TranslationStateListUrl>
    <EC_Collab_DocumentLanguage xmlns="B98945D3-5456-4CD3-B95D-0E1431E310C5">EN</EC_Collab_DocumentLanguage>
    <Topic xmlns="b98945d3-5456-4cd3-b95d-0e1431e310c5">Market data - CTP</Topic>
    <pc1cb72997644c168a67816bee9648ad xmlns="02ebb043-5898-4877-8c1f-28652c7a58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Impact Assessment</TermName>
          <TermId xmlns="http://schemas.microsoft.com/office/infopath/2007/PartnerControls">1be13f0e-efa2-4808-b008-d92ae28571d4</TermId>
        </TermInfo>
      </Terms>
    </pc1cb72997644c168a67816bee9648ad>
    <i65add8783a54065a8ae717033658b9b xmlns="02ebb043-5898-4877-8c1f-28652c7a58c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i65add8783a54065a8ae717033658b9b>
    <EC_ARES_TRANSFERRED_BY xmlns="B98945D3-5456-4CD3-B95D-0E1431E310C5" xsi:nil="true"/>
    <_dlc_DocId xmlns="02ebb043-5898-4877-8c1f-28652c7a58c8">KUAXY5MF5DVP-81637303-264</_dlc_DocId>
    <_dlc_DocIdUrl xmlns="02ebb043-5898-4877-8c1f-28652c7a58c8">
      <Url>https://myintracomm-collab.ec.europa.eu/dg/FISMA/C/C3/_layouts/15/DocIdRedir.aspx?ID=KUAXY5MF5DVP-81637303-264</Url>
      <Description>KUAXY5MF5DVP-81637303-264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AF973A8-7F46-4936-A18C-B856D996B79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DC9CEF2-EF6E-46C2-9967-DA183A1FB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945D3-5456-4CD3-B95D-0E1431E310C5"/>
    <ds:schemaRef ds:uri="b98945d3-5456-4cd3-b95d-0e1431e310c5"/>
    <ds:schemaRef ds:uri="02ebb043-5898-4877-8c1f-28652c7a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F1B94-29A4-47C5-A7A8-995A1B5BEABE}">
  <ds:schemaRefs>
    <ds:schemaRef ds:uri="B98945D3-5456-4CD3-B95D-0E1431E310C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ebb043-5898-4877-8c1f-28652c7a58c8"/>
    <ds:schemaRef ds:uri="http://purl.org/dc/elements/1.1/"/>
    <ds:schemaRef ds:uri="http://schemas.microsoft.com/office/2006/metadata/properties"/>
    <ds:schemaRef ds:uri="b98945d3-5456-4cd3-b95d-0e1431e310c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B3B55A-14F5-4C1E-92E1-9AB4208FD0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E9B39F-E893-41B8-9CC6-B8A9FB0D040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694DA1F-BBAB-4230-BAC1-1CF7909E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1708</Words>
  <Characters>9394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31</cp:revision>
  <dcterms:created xsi:type="dcterms:W3CDTF">2021-11-17T13:37:00Z</dcterms:created>
  <dcterms:modified xsi:type="dcterms:W3CDTF">2021-11-25T09:28:00Z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Created using">
    <vt:lpwstr>LW 7.0.1, Build 20190916</vt:lpwstr>
  </property>
  <property fmtid="{D5CDD505-2E9C-101B-9397-08002B2CF9AE}" pid="8" name="_dlc_DocIdItemGuid">
    <vt:lpwstr>5a0df9a6-5e65-449f-b3cd-907cc4df6a42</vt:lpwstr>
  </property>
  <property fmtid="{D5CDD505-2E9C-101B-9397-08002B2CF9AE}" pid="9" name="institution">
    <vt:lpwstr/>
  </property>
  <property fmtid="{D5CDD505-2E9C-101B-9397-08002B2CF9AE}" pid="10" name="Confidentiality">
    <vt:lpwstr/>
  </property>
  <property fmtid="{D5CDD505-2E9C-101B-9397-08002B2CF9AE}" pid="11" name="Financial Regulation">
    <vt:lpwstr/>
  </property>
  <property fmtid="{D5CDD505-2E9C-101B-9397-08002B2CF9AE}" pid="12" name="Doc Status">
    <vt:lpwstr/>
  </property>
  <property fmtid="{D5CDD505-2E9C-101B-9397-08002B2CF9AE}" pid="13" name="Document type">
    <vt:lpwstr>144;#Impact Assessment|1be13f0e-efa2-4808-b008-d92ae28571d4</vt:lpwstr>
  </property>
  <property fmtid="{D5CDD505-2E9C-101B-9397-08002B2CF9AE}" pid="14" name="Last edited using">
    <vt:lpwstr>LW 7.0.1, Build 20200226</vt:lpwstr>
  </property>
  <property fmtid="{D5CDD505-2E9C-101B-9397-08002B2CF9AE}" pid="15" name="_LW_INVALIDATED__LW_INVALIDATED__LW_INVALIDATED__LW_INVALIDATED_ContentTypeId">
    <vt:lpwstr>0x010100258AA79CEB83498886A3A0868112325000741087D88BCA9B4CB35120202DDD7B44</vt:lpwstr>
  </property>
  <property name="OP_sanitized" fmtid="{D5CDD505-2E9C-101B-9397-08002B2CF9AE}" pid="16">
    <vt:lpwstr>True</vt:lpwstr>
  </property>
</Properties>
</file>