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65D" w:rsidRDefault="006C09F5" w:rsidP="006C09F5">
      <w:pPr>
        <w:pStyle w:val="Pagedecouverture"/>
        <w:rPr>
          <w:noProof/>
        </w:rPr>
      </w:pPr>
      <w:bookmarkStart w:id="0" w:name="GUIDF101082D86314F98B0EB7F1A52F4678B"/>
      <w:bookmarkStart w:id="1"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3AF7AECD-CD7F-4FD9-AC2D-6C2EF64C2C5A" style="width:450.75pt;height:444pt">
            <v:imagedata r:id="rId8" o:title=""/>
          </v:shape>
        </w:pict>
      </w:r>
    </w:p>
    <w:bookmarkEnd w:id="1"/>
    <w:p w:rsidR="00A8765D" w:rsidRDefault="00A8765D">
      <w:pPr>
        <w:rPr>
          <w:noProof/>
        </w:rPr>
        <w:sectPr w:rsidR="00A8765D" w:rsidSect="006C09F5">
          <w:headerReference w:type="even" r:id="rId9"/>
          <w:headerReference w:type="default" r:id="rId10"/>
          <w:footerReference w:type="even" r:id="rId11"/>
          <w:footerReference w:type="default" r:id="rId12"/>
          <w:headerReference w:type="first" r:id="rId13"/>
          <w:footerReference w:type="first" r:id="rId14"/>
          <w:footnotePr>
            <w:pos w:val="beneathText"/>
          </w:footnotePr>
          <w:endnotePr>
            <w:numFmt w:val="decimal"/>
            <w:numRestart w:val="eachSect"/>
          </w:endnotePr>
          <w:pgSz w:w="11907" w:h="16839"/>
          <w:pgMar w:top="1134" w:right="1417" w:bottom="1134" w:left="1417" w:header="709" w:footer="709" w:gutter="0"/>
          <w:pgNumType w:start="0"/>
          <w:cols w:space="720"/>
          <w:docGrid w:linePitch="360"/>
        </w:sectPr>
      </w:pPr>
    </w:p>
    <w:bookmarkStart w:id="2" w:name="_GoBack"/>
    <w:bookmarkEnd w:id="2"/>
    <w:p w:rsidR="00A8765D" w:rsidRDefault="006C09F5">
      <w:pPr>
        <w:pStyle w:val="TOC7"/>
        <w:rPr>
          <w:rFonts w:asciiTheme="minorHAnsi" w:eastAsiaTheme="minorEastAsia" w:hAnsiTheme="minorHAnsi" w:cstheme="minorBidi"/>
          <w:noProof/>
          <w:color w:val="auto"/>
          <w:sz w:val="22"/>
          <w:lang w:val="fr-BE" w:eastAsia="fr-BE"/>
        </w:rPr>
      </w:pPr>
      <w:r>
        <w:rPr>
          <w:noProof/>
        </w:rPr>
        <w:lastRenderedPageBreak/>
        <w:fldChar w:fldCharType="begin"/>
      </w:r>
      <w:r>
        <w:rPr>
          <w:noProof/>
        </w:rPr>
        <w:instrText xml:space="preserve"> TOC \o "7-7" \f \h \z \t "Numbered Heading 1 (ToC);3;Numbered Heading 2 (ToC);4;Subsection Heading;3" </w:instrText>
      </w:r>
      <w:r>
        <w:rPr>
          <w:noProof/>
        </w:rPr>
        <w:fldChar w:fldCharType="separate"/>
      </w:r>
      <w:hyperlink w:anchor="_Toc33020593" w:history="1">
        <w:r>
          <w:rPr>
            <w:rStyle w:val="Hyperlink"/>
            <w:noProof/>
          </w:rPr>
          <w:t>Executive summary</w:t>
        </w:r>
        <w:r>
          <w:rPr>
            <w:noProof/>
            <w:webHidden/>
          </w:rPr>
          <w:tab/>
        </w:r>
        <w:r>
          <w:rPr>
            <w:noProof/>
            <w:webHidden/>
          </w:rPr>
          <w:fldChar w:fldCharType="begin"/>
        </w:r>
        <w:r>
          <w:rPr>
            <w:noProof/>
            <w:webHidden/>
          </w:rPr>
          <w:instrText xml:space="preserve"> PAGEREF _Toc33020593 \h </w:instrText>
        </w:r>
        <w:r>
          <w:rPr>
            <w:noProof/>
            <w:webHidden/>
          </w:rPr>
        </w:r>
        <w:r>
          <w:rPr>
            <w:noProof/>
            <w:webHidden/>
          </w:rPr>
          <w:fldChar w:fldCharType="separate"/>
        </w:r>
        <w:r>
          <w:rPr>
            <w:noProof/>
            <w:webHidden/>
          </w:rPr>
          <w:t>3</w:t>
        </w:r>
        <w:r>
          <w:rPr>
            <w:noProof/>
            <w:webHidden/>
          </w:rPr>
          <w:fldChar w:fldCharType="end"/>
        </w:r>
      </w:hyperlink>
    </w:p>
    <w:p w:rsidR="00A8765D" w:rsidRDefault="006C09F5">
      <w:pPr>
        <w:pStyle w:val="TOC2"/>
        <w:rPr>
          <w:rStyle w:val="Hyperlink"/>
          <w:noProof/>
        </w:rPr>
      </w:pPr>
      <w:hyperlink w:anchor="_Toc33020594" w:history="1">
        <w:r>
          <w:rPr>
            <w:rStyle w:val="Hyperlink"/>
            <w:noProof/>
          </w:rPr>
          <w:t>1.</w:t>
        </w:r>
        <w:r>
          <w:rPr>
            <w:rStyle w:val="Hyperlink"/>
            <w:noProof/>
          </w:rPr>
          <w:tab/>
          <w:t>Economic situation and outlook</w:t>
        </w:r>
        <w:r>
          <w:rPr>
            <w:rStyle w:val="Hyperlink"/>
            <w:noProof/>
            <w:webHidden/>
          </w:rPr>
          <w:tab/>
        </w:r>
        <w:r>
          <w:rPr>
            <w:rStyle w:val="Hyperlink"/>
            <w:noProof/>
            <w:webHidden/>
          </w:rPr>
          <w:fldChar w:fldCharType="begin"/>
        </w:r>
        <w:r>
          <w:rPr>
            <w:rStyle w:val="Hyperlink"/>
            <w:noProof/>
            <w:webHidden/>
          </w:rPr>
          <w:instrText xml:space="preserve"> PAGEREF _Toc33020594 \h </w:instrText>
        </w:r>
        <w:r>
          <w:rPr>
            <w:rStyle w:val="Hyperlink"/>
            <w:noProof/>
            <w:webHidden/>
          </w:rPr>
        </w:r>
        <w:r>
          <w:rPr>
            <w:rStyle w:val="Hyperlink"/>
            <w:noProof/>
            <w:webHidden/>
          </w:rPr>
          <w:fldChar w:fldCharType="separate"/>
        </w:r>
        <w:r>
          <w:rPr>
            <w:rStyle w:val="Hyperlink"/>
            <w:noProof/>
            <w:webHidden/>
          </w:rPr>
          <w:t>8</w:t>
        </w:r>
        <w:r>
          <w:rPr>
            <w:rStyle w:val="Hyperlink"/>
            <w:noProof/>
            <w:webHidden/>
          </w:rPr>
          <w:fldChar w:fldCharType="end"/>
        </w:r>
      </w:hyperlink>
    </w:p>
    <w:p w:rsidR="00A8765D" w:rsidRDefault="006C09F5">
      <w:pPr>
        <w:pStyle w:val="TOC2"/>
        <w:rPr>
          <w:rStyle w:val="Hyperlink"/>
          <w:noProof/>
        </w:rPr>
      </w:pPr>
      <w:hyperlink w:anchor="_Toc33020595" w:history="1">
        <w:r>
          <w:rPr>
            <w:rStyle w:val="Hyperlink"/>
            <w:noProof/>
          </w:rPr>
          <w:t>2.</w:t>
        </w:r>
        <w:r>
          <w:rPr>
            <w:rStyle w:val="Hyperlink"/>
            <w:noProof/>
          </w:rPr>
          <w:tab/>
          <w:t>Progress with country-specific recommendations</w:t>
        </w:r>
        <w:r>
          <w:rPr>
            <w:rStyle w:val="Hyperlink"/>
            <w:noProof/>
            <w:webHidden/>
          </w:rPr>
          <w:tab/>
        </w:r>
        <w:r>
          <w:rPr>
            <w:rStyle w:val="Hyperlink"/>
            <w:noProof/>
            <w:webHidden/>
          </w:rPr>
          <w:fldChar w:fldCharType="begin"/>
        </w:r>
        <w:r>
          <w:rPr>
            <w:rStyle w:val="Hyperlink"/>
            <w:noProof/>
            <w:webHidden/>
          </w:rPr>
          <w:instrText xml:space="preserve"> PAGEREF _Toc33020595 \h </w:instrText>
        </w:r>
        <w:r>
          <w:rPr>
            <w:rStyle w:val="Hyperlink"/>
            <w:noProof/>
            <w:webHidden/>
          </w:rPr>
        </w:r>
        <w:r>
          <w:rPr>
            <w:rStyle w:val="Hyperlink"/>
            <w:noProof/>
            <w:webHidden/>
          </w:rPr>
          <w:fldChar w:fldCharType="separate"/>
        </w:r>
        <w:r>
          <w:rPr>
            <w:rStyle w:val="Hyperlink"/>
            <w:noProof/>
            <w:webHidden/>
          </w:rPr>
          <w:t>14</w:t>
        </w:r>
        <w:r>
          <w:rPr>
            <w:rStyle w:val="Hyperlink"/>
            <w:noProof/>
            <w:webHidden/>
          </w:rPr>
          <w:fldChar w:fldCharType="end"/>
        </w:r>
      </w:hyperlink>
    </w:p>
    <w:p w:rsidR="00A8765D" w:rsidRDefault="006C09F5">
      <w:pPr>
        <w:pStyle w:val="TOC2"/>
        <w:rPr>
          <w:rStyle w:val="Hyperlink"/>
          <w:noProof/>
        </w:rPr>
      </w:pPr>
      <w:hyperlink w:anchor="_Toc33020596" w:history="1">
        <w:r>
          <w:rPr>
            <w:rStyle w:val="Hyperlink"/>
            <w:noProof/>
          </w:rPr>
          <w:t>3.</w:t>
        </w:r>
        <w:r>
          <w:rPr>
            <w:rStyle w:val="Hyperlink"/>
            <w:noProof/>
          </w:rPr>
          <w:tab/>
          <w:t>Reform priorities</w:t>
        </w:r>
        <w:r>
          <w:rPr>
            <w:rStyle w:val="Hyperlink"/>
            <w:noProof/>
            <w:webHidden/>
          </w:rPr>
          <w:tab/>
        </w:r>
        <w:r>
          <w:rPr>
            <w:rStyle w:val="Hyperlink"/>
            <w:noProof/>
            <w:webHidden/>
          </w:rPr>
          <w:fldChar w:fldCharType="begin"/>
        </w:r>
        <w:r>
          <w:rPr>
            <w:rStyle w:val="Hyperlink"/>
            <w:noProof/>
            <w:webHidden/>
          </w:rPr>
          <w:instrText xml:space="preserve"> PAGEREF _Toc33020596 \h </w:instrText>
        </w:r>
        <w:r>
          <w:rPr>
            <w:rStyle w:val="Hyperlink"/>
            <w:noProof/>
            <w:webHidden/>
          </w:rPr>
        </w:r>
        <w:r>
          <w:rPr>
            <w:rStyle w:val="Hyperlink"/>
            <w:noProof/>
            <w:webHidden/>
          </w:rPr>
          <w:fldChar w:fldCharType="separate"/>
        </w:r>
        <w:r>
          <w:rPr>
            <w:rStyle w:val="Hyperlink"/>
            <w:noProof/>
            <w:webHidden/>
          </w:rPr>
          <w:t>20</w:t>
        </w:r>
        <w:r>
          <w:rPr>
            <w:rStyle w:val="Hyperlink"/>
            <w:noProof/>
            <w:webHidden/>
          </w:rPr>
          <w:fldChar w:fldCharType="end"/>
        </w:r>
      </w:hyperlink>
    </w:p>
    <w:p w:rsidR="00A8765D" w:rsidRDefault="006C09F5">
      <w:pPr>
        <w:pStyle w:val="TOC3"/>
        <w:rPr>
          <w:rStyle w:val="Hyperlink"/>
          <w:noProof/>
        </w:rPr>
      </w:pPr>
      <w:hyperlink w:anchor="_Toc33020597" w:history="1">
        <w:r>
          <w:rPr>
            <w:rStyle w:val="Hyperlink"/>
            <w:noProof/>
          </w:rPr>
          <w:t>3.1.</w:t>
        </w:r>
        <w:r>
          <w:rPr>
            <w:rStyle w:val="Hyperlink"/>
            <w:noProof/>
          </w:rPr>
          <w:tab/>
          <w:t xml:space="preserve">Public </w:t>
        </w:r>
        <w:r>
          <w:rPr>
            <w:rStyle w:val="Hyperlink"/>
            <w:noProof/>
          </w:rPr>
          <w:t>finances and taxation</w:t>
        </w:r>
        <w:r>
          <w:rPr>
            <w:rStyle w:val="Hyperlink"/>
            <w:noProof/>
            <w:webHidden/>
          </w:rPr>
          <w:tab/>
        </w:r>
        <w:r>
          <w:rPr>
            <w:rStyle w:val="Hyperlink"/>
            <w:noProof/>
            <w:webHidden/>
          </w:rPr>
          <w:fldChar w:fldCharType="begin"/>
        </w:r>
        <w:r>
          <w:rPr>
            <w:rStyle w:val="Hyperlink"/>
            <w:noProof/>
            <w:webHidden/>
          </w:rPr>
          <w:instrText xml:space="preserve"> PAGEREF _Toc33020597 \h </w:instrText>
        </w:r>
        <w:r>
          <w:rPr>
            <w:rStyle w:val="Hyperlink"/>
            <w:noProof/>
            <w:webHidden/>
          </w:rPr>
        </w:r>
        <w:r>
          <w:rPr>
            <w:rStyle w:val="Hyperlink"/>
            <w:noProof/>
            <w:webHidden/>
          </w:rPr>
          <w:fldChar w:fldCharType="separate"/>
        </w:r>
        <w:r>
          <w:rPr>
            <w:rStyle w:val="Hyperlink"/>
            <w:noProof/>
            <w:webHidden/>
          </w:rPr>
          <w:t>20</w:t>
        </w:r>
        <w:r>
          <w:rPr>
            <w:rStyle w:val="Hyperlink"/>
            <w:noProof/>
            <w:webHidden/>
          </w:rPr>
          <w:fldChar w:fldCharType="end"/>
        </w:r>
      </w:hyperlink>
    </w:p>
    <w:p w:rsidR="00A8765D" w:rsidRDefault="006C09F5">
      <w:pPr>
        <w:pStyle w:val="TOC3"/>
        <w:rPr>
          <w:rStyle w:val="Hyperlink"/>
          <w:noProof/>
        </w:rPr>
      </w:pPr>
      <w:hyperlink w:anchor="_Toc33020598" w:history="1">
        <w:r>
          <w:rPr>
            <w:rStyle w:val="Hyperlink"/>
            <w:noProof/>
          </w:rPr>
          <w:t>3.2.</w:t>
        </w:r>
        <w:r>
          <w:rPr>
            <w:rStyle w:val="Hyperlink"/>
            <w:noProof/>
          </w:rPr>
          <w:tab/>
          <w:t>Financial sector</w:t>
        </w:r>
        <w:r>
          <w:rPr>
            <w:rStyle w:val="Hyperlink"/>
            <w:noProof/>
            <w:webHidden/>
          </w:rPr>
          <w:tab/>
        </w:r>
        <w:r>
          <w:rPr>
            <w:rStyle w:val="Hyperlink"/>
            <w:noProof/>
            <w:webHidden/>
          </w:rPr>
          <w:fldChar w:fldCharType="begin"/>
        </w:r>
        <w:r>
          <w:rPr>
            <w:rStyle w:val="Hyperlink"/>
            <w:noProof/>
            <w:webHidden/>
          </w:rPr>
          <w:instrText xml:space="preserve"> PAGEREF _Toc33020598 \h </w:instrText>
        </w:r>
        <w:r>
          <w:rPr>
            <w:rStyle w:val="Hyperlink"/>
            <w:noProof/>
            <w:webHidden/>
          </w:rPr>
        </w:r>
        <w:r>
          <w:rPr>
            <w:rStyle w:val="Hyperlink"/>
            <w:noProof/>
            <w:webHidden/>
          </w:rPr>
          <w:fldChar w:fldCharType="separate"/>
        </w:r>
        <w:r>
          <w:rPr>
            <w:rStyle w:val="Hyperlink"/>
            <w:noProof/>
            <w:webHidden/>
          </w:rPr>
          <w:t>25</w:t>
        </w:r>
        <w:r>
          <w:rPr>
            <w:rStyle w:val="Hyperlink"/>
            <w:noProof/>
            <w:webHidden/>
          </w:rPr>
          <w:fldChar w:fldCharType="end"/>
        </w:r>
      </w:hyperlink>
    </w:p>
    <w:p w:rsidR="00A8765D" w:rsidRDefault="006C09F5">
      <w:pPr>
        <w:pStyle w:val="TOC3"/>
        <w:rPr>
          <w:rStyle w:val="Hyperlink"/>
          <w:noProof/>
        </w:rPr>
      </w:pPr>
      <w:hyperlink w:anchor="_Toc33020599" w:history="1">
        <w:r>
          <w:rPr>
            <w:rStyle w:val="Hyperlink"/>
            <w:noProof/>
          </w:rPr>
          <w:t>3.3.</w:t>
        </w:r>
        <w:r>
          <w:rPr>
            <w:rStyle w:val="Hyperlink"/>
            <w:noProof/>
          </w:rPr>
          <w:tab/>
          <w:t>Labour market, education and social policies</w:t>
        </w:r>
        <w:r>
          <w:rPr>
            <w:rStyle w:val="Hyperlink"/>
            <w:noProof/>
            <w:webHidden/>
          </w:rPr>
          <w:tab/>
        </w:r>
        <w:r>
          <w:rPr>
            <w:rStyle w:val="Hyperlink"/>
            <w:noProof/>
            <w:webHidden/>
          </w:rPr>
          <w:fldChar w:fldCharType="begin"/>
        </w:r>
        <w:r>
          <w:rPr>
            <w:rStyle w:val="Hyperlink"/>
            <w:noProof/>
            <w:webHidden/>
          </w:rPr>
          <w:instrText xml:space="preserve"> PAGEREF _Toc33020599 \h </w:instrText>
        </w:r>
        <w:r>
          <w:rPr>
            <w:rStyle w:val="Hyperlink"/>
            <w:noProof/>
            <w:webHidden/>
          </w:rPr>
        </w:r>
        <w:r>
          <w:rPr>
            <w:rStyle w:val="Hyperlink"/>
            <w:noProof/>
            <w:webHidden/>
          </w:rPr>
          <w:fldChar w:fldCharType="separate"/>
        </w:r>
        <w:r>
          <w:rPr>
            <w:rStyle w:val="Hyperlink"/>
            <w:noProof/>
            <w:webHidden/>
          </w:rPr>
          <w:t>29</w:t>
        </w:r>
        <w:r>
          <w:rPr>
            <w:rStyle w:val="Hyperlink"/>
            <w:noProof/>
            <w:webHidden/>
          </w:rPr>
          <w:fldChar w:fldCharType="end"/>
        </w:r>
      </w:hyperlink>
    </w:p>
    <w:p w:rsidR="00A8765D" w:rsidRDefault="006C09F5">
      <w:pPr>
        <w:pStyle w:val="TOC3"/>
        <w:rPr>
          <w:rStyle w:val="Hyperlink"/>
          <w:noProof/>
        </w:rPr>
      </w:pPr>
      <w:hyperlink w:anchor="_Toc33020600" w:history="1">
        <w:r>
          <w:rPr>
            <w:rStyle w:val="Hyperlink"/>
            <w:noProof/>
          </w:rPr>
          <w:t>3.4.</w:t>
        </w:r>
        <w:r>
          <w:rPr>
            <w:rStyle w:val="Hyperlink"/>
            <w:noProof/>
          </w:rPr>
          <w:tab/>
          <w:t>Competitiveness reforms and investm</w:t>
        </w:r>
        <w:r>
          <w:rPr>
            <w:rStyle w:val="Hyperlink"/>
            <w:noProof/>
          </w:rPr>
          <w:t>ent</w:t>
        </w:r>
        <w:r>
          <w:rPr>
            <w:rStyle w:val="Hyperlink"/>
            <w:noProof/>
            <w:webHidden/>
          </w:rPr>
          <w:tab/>
        </w:r>
        <w:r>
          <w:rPr>
            <w:rStyle w:val="Hyperlink"/>
            <w:noProof/>
            <w:webHidden/>
          </w:rPr>
          <w:fldChar w:fldCharType="begin"/>
        </w:r>
        <w:r>
          <w:rPr>
            <w:rStyle w:val="Hyperlink"/>
            <w:noProof/>
            <w:webHidden/>
          </w:rPr>
          <w:instrText xml:space="preserve"> PAGEREF _Toc33020600 \h </w:instrText>
        </w:r>
        <w:r>
          <w:rPr>
            <w:rStyle w:val="Hyperlink"/>
            <w:noProof/>
            <w:webHidden/>
          </w:rPr>
        </w:r>
        <w:r>
          <w:rPr>
            <w:rStyle w:val="Hyperlink"/>
            <w:noProof/>
            <w:webHidden/>
          </w:rPr>
          <w:fldChar w:fldCharType="separate"/>
        </w:r>
        <w:r>
          <w:rPr>
            <w:rStyle w:val="Hyperlink"/>
            <w:noProof/>
            <w:webHidden/>
          </w:rPr>
          <w:t>41</w:t>
        </w:r>
        <w:r>
          <w:rPr>
            <w:rStyle w:val="Hyperlink"/>
            <w:noProof/>
            <w:webHidden/>
          </w:rPr>
          <w:fldChar w:fldCharType="end"/>
        </w:r>
      </w:hyperlink>
    </w:p>
    <w:p w:rsidR="00A8765D" w:rsidRDefault="006C09F5">
      <w:pPr>
        <w:pStyle w:val="TOC3"/>
        <w:rPr>
          <w:rStyle w:val="Hyperlink"/>
          <w:noProof/>
        </w:rPr>
      </w:pPr>
      <w:hyperlink w:anchor="_Toc33020601" w:history="1">
        <w:r>
          <w:rPr>
            <w:rStyle w:val="Hyperlink"/>
            <w:noProof/>
          </w:rPr>
          <w:t>3.5.</w:t>
        </w:r>
        <w:r>
          <w:rPr>
            <w:rStyle w:val="Hyperlink"/>
            <w:noProof/>
          </w:rPr>
          <w:tab/>
          <w:t>Environmental sustainability</w:t>
        </w:r>
        <w:r>
          <w:rPr>
            <w:rStyle w:val="Hyperlink"/>
            <w:noProof/>
            <w:webHidden/>
          </w:rPr>
          <w:tab/>
        </w:r>
        <w:r>
          <w:rPr>
            <w:rStyle w:val="Hyperlink"/>
            <w:noProof/>
            <w:webHidden/>
          </w:rPr>
          <w:fldChar w:fldCharType="begin"/>
        </w:r>
        <w:r>
          <w:rPr>
            <w:rStyle w:val="Hyperlink"/>
            <w:noProof/>
            <w:webHidden/>
          </w:rPr>
          <w:instrText xml:space="preserve"> PAGEREF _Toc33020601 \h </w:instrText>
        </w:r>
        <w:r>
          <w:rPr>
            <w:rStyle w:val="Hyperlink"/>
            <w:noProof/>
            <w:webHidden/>
          </w:rPr>
        </w:r>
        <w:r>
          <w:rPr>
            <w:rStyle w:val="Hyperlink"/>
            <w:noProof/>
            <w:webHidden/>
          </w:rPr>
          <w:fldChar w:fldCharType="separate"/>
        </w:r>
        <w:r>
          <w:rPr>
            <w:rStyle w:val="Hyperlink"/>
            <w:noProof/>
            <w:webHidden/>
          </w:rPr>
          <w:t>54</w:t>
        </w:r>
        <w:r>
          <w:rPr>
            <w:rStyle w:val="Hyperlink"/>
            <w:noProof/>
            <w:webHidden/>
          </w:rPr>
          <w:fldChar w:fldCharType="end"/>
        </w:r>
      </w:hyperlink>
    </w:p>
    <w:p w:rsidR="00A8765D" w:rsidRDefault="006C09F5">
      <w:pPr>
        <w:pStyle w:val="TOC2"/>
        <w:rPr>
          <w:rStyle w:val="Hyperlink"/>
          <w:noProof/>
        </w:rPr>
      </w:pPr>
      <w:hyperlink w:anchor="_Toc33020602" w:history="1">
        <w:r>
          <w:rPr>
            <w:rStyle w:val="Hyperlink"/>
            <w:noProof/>
          </w:rPr>
          <w:t>A.</w:t>
        </w:r>
        <w:r>
          <w:rPr>
            <w:rStyle w:val="Hyperlink"/>
            <w:noProof/>
          </w:rPr>
          <w:tab/>
          <w:t>Overview Table</w:t>
        </w:r>
        <w:r>
          <w:rPr>
            <w:rStyle w:val="Hyperlink"/>
            <w:noProof/>
            <w:webHidden/>
          </w:rPr>
          <w:tab/>
        </w:r>
        <w:r>
          <w:rPr>
            <w:rStyle w:val="Hyperlink"/>
            <w:noProof/>
            <w:webHidden/>
          </w:rPr>
          <w:fldChar w:fldCharType="begin"/>
        </w:r>
        <w:r>
          <w:rPr>
            <w:rStyle w:val="Hyperlink"/>
            <w:noProof/>
            <w:webHidden/>
          </w:rPr>
          <w:instrText xml:space="preserve"> PAGEREF _Toc33020602 \h </w:instrText>
        </w:r>
        <w:r>
          <w:rPr>
            <w:rStyle w:val="Hyperlink"/>
            <w:noProof/>
            <w:webHidden/>
          </w:rPr>
        </w:r>
        <w:r>
          <w:rPr>
            <w:rStyle w:val="Hyperlink"/>
            <w:noProof/>
            <w:webHidden/>
          </w:rPr>
          <w:fldChar w:fldCharType="separate"/>
        </w:r>
        <w:r>
          <w:rPr>
            <w:rStyle w:val="Hyperlink"/>
            <w:noProof/>
            <w:webHidden/>
          </w:rPr>
          <w:t>60</w:t>
        </w:r>
        <w:r>
          <w:rPr>
            <w:rStyle w:val="Hyperlink"/>
            <w:noProof/>
            <w:webHidden/>
          </w:rPr>
          <w:fldChar w:fldCharType="end"/>
        </w:r>
      </w:hyperlink>
    </w:p>
    <w:p w:rsidR="00A8765D" w:rsidRDefault="006C09F5">
      <w:pPr>
        <w:pStyle w:val="TOC2"/>
        <w:rPr>
          <w:rStyle w:val="Hyperlink"/>
          <w:noProof/>
        </w:rPr>
      </w:pPr>
      <w:hyperlink w:anchor="_Toc33020603" w:history="1">
        <w:r>
          <w:rPr>
            <w:rStyle w:val="Hyperlink"/>
            <w:noProof/>
          </w:rPr>
          <w:t>B.</w:t>
        </w:r>
        <w:r>
          <w:rPr>
            <w:rStyle w:val="Hyperlink"/>
            <w:noProof/>
          </w:rPr>
          <w:tab/>
          <w:t xml:space="preserve">DSA </w:t>
        </w:r>
        <w:r>
          <w:rPr>
            <w:rStyle w:val="Hyperlink"/>
            <w:noProof/>
          </w:rPr>
          <w:t>statistical annex</w:t>
        </w:r>
        <w:r>
          <w:rPr>
            <w:rStyle w:val="Hyperlink"/>
            <w:noProof/>
            <w:webHidden/>
          </w:rPr>
          <w:tab/>
        </w:r>
        <w:r>
          <w:rPr>
            <w:rStyle w:val="Hyperlink"/>
            <w:noProof/>
            <w:webHidden/>
          </w:rPr>
          <w:fldChar w:fldCharType="begin"/>
        </w:r>
        <w:r>
          <w:rPr>
            <w:rStyle w:val="Hyperlink"/>
            <w:noProof/>
            <w:webHidden/>
          </w:rPr>
          <w:instrText xml:space="preserve"> PAGEREF _Toc33020603 \h </w:instrText>
        </w:r>
        <w:r>
          <w:rPr>
            <w:rStyle w:val="Hyperlink"/>
            <w:noProof/>
            <w:webHidden/>
          </w:rPr>
        </w:r>
        <w:r>
          <w:rPr>
            <w:rStyle w:val="Hyperlink"/>
            <w:noProof/>
            <w:webHidden/>
          </w:rPr>
          <w:fldChar w:fldCharType="separate"/>
        </w:r>
        <w:r>
          <w:rPr>
            <w:rStyle w:val="Hyperlink"/>
            <w:noProof/>
            <w:webHidden/>
          </w:rPr>
          <w:t>66</w:t>
        </w:r>
        <w:r>
          <w:rPr>
            <w:rStyle w:val="Hyperlink"/>
            <w:noProof/>
            <w:webHidden/>
          </w:rPr>
          <w:fldChar w:fldCharType="end"/>
        </w:r>
      </w:hyperlink>
    </w:p>
    <w:p w:rsidR="00A8765D" w:rsidRDefault="006C09F5">
      <w:pPr>
        <w:pStyle w:val="TOC2"/>
        <w:rPr>
          <w:rStyle w:val="Hyperlink"/>
          <w:noProof/>
        </w:rPr>
      </w:pPr>
      <w:hyperlink w:anchor="_Toc33020604" w:history="1">
        <w:r>
          <w:rPr>
            <w:rStyle w:val="Hyperlink"/>
            <w:noProof/>
          </w:rPr>
          <w:t>C.</w:t>
        </w:r>
        <w:r>
          <w:rPr>
            <w:rStyle w:val="Hyperlink"/>
            <w:noProof/>
          </w:rPr>
          <w:tab/>
          <w:t>Standard Tables</w:t>
        </w:r>
        <w:r>
          <w:rPr>
            <w:rStyle w:val="Hyperlink"/>
            <w:noProof/>
            <w:webHidden/>
          </w:rPr>
          <w:tab/>
        </w:r>
        <w:r>
          <w:rPr>
            <w:rStyle w:val="Hyperlink"/>
            <w:noProof/>
            <w:webHidden/>
          </w:rPr>
          <w:fldChar w:fldCharType="begin"/>
        </w:r>
        <w:r>
          <w:rPr>
            <w:rStyle w:val="Hyperlink"/>
            <w:noProof/>
            <w:webHidden/>
          </w:rPr>
          <w:instrText xml:space="preserve"> PAGEREF _Toc33020604 \h </w:instrText>
        </w:r>
        <w:r>
          <w:rPr>
            <w:rStyle w:val="Hyperlink"/>
            <w:noProof/>
            <w:webHidden/>
          </w:rPr>
        </w:r>
        <w:r>
          <w:rPr>
            <w:rStyle w:val="Hyperlink"/>
            <w:noProof/>
            <w:webHidden/>
          </w:rPr>
          <w:fldChar w:fldCharType="separate"/>
        </w:r>
        <w:r>
          <w:rPr>
            <w:rStyle w:val="Hyperlink"/>
            <w:noProof/>
            <w:webHidden/>
          </w:rPr>
          <w:t>67</w:t>
        </w:r>
        <w:r>
          <w:rPr>
            <w:rStyle w:val="Hyperlink"/>
            <w:noProof/>
            <w:webHidden/>
          </w:rPr>
          <w:fldChar w:fldCharType="end"/>
        </w:r>
      </w:hyperlink>
    </w:p>
    <w:p w:rsidR="00A8765D" w:rsidRDefault="006C09F5">
      <w:pPr>
        <w:pStyle w:val="TOC2"/>
        <w:rPr>
          <w:rStyle w:val="Hyperlink"/>
          <w:noProof/>
        </w:rPr>
      </w:pPr>
      <w:hyperlink w:anchor="_Toc33020605" w:history="1">
        <w:r>
          <w:rPr>
            <w:rStyle w:val="Hyperlink"/>
            <w:noProof/>
          </w:rPr>
          <w:t>D.</w:t>
        </w:r>
        <w:r>
          <w:rPr>
            <w:rStyle w:val="Hyperlink"/>
            <w:noProof/>
          </w:rPr>
          <w:tab/>
          <w:t>Investment Guidance on Just Transition Fund 2021-2027 for Latvia</w:t>
        </w:r>
        <w:r>
          <w:rPr>
            <w:rStyle w:val="Hyperlink"/>
            <w:noProof/>
            <w:webHidden/>
          </w:rPr>
          <w:tab/>
        </w:r>
        <w:r>
          <w:rPr>
            <w:rStyle w:val="Hyperlink"/>
            <w:noProof/>
            <w:webHidden/>
          </w:rPr>
          <w:fldChar w:fldCharType="begin"/>
        </w:r>
        <w:r>
          <w:rPr>
            <w:rStyle w:val="Hyperlink"/>
            <w:noProof/>
            <w:webHidden/>
          </w:rPr>
          <w:instrText xml:space="preserve"> PAGEREF _Toc33020605 \h </w:instrText>
        </w:r>
        <w:r>
          <w:rPr>
            <w:rStyle w:val="Hyperlink"/>
            <w:noProof/>
            <w:webHidden/>
          </w:rPr>
        </w:r>
        <w:r>
          <w:rPr>
            <w:rStyle w:val="Hyperlink"/>
            <w:noProof/>
            <w:webHidden/>
          </w:rPr>
          <w:fldChar w:fldCharType="separate"/>
        </w:r>
        <w:r>
          <w:rPr>
            <w:rStyle w:val="Hyperlink"/>
            <w:noProof/>
            <w:webHidden/>
          </w:rPr>
          <w:t>73</w:t>
        </w:r>
        <w:r>
          <w:rPr>
            <w:rStyle w:val="Hyperlink"/>
            <w:noProof/>
            <w:webHidden/>
          </w:rPr>
          <w:fldChar w:fldCharType="end"/>
        </w:r>
      </w:hyperlink>
    </w:p>
    <w:p w:rsidR="00A8765D" w:rsidRDefault="006C09F5">
      <w:pPr>
        <w:pStyle w:val="TOC2"/>
        <w:rPr>
          <w:rStyle w:val="Hyperlink"/>
          <w:noProof/>
        </w:rPr>
      </w:pPr>
      <w:hyperlink w:anchor="_Toc33020606" w:history="1">
        <w:r>
          <w:rPr>
            <w:rStyle w:val="Hyperlink"/>
            <w:noProof/>
          </w:rPr>
          <w:t>E.</w:t>
        </w:r>
        <w:r>
          <w:rPr>
            <w:rStyle w:val="Hyperlink"/>
            <w:noProof/>
          </w:rPr>
          <w:tab/>
          <w:t>Progress towards the Sust</w:t>
        </w:r>
        <w:r>
          <w:rPr>
            <w:rStyle w:val="Hyperlink"/>
            <w:noProof/>
          </w:rPr>
          <w:t>ainable Development Goals (SDGs)</w:t>
        </w:r>
        <w:r>
          <w:rPr>
            <w:rStyle w:val="Hyperlink"/>
            <w:noProof/>
            <w:webHidden/>
          </w:rPr>
          <w:tab/>
        </w:r>
        <w:r>
          <w:rPr>
            <w:rStyle w:val="Hyperlink"/>
            <w:noProof/>
            <w:webHidden/>
          </w:rPr>
          <w:fldChar w:fldCharType="begin"/>
        </w:r>
        <w:r>
          <w:rPr>
            <w:rStyle w:val="Hyperlink"/>
            <w:noProof/>
            <w:webHidden/>
          </w:rPr>
          <w:instrText xml:space="preserve"> PAGEREF _Toc33020606 \h </w:instrText>
        </w:r>
        <w:r>
          <w:rPr>
            <w:rStyle w:val="Hyperlink"/>
            <w:noProof/>
            <w:webHidden/>
          </w:rPr>
        </w:r>
        <w:r>
          <w:rPr>
            <w:rStyle w:val="Hyperlink"/>
            <w:noProof/>
            <w:webHidden/>
          </w:rPr>
          <w:fldChar w:fldCharType="separate"/>
        </w:r>
        <w:r>
          <w:rPr>
            <w:rStyle w:val="Hyperlink"/>
            <w:noProof/>
            <w:webHidden/>
          </w:rPr>
          <w:t>75</w:t>
        </w:r>
        <w:r>
          <w:rPr>
            <w:rStyle w:val="Hyperlink"/>
            <w:noProof/>
            <w:webHidden/>
          </w:rPr>
          <w:fldChar w:fldCharType="end"/>
        </w:r>
      </w:hyperlink>
    </w:p>
    <w:p w:rsidR="00A8765D" w:rsidRDefault="006C09F5">
      <w:pPr>
        <w:pStyle w:val="TOC7"/>
        <w:rPr>
          <w:rStyle w:val="Hyperlink"/>
          <w:noProof/>
        </w:rPr>
      </w:pPr>
      <w:hyperlink w:anchor="_Toc33020607" w:history="1">
        <w:r>
          <w:rPr>
            <w:rStyle w:val="Hyperlink"/>
            <w:noProof/>
          </w:rPr>
          <w:t>References</w:t>
        </w:r>
        <w:r>
          <w:rPr>
            <w:rStyle w:val="Hyperlink"/>
            <w:noProof/>
            <w:webHidden/>
          </w:rPr>
          <w:tab/>
        </w:r>
        <w:r>
          <w:rPr>
            <w:rStyle w:val="Hyperlink"/>
            <w:noProof/>
            <w:webHidden/>
          </w:rPr>
          <w:fldChar w:fldCharType="begin"/>
        </w:r>
        <w:r>
          <w:rPr>
            <w:rStyle w:val="Hyperlink"/>
            <w:noProof/>
            <w:webHidden/>
          </w:rPr>
          <w:instrText xml:space="preserve"> PAGEREF _Toc33020607 \h </w:instrText>
        </w:r>
        <w:r>
          <w:rPr>
            <w:rStyle w:val="Hyperlink"/>
            <w:noProof/>
            <w:webHidden/>
          </w:rPr>
        </w:r>
        <w:r>
          <w:rPr>
            <w:rStyle w:val="Hyperlink"/>
            <w:noProof/>
            <w:webHidden/>
          </w:rPr>
          <w:fldChar w:fldCharType="separate"/>
        </w:r>
        <w:r>
          <w:rPr>
            <w:rStyle w:val="Hyperlink"/>
            <w:noProof/>
            <w:webHidden/>
          </w:rPr>
          <w:t>81</w:t>
        </w:r>
        <w:r>
          <w:rPr>
            <w:rStyle w:val="Hyperlink"/>
            <w:noProof/>
            <w:webHidden/>
          </w:rPr>
          <w:fldChar w:fldCharType="end"/>
        </w:r>
      </w:hyperlink>
    </w:p>
    <w:p w:rsidR="00A8765D" w:rsidRDefault="006C09F5">
      <w:pPr>
        <w:spacing w:after="240" w:line="240" w:lineRule="atLeast"/>
        <w:jc w:val="both"/>
        <w:rPr>
          <w:rFonts w:ascii="Times New Roman" w:hAnsi="Times New Roman" w:cs="Times New Roman"/>
          <w:noProof/>
          <w:color w:val="000000"/>
          <w:sz w:val="20"/>
        </w:rPr>
      </w:pPr>
      <w:r>
        <w:rPr>
          <w:rFonts w:ascii="Century Gothic" w:hAnsi="Century Gothic" w:cs="Times New Roman"/>
          <w:noProof/>
          <w:color w:val="333399"/>
          <w:sz w:val="20"/>
        </w:rPr>
        <w:fldChar w:fldCharType="end"/>
      </w:r>
    </w:p>
    <w:p w:rsidR="00A8765D" w:rsidRDefault="006C09F5">
      <w:pPr>
        <w:keepNext/>
        <w:spacing w:before="120" w:after="120" w:line="240" w:lineRule="atLeast"/>
        <w:jc w:val="both"/>
        <w:rPr>
          <w:rFonts w:ascii="Century Gothic" w:hAnsi="Century Gothic" w:cs="Times New Roman"/>
          <w:caps/>
          <w:noProof/>
          <w:color w:val="333399"/>
          <w:sz w:val="28"/>
        </w:rPr>
      </w:pPr>
      <w:bookmarkStart w:id="3" w:name="EP_CONTENT_TABLES"/>
      <w:r>
        <w:rPr>
          <w:rFonts w:ascii="Century Gothic" w:hAnsi="Century Gothic" w:cs="Times New Roman"/>
          <w:caps/>
          <w:noProof/>
          <w:color w:val="333399"/>
          <w:sz w:val="28"/>
        </w:rPr>
        <w:t>LIST OF Tables</w:t>
      </w:r>
    </w:p>
    <w:p w:rsidR="00A8765D" w:rsidRDefault="006C09F5">
      <w:pPr>
        <w:pStyle w:val="TOC5"/>
        <w:rPr>
          <w:noProof/>
        </w:rPr>
      </w:pPr>
      <w:r>
        <w:rPr>
          <w:noProof/>
        </w:rPr>
        <w:fldChar w:fldCharType="begin"/>
      </w:r>
      <w:r>
        <w:rPr>
          <w:noProof/>
        </w:rPr>
        <w:instrText xml:space="preserve"> TOC \ftable \h \z \u </w:instrText>
      </w:r>
      <w:r>
        <w:rPr>
          <w:noProof/>
        </w:rPr>
        <w:fldChar w:fldCharType="separate"/>
      </w:r>
      <w:hyperlink w:anchor="_Toc33020608" w:history="1">
        <w:r>
          <w:rPr>
            <w:noProof/>
          </w:rPr>
          <w:t>1.1.</w:t>
        </w:r>
        <w:r>
          <w:rPr>
            <w:noProof/>
          </w:rPr>
          <w:tab/>
          <w:t>Key economic and financial indicators - Latvia</w:t>
        </w:r>
        <w:r>
          <w:rPr>
            <w:noProof/>
            <w:webHidden/>
          </w:rPr>
          <w:tab/>
        </w:r>
        <w:r>
          <w:rPr>
            <w:noProof/>
            <w:webHidden/>
          </w:rPr>
          <w:fldChar w:fldCharType="begin"/>
        </w:r>
        <w:r>
          <w:rPr>
            <w:noProof/>
            <w:webHidden/>
          </w:rPr>
          <w:instrText xml:space="preserve"> PAGEREF _Toc33020608 \h </w:instrText>
        </w:r>
        <w:r>
          <w:rPr>
            <w:noProof/>
            <w:webHidden/>
          </w:rPr>
        </w:r>
        <w:r>
          <w:rPr>
            <w:noProof/>
            <w:webHidden/>
          </w:rPr>
          <w:fldChar w:fldCharType="separate"/>
        </w:r>
        <w:r>
          <w:rPr>
            <w:noProof/>
            <w:webHidden/>
          </w:rPr>
          <w:t>13</w:t>
        </w:r>
        <w:r>
          <w:rPr>
            <w:noProof/>
            <w:webHidden/>
          </w:rPr>
          <w:fldChar w:fldCharType="end"/>
        </w:r>
      </w:hyperlink>
    </w:p>
    <w:p w:rsidR="00A8765D" w:rsidRDefault="006C09F5">
      <w:pPr>
        <w:pStyle w:val="TOC5"/>
        <w:rPr>
          <w:noProof/>
        </w:rPr>
      </w:pPr>
      <w:hyperlink w:anchor="_Toc33020609" w:history="1">
        <w:r>
          <w:rPr>
            <w:noProof/>
          </w:rPr>
          <w:t>2.1.</w:t>
        </w:r>
        <w:r>
          <w:rPr>
            <w:noProof/>
          </w:rPr>
          <w:tab/>
          <w:t>Summary table of 2019 CSR assessment</w:t>
        </w:r>
        <w:r>
          <w:rPr>
            <w:noProof/>
            <w:webHidden/>
          </w:rPr>
          <w:tab/>
        </w:r>
        <w:r>
          <w:rPr>
            <w:noProof/>
            <w:webHidden/>
          </w:rPr>
          <w:fldChar w:fldCharType="begin"/>
        </w:r>
        <w:r>
          <w:rPr>
            <w:noProof/>
            <w:webHidden/>
          </w:rPr>
          <w:instrText xml:space="preserve"> PAGEREF _Toc33020609 \h </w:instrText>
        </w:r>
        <w:r>
          <w:rPr>
            <w:noProof/>
            <w:webHidden/>
          </w:rPr>
        </w:r>
        <w:r>
          <w:rPr>
            <w:noProof/>
            <w:webHidden/>
          </w:rPr>
          <w:fldChar w:fldCharType="separate"/>
        </w:r>
        <w:r>
          <w:rPr>
            <w:noProof/>
            <w:webHidden/>
          </w:rPr>
          <w:t>16</w:t>
        </w:r>
        <w:r>
          <w:rPr>
            <w:noProof/>
            <w:webHidden/>
          </w:rPr>
          <w:fldChar w:fldCharType="end"/>
        </w:r>
      </w:hyperlink>
    </w:p>
    <w:p w:rsidR="00A8765D" w:rsidRDefault="006C09F5">
      <w:pPr>
        <w:pStyle w:val="TOC5"/>
        <w:rPr>
          <w:noProof/>
        </w:rPr>
      </w:pPr>
      <w:hyperlink w:anchor="_Toc33020610" w:history="1">
        <w:r>
          <w:rPr>
            <w:noProof/>
          </w:rPr>
          <w:t>C.1.</w:t>
        </w:r>
        <w:r>
          <w:rPr>
            <w:noProof/>
          </w:rPr>
          <w:tab/>
          <w:t>Financial market indicators</w:t>
        </w:r>
        <w:r>
          <w:rPr>
            <w:noProof/>
            <w:webHidden/>
          </w:rPr>
          <w:tab/>
        </w:r>
        <w:r>
          <w:rPr>
            <w:noProof/>
            <w:webHidden/>
          </w:rPr>
          <w:fldChar w:fldCharType="begin"/>
        </w:r>
        <w:r>
          <w:rPr>
            <w:noProof/>
            <w:webHidden/>
          </w:rPr>
          <w:instrText xml:space="preserve"> PAGEREF _Toc33020610 \h </w:instrText>
        </w:r>
        <w:r>
          <w:rPr>
            <w:noProof/>
            <w:webHidden/>
          </w:rPr>
        </w:r>
        <w:r>
          <w:rPr>
            <w:noProof/>
            <w:webHidden/>
          </w:rPr>
          <w:fldChar w:fldCharType="separate"/>
        </w:r>
        <w:r>
          <w:rPr>
            <w:noProof/>
            <w:webHidden/>
          </w:rPr>
          <w:t>67</w:t>
        </w:r>
        <w:r>
          <w:rPr>
            <w:noProof/>
            <w:webHidden/>
          </w:rPr>
          <w:fldChar w:fldCharType="end"/>
        </w:r>
      </w:hyperlink>
    </w:p>
    <w:p w:rsidR="00A8765D" w:rsidRDefault="006C09F5">
      <w:pPr>
        <w:pStyle w:val="TOC5"/>
        <w:rPr>
          <w:noProof/>
        </w:rPr>
      </w:pPr>
      <w:hyperlink w:anchor="_Toc33020611" w:history="1">
        <w:r>
          <w:rPr>
            <w:noProof/>
          </w:rPr>
          <w:t>C.2.</w:t>
        </w:r>
        <w:r>
          <w:rPr>
            <w:noProof/>
          </w:rPr>
          <w:tab/>
          <w:t>Headline Social Scoreboard indicators</w:t>
        </w:r>
        <w:r>
          <w:rPr>
            <w:noProof/>
            <w:webHidden/>
          </w:rPr>
          <w:tab/>
        </w:r>
        <w:r>
          <w:rPr>
            <w:noProof/>
            <w:webHidden/>
          </w:rPr>
          <w:fldChar w:fldCharType="begin"/>
        </w:r>
        <w:r>
          <w:rPr>
            <w:noProof/>
            <w:webHidden/>
          </w:rPr>
          <w:instrText xml:space="preserve"> PAGEREF _Toc33020611 \h </w:instrText>
        </w:r>
        <w:r>
          <w:rPr>
            <w:noProof/>
            <w:webHidden/>
          </w:rPr>
        </w:r>
        <w:r>
          <w:rPr>
            <w:noProof/>
            <w:webHidden/>
          </w:rPr>
          <w:fldChar w:fldCharType="separate"/>
        </w:r>
        <w:r>
          <w:rPr>
            <w:noProof/>
            <w:webHidden/>
          </w:rPr>
          <w:t>68</w:t>
        </w:r>
        <w:r>
          <w:rPr>
            <w:noProof/>
            <w:webHidden/>
          </w:rPr>
          <w:fldChar w:fldCharType="end"/>
        </w:r>
      </w:hyperlink>
    </w:p>
    <w:p w:rsidR="00A8765D" w:rsidRDefault="006C09F5">
      <w:pPr>
        <w:pStyle w:val="TOC5"/>
        <w:rPr>
          <w:noProof/>
        </w:rPr>
      </w:pPr>
      <w:hyperlink w:anchor="_Toc33020612" w:history="1">
        <w:r>
          <w:rPr>
            <w:noProof/>
          </w:rPr>
          <w:t>C.3.</w:t>
        </w:r>
        <w:r>
          <w:rPr>
            <w:noProof/>
          </w:rPr>
          <w:tab/>
          <w:t>Labour market and education indicators</w:t>
        </w:r>
        <w:r>
          <w:rPr>
            <w:noProof/>
            <w:webHidden/>
          </w:rPr>
          <w:tab/>
        </w:r>
        <w:r>
          <w:rPr>
            <w:noProof/>
            <w:webHidden/>
          </w:rPr>
          <w:fldChar w:fldCharType="begin"/>
        </w:r>
        <w:r>
          <w:rPr>
            <w:noProof/>
            <w:webHidden/>
          </w:rPr>
          <w:instrText xml:space="preserve"> PAGEREF _Toc33020612 \h </w:instrText>
        </w:r>
        <w:r>
          <w:rPr>
            <w:noProof/>
            <w:webHidden/>
          </w:rPr>
        </w:r>
        <w:r>
          <w:rPr>
            <w:noProof/>
            <w:webHidden/>
          </w:rPr>
          <w:fldChar w:fldCharType="separate"/>
        </w:r>
        <w:r>
          <w:rPr>
            <w:noProof/>
            <w:webHidden/>
          </w:rPr>
          <w:t>69</w:t>
        </w:r>
        <w:r>
          <w:rPr>
            <w:noProof/>
            <w:webHidden/>
          </w:rPr>
          <w:fldChar w:fldCharType="end"/>
        </w:r>
      </w:hyperlink>
    </w:p>
    <w:p w:rsidR="00A8765D" w:rsidRDefault="006C09F5">
      <w:pPr>
        <w:pStyle w:val="TOC5"/>
        <w:rPr>
          <w:noProof/>
        </w:rPr>
      </w:pPr>
      <w:hyperlink w:anchor="_Toc33020613" w:history="1">
        <w:r>
          <w:rPr>
            <w:noProof/>
          </w:rPr>
          <w:t>C.4.</w:t>
        </w:r>
        <w:r>
          <w:rPr>
            <w:noProof/>
          </w:rPr>
          <w:tab/>
          <w:t>Social inclusion and health indicators</w:t>
        </w:r>
        <w:r>
          <w:rPr>
            <w:noProof/>
            <w:webHidden/>
          </w:rPr>
          <w:tab/>
        </w:r>
        <w:r>
          <w:rPr>
            <w:noProof/>
            <w:webHidden/>
          </w:rPr>
          <w:fldChar w:fldCharType="begin"/>
        </w:r>
        <w:r>
          <w:rPr>
            <w:noProof/>
            <w:webHidden/>
          </w:rPr>
          <w:instrText xml:space="preserve"> PAGEREF _Toc33020613 \h </w:instrText>
        </w:r>
        <w:r>
          <w:rPr>
            <w:noProof/>
            <w:webHidden/>
          </w:rPr>
        </w:r>
        <w:r>
          <w:rPr>
            <w:noProof/>
            <w:webHidden/>
          </w:rPr>
          <w:fldChar w:fldCharType="separate"/>
        </w:r>
        <w:r>
          <w:rPr>
            <w:noProof/>
            <w:webHidden/>
          </w:rPr>
          <w:t>70</w:t>
        </w:r>
        <w:r>
          <w:rPr>
            <w:noProof/>
            <w:webHidden/>
          </w:rPr>
          <w:fldChar w:fldCharType="end"/>
        </w:r>
      </w:hyperlink>
    </w:p>
    <w:p w:rsidR="00A8765D" w:rsidRDefault="006C09F5">
      <w:pPr>
        <w:pStyle w:val="TOC5"/>
        <w:rPr>
          <w:noProof/>
        </w:rPr>
      </w:pPr>
      <w:hyperlink w:anchor="_Toc33020614" w:history="1">
        <w:r>
          <w:rPr>
            <w:noProof/>
          </w:rPr>
          <w:t>C.</w:t>
        </w:r>
        <w:r>
          <w:rPr>
            <w:noProof/>
          </w:rPr>
          <w:t>5.</w:t>
        </w:r>
        <w:r>
          <w:rPr>
            <w:noProof/>
          </w:rPr>
          <w:tab/>
          <w:t>Product market performance and policy indicators</w:t>
        </w:r>
        <w:r>
          <w:rPr>
            <w:noProof/>
            <w:webHidden/>
          </w:rPr>
          <w:tab/>
        </w:r>
        <w:r>
          <w:rPr>
            <w:noProof/>
            <w:webHidden/>
          </w:rPr>
          <w:fldChar w:fldCharType="begin"/>
        </w:r>
        <w:r>
          <w:rPr>
            <w:noProof/>
            <w:webHidden/>
          </w:rPr>
          <w:instrText xml:space="preserve"> PAGEREF _Toc33020614 \h </w:instrText>
        </w:r>
        <w:r>
          <w:rPr>
            <w:noProof/>
            <w:webHidden/>
          </w:rPr>
        </w:r>
        <w:r>
          <w:rPr>
            <w:noProof/>
            <w:webHidden/>
          </w:rPr>
          <w:fldChar w:fldCharType="separate"/>
        </w:r>
        <w:r>
          <w:rPr>
            <w:noProof/>
            <w:webHidden/>
          </w:rPr>
          <w:t>71</w:t>
        </w:r>
        <w:r>
          <w:rPr>
            <w:noProof/>
            <w:webHidden/>
          </w:rPr>
          <w:fldChar w:fldCharType="end"/>
        </w:r>
      </w:hyperlink>
    </w:p>
    <w:p w:rsidR="00A8765D" w:rsidRDefault="006C09F5">
      <w:pPr>
        <w:pStyle w:val="TOC5"/>
        <w:rPr>
          <w:noProof/>
        </w:rPr>
      </w:pPr>
      <w:hyperlink w:anchor="_Toc33020615" w:history="1">
        <w:r>
          <w:rPr>
            <w:noProof/>
          </w:rPr>
          <w:t>C.6.</w:t>
        </w:r>
        <w:r>
          <w:rPr>
            <w:noProof/>
          </w:rPr>
          <w:tab/>
          <w:t>Green growth</w:t>
        </w:r>
        <w:r>
          <w:rPr>
            <w:noProof/>
            <w:webHidden/>
          </w:rPr>
          <w:tab/>
        </w:r>
        <w:r>
          <w:rPr>
            <w:noProof/>
            <w:webHidden/>
          </w:rPr>
          <w:fldChar w:fldCharType="begin"/>
        </w:r>
        <w:r>
          <w:rPr>
            <w:noProof/>
            <w:webHidden/>
          </w:rPr>
          <w:instrText xml:space="preserve"> PAGEREF _Toc33020615 \h </w:instrText>
        </w:r>
        <w:r>
          <w:rPr>
            <w:noProof/>
            <w:webHidden/>
          </w:rPr>
        </w:r>
        <w:r>
          <w:rPr>
            <w:noProof/>
            <w:webHidden/>
          </w:rPr>
          <w:fldChar w:fldCharType="separate"/>
        </w:r>
        <w:r>
          <w:rPr>
            <w:noProof/>
            <w:webHidden/>
          </w:rPr>
          <w:t>72</w:t>
        </w:r>
        <w:r>
          <w:rPr>
            <w:noProof/>
            <w:webHidden/>
          </w:rPr>
          <w:fldChar w:fldCharType="end"/>
        </w:r>
      </w:hyperlink>
    </w:p>
    <w:p w:rsidR="00A8765D" w:rsidRDefault="006C09F5">
      <w:pPr>
        <w:keepLines/>
        <w:tabs>
          <w:tab w:val="left" w:pos="1077"/>
          <w:tab w:val="left" w:pos="1191"/>
          <w:tab w:val="right" w:pos="8504"/>
        </w:tabs>
        <w:spacing w:after="0" w:line="300" w:lineRule="atLeast"/>
        <w:ind w:left="1077" w:right="425" w:hanging="595"/>
        <w:rPr>
          <w:rFonts w:ascii="Times New Roman" w:hAnsi="Times New Roman" w:cs="Times New Roman"/>
          <w:noProof/>
          <w:color w:val="000000"/>
          <w:sz w:val="20"/>
        </w:rPr>
      </w:pPr>
      <w:r>
        <w:rPr>
          <w:rFonts w:ascii="Century Gothic" w:hAnsi="Century Gothic" w:cs="Times New Roman"/>
          <w:noProof/>
          <w:color w:val="333399"/>
          <w:sz w:val="16"/>
        </w:rPr>
        <w:fldChar w:fldCharType="end"/>
      </w:r>
    </w:p>
    <w:p w:rsidR="00A8765D" w:rsidRDefault="006C09F5">
      <w:pPr>
        <w:keepNext/>
        <w:spacing w:before="120" w:after="120" w:line="240" w:lineRule="atLeast"/>
        <w:jc w:val="both"/>
        <w:rPr>
          <w:rFonts w:ascii="Century Gothic" w:hAnsi="Century Gothic" w:cs="Times New Roman"/>
          <w:caps/>
          <w:noProof/>
          <w:color w:val="333399"/>
          <w:sz w:val="28"/>
        </w:rPr>
      </w:pPr>
      <w:bookmarkStart w:id="4" w:name="EP_CONTENT_GRAPHS"/>
      <w:bookmarkEnd w:id="3"/>
      <w:r>
        <w:rPr>
          <w:rFonts w:ascii="Century Gothic" w:hAnsi="Century Gothic" w:cs="Times New Roman"/>
          <w:caps/>
          <w:noProof/>
          <w:color w:val="333399"/>
          <w:sz w:val="28"/>
        </w:rPr>
        <w:t>LIST OF Graphs</w:t>
      </w:r>
    </w:p>
    <w:p w:rsidR="00A8765D" w:rsidRDefault="006C09F5">
      <w:pPr>
        <w:pStyle w:val="TOC5"/>
        <w:rPr>
          <w:noProof/>
        </w:rPr>
      </w:pPr>
      <w:r>
        <w:rPr>
          <w:noProof/>
        </w:rPr>
        <w:fldChar w:fldCharType="begin"/>
      </w:r>
      <w:r>
        <w:rPr>
          <w:noProof/>
        </w:rPr>
        <w:instrText xml:space="preserve"> TOC \fgraph \h \z \u </w:instrText>
      </w:r>
      <w:r>
        <w:rPr>
          <w:noProof/>
        </w:rPr>
        <w:fldChar w:fldCharType="separate"/>
      </w:r>
      <w:hyperlink w:anchor="_Toc33020645" w:history="1">
        <w:r>
          <w:rPr>
            <w:noProof/>
          </w:rPr>
          <w:t>1.1.</w:t>
        </w:r>
        <w:r>
          <w:rPr>
            <w:noProof/>
          </w:rPr>
          <w:tab/>
          <w:t>GDP growth and contribution of components</w:t>
        </w:r>
        <w:r>
          <w:rPr>
            <w:noProof/>
            <w:webHidden/>
          </w:rPr>
          <w:tab/>
        </w:r>
        <w:r>
          <w:rPr>
            <w:noProof/>
            <w:webHidden/>
          </w:rPr>
          <w:fldChar w:fldCharType="begin"/>
        </w:r>
        <w:r>
          <w:rPr>
            <w:noProof/>
            <w:webHidden/>
          </w:rPr>
          <w:instrText xml:space="preserve"> PAGEREF _Toc33020645 \h </w:instrText>
        </w:r>
        <w:r>
          <w:rPr>
            <w:noProof/>
            <w:webHidden/>
          </w:rPr>
        </w:r>
        <w:r>
          <w:rPr>
            <w:noProof/>
            <w:webHidden/>
          </w:rPr>
          <w:fldChar w:fldCharType="separate"/>
        </w:r>
        <w:r>
          <w:rPr>
            <w:noProof/>
            <w:webHidden/>
          </w:rPr>
          <w:t>8</w:t>
        </w:r>
        <w:r>
          <w:rPr>
            <w:noProof/>
            <w:webHidden/>
          </w:rPr>
          <w:fldChar w:fldCharType="end"/>
        </w:r>
      </w:hyperlink>
    </w:p>
    <w:p w:rsidR="00A8765D" w:rsidRDefault="006C09F5">
      <w:pPr>
        <w:pStyle w:val="TOC5"/>
        <w:rPr>
          <w:noProof/>
        </w:rPr>
      </w:pPr>
      <w:hyperlink w:anchor="_Toc33020646" w:history="1">
        <w:r>
          <w:rPr>
            <w:noProof/>
          </w:rPr>
          <w:t>1.2.</w:t>
        </w:r>
        <w:r>
          <w:rPr>
            <w:noProof/>
          </w:rPr>
          <w:tab/>
          <w:t>Investment growth and contributions, %</w:t>
        </w:r>
        <w:r>
          <w:rPr>
            <w:noProof/>
            <w:webHidden/>
          </w:rPr>
          <w:tab/>
        </w:r>
        <w:r>
          <w:rPr>
            <w:noProof/>
            <w:webHidden/>
          </w:rPr>
          <w:fldChar w:fldCharType="begin"/>
        </w:r>
        <w:r>
          <w:rPr>
            <w:noProof/>
            <w:webHidden/>
          </w:rPr>
          <w:instrText xml:space="preserve"> PAGEREF _Toc33020646 \h </w:instrText>
        </w:r>
        <w:r>
          <w:rPr>
            <w:noProof/>
            <w:webHidden/>
          </w:rPr>
        </w:r>
        <w:r>
          <w:rPr>
            <w:noProof/>
            <w:webHidden/>
          </w:rPr>
          <w:fldChar w:fldCharType="separate"/>
        </w:r>
        <w:r>
          <w:rPr>
            <w:noProof/>
            <w:webHidden/>
          </w:rPr>
          <w:t>9</w:t>
        </w:r>
        <w:r>
          <w:rPr>
            <w:noProof/>
            <w:webHidden/>
          </w:rPr>
          <w:fldChar w:fldCharType="end"/>
        </w:r>
      </w:hyperlink>
    </w:p>
    <w:p w:rsidR="00A8765D" w:rsidRDefault="006C09F5">
      <w:pPr>
        <w:pStyle w:val="TOC5"/>
        <w:rPr>
          <w:noProof/>
        </w:rPr>
      </w:pPr>
      <w:hyperlink w:anchor="_Toc33020647" w:history="1">
        <w:r>
          <w:rPr>
            <w:noProof/>
          </w:rPr>
          <w:t>1.3.</w:t>
        </w:r>
        <w:r>
          <w:rPr>
            <w:noProof/>
          </w:rPr>
          <w:tab/>
          <w:t xml:space="preserve">HICP inflation and </w:t>
        </w:r>
        <w:r>
          <w:rPr>
            <w:noProof/>
          </w:rPr>
          <w:t>contributions, % 12-month average year-on-year change</w:t>
        </w:r>
        <w:r>
          <w:rPr>
            <w:noProof/>
            <w:webHidden/>
          </w:rPr>
          <w:tab/>
        </w:r>
        <w:r>
          <w:rPr>
            <w:noProof/>
            <w:webHidden/>
          </w:rPr>
          <w:fldChar w:fldCharType="begin"/>
        </w:r>
        <w:r>
          <w:rPr>
            <w:noProof/>
            <w:webHidden/>
          </w:rPr>
          <w:instrText xml:space="preserve"> PAGEREF _Toc33020647 \h </w:instrText>
        </w:r>
        <w:r>
          <w:rPr>
            <w:noProof/>
            <w:webHidden/>
          </w:rPr>
        </w:r>
        <w:r>
          <w:rPr>
            <w:noProof/>
            <w:webHidden/>
          </w:rPr>
          <w:fldChar w:fldCharType="separate"/>
        </w:r>
        <w:r>
          <w:rPr>
            <w:noProof/>
            <w:webHidden/>
          </w:rPr>
          <w:t>9</w:t>
        </w:r>
        <w:r>
          <w:rPr>
            <w:noProof/>
            <w:webHidden/>
          </w:rPr>
          <w:fldChar w:fldCharType="end"/>
        </w:r>
      </w:hyperlink>
    </w:p>
    <w:p w:rsidR="00A8765D" w:rsidRDefault="006C09F5">
      <w:pPr>
        <w:pStyle w:val="TOC5"/>
        <w:rPr>
          <w:noProof/>
        </w:rPr>
      </w:pPr>
      <w:hyperlink w:anchor="_Toc33020648" w:history="1">
        <w:r>
          <w:rPr>
            <w:noProof/>
          </w:rPr>
          <w:t>1.4.</w:t>
        </w:r>
        <w:r>
          <w:rPr>
            <w:noProof/>
          </w:rPr>
          <w:tab/>
          <w:t>Selected labour market indicators</w:t>
        </w:r>
        <w:r>
          <w:rPr>
            <w:noProof/>
            <w:webHidden/>
          </w:rPr>
          <w:tab/>
        </w:r>
        <w:r>
          <w:rPr>
            <w:noProof/>
            <w:webHidden/>
          </w:rPr>
          <w:fldChar w:fldCharType="begin"/>
        </w:r>
        <w:r>
          <w:rPr>
            <w:noProof/>
            <w:webHidden/>
          </w:rPr>
          <w:instrText xml:space="preserve"> PAGEREF _Toc33020648 \h </w:instrText>
        </w:r>
        <w:r>
          <w:rPr>
            <w:noProof/>
            <w:webHidden/>
          </w:rPr>
        </w:r>
        <w:r>
          <w:rPr>
            <w:noProof/>
            <w:webHidden/>
          </w:rPr>
          <w:fldChar w:fldCharType="separate"/>
        </w:r>
        <w:r>
          <w:rPr>
            <w:noProof/>
            <w:webHidden/>
          </w:rPr>
          <w:t>10</w:t>
        </w:r>
        <w:r>
          <w:rPr>
            <w:noProof/>
            <w:webHidden/>
          </w:rPr>
          <w:fldChar w:fldCharType="end"/>
        </w:r>
      </w:hyperlink>
    </w:p>
    <w:p w:rsidR="00A8765D" w:rsidRDefault="006C09F5">
      <w:pPr>
        <w:pStyle w:val="TOC5"/>
        <w:rPr>
          <w:noProof/>
        </w:rPr>
      </w:pPr>
      <w:hyperlink w:anchor="_Toc33020649" w:history="1">
        <w:r>
          <w:rPr>
            <w:noProof/>
          </w:rPr>
          <w:t>1.5.</w:t>
        </w:r>
        <w:r>
          <w:rPr>
            <w:noProof/>
          </w:rPr>
          <w:tab/>
          <w:t>Wages, productivity and unit labour costs, index 2000=100</w:t>
        </w:r>
        <w:r>
          <w:rPr>
            <w:noProof/>
            <w:webHidden/>
          </w:rPr>
          <w:tab/>
        </w:r>
        <w:r>
          <w:rPr>
            <w:noProof/>
            <w:webHidden/>
          </w:rPr>
          <w:fldChar w:fldCharType="begin"/>
        </w:r>
        <w:r>
          <w:rPr>
            <w:noProof/>
            <w:webHidden/>
          </w:rPr>
          <w:instrText xml:space="preserve"> PAGEREF _Toc33020649 \h </w:instrText>
        </w:r>
        <w:r>
          <w:rPr>
            <w:noProof/>
            <w:webHidden/>
          </w:rPr>
        </w:r>
        <w:r>
          <w:rPr>
            <w:noProof/>
            <w:webHidden/>
          </w:rPr>
          <w:fldChar w:fldCharType="separate"/>
        </w:r>
        <w:r>
          <w:rPr>
            <w:noProof/>
            <w:webHidden/>
          </w:rPr>
          <w:t>10</w:t>
        </w:r>
        <w:r>
          <w:rPr>
            <w:noProof/>
            <w:webHidden/>
          </w:rPr>
          <w:fldChar w:fldCharType="end"/>
        </w:r>
      </w:hyperlink>
    </w:p>
    <w:p w:rsidR="00A8765D" w:rsidRDefault="006C09F5">
      <w:pPr>
        <w:pStyle w:val="TOC5"/>
        <w:rPr>
          <w:noProof/>
        </w:rPr>
      </w:pPr>
      <w:hyperlink w:anchor="_Toc33020650" w:history="1">
        <w:r>
          <w:rPr>
            <w:noProof/>
          </w:rPr>
          <w:t>1.6.</w:t>
        </w:r>
        <w:r>
          <w:rPr>
            <w:noProof/>
          </w:rPr>
          <w:tab/>
          <w:t>Selected social inclusion indicators, % of population</w:t>
        </w:r>
        <w:r>
          <w:rPr>
            <w:noProof/>
            <w:webHidden/>
          </w:rPr>
          <w:tab/>
        </w:r>
        <w:r>
          <w:rPr>
            <w:noProof/>
            <w:webHidden/>
          </w:rPr>
          <w:fldChar w:fldCharType="begin"/>
        </w:r>
        <w:r>
          <w:rPr>
            <w:noProof/>
            <w:webHidden/>
          </w:rPr>
          <w:instrText xml:space="preserve"> PAGEREF _Toc33020650 \h </w:instrText>
        </w:r>
        <w:r>
          <w:rPr>
            <w:noProof/>
            <w:webHidden/>
          </w:rPr>
        </w:r>
        <w:r>
          <w:rPr>
            <w:noProof/>
            <w:webHidden/>
          </w:rPr>
          <w:fldChar w:fldCharType="separate"/>
        </w:r>
        <w:r>
          <w:rPr>
            <w:noProof/>
            <w:webHidden/>
          </w:rPr>
          <w:t>11</w:t>
        </w:r>
        <w:r>
          <w:rPr>
            <w:noProof/>
            <w:webHidden/>
          </w:rPr>
          <w:fldChar w:fldCharType="end"/>
        </w:r>
      </w:hyperlink>
    </w:p>
    <w:p w:rsidR="00A8765D" w:rsidRDefault="006C09F5">
      <w:pPr>
        <w:pStyle w:val="TOC5"/>
        <w:rPr>
          <w:noProof/>
        </w:rPr>
      </w:pPr>
      <w:hyperlink w:anchor="_Toc33020651" w:history="1">
        <w:r>
          <w:rPr>
            <w:noProof/>
          </w:rPr>
          <w:t>1.7.</w:t>
        </w:r>
        <w:r>
          <w:rPr>
            <w:noProof/>
          </w:rPr>
          <w:tab/>
          <w:t xml:space="preserve">Current account and its components, % of </w:t>
        </w:r>
        <w:r>
          <w:rPr>
            <w:noProof/>
          </w:rPr>
          <w:t>GDP</w:t>
        </w:r>
        <w:r>
          <w:rPr>
            <w:noProof/>
            <w:webHidden/>
          </w:rPr>
          <w:tab/>
        </w:r>
        <w:r>
          <w:rPr>
            <w:noProof/>
            <w:webHidden/>
          </w:rPr>
          <w:fldChar w:fldCharType="begin"/>
        </w:r>
        <w:r>
          <w:rPr>
            <w:noProof/>
            <w:webHidden/>
          </w:rPr>
          <w:instrText xml:space="preserve"> PAGEREF _Toc33020651 \h </w:instrText>
        </w:r>
        <w:r>
          <w:rPr>
            <w:noProof/>
            <w:webHidden/>
          </w:rPr>
        </w:r>
        <w:r>
          <w:rPr>
            <w:noProof/>
            <w:webHidden/>
          </w:rPr>
          <w:fldChar w:fldCharType="separate"/>
        </w:r>
        <w:r>
          <w:rPr>
            <w:noProof/>
            <w:webHidden/>
          </w:rPr>
          <w:t>12</w:t>
        </w:r>
        <w:r>
          <w:rPr>
            <w:noProof/>
            <w:webHidden/>
          </w:rPr>
          <w:fldChar w:fldCharType="end"/>
        </w:r>
      </w:hyperlink>
    </w:p>
    <w:p w:rsidR="00A8765D" w:rsidRDefault="006C09F5">
      <w:pPr>
        <w:pStyle w:val="TOC5"/>
        <w:rPr>
          <w:noProof/>
        </w:rPr>
      </w:pPr>
      <w:hyperlink w:anchor="_Toc33020652" w:history="1">
        <w:r>
          <w:rPr>
            <w:noProof/>
          </w:rPr>
          <w:t>2.1.</w:t>
        </w:r>
        <w:r>
          <w:rPr>
            <w:noProof/>
          </w:rPr>
          <w:tab/>
          <w:t>Overall multiannual implementation of 2012-2019 CSRs to date</w:t>
        </w:r>
        <w:r>
          <w:rPr>
            <w:noProof/>
            <w:webHidden/>
          </w:rPr>
          <w:tab/>
        </w:r>
        <w:r>
          <w:rPr>
            <w:noProof/>
            <w:webHidden/>
          </w:rPr>
          <w:fldChar w:fldCharType="begin"/>
        </w:r>
        <w:r>
          <w:rPr>
            <w:noProof/>
            <w:webHidden/>
          </w:rPr>
          <w:instrText xml:space="preserve"> PAGEREF _Toc33020652 \h </w:instrText>
        </w:r>
        <w:r>
          <w:rPr>
            <w:noProof/>
            <w:webHidden/>
          </w:rPr>
        </w:r>
        <w:r>
          <w:rPr>
            <w:noProof/>
            <w:webHidden/>
          </w:rPr>
          <w:fldChar w:fldCharType="separate"/>
        </w:r>
        <w:r>
          <w:rPr>
            <w:noProof/>
            <w:webHidden/>
          </w:rPr>
          <w:t>14</w:t>
        </w:r>
        <w:r>
          <w:rPr>
            <w:noProof/>
            <w:webHidden/>
          </w:rPr>
          <w:fldChar w:fldCharType="end"/>
        </w:r>
      </w:hyperlink>
    </w:p>
    <w:p w:rsidR="00A8765D" w:rsidRDefault="006C09F5">
      <w:pPr>
        <w:pStyle w:val="TOC5"/>
        <w:rPr>
          <w:noProof/>
        </w:rPr>
      </w:pPr>
      <w:hyperlink w:anchor="_Toc33020653" w:history="1">
        <w:r>
          <w:rPr>
            <w:noProof/>
          </w:rPr>
          <w:t>3.1.1.</w:t>
        </w:r>
        <w:r>
          <w:rPr>
            <w:noProof/>
          </w:rPr>
          <w:tab/>
          <w:t>The fiscal stance and the economic cycle</w:t>
        </w:r>
        <w:r>
          <w:rPr>
            <w:noProof/>
            <w:webHidden/>
          </w:rPr>
          <w:tab/>
        </w:r>
        <w:r>
          <w:rPr>
            <w:noProof/>
            <w:webHidden/>
          </w:rPr>
          <w:fldChar w:fldCharType="begin"/>
        </w:r>
        <w:r>
          <w:rPr>
            <w:noProof/>
            <w:webHidden/>
          </w:rPr>
          <w:instrText xml:space="preserve"> PAGEREF _Toc33020653 \h </w:instrText>
        </w:r>
        <w:r>
          <w:rPr>
            <w:noProof/>
            <w:webHidden/>
          </w:rPr>
        </w:r>
        <w:r>
          <w:rPr>
            <w:noProof/>
            <w:webHidden/>
          </w:rPr>
          <w:fldChar w:fldCharType="separate"/>
        </w:r>
        <w:r>
          <w:rPr>
            <w:noProof/>
            <w:webHidden/>
          </w:rPr>
          <w:t>20</w:t>
        </w:r>
        <w:r>
          <w:rPr>
            <w:noProof/>
            <w:webHidden/>
          </w:rPr>
          <w:fldChar w:fldCharType="end"/>
        </w:r>
      </w:hyperlink>
    </w:p>
    <w:p w:rsidR="00A8765D" w:rsidRDefault="006C09F5">
      <w:pPr>
        <w:pStyle w:val="TOC5"/>
        <w:rPr>
          <w:noProof/>
        </w:rPr>
      </w:pPr>
      <w:hyperlink w:anchor="_Toc33020654" w:history="1">
        <w:r>
          <w:rPr>
            <w:noProof/>
          </w:rPr>
          <w:t>3.1.2.</w:t>
        </w:r>
        <w:r>
          <w:rPr>
            <w:noProof/>
          </w:rPr>
          <w:tab/>
          <w:t>Expenditure growth and the discretionary fiscal effort</w:t>
        </w:r>
        <w:r>
          <w:rPr>
            <w:noProof/>
            <w:webHidden/>
          </w:rPr>
          <w:tab/>
        </w:r>
        <w:r>
          <w:rPr>
            <w:noProof/>
            <w:webHidden/>
          </w:rPr>
          <w:fldChar w:fldCharType="begin"/>
        </w:r>
        <w:r>
          <w:rPr>
            <w:noProof/>
            <w:webHidden/>
          </w:rPr>
          <w:instrText xml:space="preserve"> PAGEREF _Toc33020654 \h </w:instrText>
        </w:r>
        <w:r>
          <w:rPr>
            <w:noProof/>
            <w:webHidden/>
          </w:rPr>
        </w:r>
        <w:r>
          <w:rPr>
            <w:noProof/>
            <w:webHidden/>
          </w:rPr>
          <w:fldChar w:fldCharType="separate"/>
        </w:r>
        <w:r>
          <w:rPr>
            <w:noProof/>
            <w:webHidden/>
          </w:rPr>
          <w:t>20</w:t>
        </w:r>
        <w:r>
          <w:rPr>
            <w:noProof/>
            <w:webHidden/>
          </w:rPr>
          <w:fldChar w:fldCharType="end"/>
        </w:r>
      </w:hyperlink>
    </w:p>
    <w:p w:rsidR="00A8765D" w:rsidRDefault="006C09F5">
      <w:pPr>
        <w:pStyle w:val="TOC5"/>
        <w:rPr>
          <w:noProof/>
        </w:rPr>
      </w:pPr>
      <w:hyperlink w:anchor="_Toc33020655" w:history="1">
        <w:r>
          <w:rPr>
            <w:noProof/>
          </w:rPr>
          <w:t>3.1.3.</w:t>
        </w:r>
        <w:r>
          <w:rPr>
            <w:noProof/>
          </w:rPr>
          <w:tab/>
          <w:t>Estimated tax wedge on labour in 2020, compared to relatively high and relatively low levels in other EU countries</w:t>
        </w:r>
        <w:r>
          <w:rPr>
            <w:noProof/>
            <w:webHidden/>
          </w:rPr>
          <w:tab/>
        </w:r>
        <w:r>
          <w:rPr>
            <w:noProof/>
            <w:webHidden/>
          </w:rPr>
          <w:fldChar w:fldCharType="begin"/>
        </w:r>
        <w:r>
          <w:rPr>
            <w:noProof/>
            <w:webHidden/>
          </w:rPr>
          <w:instrText xml:space="preserve"> PAGEREF _Toc33020655 \h </w:instrText>
        </w:r>
        <w:r>
          <w:rPr>
            <w:noProof/>
            <w:webHidden/>
          </w:rPr>
        </w:r>
        <w:r>
          <w:rPr>
            <w:noProof/>
            <w:webHidden/>
          </w:rPr>
          <w:fldChar w:fldCharType="separate"/>
        </w:r>
        <w:r>
          <w:rPr>
            <w:noProof/>
            <w:webHidden/>
          </w:rPr>
          <w:t>22</w:t>
        </w:r>
        <w:r>
          <w:rPr>
            <w:noProof/>
            <w:webHidden/>
          </w:rPr>
          <w:fldChar w:fldCharType="end"/>
        </w:r>
      </w:hyperlink>
    </w:p>
    <w:p w:rsidR="00A8765D" w:rsidRDefault="006C09F5">
      <w:pPr>
        <w:pStyle w:val="TOC5"/>
        <w:rPr>
          <w:noProof/>
        </w:rPr>
      </w:pPr>
      <w:hyperlink w:anchor="_Toc33020656" w:history="1">
        <w:r>
          <w:rPr>
            <w:noProof/>
          </w:rPr>
          <w:t>3.1.4.</w:t>
        </w:r>
        <w:r>
          <w:rPr>
            <w:noProof/>
          </w:rPr>
          <w:tab/>
          <w:t>Effect on income distribution of the increase in the basic allowance presented in the budget for 2020</w:t>
        </w:r>
        <w:r>
          <w:rPr>
            <w:noProof/>
            <w:webHidden/>
          </w:rPr>
          <w:tab/>
        </w:r>
        <w:r>
          <w:rPr>
            <w:noProof/>
            <w:webHidden/>
          </w:rPr>
          <w:fldChar w:fldCharType="begin"/>
        </w:r>
        <w:r>
          <w:rPr>
            <w:noProof/>
            <w:webHidden/>
          </w:rPr>
          <w:instrText xml:space="preserve"> PAGEREF _Toc33020656 \h </w:instrText>
        </w:r>
        <w:r>
          <w:rPr>
            <w:noProof/>
            <w:webHidden/>
          </w:rPr>
        </w:r>
        <w:r>
          <w:rPr>
            <w:noProof/>
            <w:webHidden/>
          </w:rPr>
          <w:fldChar w:fldCharType="separate"/>
        </w:r>
        <w:r>
          <w:rPr>
            <w:noProof/>
            <w:webHidden/>
          </w:rPr>
          <w:t>22</w:t>
        </w:r>
        <w:r>
          <w:rPr>
            <w:noProof/>
            <w:webHidden/>
          </w:rPr>
          <w:fldChar w:fldCharType="end"/>
        </w:r>
      </w:hyperlink>
    </w:p>
    <w:p w:rsidR="00A8765D" w:rsidRDefault="006C09F5">
      <w:pPr>
        <w:pStyle w:val="TOC5"/>
        <w:rPr>
          <w:noProof/>
        </w:rPr>
      </w:pPr>
      <w:hyperlink w:anchor="_Toc33020657" w:history="1">
        <w:r>
          <w:rPr>
            <w:noProof/>
          </w:rPr>
          <w:t>3.2.1.</w:t>
        </w:r>
        <w:r>
          <w:rPr>
            <w:noProof/>
          </w:rPr>
          <w:tab/>
          <w:t>House prices / wages ratio, index, 2006=100</w:t>
        </w:r>
        <w:r>
          <w:rPr>
            <w:noProof/>
            <w:webHidden/>
          </w:rPr>
          <w:tab/>
        </w:r>
        <w:r>
          <w:rPr>
            <w:noProof/>
            <w:webHidden/>
          </w:rPr>
          <w:fldChar w:fldCharType="begin"/>
        </w:r>
        <w:r>
          <w:rPr>
            <w:noProof/>
            <w:webHidden/>
          </w:rPr>
          <w:instrText xml:space="preserve"> PAGEREF _Toc33020657 \h </w:instrText>
        </w:r>
        <w:r>
          <w:rPr>
            <w:noProof/>
            <w:webHidden/>
          </w:rPr>
        </w:r>
        <w:r>
          <w:rPr>
            <w:noProof/>
            <w:webHidden/>
          </w:rPr>
          <w:fldChar w:fldCharType="separate"/>
        </w:r>
        <w:r>
          <w:rPr>
            <w:noProof/>
            <w:webHidden/>
          </w:rPr>
          <w:t>28</w:t>
        </w:r>
        <w:r>
          <w:rPr>
            <w:noProof/>
            <w:webHidden/>
          </w:rPr>
          <w:fldChar w:fldCharType="end"/>
        </w:r>
      </w:hyperlink>
    </w:p>
    <w:p w:rsidR="00A8765D" w:rsidRDefault="006C09F5">
      <w:pPr>
        <w:pStyle w:val="TOC5"/>
        <w:rPr>
          <w:noProof/>
        </w:rPr>
      </w:pPr>
      <w:hyperlink w:anchor="_Toc33020658" w:history="1">
        <w:r>
          <w:rPr>
            <w:noProof/>
          </w:rPr>
          <w:t>3.3.1.</w:t>
        </w:r>
        <w:r>
          <w:rPr>
            <w:noProof/>
          </w:rPr>
          <w:tab/>
          <w:t>Unemployment rate by education attainment</w:t>
        </w:r>
        <w:r>
          <w:rPr>
            <w:noProof/>
            <w:webHidden/>
          </w:rPr>
          <w:tab/>
        </w:r>
        <w:r>
          <w:rPr>
            <w:noProof/>
            <w:webHidden/>
          </w:rPr>
          <w:fldChar w:fldCharType="begin"/>
        </w:r>
        <w:r>
          <w:rPr>
            <w:noProof/>
            <w:webHidden/>
          </w:rPr>
          <w:instrText xml:space="preserve"> PAGEREF _Toc33020658 \h </w:instrText>
        </w:r>
        <w:r>
          <w:rPr>
            <w:noProof/>
            <w:webHidden/>
          </w:rPr>
        </w:r>
        <w:r>
          <w:rPr>
            <w:noProof/>
            <w:webHidden/>
          </w:rPr>
          <w:fldChar w:fldCharType="separate"/>
        </w:r>
        <w:r>
          <w:rPr>
            <w:noProof/>
            <w:webHidden/>
          </w:rPr>
          <w:t>30</w:t>
        </w:r>
        <w:r>
          <w:rPr>
            <w:noProof/>
            <w:webHidden/>
          </w:rPr>
          <w:fldChar w:fldCharType="end"/>
        </w:r>
      </w:hyperlink>
    </w:p>
    <w:p w:rsidR="00A8765D" w:rsidRDefault="006C09F5">
      <w:pPr>
        <w:pStyle w:val="TOC5"/>
        <w:rPr>
          <w:noProof/>
        </w:rPr>
      </w:pPr>
      <w:hyperlink w:anchor="_Toc33020659" w:history="1">
        <w:r>
          <w:rPr>
            <w:noProof/>
          </w:rPr>
          <w:t>3.3.2.</w:t>
        </w:r>
        <w:r>
          <w:rPr>
            <w:noProof/>
          </w:rPr>
          <w:tab/>
          <w:t>At-risk-of-poverty rate by age groups</w:t>
        </w:r>
        <w:r>
          <w:rPr>
            <w:noProof/>
            <w:webHidden/>
          </w:rPr>
          <w:tab/>
        </w:r>
        <w:r>
          <w:rPr>
            <w:noProof/>
            <w:webHidden/>
          </w:rPr>
          <w:fldChar w:fldCharType="begin"/>
        </w:r>
        <w:r>
          <w:rPr>
            <w:noProof/>
            <w:webHidden/>
          </w:rPr>
          <w:instrText xml:space="preserve"> PAGEREF _Toc33020659 \h </w:instrText>
        </w:r>
        <w:r>
          <w:rPr>
            <w:noProof/>
            <w:webHidden/>
          </w:rPr>
        </w:r>
        <w:r>
          <w:rPr>
            <w:noProof/>
            <w:webHidden/>
          </w:rPr>
          <w:fldChar w:fldCharType="separate"/>
        </w:r>
        <w:r>
          <w:rPr>
            <w:noProof/>
            <w:webHidden/>
          </w:rPr>
          <w:t>34</w:t>
        </w:r>
        <w:r>
          <w:rPr>
            <w:noProof/>
            <w:webHidden/>
          </w:rPr>
          <w:fldChar w:fldCharType="end"/>
        </w:r>
      </w:hyperlink>
    </w:p>
    <w:p w:rsidR="00A8765D" w:rsidRDefault="006C09F5">
      <w:pPr>
        <w:pStyle w:val="TOC5"/>
        <w:rPr>
          <w:noProof/>
        </w:rPr>
      </w:pPr>
      <w:hyperlink w:anchor="_Toc33020660" w:history="1">
        <w:r>
          <w:rPr>
            <w:noProof/>
          </w:rPr>
          <w:t>3.3.3.</w:t>
        </w:r>
        <w:r>
          <w:rPr>
            <w:noProof/>
          </w:rPr>
          <w:tab/>
          <w:t>Density of practising doctors across regions of Latvia</w:t>
        </w:r>
        <w:r>
          <w:rPr>
            <w:noProof/>
            <w:webHidden/>
          </w:rPr>
          <w:tab/>
        </w:r>
        <w:r>
          <w:rPr>
            <w:noProof/>
            <w:webHidden/>
          </w:rPr>
          <w:fldChar w:fldCharType="begin"/>
        </w:r>
        <w:r>
          <w:rPr>
            <w:noProof/>
            <w:webHidden/>
          </w:rPr>
          <w:instrText xml:space="preserve"> PAGEREF _Toc33020660 \h </w:instrText>
        </w:r>
        <w:r>
          <w:rPr>
            <w:noProof/>
            <w:webHidden/>
          </w:rPr>
        </w:r>
        <w:r>
          <w:rPr>
            <w:noProof/>
            <w:webHidden/>
          </w:rPr>
          <w:fldChar w:fldCharType="separate"/>
        </w:r>
        <w:r>
          <w:rPr>
            <w:noProof/>
            <w:webHidden/>
          </w:rPr>
          <w:t>38</w:t>
        </w:r>
        <w:r>
          <w:rPr>
            <w:noProof/>
            <w:webHidden/>
          </w:rPr>
          <w:fldChar w:fldCharType="end"/>
        </w:r>
      </w:hyperlink>
    </w:p>
    <w:p w:rsidR="00A8765D" w:rsidRDefault="006C09F5">
      <w:pPr>
        <w:pStyle w:val="TOC5"/>
        <w:rPr>
          <w:noProof/>
        </w:rPr>
      </w:pPr>
      <w:hyperlink w:anchor="_Toc33020661" w:history="1">
        <w:r>
          <w:rPr>
            <w:noProof/>
          </w:rPr>
          <w:t>3.4.1.</w:t>
        </w:r>
        <w:r>
          <w:rPr>
            <w:noProof/>
          </w:rPr>
          <w:tab/>
          <w:t>Labour productivity growth, annual % change</w:t>
        </w:r>
        <w:r>
          <w:rPr>
            <w:noProof/>
            <w:webHidden/>
          </w:rPr>
          <w:tab/>
        </w:r>
        <w:r>
          <w:rPr>
            <w:noProof/>
            <w:webHidden/>
          </w:rPr>
          <w:fldChar w:fldCharType="begin"/>
        </w:r>
        <w:r>
          <w:rPr>
            <w:noProof/>
            <w:webHidden/>
          </w:rPr>
          <w:instrText xml:space="preserve"> PAGEREF _Toc33020661 \h </w:instrText>
        </w:r>
        <w:r>
          <w:rPr>
            <w:noProof/>
            <w:webHidden/>
          </w:rPr>
        </w:r>
        <w:r>
          <w:rPr>
            <w:noProof/>
            <w:webHidden/>
          </w:rPr>
          <w:fldChar w:fldCharType="separate"/>
        </w:r>
        <w:r>
          <w:rPr>
            <w:noProof/>
            <w:webHidden/>
          </w:rPr>
          <w:t>41</w:t>
        </w:r>
        <w:r>
          <w:rPr>
            <w:noProof/>
            <w:webHidden/>
          </w:rPr>
          <w:fldChar w:fldCharType="end"/>
        </w:r>
      </w:hyperlink>
    </w:p>
    <w:p w:rsidR="00A8765D" w:rsidRDefault="006C09F5">
      <w:pPr>
        <w:pStyle w:val="TOC5"/>
        <w:rPr>
          <w:noProof/>
        </w:rPr>
      </w:pPr>
      <w:hyperlink w:anchor="_Toc33020662" w:history="1">
        <w:r>
          <w:rPr>
            <w:noProof/>
          </w:rPr>
          <w:t>3.4.2.</w:t>
        </w:r>
        <w:r>
          <w:rPr>
            <w:noProof/>
          </w:rPr>
          <w:tab/>
          <w:t>Average productivity growth 2013 - 2018, %</w:t>
        </w:r>
        <w:r>
          <w:rPr>
            <w:noProof/>
            <w:webHidden/>
          </w:rPr>
          <w:tab/>
        </w:r>
        <w:r>
          <w:rPr>
            <w:noProof/>
            <w:webHidden/>
          </w:rPr>
          <w:fldChar w:fldCharType="begin"/>
        </w:r>
        <w:r>
          <w:rPr>
            <w:noProof/>
            <w:webHidden/>
          </w:rPr>
          <w:instrText xml:space="preserve"> PAGEREF _Toc33020662 \h </w:instrText>
        </w:r>
        <w:r>
          <w:rPr>
            <w:noProof/>
            <w:webHidden/>
          </w:rPr>
        </w:r>
        <w:r>
          <w:rPr>
            <w:noProof/>
            <w:webHidden/>
          </w:rPr>
          <w:fldChar w:fldCharType="separate"/>
        </w:r>
        <w:r>
          <w:rPr>
            <w:noProof/>
            <w:webHidden/>
          </w:rPr>
          <w:t>41</w:t>
        </w:r>
        <w:r>
          <w:rPr>
            <w:noProof/>
            <w:webHidden/>
          </w:rPr>
          <w:fldChar w:fldCharType="end"/>
        </w:r>
      </w:hyperlink>
    </w:p>
    <w:p w:rsidR="00A8765D" w:rsidRDefault="006C09F5">
      <w:pPr>
        <w:pStyle w:val="TOC5"/>
        <w:rPr>
          <w:noProof/>
        </w:rPr>
      </w:pPr>
      <w:hyperlink w:anchor="_Toc33020663" w:history="1">
        <w:r>
          <w:rPr>
            <w:noProof/>
          </w:rPr>
          <w:t>3.4.3.</w:t>
        </w:r>
        <w:r>
          <w:rPr>
            <w:noProof/>
          </w:rPr>
          <w:tab/>
          <w:t>Unit labour cost growth and its components, %</w:t>
        </w:r>
        <w:r>
          <w:rPr>
            <w:noProof/>
            <w:webHidden/>
          </w:rPr>
          <w:tab/>
        </w:r>
        <w:r>
          <w:rPr>
            <w:noProof/>
            <w:webHidden/>
          </w:rPr>
          <w:fldChar w:fldCharType="begin"/>
        </w:r>
        <w:r>
          <w:rPr>
            <w:noProof/>
            <w:webHidden/>
          </w:rPr>
          <w:instrText xml:space="preserve"> PAGEREF _Toc33020663 \h </w:instrText>
        </w:r>
        <w:r>
          <w:rPr>
            <w:noProof/>
            <w:webHidden/>
          </w:rPr>
        </w:r>
        <w:r>
          <w:rPr>
            <w:noProof/>
            <w:webHidden/>
          </w:rPr>
          <w:fldChar w:fldCharType="separate"/>
        </w:r>
        <w:r>
          <w:rPr>
            <w:noProof/>
            <w:webHidden/>
          </w:rPr>
          <w:t>42</w:t>
        </w:r>
        <w:r>
          <w:rPr>
            <w:noProof/>
            <w:webHidden/>
          </w:rPr>
          <w:fldChar w:fldCharType="end"/>
        </w:r>
      </w:hyperlink>
    </w:p>
    <w:p w:rsidR="00A8765D" w:rsidRDefault="006C09F5">
      <w:pPr>
        <w:pStyle w:val="TOC5"/>
        <w:rPr>
          <w:noProof/>
        </w:rPr>
      </w:pPr>
      <w:hyperlink w:anchor="_Toc33020664" w:history="1">
        <w:r>
          <w:rPr>
            <w:noProof/>
          </w:rPr>
          <w:t>3.4.4.</w:t>
        </w:r>
        <w:r>
          <w:rPr>
            <w:noProof/>
          </w:rPr>
          <w:tab/>
          <w:t>Average real investment growth 2013 - 2018, %</w:t>
        </w:r>
        <w:r>
          <w:rPr>
            <w:noProof/>
            <w:webHidden/>
          </w:rPr>
          <w:tab/>
        </w:r>
        <w:r>
          <w:rPr>
            <w:noProof/>
            <w:webHidden/>
          </w:rPr>
          <w:fldChar w:fldCharType="begin"/>
        </w:r>
        <w:r>
          <w:rPr>
            <w:noProof/>
            <w:webHidden/>
          </w:rPr>
          <w:instrText xml:space="preserve"> PAGEREF _Toc33020664 \h </w:instrText>
        </w:r>
        <w:r>
          <w:rPr>
            <w:noProof/>
            <w:webHidden/>
          </w:rPr>
        </w:r>
        <w:r>
          <w:rPr>
            <w:noProof/>
            <w:webHidden/>
          </w:rPr>
          <w:fldChar w:fldCharType="separate"/>
        </w:r>
        <w:r>
          <w:rPr>
            <w:noProof/>
            <w:webHidden/>
          </w:rPr>
          <w:t>43</w:t>
        </w:r>
        <w:r>
          <w:rPr>
            <w:noProof/>
            <w:webHidden/>
          </w:rPr>
          <w:fldChar w:fldCharType="end"/>
        </w:r>
      </w:hyperlink>
    </w:p>
    <w:p w:rsidR="00A8765D" w:rsidRDefault="006C09F5">
      <w:pPr>
        <w:pStyle w:val="TOC5"/>
        <w:rPr>
          <w:noProof/>
        </w:rPr>
      </w:pPr>
      <w:hyperlink w:anchor="_Toc33020665" w:history="1">
        <w:r>
          <w:rPr>
            <w:noProof/>
          </w:rPr>
          <w:t>3.4.5.</w:t>
        </w:r>
        <w:r>
          <w:rPr>
            <w:noProof/>
          </w:rPr>
          <w:tab/>
          <w:t xml:space="preserve">Control of </w:t>
        </w:r>
        <w:r>
          <w:rPr>
            <w:noProof/>
          </w:rPr>
          <w:t>Corruption indicator</w:t>
        </w:r>
        <w:r>
          <w:rPr>
            <w:noProof/>
            <w:webHidden/>
          </w:rPr>
          <w:tab/>
        </w:r>
        <w:r>
          <w:rPr>
            <w:noProof/>
            <w:webHidden/>
          </w:rPr>
          <w:fldChar w:fldCharType="begin"/>
        </w:r>
        <w:r>
          <w:rPr>
            <w:noProof/>
            <w:webHidden/>
          </w:rPr>
          <w:instrText xml:space="preserve"> PAGEREF _Toc33020665 \h </w:instrText>
        </w:r>
        <w:r>
          <w:rPr>
            <w:noProof/>
            <w:webHidden/>
          </w:rPr>
        </w:r>
        <w:r>
          <w:rPr>
            <w:noProof/>
            <w:webHidden/>
          </w:rPr>
          <w:fldChar w:fldCharType="separate"/>
        </w:r>
        <w:r>
          <w:rPr>
            <w:noProof/>
            <w:webHidden/>
          </w:rPr>
          <w:t>52</w:t>
        </w:r>
        <w:r>
          <w:rPr>
            <w:noProof/>
            <w:webHidden/>
          </w:rPr>
          <w:fldChar w:fldCharType="end"/>
        </w:r>
      </w:hyperlink>
    </w:p>
    <w:p w:rsidR="00A8765D" w:rsidRDefault="006C09F5">
      <w:pPr>
        <w:pStyle w:val="TOC5"/>
        <w:rPr>
          <w:noProof/>
        </w:rPr>
      </w:pPr>
      <w:hyperlink w:anchor="_Toc33020666" w:history="1">
        <w:r>
          <w:rPr>
            <w:noProof/>
          </w:rPr>
          <w:t>3.5.1.</w:t>
        </w:r>
        <w:r>
          <w:rPr>
            <w:noProof/>
          </w:rPr>
          <w:tab/>
          <w:t>Greenhouse gas emissions, index, 1990=100</w:t>
        </w:r>
        <w:r>
          <w:rPr>
            <w:noProof/>
            <w:webHidden/>
          </w:rPr>
          <w:tab/>
        </w:r>
        <w:r>
          <w:rPr>
            <w:noProof/>
            <w:webHidden/>
          </w:rPr>
          <w:fldChar w:fldCharType="begin"/>
        </w:r>
        <w:r>
          <w:rPr>
            <w:noProof/>
            <w:webHidden/>
          </w:rPr>
          <w:instrText xml:space="preserve"> PAGEREF _Toc33020666 \h </w:instrText>
        </w:r>
        <w:r>
          <w:rPr>
            <w:noProof/>
            <w:webHidden/>
          </w:rPr>
        </w:r>
        <w:r>
          <w:rPr>
            <w:noProof/>
            <w:webHidden/>
          </w:rPr>
          <w:fldChar w:fldCharType="separate"/>
        </w:r>
        <w:r>
          <w:rPr>
            <w:noProof/>
            <w:webHidden/>
          </w:rPr>
          <w:t>54</w:t>
        </w:r>
        <w:r>
          <w:rPr>
            <w:noProof/>
            <w:webHidden/>
          </w:rPr>
          <w:fldChar w:fldCharType="end"/>
        </w:r>
      </w:hyperlink>
    </w:p>
    <w:p w:rsidR="00A8765D" w:rsidRDefault="006C09F5">
      <w:pPr>
        <w:pStyle w:val="TOC5"/>
        <w:rPr>
          <w:noProof/>
        </w:rPr>
      </w:pPr>
      <w:hyperlink w:anchor="_Toc33020667" w:history="1">
        <w:r>
          <w:rPr>
            <w:noProof/>
          </w:rPr>
          <w:t>3.5.2.</w:t>
        </w:r>
        <w:r>
          <w:rPr>
            <w:noProof/>
          </w:rPr>
          <w:tab/>
          <w:t>Greenhouse gas emissions by sector, million tonnes of CO2 equivalent</w:t>
        </w:r>
        <w:r>
          <w:rPr>
            <w:noProof/>
            <w:webHidden/>
          </w:rPr>
          <w:tab/>
        </w:r>
        <w:r>
          <w:rPr>
            <w:noProof/>
            <w:webHidden/>
          </w:rPr>
          <w:fldChar w:fldCharType="begin"/>
        </w:r>
        <w:r>
          <w:rPr>
            <w:noProof/>
            <w:webHidden/>
          </w:rPr>
          <w:instrText xml:space="preserve"> PAGEREF _Toc33020667 \h </w:instrText>
        </w:r>
        <w:r>
          <w:rPr>
            <w:noProof/>
            <w:webHidden/>
          </w:rPr>
        </w:r>
        <w:r>
          <w:rPr>
            <w:noProof/>
            <w:webHidden/>
          </w:rPr>
          <w:fldChar w:fldCharType="separate"/>
        </w:r>
        <w:r>
          <w:rPr>
            <w:noProof/>
            <w:webHidden/>
          </w:rPr>
          <w:t>55</w:t>
        </w:r>
        <w:r>
          <w:rPr>
            <w:noProof/>
            <w:webHidden/>
          </w:rPr>
          <w:fldChar w:fldCharType="end"/>
        </w:r>
      </w:hyperlink>
    </w:p>
    <w:p w:rsidR="00A8765D" w:rsidRDefault="006C09F5">
      <w:pPr>
        <w:pStyle w:val="TOC5"/>
        <w:rPr>
          <w:noProof/>
        </w:rPr>
      </w:pPr>
      <w:hyperlink w:anchor="_Toc33020668" w:history="1">
        <w:r>
          <w:rPr>
            <w:noProof/>
          </w:rPr>
          <w:t>3.5.3.</w:t>
        </w:r>
        <w:r>
          <w:rPr>
            <w:noProof/>
          </w:rPr>
          <w:tab/>
          <w:t>Energy consumption by sector, million tonnes of oil equivalent</w:t>
        </w:r>
        <w:r>
          <w:rPr>
            <w:noProof/>
            <w:webHidden/>
          </w:rPr>
          <w:tab/>
        </w:r>
        <w:r>
          <w:rPr>
            <w:noProof/>
            <w:webHidden/>
          </w:rPr>
          <w:fldChar w:fldCharType="begin"/>
        </w:r>
        <w:r>
          <w:rPr>
            <w:noProof/>
            <w:webHidden/>
          </w:rPr>
          <w:instrText xml:space="preserve"> PAGEREF _Toc33020668 \h </w:instrText>
        </w:r>
        <w:r>
          <w:rPr>
            <w:noProof/>
            <w:webHidden/>
          </w:rPr>
        </w:r>
        <w:r>
          <w:rPr>
            <w:noProof/>
            <w:webHidden/>
          </w:rPr>
          <w:fldChar w:fldCharType="separate"/>
        </w:r>
        <w:r>
          <w:rPr>
            <w:noProof/>
            <w:webHidden/>
          </w:rPr>
          <w:t>56</w:t>
        </w:r>
        <w:r>
          <w:rPr>
            <w:noProof/>
            <w:webHidden/>
          </w:rPr>
          <w:fldChar w:fldCharType="end"/>
        </w:r>
      </w:hyperlink>
    </w:p>
    <w:p w:rsidR="00A8765D" w:rsidRDefault="006C09F5">
      <w:pPr>
        <w:spacing w:after="240" w:line="240" w:lineRule="atLeast"/>
        <w:jc w:val="both"/>
        <w:rPr>
          <w:rFonts w:ascii="Times New Roman" w:hAnsi="Times New Roman" w:cs="Times New Roman"/>
          <w:noProof/>
          <w:color w:val="000000"/>
          <w:sz w:val="20"/>
        </w:rPr>
      </w:pPr>
      <w:r>
        <w:rPr>
          <w:rFonts w:ascii="Century Gothic" w:hAnsi="Century Gothic" w:cs="Times New Roman"/>
          <w:noProof/>
          <w:color w:val="333399"/>
          <w:sz w:val="16"/>
        </w:rPr>
        <w:fldChar w:fldCharType="end"/>
      </w:r>
    </w:p>
    <w:p w:rsidR="00A8765D" w:rsidRDefault="006C09F5">
      <w:pPr>
        <w:keepNext/>
        <w:spacing w:before="120" w:after="120" w:line="240" w:lineRule="atLeast"/>
        <w:jc w:val="both"/>
        <w:rPr>
          <w:rFonts w:ascii="Century Gothic" w:hAnsi="Century Gothic" w:cs="Times New Roman"/>
          <w:caps/>
          <w:noProof/>
          <w:color w:val="333399"/>
          <w:sz w:val="28"/>
        </w:rPr>
      </w:pPr>
      <w:bookmarkStart w:id="5" w:name="EP_CONTENT_BOXES"/>
      <w:bookmarkEnd w:id="4"/>
      <w:r>
        <w:rPr>
          <w:rFonts w:ascii="Century Gothic" w:hAnsi="Century Gothic" w:cs="Times New Roman"/>
          <w:caps/>
          <w:noProof/>
          <w:color w:val="333399"/>
          <w:sz w:val="28"/>
        </w:rPr>
        <w:t>LIST OF Boxes</w:t>
      </w:r>
    </w:p>
    <w:p w:rsidR="00A8765D" w:rsidRDefault="006C09F5">
      <w:pPr>
        <w:pStyle w:val="TOC5"/>
        <w:rPr>
          <w:rFonts w:asciiTheme="minorHAnsi" w:eastAsiaTheme="minorEastAsia" w:hAnsiTheme="minorHAnsi" w:cstheme="minorBidi"/>
          <w:noProof/>
          <w:color w:val="auto"/>
          <w:sz w:val="22"/>
          <w:lang w:eastAsia="en-GB"/>
        </w:rPr>
      </w:pPr>
      <w:r>
        <w:rPr>
          <w:noProof/>
        </w:rPr>
        <w:fldChar w:fldCharType="begin"/>
      </w:r>
      <w:r>
        <w:rPr>
          <w:noProof/>
        </w:rPr>
        <w:instrText xml:space="preserve"> TOC \fbox \h \z \u </w:instrText>
      </w:r>
      <w:r>
        <w:rPr>
          <w:noProof/>
        </w:rPr>
        <w:fldChar w:fldCharType="separate"/>
      </w:r>
      <w:hyperlink w:anchor="_Toc33531602" w:history="1">
        <w:r>
          <w:rPr>
            <w:rStyle w:val="Hyperlink"/>
            <w:rFonts w:ascii="Times New Roman" w:hAnsi="Times New Roman"/>
            <w:noProof/>
          </w:rPr>
          <w:t>2.1.</w:t>
        </w:r>
        <w:r>
          <w:rPr>
            <w:rFonts w:asciiTheme="minorHAnsi" w:eastAsiaTheme="minorEastAsia" w:hAnsiTheme="minorHAnsi" w:cstheme="minorBidi"/>
            <w:noProof/>
            <w:color w:val="auto"/>
            <w:sz w:val="22"/>
            <w:lang w:eastAsia="en-GB"/>
          </w:rPr>
          <w:tab/>
        </w:r>
        <w:r>
          <w:rPr>
            <w:rStyle w:val="Hyperlink"/>
            <w:rFonts w:ascii="Times New Roman" w:hAnsi="Times New Roman"/>
            <w:noProof/>
          </w:rPr>
          <w:t xml:space="preserve">EU </w:t>
        </w:r>
        <w:r>
          <w:rPr>
            <w:rStyle w:val="Hyperlink"/>
            <w:rFonts w:ascii="Times New Roman" w:hAnsi="Times New Roman"/>
            <w:noProof/>
          </w:rPr>
          <w:t>funds and programmes to address structural challenges and to foster growth and competitiveness in Latvia</w:t>
        </w:r>
        <w:r>
          <w:rPr>
            <w:noProof/>
            <w:webHidden/>
          </w:rPr>
          <w:tab/>
        </w:r>
        <w:r>
          <w:rPr>
            <w:noProof/>
            <w:webHidden/>
          </w:rPr>
          <w:fldChar w:fldCharType="begin"/>
        </w:r>
        <w:r>
          <w:rPr>
            <w:noProof/>
            <w:webHidden/>
          </w:rPr>
          <w:instrText xml:space="preserve"> PAGEREF _Toc33531602 \h </w:instrText>
        </w:r>
        <w:r>
          <w:rPr>
            <w:noProof/>
            <w:webHidden/>
          </w:rPr>
        </w:r>
        <w:r>
          <w:rPr>
            <w:noProof/>
            <w:webHidden/>
          </w:rPr>
          <w:fldChar w:fldCharType="separate"/>
        </w:r>
        <w:r>
          <w:rPr>
            <w:noProof/>
            <w:webHidden/>
          </w:rPr>
          <w:t>17</w:t>
        </w:r>
        <w:r>
          <w:rPr>
            <w:noProof/>
            <w:webHidden/>
          </w:rPr>
          <w:fldChar w:fldCharType="end"/>
        </w:r>
      </w:hyperlink>
    </w:p>
    <w:p w:rsidR="00A8765D" w:rsidRDefault="006C09F5">
      <w:pPr>
        <w:pStyle w:val="TOC5"/>
        <w:rPr>
          <w:rFonts w:asciiTheme="minorHAnsi" w:eastAsiaTheme="minorEastAsia" w:hAnsiTheme="minorHAnsi" w:cstheme="minorBidi"/>
          <w:noProof/>
          <w:color w:val="auto"/>
          <w:sz w:val="22"/>
          <w:lang w:eastAsia="en-GB"/>
        </w:rPr>
      </w:pPr>
      <w:hyperlink w:anchor="_Toc33531603" w:history="1">
        <w:r>
          <w:rPr>
            <w:rStyle w:val="Hyperlink"/>
            <w:rFonts w:ascii="Times New Roman" w:hAnsi="Times New Roman"/>
            <w:noProof/>
          </w:rPr>
          <w:t>3.3.1.</w:t>
        </w:r>
        <w:r>
          <w:rPr>
            <w:rFonts w:asciiTheme="minorHAnsi" w:eastAsiaTheme="minorEastAsia" w:hAnsiTheme="minorHAnsi" w:cstheme="minorBidi"/>
            <w:noProof/>
            <w:color w:val="auto"/>
            <w:sz w:val="22"/>
            <w:lang w:eastAsia="en-GB"/>
          </w:rPr>
          <w:tab/>
        </w:r>
        <w:r>
          <w:rPr>
            <w:rStyle w:val="Hyperlink"/>
            <w:rFonts w:ascii="Times New Roman" w:hAnsi="Times New Roman"/>
            <w:noProof/>
          </w:rPr>
          <w:t>Monitoring perfor</w:t>
        </w:r>
        <w:r>
          <w:rPr>
            <w:rStyle w:val="Hyperlink"/>
            <w:rFonts w:ascii="Times New Roman" w:hAnsi="Times New Roman"/>
            <w:noProof/>
          </w:rPr>
          <w:t>mance in light of the European Pillar of Social Rights</w:t>
        </w:r>
        <w:r>
          <w:rPr>
            <w:noProof/>
            <w:webHidden/>
          </w:rPr>
          <w:tab/>
        </w:r>
        <w:r>
          <w:rPr>
            <w:noProof/>
            <w:webHidden/>
          </w:rPr>
          <w:fldChar w:fldCharType="begin"/>
        </w:r>
        <w:r>
          <w:rPr>
            <w:noProof/>
            <w:webHidden/>
          </w:rPr>
          <w:instrText xml:space="preserve"> PAGEREF _Toc33531603 \h </w:instrText>
        </w:r>
        <w:r>
          <w:rPr>
            <w:noProof/>
            <w:webHidden/>
          </w:rPr>
        </w:r>
        <w:r>
          <w:rPr>
            <w:noProof/>
            <w:webHidden/>
          </w:rPr>
          <w:fldChar w:fldCharType="separate"/>
        </w:r>
        <w:r>
          <w:rPr>
            <w:noProof/>
            <w:webHidden/>
          </w:rPr>
          <w:t>28</w:t>
        </w:r>
        <w:r>
          <w:rPr>
            <w:noProof/>
            <w:webHidden/>
          </w:rPr>
          <w:fldChar w:fldCharType="end"/>
        </w:r>
      </w:hyperlink>
    </w:p>
    <w:p w:rsidR="00A8765D" w:rsidRDefault="006C09F5">
      <w:pPr>
        <w:pStyle w:val="TOC5"/>
        <w:rPr>
          <w:rFonts w:asciiTheme="minorHAnsi" w:eastAsiaTheme="minorEastAsia" w:hAnsiTheme="minorHAnsi" w:cstheme="minorBidi"/>
          <w:noProof/>
          <w:color w:val="auto"/>
          <w:sz w:val="22"/>
          <w:lang w:eastAsia="en-GB"/>
        </w:rPr>
      </w:pPr>
      <w:hyperlink w:anchor="_Toc33531604" w:history="1">
        <w:r>
          <w:rPr>
            <w:rStyle w:val="Hyperlink"/>
            <w:rFonts w:ascii="Times New Roman" w:hAnsi="Times New Roman"/>
            <w:noProof/>
          </w:rPr>
          <w:t>3.4.1.</w:t>
        </w:r>
        <w:r>
          <w:rPr>
            <w:rFonts w:asciiTheme="minorHAnsi" w:eastAsiaTheme="minorEastAsia" w:hAnsiTheme="minorHAnsi" w:cstheme="minorBidi"/>
            <w:noProof/>
            <w:color w:val="auto"/>
            <w:sz w:val="22"/>
            <w:lang w:eastAsia="en-GB"/>
          </w:rPr>
          <w:tab/>
        </w:r>
        <w:r>
          <w:rPr>
            <w:rStyle w:val="Hyperlink"/>
            <w:rFonts w:ascii="Times New Roman" w:hAnsi="Times New Roman"/>
            <w:noProof/>
          </w:rPr>
          <w:t>Administrative &amp; territorial reform in Latvia</w:t>
        </w:r>
        <w:r>
          <w:rPr>
            <w:noProof/>
            <w:webHidden/>
          </w:rPr>
          <w:tab/>
        </w:r>
        <w:r>
          <w:rPr>
            <w:noProof/>
            <w:webHidden/>
          </w:rPr>
          <w:fldChar w:fldCharType="begin"/>
        </w:r>
        <w:r>
          <w:rPr>
            <w:noProof/>
            <w:webHidden/>
          </w:rPr>
          <w:instrText xml:space="preserve"> PAGEREF _Toc33531604</w:instrText>
        </w:r>
        <w:r>
          <w:rPr>
            <w:noProof/>
            <w:webHidden/>
          </w:rPr>
          <w:instrText xml:space="preserve"> \h </w:instrText>
        </w:r>
        <w:r>
          <w:rPr>
            <w:noProof/>
            <w:webHidden/>
          </w:rPr>
        </w:r>
        <w:r>
          <w:rPr>
            <w:noProof/>
            <w:webHidden/>
          </w:rPr>
          <w:fldChar w:fldCharType="separate"/>
        </w:r>
        <w:r>
          <w:rPr>
            <w:noProof/>
            <w:webHidden/>
          </w:rPr>
          <w:t>45</w:t>
        </w:r>
        <w:r>
          <w:rPr>
            <w:noProof/>
            <w:webHidden/>
          </w:rPr>
          <w:fldChar w:fldCharType="end"/>
        </w:r>
      </w:hyperlink>
    </w:p>
    <w:p w:rsidR="00A8765D" w:rsidRDefault="006C09F5">
      <w:pPr>
        <w:pStyle w:val="TOC5"/>
        <w:rPr>
          <w:rFonts w:asciiTheme="minorHAnsi" w:eastAsiaTheme="minorEastAsia" w:hAnsiTheme="minorHAnsi" w:cstheme="minorBidi"/>
          <w:noProof/>
          <w:color w:val="auto"/>
          <w:sz w:val="22"/>
          <w:lang w:eastAsia="en-GB"/>
        </w:rPr>
      </w:pPr>
      <w:hyperlink w:anchor="_Toc33531605" w:history="1">
        <w:r>
          <w:rPr>
            <w:rStyle w:val="Hyperlink"/>
            <w:rFonts w:ascii="Times New Roman" w:hAnsi="Times New Roman"/>
            <w:noProof/>
          </w:rPr>
          <w:t>3.4.2.</w:t>
        </w:r>
        <w:r>
          <w:rPr>
            <w:rFonts w:asciiTheme="minorHAnsi" w:eastAsiaTheme="minorEastAsia" w:hAnsiTheme="minorHAnsi" w:cstheme="minorBidi"/>
            <w:noProof/>
            <w:color w:val="auto"/>
            <w:sz w:val="22"/>
            <w:lang w:eastAsia="en-GB"/>
          </w:rPr>
          <w:tab/>
        </w:r>
        <w:r>
          <w:rPr>
            <w:rStyle w:val="Hyperlink"/>
            <w:rFonts w:ascii="Times New Roman" w:hAnsi="Times New Roman"/>
            <w:noProof/>
          </w:rPr>
          <w:t>Investment challenges and reforms in Latvia</w:t>
        </w:r>
        <w:r>
          <w:rPr>
            <w:noProof/>
            <w:webHidden/>
          </w:rPr>
          <w:tab/>
        </w:r>
        <w:r>
          <w:rPr>
            <w:noProof/>
            <w:webHidden/>
          </w:rPr>
          <w:fldChar w:fldCharType="begin"/>
        </w:r>
        <w:r>
          <w:rPr>
            <w:noProof/>
            <w:webHidden/>
          </w:rPr>
          <w:instrText xml:space="preserve"> PAGEREF _Toc33531605 \h </w:instrText>
        </w:r>
        <w:r>
          <w:rPr>
            <w:noProof/>
            <w:webHidden/>
          </w:rPr>
        </w:r>
        <w:r>
          <w:rPr>
            <w:noProof/>
            <w:webHidden/>
          </w:rPr>
          <w:fldChar w:fldCharType="separate"/>
        </w:r>
        <w:r>
          <w:rPr>
            <w:noProof/>
            <w:webHidden/>
          </w:rPr>
          <w:t>49</w:t>
        </w:r>
        <w:r>
          <w:rPr>
            <w:noProof/>
            <w:webHidden/>
          </w:rPr>
          <w:fldChar w:fldCharType="end"/>
        </w:r>
      </w:hyperlink>
    </w:p>
    <w:p w:rsidR="00A8765D" w:rsidRDefault="006C09F5">
      <w:pPr>
        <w:spacing w:after="240" w:line="240" w:lineRule="atLeast"/>
        <w:jc w:val="both"/>
        <w:rPr>
          <w:rFonts w:ascii="Times New Roman" w:hAnsi="Times New Roman" w:cs="Times New Roman"/>
          <w:noProof/>
          <w:color w:val="000000"/>
          <w:sz w:val="20"/>
        </w:rPr>
      </w:pPr>
      <w:r>
        <w:rPr>
          <w:rFonts w:ascii="Century Gothic" w:hAnsi="Century Gothic" w:cs="Times New Roman"/>
          <w:noProof/>
          <w:color w:val="333399"/>
          <w:sz w:val="16"/>
        </w:rPr>
        <w:fldChar w:fldCharType="end"/>
      </w:r>
      <w:bookmarkEnd w:id="5"/>
    </w:p>
    <w:p w:rsidR="00A8765D" w:rsidRDefault="00A8765D">
      <w:pPr>
        <w:spacing w:after="240" w:line="240" w:lineRule="atLeast"/>
        <w:jc w:val="both"/>
        <w:rPr>
          <w:rFonts w:ascii="Times New Roman" w:hAnsi="Times New Roman" w:cs="Times New Roman"/>
          <w:noProof/>
          <w:color w:val="000000"/>
          <w:sz w:val="20"/>
        </w:rPr>
      </w:pPr>
    </w:p>
    <w:bookmarkEnd w:id="0"/>
    <w:p w:rsidR="00A8765D" w:rsidRDefault="00A8765D">
      <w:pPr>
        <w:spacing w:after="240" w:line="240" w:lineRule="atLeast"/>
        <w:jc w:val="both"/>
        <w:rPr>
          <w:rFonts w:ascii="Times New Roman" w:hAnsi="Times New Roman" w:cs="Times New Roman"/>
          <w:noProof/>
          <w:color w:val="000000"/>
          <w:sz w:val="20"/>
        </w:rPr>
        <w:sectPr w:rsidR="00A8765D">
          <w:headerReference w:type="even" r:id="rId15"/>
          <w:headerReference w:type="default" r:id="rId16"/>
          <w:footerReference w:type="even" r:id="rId17"/>
          <w:footerReference w:type="default" r:id="rId18"/>
          <w:headerReference w:type="first" r:id="rId19"/>
          <w:footerReference w:type="first" r:id="rId20"/>
          <w:footnotePr>
            <w:pos w:val="beneathText"/>
          </w:footnotePr>
          <w:endnotePr>
            <w:numFmt w:val="decimal"/>
            <w:numRestart w:val="eachSect"/>
          </w:endnotePr>
          <w:pgSz w:w="11907" w:h="16839"/>
          <w:pgMar w:top="2693" w:right="1701" w:bottom="1417" w:left="1701" w:header="709" w:footer="709" w:gutter="0"/>
          <w:cols w:space="720"/>
          <w:titlePg/>
          <w:docGrid w:linePitch="360"/>
        </w:sectPr>
      </w:pPr>
    </w:p>
    <w:bookmarkStart w:id="6" w:name="GUID3BF97E3E28FF4724ADC58F625F37DF81"/>
    <w:p w:rsidR="00A8765D" w:rsidRDefault="006C09F5">
      <w:pPr>
        <w:pStyle w:val="EPKitTCFrame"/>
        <w:rPr>
          <w:noProof/>
        </w:rPr>
      </w:pPr>
      <w:r>
        <w:rPr>
          <w:noProof/>
        </w:rPr>
        <w:fldChar w:fldCharType="begin"/>
      </w:r>
      <w:r>
        <w:rPr>
          <w:noProof/>
          <w:vanish w:val="0"/>
        </w:rPr>
        <w:instrText xml:space="preserve"> TC "</w:instrText>
      </w:r>
      <w:bookmarkStart w:id="7" w:name="_Toc33019996"/>
      <w:bookmarkStart w:id="8" w:name="_Toc33020593"/>
      <w:r>
        <w:rPr>
          <w:noProof/>
          <w:vanish w:val="0"/>
        </w:rPr>
        <w:instrText>Executive summary</w:instrText>
      </w:r>
      <w:bookmarkEnd w:id="7"/>
      <w:bookmarkEnd w:id="8"/>
      <w:r>
        <w:rPr>
          <w:noProof/>
          <w:vanish w:val="0"/>
        </w:rPr>
        <w:instrText xml:space="preserve">" \f \l 7 </w:instrText>
      </w:r>
      <w:r>
        <w:rPr>
          <w:noProof/>
        </w:rPr>
        <w:fldChar w:fldCharType="end"/>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Economic activity remains robust despite slowing </w:t>
      </w:r>
      <w:r>
        <w:rPr>
          <w:rFonts w:ascii="Times New Roman" w:hAnsi="Times New Roman" w:cs="Times New Roman"/>
          <w:b/>
          <w:noProof/>
          <w:color w:val="000000"/>
          <w:sz w:val="20"/>
        </w:rPr>
        <w:t>investment. Key reforms are progressing well, but ensuring that growth benefits all parts of society remains a challenge.</w:t>
      </w:r>
      <w:r>
        <w:rPr>
          <w:rFonts w:ascii="Times New Roman" w:hAnsi="Times New Roman" w:cs="Times New Roman"/>
          <w:noProof/>
          <w:color w:val="000000"/>
          <w:sz w:val="20"/>
        </w:rPr>
        <w:t xml:space="preserve"> While investment is set to slow, Latvia’s growth is expected to remain robust on the back of a strong labour market, which will suppor</w:t>
      </w:r>
      <w:r>
        <w:rPr>
          <w:rFonts w:ascii="Times New Roman" w:hAnsi="Times New Roman" w:cs="Times New Roman"/>
          <w:noProof/>
          <w:color w:val="000000"/>
          <w:sz w:val="20"/>
        </w:rPr>
        <w:t>t private consumption growth. From a longer-term perspective, Latvia is among the frontrunners of EU convergence; however, as the country becomes richer, its income growth will increasingly depend on investments in human capital and innovation, whose perfo</w:t>
      </w:r>
      <w:r>
        <w:rPr>
          <w:rFonts w:ascii="Times New Roman" w:hAnsi="Times New Roman" w:cs="Times New Roman"/>
          <w:noProof/>
          <w:color w:val="000000"/>
          <w:sz w:val="20"/>
        </w:rPr>
        <w:t xml:space="preserve">rmance has been limited. Public finances have remained broadly sound with government debt decreasing. However, growth has not been fully inclusive, as inequality has remained high and peripheral regions have lagged behind the Riga region. Catching up with </w:t>
      </w:r>
      <w:r>
        <w:rPr>
          <w:rFonts w:ascii="Times New Roman" w:hAnsi="Times New Roman" w:cs="Times New Roman"/>
          <w:noProof/>
          <w:color w:val="000000"/>
          <w:sz w:val="20"/>
        </w:rPr>
        <w:t xml:space="preserve">the EU average, decarbonising its economy and spreading the growth benefits more broadly while coping with a falling population will be Latvia’s main challenges over the coming decades.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GDP growth is moderating as investment slows down and exports face </w:t>
      </w:r>
      <w:r>
        <w:rPr>
          <w:rFonts w:ascii="Times New Roman" w:hAnsi="Times New Roman" w:cs="Times New Roman"/>
          <w:b/>
          <w:noProof/>
          <w:color w:val="000000"/>
          <w:sz w:val="20"/>
        </w:rPr>
        <w:t>headwinds from a deteriorating external environment.</w:t>
      </w:r>
      <w:r>
        <w:rPr>
          <w:rFonts w:ascii="Times New Roman" w:hAnsi="Times New Roman" w:cs="Times New Roman"/>
          <w:noProof/>
          <w:color w:val="000000"/>
          <w:sz w:val="20"/>
        </w:rPr>
        <w:t xml:space="preserve"> GDP growth reached 2.1% in 2019, marking the end of the EU-fund fuelled investment boom, which had pushed GDP growth to above 4% over the previous two years. While investment growth declined from double-</w:t>
      </w:r>
      <w:r>
        <w:rPr>
          <w:rFonts w:ascii="Times New Roman" w:hAnsi="Times New Roman" w:cs="Times New Roman"/>
          <w:noProof/>
          <w:color w:val="000000"/>
          <w:sz w:val="20"/>
        </w:rPr>
        <w:t>digits in 2017 and 2018 to around 4% in 2019, private consumption remained steady, supported by strong labour market and high wage growth. Declining financial and transport services weighed on export growth on the one hand, while a good harvest gave a boos</w:t>
      </w:r>
      <w:r>
        <w:rPr>
          <w:rFonts w:ascii="Times New Roman" w:hAnsi="Times New Roman" w:cs="Times New Roman"/>
          <w:noProof/>
          <w:color w:val="000000"/>
          <w:sz w:val="20"/>
        </w:rPr>
        <w:t xml:space="preserve">t to grain exports, on the other. Overall, though, slowing foreign demand reflected in Latvia’s export growth, which in 2019 was 2.7%, down from 4.0% the year before. Looking forward, growth is set to remain stable at around 2½ % over 2020 and 2021.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Labou</w:t>
      </w:r>
      <w:r>
        <w:rPr>
          <w:rFonts w:ascii="Times New Roman" w:hAnsi="Times New Roman" w:cs="Times New Roman"/>
          <w:b/>
          <w:noProof/>
          <w:color w:val="000000"/>
          <w:sz w:val="20"/>
        </w:rPr>
        <w:t>r market performance is strong.</w:t>
      </w:r>
      <w:r>
        <w:rPr>
          <w:rFonts w:ascii="Times New Roman" w:hAnsi="Times New Roman" w:cs="Times New Roman"/>
          <w:noProof/>
          <w:color w:val="000000"/>
          <w:sz w:val="20"/>
        </w:rPr>
        <w:t xml:space="preserve"> The employment rate continued its upward trend (76.8% in 2018), on the back of a declining labour force. The unemployment rate declined to 6.4% in 2019 from 7.4% in 2018. The long-term unemployed and young people also contin</w:t>
      </w:r>
      <w:r>
        <w:rPr>
          <w:rFonts w:ascii="Times New Roman" w:hAnsi="Times New Roman" w:cs="Times New Roman"/>
          <w:noProof/>
          <w:color w:val="000000"/>
          <w:sz w:val="20"/>
        </w:rPr>
        <w:t>ue to benefit from the steady improvement in the labour market, but regional and skills level disparities persist. Unemployment is forecast to fall further over the coming years, mainly because the labour supply is expected to continue shrinking due to pop</w:t>
      </w:r>
      <w:r>
        <w:rPr>
          <w:rFonts w:ascii="Times New Roman" w:hAnsi="Times New Roman" w:cs="Times New Roman"/>
          <w:noProof/>
          <w:color w:val="000000"/>
          <w:sz w:val="20"/>
        </w:rPr>
        <w:t>ulation decline.</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Declining labour supply is driving rapid increase in labour cost, but risks remain limited. </w:t>
      </w:r>
      <w:r>
        <w:rPr>
          <w:rFonts w:ascii="Times New Roman" w:hAnsi="Times New Roman" w:cs="Times New Roman"/>
          <w:noProof/>
          <w:color w:val="000000"/>
          <w:sz w:val="20"/>
        </w:rPr>
        <w:t>Over the past six years Latvia has had some of the highest increase in labour cost among the EU countries. They are primarily a result of declining</w:t>
      </w:r>
      <w:r>
        <w:rPr>
          <w:rFonts w:ascii="Times New Roman" w:hAnsi="Times New Roman" w:cs="Times New Roman"/>
          <w:noProof/>
          <w:color w:val="000000"/>
          <w:sz w:val="20"/>
        </w:rPr>
        <w:t xml:space="preserve"> labour supply stemming from population ageing and emigration. The growth in labour costs has far outpaced productivity growth in recent years, raising concern about Latvia’s cost competitiveness. Yet, so far Latvia has managed to expand its export market </w:t>
      </w:r>
      <w:r>
        <w:rPr>
          <w:rFonts w:ascii="Times New Roman" w:hAnsi="Times New Roman" w:cs="Times New Roman"/>
          <w:noProof/>
          <w:color w:val="000000"/>
          <w:sz w:val="20"/>
        </w:rPr>
        <w:t xml:space="preserve">shares and with the current account broadly balanced and low credit growth, the risk of overheating is contained. On the positive side, the rising incomes may help stem the emigration, which has been the major driver of the population decline in the first </w:t>
      </w:r>
      <w:r>
        <w:rPr>
          <w:rFonts w:ascii="Times New Roman" w:hAnsi="Times New Roman" w:cs="Times New Roman"/>
          <w:noProof/>
          <w:color w:val="000000"/>
          <w:sz w:val="20"/>
        </w:rPr>
        <w:t xml:space="preserve">place.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Latvia’s main economic objective remains steady income convergence with the EU average.</w:t>
      </w:r>
      <w:r>
        <w:rPr>
          <w:rFonts w:ascii="Times New Roman" w:hAnsi="Times New Roman" w:cs="Times New Roman"/>
          <w:noProof/>
          <w:color w:val="000000"/>
          <w:sz w:val="20"/>
        </w:rPr>
        <w:t xml:space="preserve"> Latvia’s income per capita has increased by 22% over the past five years with productivity growth being the main driver. Yet, in 2018 it stood at only 69% of EU</w:t>
      </w:r>
      <w:r>
        <w:rPr>
          <w:rFonts w:ascii="Times New Roman" w:hAnsi="Times New Roman" w:cs="Times New Roman"/>
          <w:noProof/>
          <w:color w:val="000000"/>
          <w:sz w:val="20"/>
        </w:rPr>
        <w:t xml:space="preserve"> average and income difference with the EU remains a powerful driver of emigration. Therefore, continued convergence remains Latvia’s key challenge both in terms of improving its population’s living standard and of halting emigration. Productivity growth h</w:t>
      </w:r>
      <w:r>
        <w:rPr>
          <w:rFonts w:ascii="Times New Roman" w:hAnsi="Times New Roman" w:cs="Times New Roman"/>
          <w:noProof/>
          <w:color w:val="000000"/>
          <w:sz w:val="20"/>
        </w:rPr>
        <w:t>as been solid throughout the post crisis period. However, concerns about sustained convergence with the EU average persist due to Latvia’s rising infrastructure costs resulting from declining population, poor innovation performance and underinvestment in h</w:t>
      </w:r>
      <w:r>
        <w:rPr>
          <w:rFonts w:ascii="Times New Roman" w:hAnsi="Times New Roman" w:cs="Times New Roman"/>
          <w:noProof/>
          <w:color w:val="000000"/>
          <w:sz w:val="20"/>
        </w:rPr>
        <w:t xml:space="preserve">uman capital.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Inequality in income and opportunities remains significant</w:t>
      </w:r>
      <w:r>
        <w:rPr>
          <w:rFonts w:ascii="Times New Roman" w:hAnsi="Times New Roman" w:cs="Times New Roman"/>
          <w:noProof/>
          <w:color w:val="000000"/>
          <w:sz w:val="20"/>
        </w:rPr>
        <w:t>. The income distribution is more unequal in Latvia than in the EU on average, and the situation worsened in 2018. The redistribution through taxes and social transfers has a lower im</w:t>
      </w:r>
      <w:r>
        <w:rPr>
          <w:rFonts w:ascii="Times New Roman" w:hAnsi="Times New Roman" w:cs="Times New Roman"/>
          <w:noProof/>
          <w:color w:val="000000"/>
          <w:sz w:val="20"/>
        </w:rPr>
        <w:t>pact on income inequality than in other Member States, due to the limited adequacy of social protection system and the limited progressivity of tax system. Notably, the elderly and people with disabilities experience high poverty rates. Moreover, access to</w:t>
      </w:r>
      <w:r>
        <w:rPr>
          <w:rFonts w:ascii="Times New Roman" w:hAnsi="Times New Roman" w:cs="Times New Roman"/>
          <w:noProof/>
          <w:color w:val="000000"/>
          <w:sz w:val="20"/>
        </w:rPr>
        <w:t xml:space="preserve"> healthcare is more difficult for low-income groups, and the quality of education remains unequal between larger urban and smaller rural schools. Furthermore, there are large regional disparities in income levels, with the poorest regions enjoying only aro</w:t>
      </w:r>
      <w:r>
        <w:rPr>
          <w:rFonts w:ascii="Times New Roman" w:hAnsi="Times New Roman" w:cs="Times New Roman"/>
          <w:noProof/>
          <w:color w:val="000000"/>
          <w:sz w:val="20"/>
        </w:rPr>
        <w:t>und half of the income level enjoyed in Riga.</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Skills shortages and mismatches are among the main obstacles to business investment and limit productivity growth.</w:t>
      </w:r>
      <w:r>
        <w:rPr>
          <w:rFonts w:ascii="Times New Roman" w:hAnsi="Times New Roman" w:cs="Times New Roman"/>
          <w:noProof/>
          <w:color w:val="000000"/>
          <w:sz w:val="20"/>
        </w:rPr>
        <w:t xml:space="preserve"> Limited labour supply has led to shortages of skilled workers. At the same time, low-skilled wo</w:t>
      </w:r>
      <w:r>
        <w:rPr>
          <w:rFonts w:ascii="Times New Roman" w:hAnsi="Times New Roman" w:cs="Times New Roman"/>
          <w:noProof/>
          <w:color w:val="000000"/>
          <w:sz w:val="20"/>
        </w:rPr>
        <w:t>rkers are less in demand and face higher unemployment. Strong growth in the construction sector absorbs some of the low and medium-skilled workforce, while upskilling and adult learning had little impact in reducing skills mismatches. The low level of digi</w:t>
      </w:r>
      <w:r>
        <w:rPr>
          <w:rFonts w:ascii="Times New Roman" w:hAnsi="Times New Roman" w:cs="Times New Roman"/>
          <w:noProof/>
          <w:color w:val="000000"/>
          <w:sz w:val="20"/>
        </w:rPr>
        <w:t>tal skills among the labour force limits the use of digital technologies by businesses and the potential for innovation. Moreover, job opportunities are concentrated in urban centres while labour mobility from less dynamic areas is hampered by the availabi</w:t>
      </w:r>
      <w:r>
        <w:rPr>
          <w:rFonts w:ascii="Times New Roman" w:hAnsi="Times New Roman" w:cs="Times New Roman"/>
          <w:noProof/>
          <w:color w:val="000000"/>
          <w:sz w:val="20"/>
        </w:rPr>
        <w:t xml:space="preserve">lity of affordable housing and poor transport connections.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Public expenditure growth is being restrained following the recently enacted tax cuts. </w:t>
      </w:r>
      <w:r>
        <w:rPr>
          <w:rFonts w:ascii="Times New Roman" w:hAnsi="Times New Roman" w:cs="Times New Roman"/>
          <w:noProof/>
          <w:color w:val="000000"/>
          <w:sz w:val="20"/>
        </w:rPr>
        <w:t>The labour and corporate tax cuts over 2018-2020 have only been partly compensated by revenue-increasing meas</w:t>
      </w:r>
      <w:r>
        <w:rPr>
          <w:rFonts w:ascii="Times New Roman" w:hAnsi="Times New Roman" w:cs="Times New Roman"/>
          <w:noProof/>
          <w:color w:val="000000"/>
          <w:sz w:val="20"/>
        </w:rPr>
        <w:t xml:space="preserve">ures. As a result, both government revenue and expenditure shares in GDP are expected to decline between 2018 and 2020.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size of the shadow economy has declined, but remains large relative to other EU countries.</w:t>
      </w:r>
      <w:r>
        <w:rPr>
          <w:rFonts w:ascii="Times New Roman" w:hAnsi="Times New Roman" w:cs="Times New Roman"/>
          <w:noProof/>
          <w:color w:val="000000"/>
          <w:sz w:val="20"/>
        </w:rPr>
        <w:t xml:space="preserve"> The large informal economy reduces gover</w:t>
      </w:r>
      <w:r>
        <w:rPr>
          <w:rFonts w:ascii="Times New Roman" w:hAnsi="Times New Roman" w:cs="Times New Roman"/>
          <w:noProof/>
          <w:color w:val="000000"/>
          <w:sz w:val="20"/>
        </w:rPr>
        <w:t>nment’s revenue and its spending capacity, as well as distorts competition and resource allocation. Firms involved in informal activity stay small and ready to close down once detected. Banks are reluctant to lend to such firms. While their share is decrea</w:t>
      </w:r>
      <w:r>
        <w:rPr>
          <w:rFonts w:ascii="Times New Roman" w:hAnsi="Times New Roman" w:cs="Times New Roman"/>
          <w:noProof/>
          <w:color w:val="000000"/>
          <w:sz w:val="20"/>
        </w:rPr>
        <w:t>sing, many employees are still partially or fully undeclared, facing lower social protection.</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Latvia can boost its long-term growth potential by focusing private and public investments on innovation, human capital and regional development.</w:t>
      </w:r>
      <w:r>
        <w:rPr>
          <w:rFonts w:ascii="Times New Roman" w:hAnsi="Times New Roman" w:cs="Times New Roman"/>
          <w:noProof/>
          <w:color w:val="000000"/>
          <w:sz w:val="20"/>
        </w:rPr>
        <w:t xml:space="preserve"> Latvia remains a</w:t>
      </w:r>
      <w:r>
        <w:rPr>
          <w:rFonts w:ascii="Times New Roman" w:hAnsi="Times New Roman" w:cs="Times New Roman"/>
          <w:noProof/>
          <w:color w:val="000000"/>
          <w:sz w:val="20"/>
        </w:rPr>
        <w:t xml:space="preserve"> catching-up economy and its main national development focus is on increasing its GDP per capita. As evidenced by falling productivity growth rates, the easy gains of the early catch-up stage have been exhausted. This means that productivity growth will ha</w:t>
      </w:r>
      <w:r>
        <w:rPr>
          <w:rFonts w:ascii="Times New Roman" w:hAnsi="Times New Roman" w:cs="Times New Roman"/>
          <w:noProof/>
          <w:color w:val="000000"/>
          <w:sz w:val="20"/>
        </w:rPr>
        <w:t>ve to increasingly rely on knowledge-intensive activities. Latvia’s weakest point has been innovation, which requires investments in research and development, in developing people’s knowledge and skills, and in other intangible assets. Latvia would also be</w:t>
      </w:r>
      <w:r>
        <w:rPr>
          <w:rFonts w:ascii="Times New Roman" w:hAnsi="Times New Roman" w:cs="Times New Roman"/>
          <w:noProof/>
          <w:color w:val="000000"/>
          <w:sz w:val="20"/>
        </w:rPr>
        <w:t xml:space="preserve">nefit from boosting the economic potential of its peripheral regions - increasing their accessibility, and promoting energy efficiency, employment and investment opportunities. Finally, investments in social inclusion and healthcare are needed in order to </w:t>
      </w:r>
      <w:r>
        <w:rPr>
          <w:rFonts w:ascii="Times New Roman" w:hAnsi="Times New Roman" w:cs="Times New Roman"/>
          <w:noProof/>
          <w:color w:val="000000"/>
          <w:sz w:val="20"/>
        </w:rPr>
        <w:t>tackle high inequality and uneven access to employment and public services. Additionally, identifying investment needs in green technologies, sustainable solutions, and securing adequate funding will be key to deliver on the climate and energy objectives a</w:t>
      </w:r>
      <w:r>
        <w:rPr>
          <w:rFonts w:ascii="Times New Roman" w:hAnsi="Times New Roman" w:cs="Times New Roman"/>
          <w:noProof/>
          <w:color w:val="000000"/>
          <w:sz w:val="20"/>
        </w:rPr>
        <w:t>nd shape a new growth model.</w:t>
      </w:r>
    </w:p>
    <w:p w:rsidR="00A8765D" w:rsidRDefault="006C09F5">
      <w:pPr>
        <w:spacing w:after="240" w:line="240" w:lineRule="atLeast"/>
        <w:jc w:val="both"/>
        <w:rPr>
          <w:rFonts w:ascii="Times New Roman" w:hAnsi="Times New Roman" w:cs="Times New Roman"/>
          <w:b/>
          <w:noProof/>
          <w:color w:val="000000"/>
          <w:sz w:val="20"/>
        </w:rPr>
      </w:pPr>
      <w:r>
        <w:rPr>
          <w:rFonts w:ascii="Times New Roman" w:hAnsi="Times New Roman" w:cs="Times New Roman"/>
          <w:b/>
          <w:noProof/>
          <w:color w:val="000000"/>
          <w:sz w:val="20"/>
        </w:rPr>
        <w:t xml:space="preserve">Latvia has made some progress in addressing the 2019 country-specific recommendations.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Substantial progress has been made in strengthening the anti-money laundering system.</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 xml:space="preserve">There has been some progress in the following areas: </w:t>
      </w:r>
    </w:p>
    <w:p w:rsidR="00A8765D" w:rsidRDefault="006C09F5">
      <w:pPr>
        <w:pStyle w:val="ListParagraph"/>
        <w:numPr>
          <w:ilvl w:val="0"/>
          <w:numId w:val="16"/>
        </w:numPr>
        <w:tabs>
          <w:tab w:val="num" w:pos="283"/>
        </w:tabs>
        <w:spacing w:after="240" w:line="240" w:lineRule="atLeast"/>
        <w:contextualSpacing w:val="0"/>
        <w:jc w:val="both"/>
        <w:rPr>
          <w:rFonts w:ascii="Times New Roman" w:hAnsi="Times New Roman" w:cs="Times New Roman"/>
          <w:noProof/>
          <w:color w:val="000000"/>
          <w:sz w:val="20"/>
        </w:rPr>
      </w:pPr>
      <w:r>
        <w:rPr>
          <w:rFonts w:ascii="Times New Roman" w:hAnsi="Times New Roman" w:cs="Times New Roman"/>
          <w:noProof/>
          <w:color w:val="000000"/>
          <w:sz w:val="20"/>
        </w:rPr>
        <w:t xml:space="preserve"> The tax wedge on labour has been reduced and is closer to the EU average.</w:t>
      </w:r>
    </w:p>
    <w:p w:rsidR="00A8765D" w:rsidRDefault="006C09F5">
      <w:pPr>
        <w:pStyle w:val="ListParagraph"/>
        <w:numPr>
          <w:ilvl w:val="0"/>
          <w:numId w:val="16"/>
        </w:numPr>
        <w:tabs>
          <w:tab w:val="num" w:pos="283"/>
        </w:tabs>
        <w:spacing w:after="240" w:line="240" w:lineRule="atLeast"/>
        <w:contextualSpacing w:val="0"/>
        <w:jc w:val="both"/>
        <w:rPr>
          <w:rFonts w:ascii="Times New Roman" w:hAnsi="Times New Roman" w:cs="Times New Roman"/>
          <w:noProof/>
          <w:color w:val="000000"/>
          <w:sz w:val="20"/>
        </w:rPr>
      </w:pPr>
      <w:r>
        <w:rPr>
          <w:rFonts w:ascii="Times New Roman" w:hAnsi="Times New Roman" w:cs="Times New Roman"/>
          <w:noProof/>
          <w:color w:val="000000"/>
          <w:sz w:val="20"/>
        </w:rPr>
        <w:t xml:space="preserve"> Taking steps to address social exclusion by improving the guaranteed minimum income, minimum pensions and income support for persons with disabilities in 2020. The adequacy of ben</w:t>
      </w:r>
      <w:r>
        <w:rPr>
          <w:rFonts w:ascii="Times New Roman" w:hAnsi="Times New Roman" w:cs="Times New Roman"/>
          <w:noProof/>
          <w:color w:val="000000"/>
          <w:sz w:val="20"/>
        </w:rPr>
        <w:t>efits, however, remains low.</w:t>
      </w:r>
    </w:p>
    <w:p w:rsidR="00A8765D" w:rsidRDefault="006C09F5">
      <w:pPr>
        <w:pStyle w:val="ListParagraph"/>
        <w:numPr>
          <w:ilvl w:val="0"/>
          <w:numId w:val="16"/>
        </w:numPr>
        <w:tabs>
          <w:tab w:val="num" w:pos="283"/>
        </w:tabs>
        <w:spacing w:after="240" w:line="240" w:lineRule="atLeast"/>
        <w:contextualSpacing w:val="0"/>
        <w:jc w:val="both"/>
        <w:rPr>
          <w:rFonts w:ascii="Times New Roman" w:hAnsi="Times New Roman" w:cs="Times New Roman"/>
          <w:noProof/>
          <w:color w:val="000000"/>
          <w:sz w:val="20"/>
        </w:rPr>
      </w:pPr>
      <w:r>
        <w:rPr>
          <w:rFonts w:ascii="Times New Roman" w:hAnsi="Times New Roman" w:cs="Times New Roman"/>
          <w:noProof/>
          <w:color w:val="000000"/>
          <w:sz w:val="20"/>
        </w:rPr>
        <w:t xml:space="preserve"> Improving the accountability and the efficiency of public administration. Latvia has launched a reform of territorial administration aiming to improve to the governance of municipalities.</w:t>
      </w:r>
    </w:p>
    <w:p w:rsidR="00A8765D" w:rsidRDefault="006C09F5">
      <w:pPr>
        <w:pStyle w:val="ListParagraph"/>
        <w:numPr>
          <w:ilvl w:val="0"/>
          <w:numId w:val="16"/>
        </w:numPr>
        <w:tabs>
          <w:tab w:val="num" w:pos="283"/>
        </w:tabs>
        <w:spacing w:after="240" w:line="240" w:lineRule="atLeast"/>
        <w:contextualSpacing w:val="0"/>
        <w:jc w:val="both"/>
        <w:rPr>
          <w:rFonts w:ascii="Times New Roman" w:hAnsi="Times New Roman" w:cs="Times New Roman"/>
          <w:noProof/>
          <w:color w:val="000000"/>
          <w:sz w:val="20"/>
        </w:rPr>
      </w:pPr>
      <w:r>
        <w:rPr>
          <w:rFonts w:ascii="Times New Roman" w:hAnsi="Times New Roman" w:cs="Times New Roman"/>
          <w:noProof/>
          <w:color w:val="000000"/>
          <w:sz w:val="20"/>
        </w:rPr>
        <w:t xml:space="preserve"> Efforts to improve accessibility, quality and cost-effectiveness of the health system continue. However, public financing for health is set to decline as a share of GDP in 2020.</w:t>
      </w:r>
    </w:p>
    <w:p w:rsidR="00A8765D" w:rsidRDefault="006C09F5">
      <w:pPr>
        <w:pStyle w:val="ListParagraph"/>
        <w:numPr>
          <w:ilvl w:val="0"/>
          <w:numId w:val="16"/>
        </w:numPr>
        <w:tabs>
          <w:tab w:val="num" w:pos="283"/>
        </w:tabs>
        <w:spacing w:after="240" w:line="240" w:lineRule="atLeast"/>
        <w:contextualSpacing w:val="0"/>
        <w:jc w:val="both"/>
        <w:rPr>
          <w:rFonts w:ascii="Times New Roman" w:hAnsi="Times New Roman" w:cs="Times New Roman"/>
          <w:noProof/>
          <w:color w:val="000000"/>
          <w:sz w:val="20"/>
        </w:rPr>
      </w:pPr>
      <w:r>
        <w:rPr>
          <w:rFonts w:ascii="Times New Roman" w:hAnsi="Times New Roman" w:cs="Times New Roman"/>
          <w:noProof/>
          <w:color w:val="000000"/>
          <w:sz w:val="20"/>
        </w:rPr>
        <w:t xml:space="preserve"> Measures to consolidate resources for education, including the large school </w:t>
      </w:r>
      <w:r>
        <w:rPr>
          <w:rFonts w:ascii="Times New Roman" w:hAnsi="Times New Roman" w:cs="Times New Roman"/>
          <w:noProof/>
          <w:color w:val="000000"/>
          <w:sz w:val="20"/>
        </w:rPr>
        <w:t xml:space="preserve">network, while improving quality and efficiency have been delayed. Reforms to improve vocational education and training are ongoing, but their attractiveness remains low. There are no new measures to improve provision of adult learning. Plans to develop a </w:t>
      </w:r>
      <w:r>
        <w:rPr>
          <w:rFonts w:ascii="Times New Roman" w:hAnsi="Times New Roman" w:cs="Times New Roman"/>
          <w:noProof/>
          <w:color w:val="000000"/>
          <w:sz w:val="20"/>
        </w:rPr>
        <w:t>comprehensive skills strategy are ongoing.</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Latvia's performance on the indicators of the Social Scoreboard supporting the European Pillar of Social Rights point to a number of employment and social challenges, but also some positive outcomes.</w:t>
      </w:r>
      <w:r>
        <w:rPr>
          <w:rFonts w:ascii="Times New Roman" w:hAnsi="Times New Roman" w:cs="Times New Roman"/>
          <w:noProof/>
          <w:color w:val="000000"/>
          <w:sz w:val="20"/>
        </w:rPr>
        <w:t xml:space="preserve"> Latvia’s labo</w:t>
      </w:r>
      <w:r>
        <w:rPr>
          <w:rFonts w:ascii="Times New Roman" w:hAnsi="Times New Roman" w:cs="Times New Roman"/>
          <w:noProof/>
          <w:color w:val="000000"/>
          <w:sz w:val="20"/>
        </w:rPr>
        <w:t xml:space="preserve">ur market performance has been solid in recent years. Employment levels have reached historic highs and the gender employment gap is among the lowest in the EU. Nevertheless, disparities in employment across regions and skills levels persist. In addition, </w:t>
      </w:r>
      <w:r>
        <w:rPr>
          <w:rFonts w:ascii="Times New Roman" w:hAnsi="Times New Roman" w:cs="Times New Roman"/>
          <w:noProof/>
          <w:color w:val="000000"/>
          <w:sz w:val="20"/>
        </w:rPr>
        <w:t>growth has not been fully inclusive, as inequality remains high. The risk of poverty or social exclusion has slightly increased as the situation continues to worsen for people with disabilities, older people and the unemployed. Access to affordable healthc</w:t>
      </w:r>
      <w:r>
        <w:rPr>
          <w:rFonts w:ascii="Times New Roman" w:hAnsi="Times New Roman" w:cs="Times New Roman"/>
          <w:noProof/>
          <w:color w:val="000000"/>
          <w:sz w:val="20"/>
        </w:rPr>
        <w:t>are is a challenge and, although self-reported unmet needs for medical care are decreasing, they remain high.</w:t>
      </w:r>
    </w:p>
    <w:p w:rsidR="00A8765D" w:rsidRDefault="006C09F5">
      <w:pPr>
        <w:pStyle w:val="ListParagraph"/>
        <w:numPr>
          <w:ilvl w:val="0"/>
          <w:numId w:val="17"/>
        </w:numPr>
        <w:tabs>
          <w:tab w:val="num" w:pos="283"/>
        </w:tabs>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 Latvia is likely to meet most of its 2020 targets except investment in research and development.</w:t>
      </w:r>
      <w:r>
        <w:rPr>
          <w:rFonts w:ascii="Times New Roman" w:hAnsi="Times New Roman" w:cs="Times New Roman"/>
          <w:noProof/>
          <w:color w:val="000000"/>
          <w:sz w:val="20"/>
        </w:rPr>
        <w:t xml:space="preserve"> Regarding progress towards its national targets </w:t>
      </w:r>
      <w:r>
        <w:rPr>
          <w:rFonts w:ascii="Times New Roman" w:hAnsi="Times New Roman" w:cs="Times New Roman"/>
          <w:noProof/>
          <w:color w:val="000000"/>
          <w:sz w:val="20"/>
        </w:rPr>
        <w:t xml:space="preserve">under the Europe 2020 strategy, Latvia has attained its employment rate target and renewable energy target. It met its targets on preventing early school leaving, tertiary education attainment in 2016, and is progressing well containing its greenhouse gas </w:t>
      </w:r>
      <w:r>
        <w:rPr>
          <w:rFonts w:ascii="Times New Roman" w:hAnsi="Times New Roman" w:cs="Times New Roman"/>
          <w:noProof/>
          <w:color w:val="000000"/>
          <w:sz w:val="20"/>
        </w:rPr>
        <w:t xml:space="preserve">emission growth. At the same time, with its energy consumption continuing to increase, it is at moderate risk to miss its energy efficiency target. However, it is far from its public research and development investment target, which are unlikely to be met </w:t>
      </w:r>
      <w:r>
        <w:rPr>
          <w:rFonts w:ascii="Times New Roman" w:hAnsi="Times New Roman" w:cs="Times New Roman"/>
          <w:noProof/>
          <w:color w:val="000000"/>
          <w:sz w:val="20"/>
        </w:rPr>
        <w:t>by 2020. Moreover, due to an increase in relative poverty, Latvia has moved away from its poverty target.</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Latvia is progressing well on most United Nations’ Sustainable Development goals with slower progress in health, innovation and reducing inequalities </w:t>
      </w:r>
      <w:r>
        <w:rPr>
          <w:rFonts w:ascii="Times New Roman" w:hAnsi="Times New Roman" w:cs="Times New Roman"/>
          <w:noProof/>
          <w:color w:val="000000"/>
          <w:sz w:val="20"/>
        </w:rPr>
        <w:t>(</w:t>
      </w:r>
      <w:r>
        <w:rPr>
          <w:rFonts w:ascii="Times New Roman" w:hAnsi="Times New Roman" w:cs="Times New Roman"/>
          <w:noProof/>
          <w:color w:val="000000"/>
          <w:sz w:val="20"/>
          <w:vertAlign w:val="superscript"/>
        </w:rPr>
        <w:footnoteReference w:id="1"/>
      </w:r>
      <w:r>
        <w:rPr>
          <w:rFonts w:ascii="Times New Roman" w:hAnsi="Times New Roman" w:cs="Times New Roman"/>
          <w:noProof/>
          <w:color w:val="000000"/>
          <w:sz w:val="20"/>
        </w:rPr>
        <w:t xml:space="preserve">).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The main findings of the analysis in this report, and the related policy challenges, are as follows:</w:t>
      </w:r>
    </w:p>
    <w:p w:rsidR="00A8765D" w:rsidRDefault="006C09F5">
      <w:pPr>
        <w:pStyle w:val="ListParagraph"/>
        <w:numPr>
          <w:ilvl w:val="0"/>
          <w:numId w:val="17"/>
        </w:numPr>
        <w:tabs>
          <w:tab w:val="num" w:pos="283"/>
        </w:tabs>
        <w:spacing w:after="240" w:line="240" w:lineRule="atLeast"/>
        <w:contextualSpacing w:val="0"/>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 Latvia’s tax revenue share in GDP has been reduced by tax cutting measures. </w:t>
      </w:r>
      <w:r>
        <w:rPr>
          <w:rFonts w:ascii="Times New Roman" w:hAnsi="Times New Roman" w:cs="Times New Roman"/>
          <w:noProof/>
          <w:color w:val="000000"/>
          <w:sz w:val="20"/>
        </w:rPr>
        <w:t xml:space="preserve">The main sources of revenue are labour and consumption taxes, while the </w:t>
      </w:r>
      <w:r>
        <w:rPr>
          <w:rFonts w:ascii="Times New Roman" w:hAnsi="Times New Roman" w:cs="Times New Roman"/>
          <w:noProof/>
          <w:color w:val="000000"/>
          <w:sz w:val="20"/>
        </w:rPr>
        <w:t>share of capital taxes is low and has been further reduced by the corporate tax reform. Property taxation remains based on outdated values, which reduces revenue from recurrent property taxation over time. The low government revenue share in GDP limits the</w:t>
      </w:r>
      <w:r>
        <w:rPr>
          <w:rFonts w:ascii="Times New Roman" w:hAnsi="Times New Roman" w:cs="Times New Roman"/>
          <w:noProof/>
          <w:color w:val="000000"/>
          <w:sz w:val="20"/>
        </w:rPr>
        <w:t xml:space="preserve"> capacity to finance public spending on social protection and healthcare, which are lower than in other Member States. </w:t>
      </w:r>
    </w:p>
    <w:p w:rsidR="00A8765D" w:rsidRDefault="006C09F5">
      <w:pPr>
        <w:pStyle w:val="ListParagraph"/>
        <w:numPr>
          <w:ilvl w:val="0"/>
          <w:numId w:val="17"/>
        </w:numPr>
        <w:tabs>
          <w:tab w:val="num" w:pos="283"/>
        </w:tabs>
        <w:spacing w:after="240" w:line="240" w:lineRule="atLeast"/>
        <w:contextualSpacing w:val="0"/>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 While mortgage lending is boosted by state support, overall, credit growth remains low. </w:t>
      </w:r>
      <w:r>
        <w:rPr>
          <w:rFonts w:ascii="Times New Roman" w:hAnsi="Times New Roman" w:cs="Times New Roman"/>
          <w:noProof/>
          <w:color w:val="000000"/>
          <w:sz w:val="20"/>
        </w:rPr>
        <w:t>While total credit growth has picked up over th</w:t>
      </w:r>
      <w:r>
        <w:rPr>
          <w:rFonts w:ascii="Times New Roman" w:hAnsi="Times New Roman" w:cs="Times New Roman"/>
          <w:noProof/>
          <w:color w:val="000000"/>
          <w:sz w:val="20"/>
        </w:rPr>
        <w:t>e past year or so, it follows a long period of negative growth. Measured over medium term, it has remained substantially below nominal GDP growth rate. State support for home buying to families has boosted the mortgage lending somewhat but it remains subst</w:t>
      </w:r>
      <w:r>
        <w:rPr>
          <w:rFonts w:ascii="Times New Roman" w:hAnsi="Times New Roman" w:cs="Times New Roman"/>
          <w:noProof/>
          <w:color w:val="000000"/>
          <w:sz w:val="20"/>
        </w:rPr>
        <w:t>antially below the mortgage growth in the other Baltics. Credit growth is constrained by the prevalence of the shadow economy and the legacy of the 2009 financial crisis, which damaged many households’ credit history. At the same time, Latvia’s banking sec</w:t>
      </w:r>
      <w:r>
        <w:rPr>
          <w:rFonts w:ascii="Times New Roman" w:hAnsi="Times New Roman" w:cs="Times New Roman"/>
          <w:noProof/>
          <w:color w:val="000000"/>
          <w:sz w:val="20"/>
        </w:rPr>
        <w:t>tor remains financially sound.</w:t>
      </w:r>
    </w:p>
    <w:p w:rsidR="00A8765D" w:rsidRDefault="006C09F5">
      <w:pPr>
        <w:pStyle w:val="ListParagraph"/>
        <w:numPr>
          <w:ilvl w:val="0"/>
          <w:numId w:val="17"/>
        </w:numPr>
        <w:tabs>
          <w:tab w:val="num" w:pos="283"/>
        </w:tabs>
        <w:spacing w:after="240" w:line="240" w:lineRule="atLeast"/>
        <w:contextualSpacing w:val="0"/>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 Latvia has reduced the flow of risky money through its banks and overhauled its anti-money laundering system.</w:t>
      </w:r>
      <w:r>
        <w:rPr>
          <w:rFonts w:ascii="Times New Roman" w:hAnsi="Times New Roman" w:cs="Times New Roman"/>
          <w:noProof/>
          <w:color w:val="000000"/>
          <w:sz w:val="20"/>
        </w:rPr>
        <w:t xml:space="preserve"> Latvia has taken a number of major steps to ensure its financial system is not used for money laundering and terro</w:t>
      </w:r>
      <w:r>
        <w:rPr>
          <w:rFonts w:ascii="Times New Roman" w:hAnsi="Times New Roman" w:cs="Times New Roman"/>
          <w:noProof/>
          <w:color w:val="000000"/>
          <w:sz w:val="20"/>
        </w:rPr>
        <w:t>rist financing. By banning the servicing of non-resident shell companies, Latvia has substantially reduced the flow of risky money through its banks. Furthermore, it has amended a number of laws to improve the governance and clarify responsibilities of mai</w:t>
      </w:r>
      <w:r>
        <w:rPr>
          <w:rFonts w:ascii="Times New Roman" w:hAnsi="Times New Roman" w:cs="Times New Roman"/>
          <w:noProof/>
          <w:color w:val="000000"/>
          <w:sz w:val="20"/>
        </w:rPr>
        <w:t>n stakeholders. Finally, it has strengthened the capacity of key supervisory, financial intelligence and law enforcement institutions.</w:t>
      </w:r>
    </w:p>
    <w:p w:rsidR="00A8765D" w:rsidRDefault="006C09F5">
      <w:pPr>
        <w:pStyle w:val="ListParagraph"/>
        <w:numPr>
          <w:ilvl w:val="0"/>
          <w:numId w:val="17"/>
        </w:numPr>
        <w:spacing w:after="240" w:line="240" w:lineRule="atLeast"/>
        <w:contextualSpacing w:val="0"/>
        <w:jc w:val="both"/>
        <w:rPr>
          <w:rFonts w:ascii="Times New Roman" w:hAnsi="Times New Roman" w:cs="Times New Roman"/>
          <w:noProof/>
          <w:color w:val="000000"/>
          <w:sz w:val="20"/>
        </w:rPr>
      </w:pPr>
      <w:r>
        <w:rPr>
          <w:rFonts w:ascii="Times New Roman" w:hAnsi="Times New Roman" w:cs="Times New Roman"/>
          <w:b/>
          <w:noProof/>
          <w:color w:val="000000"/>
          <w:sz w:val="20"/>
        </w:rPr>
        <w:t>Latvia's labour market performance is positive overall, but upskilling of the labour force is weak.</w:t>
      </w:r>
      <w:r>
        <w:rPr>
          <w:rFonts w:ascii="Times New Roman" w:hAnsi="Times New Roman" w:cs="Times New Roman"/>
          <w:noProof/>
          <w:color w:val="000000"/>
          <w:sz w:val="20"/>
        </w:rPr>
        <w:t xml:space="preserve"> While overall unemployment is low, less skilled, older workers, ethnic minorities and those living in rural areas still face higher unemployment. Their participation in adult learning and in measures that facilitate return to employment is low. Digital sk</w:t>
      </w:r>
      <w:r>
        <w:rPr>
          <w:rFonts w:ascii="Times New Roman" w:hAnsi="Times New Roman" w:cs="Times New Roman"/>
          <w:noProof/>
          <w:color w:val="000000"/>
          <w:sz w:val="20"/>
        </w:rPr>
        <w:t xml:space="preserve">ills are also below the EU average. Sectoral level bargaining is strengthened, but overall capacity of social partners remains limited. </w:t>
      </w:r>
    </w:p>
    <w:p w:rsidR="00A8765D" w:rsidRDefault="006C09F5">
      <w:pPr>
        <w:pStyle w:val="ListParagraph"/>
        <w:numPr>
          <w:ilvl w:val="0"/>
          <w:numId w:val="17"/>
        </w:numPr>
        <w:spacing w:after="240" w:line="240" w:lineRule="atLeast"/>
        <w:contextualSpacing w:val="0"/>
        <w:jc w:val="both"/>
        <w:rPr>
          <w:rFonts w:ascii="Times New Roman" w:hAnsi="Times New Roman" w:cs="Times New Roman"/>
          <w:noProof/>
          <w:color w:val="000000"/>
          <w:sz w:val="20"/>
        </w:rPr>
      </w:pPr>
      <w:r>
        <w:rPr>
          <w:rFonts w:ascii="Times New Roman" w:hAnsi="Times New Roman" w:cs="Times New Roman"/>
          <w:b/>
          <w:noProof/>
          <w:color w:val="000000"/>
          <w:sz w:val="20"/>
        </w:rPr>
        <w:t>Latvia’s education system performs well in terms of basic skills proficiency, but improving efficiency and ensuring qua</w:t>
      </w:r>
      <w:r>
        <w:rPr>
          <w:rFonts w:ascii="Times New Roman" w:hAnsi="Times New Roman" w:cs="Times New Roman"/>
          <w:b/>
          <w:noProof/>
          <w:color w:val="000000"/>
          <w:sz w:val="20"/>
        </w:rPr>
        <w:t xml:space="preserve">lity for all remains a challenge. </w:t>
      </w:r>
      <w:r>
        <w:rPr>
          <w:rFonts w:ascii="Times New Roman" w:hAnsi="Times New Roman" w:cs="Times New Roman"/>
          <w:noProof/>
          <w:color w:val="000000"/>
          <w:sz w:val="20"/>
        </w:rPr>
        <w:t>Student outcomes are above the EU average, however, urban schools on average outperform rural schools. The government faces the twin challenges of streamlining the large and inefficient school network, and to renew the tea</w:t>
      </w:r>
      <w:r>
        <w:rPr>
          <w:rFonts w:ascii="Times New Roman" w:hAnsi="Times New Roman" w:cs="Times New Roman"/>
          <w:noProof/>
          <w:color w:val="000000"/>
          <w:sz w:val="20"/>
        </w:rPr>
        <w:t>ching workforce by improving the attractiveness of the teaching profession. Reforms in these areas have not yet brought about the desired improvements. The government has taken steps to consolidate and improve higher education, but the system remains fragm</w:t>
      </w:r>
      <w:r>
        <w:rPr>
          <w:rFonts w:ascii="Times New Roman" w:hAnsi="Times New Roman" w:cs="Times New Roman"/>
          <w:noProof/>
          <w:color w:val="000000"/>
          <w:sz w:val="20"/>
        </w:rPr>
        <w:t>ented and not sufficiently competitive at international level. While the tertiary education attainment rate is high, the proportion of science, technology, engineering and mathematics graduates is low. Vocational education and training are being modernised</w:t>
      </w:r>
      <w:r>
        <w:rPr>
          <w:rFonts w:ascii="Times New Roman" w:hAnsi="Times New Roman" w:cs="Times New Roman"/>
          <w:noProof/>
          <w:color w:val="000000"/>
          <w:sz w:val="20"/>
        </w:rPr>
        <w:t>, but the share of students in this type of education is below the EU average.</w:t>
      </w:r>
    </w:p>
    <w:p w:rsidR="00A8765D" w:rsidRDefault="006C09F5">
      <w:pPr>
        <w:pStyle w:val="ListParagraph"/>
        <w:numPr>
          <w:ilvl w:val="0"/>
          <w:numId w:val="17"/>
        </w:numPr>
        <w:tabs>
          <w:tab w:val="num" w:pos="283"/>
        </w:tabs>
        <w:spacing w:after="240" w:line="240" w:lineRule="atLeast"/>
        <w:contextualSpacing w:val="0"/>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 Measures to address the high risk of poverty or social exclusion are limited.</w:t>
      </w:r>
      <w:r>
        <w:rPr>
          <w:rFonts w:ascii="Times New Roman" w:hAnsi="Times New Roman" w:cs="Times New Roman"/>
          <w:noProof/>
          <w:color w:val="000000"/>
          <w:sz w:val="20"/>
        </w:rPr>
        <w:t xml:space="preserve"> Poverty is prevalent among the elderly, people with disabilities, and the unemployed. Tax and bene</w:t>
      </w:r>
      <w:r>
        <w:rPr>
          <w:rFonts w:ascii="Times New Roman" w:hAnsi="Times New Roman" w:cs="Times New Roman"/>
          <w:noProof/>
          <w:color w:val="000000"/>
          <w:sz w:val="20"/>
        </w:rPr>
        <w:t xml:space="preserve">fit policy changes over the period 2008-2018 have had made little difference. The minimum income level, minimum pensions and support for persons with disabilities have increased from 2020, but less than initially expected. Meanwhile, unemployment benefits </w:t>
      </w:r>
      <w:r>
        <w:rPr>
          <w:rFonts w:ascii="Times New Roman" w:hAnsi="Times New Roman" w:cs="Times New Roman"/>
          <w:noProof/>
          <w:color w:val="000000"/>
          <w:sz w:val="20"/>
        </w:rPr>
        <w:t xml:space="preserve">have been reduced. Moreover, there are gaps in social protection for self-employed and non-standard workers. Low-income groups have poor housing conditions and access to social housing is limited. </w:t>
      </w:r>
    </w:p>
    <w:p w:rsidR="00A8765D" w:rsidRDefault="006C09F5">
      <w:pPr>
        <w:pStyle w:val="ListParagraph"/>
        <w:numPr>
          <w:ilvl w:val="0"/>
          <w:numId w:val="17"/>
        </w:numPr>
        <w:tabs>
          <w:tab w:val="num" w:pos="283"/>
        </w:tabs>
        <w:spacing w:after="240" w:line="240" w:lineRule="atLeast"/>
        <w:contextualSpacing w:val="0"/>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 Low public spending for healthcare and unhealthy lifestyl</w:t>
      </w:r>
      <w:r>
        <w:rPr>
          <w:rFonts w:ascii="Times New Roman" w:hAnsi="Times New Roman" w:cs="Times New Roman"/>
          <w:b/>
          <w:noProof/>
          <w:color w:val="000000"/>
          <w:sz w:val="20"/>
        </w:rPr>
        <w:t>e choices constitute the main reasons for the population’s poor health</w:t>
      </w:r>
      <w:r>
        <w:rPr>
          <w:rFonts w:ascii="Times New Roman" w:hAnsi="Times New Roman" w:cs="Times New Roman"/>
          <w:noProof/>
          <w:color w:val="000000"/>
          <w:sz w:val="20"/>
        </w:rPr>
        <w:t>. Reforms to boost efficiency and quality in healthcare have been initiated, but remain at early stages. Health workforce shortages, especially in regions outside Riga and in the nursing</w:t>
      </w:r>
      <w:r>
        <w:rPr>
          <w:rFonts w:ascii="Times New Roman" w:hAnsi="Times New Roman" w:cs="Times New Roman"/>
          <w:noProof/>
          <w:color w:val="000000"/>
          <w:sz w:val="20"/>
        </w:rPr>
        <w:t xml:space="preserve"> sector in general, hinder access to health services and pose risks to the implementation of health reforms. An increase in public financing in recent years has improved the availability of health services and reduced the waiting times. However, public spe</w:t>
      </w:r>
      <w:r>
        <w:rPr>
          <w:rFonts w:ascii="Times New Roman" w:hAnsi="Times New Roman" w:cs="Times New Roman"/>
          <w:noProof/>
          <w:color w:val="000000"/>
          <w:sz w:val="20"/>
        </w:rPr>
        <w:t>nding for health is set to remain well below the EU average in the coming years. Investments would be needed in order to ameliorate access to and quality of healthcare, improve the geographical availability of health services and implement the planned refo</w:t>
      </w:r>
      <w:r>
        <w:rPr>
          <w:rFonts w:ascii="Times New Roman" w:hAnsi="Times New Roman" w:cs="Times New Roman"/>
          <w:noProof/>
          <w:color w:val="000000"/>
          <w:sz w:val="20"/>
        </w:rPr>
        <w:t>rms.</w:t>
      </w:r>
    </w:p>
    <w:p w:rsidR="00A8765D" w:rsidRDefault="006C09F5">
      <w:pPr>
        <w:pStyle w:val="ListParagraph"/>
        <w:numPr>
          <w:ilvl w:val="0"/>
          <w:numId w:val="17"/>
        </w:numPr>
        <w:tabs>
          <w:tab w:val="num" w:pos="283"/>
        </w:tabs>
        <w:spacing w:after="240" w:line="240" w:lineRule="atLeast"/>
        <w:contextualSpacing w:val="0"/>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 Reducing energy consumption in transport and housing are Latvia’s key climate policy challenges.</w:t>
      </w:r>
      <w:r>
        <w:rPr>
          <w:rFonts w:ascii="Times New Roman" w:hAnsi="Times New Roman" w:cs="Times New Roman"/>
          <w:noProof/>
          <w:color w:val="000000"/>
          <w:sz w:val="20"/>
        </w:rPr>
        <w:t xml:space="preserve"> Latvia’s greenhouse gas emissions per capita are among the lowest in the EU. This is because its energy consumption per capita is lower than the EU avera</w:t>
      </w:r>
      <w:r>
        <w:rPr>
          <w:rFonts w:ascii="Times New Roman" w:hAnsi="Times New Roman" w:cs="Times New Roman"/>
          <w:noProof/>
          <w:color w:val="000000"/>
          <w:sz w:val="20"/>
        </w:rPr>
        <w:t>ge and the share of renewable energy is among the highest in the EU. However, in order to meet its 2030 target for greenhouse gas emissions, it will need to break the current trend of increasing energy consumption in transport and housing. Moreover, it wil</w:t>
      </w:r>
      <w:r>
        <w:rPr>
          <w:rFonts w:ascii="Times New Roman" w:hAnsi="Times New Roman" w:cs="Times New Roman"/>
          <w:noProof/>
          <w:color w:val="000000"/>
          <w:sz w:val="20"/>
        </w:rPr>
        <w:t>l need to continue increasing the share of renewables, which it has successfully done in heating and power generation sectors, but has struggled to do in transport. In addition, it will need to boost its circular economy performance and improve the sustain</w:t>
      </w:r>
      <w:r>
        <w:rPr>
          <w:rFonts w:ascii="Times New Roman" w:hAnsi="Times New Roman" w:cs="Times New Roman"/>
          <w:noProof/>
          <w:color w:val="000000"/>
          <w:sz w:val="20"/>
        </w:rPr>
        <w:t>ability of its agricultural and forestry practices. The Commission’s proposal for a Just Transition Mechanism under the next multi-annual financial framework for the period 2021-2027, includes a Just Transition Fund, a dedicated just transition scheme unde</w:t>
      </w:r>
      <w:r>
        <w:rPr>
          <w:rFonts w:ascii="Times New Roman" w:hAnsi="Times New Roman" w:cs="Times New Roman"/>
          <w:noProof/>
          <w:color w:val="000000"/>
          <w:sz w:val="20"/>
        </w:rPr>
        <w:t>r InvestEU, and a new public sector loan facility with the EIB. It is designed to ensure that the transition towards EU climate neutrality is fair by helping the most affected regions in Latvia to address the social and economic consequences. Key prioritie</w:t>
      </w:r>
      <w:r>
        <w:rPr>
          <w:rFonts w:ascii="Times New Roman" w:hAnsi="Times New Roman" w:cs="Times New Roman"/>
          <w:noProof/>
          <w:color w:val="000000"/>
          <w:sz w:val="20"/>
        </w:rPr>
        <w:t>s for support by the Just Transition Fund, set up as part of the Just Transition Mechanism, are identified in Annex D, building on the analysis of the transition challenges outlined in this report.</w:t>
      </w:r>
    </w:p>
    <w:p w:rsidR="00A8765D" w:rsidRDefault="006C09F5">
      <w:pPr>
        <w:pStyle w:val="ListParagraph"/>
        <w:numPr>
          <w:ilvl w:val="0"/>
          <w:numId w:val="17"/>
        </w:numPr>
        <w:tabs>
          <w:tab w:val="num" w:pos="283"/>
        </w:tabs>
        <w:spacing w:after="240" w:line="240" w:lineRule="atLeast"/>
        <w:contextualSpacing w:val="0"/>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 Latvia invests little in research and innovation and face</w:t>
      </w:r>
      <w:r>
        <w:rPr>
          <w:rFonts w:ascii="Times New Roman" w:hAnsi="Times New Roman" w:cs="Times New Roman"/>
          <w:b/>
          <w:noProof/>
          <w:color w:val="000000"/>
          <w:sz w:val="20"/>
        </w:rPr>
        <w:t>s a shortage of researchers.</w:t>
      </w:r>
      <w:r>
        <w:rPr>
          <w:rFonts w:ascii="Times New Roman" w:hAnsi="Times New Roman" w:cs="Times New Roman"/>
          <w:noProof/>
          <w:color w:val="000000"/>
          <w:sz w:val="20"/>
        </w:rPr>
        <w:t xml:space="preserve"> In 2018, Latvia invested 0.64% of GDP in research and innovation, which was among the lowest in the EU. Moreover, the investment is highly dependent on EU funding and has not noticeably increased for more than a decade. The ser</w:t>
      </w:r>
      <w:r>
        <w:rPr>
          <w:rFonts w:ascii="Times New Roman" w:hAnsi="Times New Roman" w:cs="Times New Roman"/>
          <w:noProof/>
          <w:color w:val="000000"/>
          <w:sz w:val="20"/>
        </w:rPr>
        <w:t xml:space="preserve">ious underfunding of the system hinders its effectiveness and its attractiveness to researchers, especially young researchers. Moreover, the system suffers from governance fragmentation. On the positive side, Latvia has a vibrant start-up community, which </w:t>
      </w:r>
      <w:r>
        <w:rPr>
          <w:rFonts w:ascii="Times New Roman" w:hAnsi="Times New Roman" w:cs="Times New Roman"/>
          <w:noProof/>
          <w:color w:val="000000"/>
          <w:sz w:val="20"/>
        </w:rPr>
        <w:t>boosts its innovation output somewhat against a backdrop of rather weak performance on other fronts.</w:t>
      </w:r>
    </w:p>
    <w:p w:rsidR="00A8765D" w:rsidRDefault="006C09F5">
      <w:pPr>
        <w:pStyle w:val="ListParagraph"/>
        <w:numPr>
          <w:ilvl w:val="0"/>
          <w:numId w:val="17"/>
        </w:numPr>
        <w:tabs>
          <w:tab w:val="num" w:pos="283"/>
        </w:tabs>
        <w:spacing w:after="240" w:line="240" w:lineRule="atLeast"/>
        <w:contextualSpacing w:val="0"/>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 Latvia is undertaking a major administrative territorial reform aiming to improve the functioning of municipalities.</w:t>
      </w:r>
      <w:r>
        <w:rPr>
          <w:rFonts w:ascii="Times New Roman" w:hAnsi="Times New Roman" w:cs="Times New Roman"/>
          <w:noProof/>
          <w:color w:val="000000"/>
          <w:sz w:val="20"/>
        </w:rPr>
        <w:t xml:space="preserve"> Latvia has begun work to consolidate </w:t>
      </w:r>
      <w:r>
        <w:rPr>
          <w:rFonts w:ascii="Times New Roman" w:hAnsi="Times New Roman" w:cs="Times New Roman"/>
          <w:noProof/>
          <w:color w:val="000000"/>
          <w:sz w:val="20"/>
        </w:rPr>
        <w:t>its 119 municipalities to less than 40. The reform aims to increase the municipalities’ capacity to foster development and provide better quality services. The larger municipalities, however, will need to make infrastructure investments to ensure quality p</w:t>
      </w:r>
      <w:r>
        <w:rPr>
          <w:rFonts w:ascii="Times New Roman" w:hAnsi="Times New Roman" w:cs="Times New Roman"/>
          <w:noProof/>
          <w:color w:val="000000"/>
          <w:sz w:val="20"/>
        </w:rPr>
        <w:t>ublic services are accessible to citizens living further away from the centres of the new municipalities. A participatory approach with involvement and commitment of all stakeholders is important to ensure the sustainability and swift implementation of the</w:t>
      </w:r>
      <w:r>
        <w:rPr>
          <w:rFonts w:ascii="Times New Roman" w:hAnsi="Times New Roman" w:cs="Times New Roman"/>
          <w:noProof/>
          <w:color w:val="000000"/>
          <w:sz w:val="20"/>
        </w:rPr>
        <w:t xml:space="preserve"> reform. </w:t>
      </w:r>
    </w:p>
    <w:p w:rsidR="00A8765D" w:rsidRDefault="006C09F5">
      <w:pPr>
        <w:pStyle w:val="ListParagraph"/>
        <w:numPr>
          <w:ilvl w:val="0"/>
          <w:numId w:val="17"/>
        </w:numPr>
        <w:tabs>
          <w:tab w:val="num" w:pos="283"/>
        </w:tabs>
        <w:spacing w:after="240" w:line="240" w:lineRule="atLeast"/>
        <w:contextualSpacing w:val="0"/>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 Latvia is taking steps to improve the effectiveness of its justice system and the fight against corruption. However, improving the quality of public procurement remains a challenge. </w:t>
      </w:r>
      <w:r>
        <w:rPr>
          <w:rFonts w:ascii="Times New Roman" w:hAnsi="Times New Roman" w:cs="Times New Roman"/>
          <w:noProof/>
          <w:color w:val="000000"/>
          <w:sz w:val="20"/>
        </w:rPr>
        <w:t>The quality of the justice system is being improved, particular</w:t>
      </w:r>
      <w:r>
        <w:rPr>
          <w:rFonts w:ascii="Times New Roman" w:hAnsi="Times New Roman" w:cs="Times New Roman"/>
          <w:noProof/>
          <w:color w:val="000000"/>
          <w:sz w:val="20"/>
        </w:rPr>
        <w:t>ly by introducing a unified complaints portal and evening out workload. It is also progressing well on fighting corruption as evidenced by gradually improving corruption perception figures and a reinforced capacity to investigate corruption, including high</w:t>
      </w:r>
      <w:r>
        <w:rPr>
          <w:rFonts w:ascii="Times New Roman" w:hAnsi="Times New Roman" w:cs="Times New Roman"/>
          <w:noProof/>
          <w:color w:val="000000"/>
          <w:sz w:val="20"/>
        </w:rPr>
        <w:t xml:space="preserve"> profile cases. However, in European comparison corruption perception remains high. Shortcomings remain as regards the oversight of implementation of anti-corruption actions. Transparency in public procurement could be improved, considering that the negati</w:t>
      </w:r>
      <w:r>
        <w:rPr>
          <w:rFonts w:ascii="Times New Roman" w:hAnsi="Times New Roman" w:cs="Times New Roman"/>
          <w:noProof/>
          <w:color w:val="000000"/>
          <w:sz w:val="20"/>
        </w:rPr>
        <w:t xml:space="preserve">ve perception among business of the fairness of procurement process remains high. This in turn could enhance competition. </w:t>
      </w:r>
    </w:p>
    <w:bookmarkEnd w:id="6"/>
    <w:p w:rsidR="00A8765D" w:rsidRDefault="00A8765D">
      <w:pPr>
        <w:spacing w:after="240" w:line="240" w:lineRule="atLeast"/>
        <w:jc w:val="both"/>
        <w:rPr>
          <w:rFonts w:ascii="Times New Roman" w:hAnsi="Times New Roman" w:cs="Times New Roman"/>
          <w:noProof/>
          <w:color w:val="000000"/>
          <w:sz w:val="20"/>
        </w:rPr>
        <w:sectPr w:rsidR="00A8765D">
          <w:headerReference w:type="even" r:id="rId21"/>
          <w:headerReference w:type="default" r:id="rId22"/>
          <w:footerReference w:type="even" r:id="rId23"/>
          <w:footerReference w:type="default" r:id="rId24"/>
          <w:headerReference w:type="first" r:id="rId25"/>
          <w:footerReference w:type="first" r:id="rId26"/>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bookmarkStart w:id="9" w:name="GUIDE7EC844008F84B10BF0FC8A867BF3C31"/>
    <w:p w:rsidR="00A8765D" w:rsidRDefault="006C09F5">
      <w:pPr>
        <w:spacing w:after="240" w:line="240" w:lineRule="atLeast"/>
        <w:jc w:val="both"/>
        <w:rPr>
          <w:rFonts w:ascii="Times New Roman" w:hAnsi="Times New Roman" w:cs="Times New Roman"/>
          <w:noProof/>
          <w:vanish/>
          <w:color w:val="000000"/>
          <w:sz w:val="20"/>
        </w:rPr>
      </w:pPr>
      <w:r>
        <w:rPr>
          <w:rFonts w:ascii="Times New Roman" w:hAnsi="Times New Roman" w:cs="Times New Roman"/>
          <w:noProof/>
          <w:vanish/>
          <w:color w:val="000000"/>
          <w:sz w:val="20"/>
        </w:rPr>
        <w:fldChar w:fldCharType="begin"/>
      </w:r>
      <w:r>
        <w:rPr>
          <w:rFonts w:ascii="Times New Roman" w:hAnsi="Times New Roman" w:cs="Times New Roman"/>
          <w:noProof/>
          <w:color w:val="000000"/>
          <w:sz w:val="20"/>
        </w:rPr>
        <w:instrText xml:space="preserve"> TC "</w:instrText>
      </w:r>
      <w:bookmarkStart w:id="10" w:name="_Toc33020594"/>
      <w:r>
        <w:rPr>
          <w:rFonts w:ascii="Times New Roman" w:hAnsi="Times New Roman" w:cs="Times New Roman"/>
          <w:noProof/>
          <w:color w:val="000000"/>
          <w:sz w:val="20"/>
        </w:rPr>
        <w:instrText>1.</w:instrText>
      </w:r>
      <w:r>
        <w:rPr>
          <w:rFonts w:ascii="Times New Roman" w:hAnsi="Times New Roman" w:cs="Times New Roman"/>
          <w:noProof/>
          <w:color w:val="000000"/>
          <w:sz w:val="20"/>
        </w:rPr>
        <w:tab/>
      </w:r>
      <w:r>
        <w:rPr>
          <w:rFonts w:ascii="Times New Roman" w:hAnsi="Times New Roman" w:cs="Times New Roman"/>
          <w:noProof/>
          <w:color w:val="000000"/>
          <w:sz w:val="20"/>
        </w:rPr>
        <w:instrText>Economic situation and outlook</w:instrText>
      </w:r>
      <w:bookmarkEnd w:id="10"/>
      <w:r>
        <w:rPr>
          <w:rFonts w:ascii="Times New Roman" w:hAnsi="Times New Roman" w:cs="Times New Roman"/>
          <w:noProof/>
          <w:color w:val="000000"/>
          <w:sz w:val="20"/>
        </w:rPr>
        <w:instrText xml:space="preserve">" \f \l 2 </w:instrText>
      </w:r>
      <w:r>
        <w:rPr>
          <w:rFonts w:ascii="Times New Roman" w:hAnsi="Times New Roman" w:cs="Times New Roman"/>
          <w:noProof/>
          <w:vanish/>
          <w:color w:val="000000"/>
          <w:sz w:val="20"/>
        </w:rPr>
        <w:fldChar w:fldCharType="end"/>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GDP growth</w:t>
      </w:r>
    </w:p>
    <w:p w:rsidR="00A8765D" w:rsidRDefault="006C09F5">
      <w:pPr>
        <w:spacing w:after="240" w:line="240" w:lineRule="atLeast"/>
        <w:jc w:val="both"/>
        <w:rPr>
          <w:rFonts w:ascii="Times New Roman" w:hAnsi="Times New Roman" w:cs="Times New Roman"/>
          <w:noProof/>
          <w:color w:val="000000"/>
          <w:sz w:val="20"/>
          <w:highlight w:val="yellow"/>
        </w:rPr>
      </w:pPr>
      <w:r>
        <w:rPr>
          <w:rFonts w:ascii="Times New Roman" w:hAnsi="Times New Roman" w:cs="Times New Roman"/>
          <w:b/>
          <w:noProof/>
          <w:color w:val="000000"/>
          <w:sz w:val="20"/>
        </w:rPr>
        <w:t xml:space="preserve">In 2019, growth slowed as the investment cycle matured and external demand weakened. At the same time, continuously strong private consumption helped sustain a healthy growth rate. </w:t>
      </w:r>
      <w:r>
        <w:rPr>
          <w:rFonts w:ascii="Times New Roman" w:hAnsi="Times New Roman" w:cs="Times New Roman"/>
          <w:noProof/>
          <w:color w:val="000000"/>
          <w:sz w:val="20"/>
        </w:rPr>
        <w:t xml:space="preserve">GDP growth is </w:t>
      </w:r>
      <w:r>
        <w:rPr>
          <w:rFonts w:ascii="Times New Roman" w:hAnsi="Times New Roman" w:cs="Times New Roman"/>
          <w:noProof/>
          <w:color w:val="000000"/>
          <w:sz w:val="20"/>
        </w:rPr>
        <w:t>expected to have reached 2.1% in 2019. The growth rate of all components slowed compared to 2018, with investment seeing the sharpest decline. The slowdown of investment and construction, in particular, led to lower employment growth, which in turn had a k</w:t>
      </w:r>
      <w:r>
        <w:rPr>
          <w:rFonts w:ascii="Times New Roman" w:hAnsi="Times New Roman" w:cs="Times New Roman"/>
          <w:noProof/>
          <w:color w:val="000000"/>
          <w:sz w:val="20"/>
        </w:rPr>
        <w:t>nock-on effect on household consumption. While weakening external demand weighed on exports, they maintained solid growth thanks to dynamic services export. The falling labour supply ensured that the unemployment rate continued to decline despite less buoy</w:t>
      </w:r>
      <w:r>
        <w:rPr>
          <w:rFonts w:ascii="Times New Roman" w:hAnsi="Times New Roman" w:cs="Times New Roman"/>
          <w:noProof/>
          <w:color w:val="000000"/>
          <w:sz w:val="20"/>
        </w:rPr>
        <w:t>ant growth in employment. Inflation accelerated somewhat compared to 2018, notably due to an increase in food and utilities price growth.</w:t>
      </w: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Graph 1.1:</w:t>
            </w:r>
            <w:r>
              <w:rPr>
                <w:rFonts w:ascii="Century Gothic" w:hAnsi="Century Gothic" w:cs="Times New Roman"/>
                <w:b/>
                <w:noProof/>
                <w:color w:val="333399"/>
                <w:sz w:val="14"/>
              </w:rPr>
              <w:tab/>
              <w:t>GDP growth and contribution of components</w:t>
            </w:r>
          </w:p>
        </w:tc>
      </w:tr>
      <w:tr w:rsidR="00A8765D">
        <w:trPr>
          <w:cantSplit/>
        </w:trPr>
        <w:tc>
          <w:tcPr>
            <w:tcW w:w="4111"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11" w:name="_Toc33020645"/>
            <w:r>
              <w:rPr>
                <w:rFonts w:ascii="Times New Roman" w:hAnsi="Times New Roman" w:cs="Times New Roman"/>
                <w:noProof/>
                <w:color w:val="000000"/>
                <w:sz w:val="20"/>
              </w:rPr>
              <w:instrText>1.1.</w:instrText>
            </w:r>
            <w:r>
              <w:rPr>
                <w:rFonts w:ascii="Times New Roman" w:hAnsi="Times New Roman" w:cs="Times New Roman"/>
                <w:noProof/>
                <w:color w:val="000000"/>
                <w:sz w:val="20"/>
              </w:rPr>
              <w:tab/>
              <w:instrText>GDP growth and contribution of components</w:instrText>
            </w:r>
            <w:bookmarkEnd w:id="11"/>
            <w:r>
              <w:rPr>
                <w:rFonts w:ascii="Times New Roman" w:hAnsi="Times New Roman" w:cs="Times New Roman"/>
                <w:noProof/>
                <w:color w:val="000000"/>
                <w:sz w:val="20"/>
              </w:rPr>
              <w:instrText xml:space="preserve">" \fgraph \l </w:instrText>
            </w:r>
            <w:r>
              <w:rPr>
                <w:rFonts w:ascii="Times New Roman" w:hAnsi="Times New Roman" w:cs="Times New Roman"/>
                <w:noProof/>
                <w:color w:val="000000"/>
                <w:sz w:val="20"/>
              </w:rPr>
              <w:instrText xml:space="preserve">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0"/>
                <w:lang w:eastAsia="en-GB"/>
              </w:rPr>
              <w:drawing>
                <wp:inline distT="0" distB="0" distL="0" distR="0">
                  <wp:extent cx="2597150" cy="27127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7150" cy="2712720"/>
                          </a:xfrm>
                          <a:prstGeom prst="rect">
                            <a:avLst/>
                          </a:prstGeom>
                          <a:noFill/>
                        </pic:spPr>
                      </pic:pic>
                    </a:graphicData>
                  </a:graphic>
                </wp:inline>
              </w:drawing>
            </w:r>
            <w:r>
              <w:rPr>
                <w:rFonts w:ascii="Times New Roman" w:hAnsi="Times New Roman" w:cs="Times New Roman"/>
                <w:noProof/>
                <w:color w:val="000000"/>
                <w:sz w:val="2"/>
              </w:rPr>
              <w:t xml:space="preserve"> </w:t>
            </w:r>
          </w:p>
        </w:tc>
      </w:tr>
      <w:tr w:rsidR="00A8765D">
        <w:trPr>
          <w:cantSplit/>
        </w:trPr>
        <w:tc>
          <w:tcPr>
            <w:tcW w:w="4111" w:type="dxa"/>
            <w:shd w:val="clear" w:color="auto" w:fill="auto"/>
            <w:tcMar>
              <w:bottom w:w="240" w:type="dxa"/>
            </w:tcMar>
          </w:tcPr>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European Commission</w:t>
            </w:r>
          </w:p>
        </w:tc>
      </w:tr>
    </w:tbl>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The Commission's Winter Forecast projects growth to remain broadly constant in 2020 and 2021 as slightly stronger domestic demand is expected to compensate for falling export growth. </w:t>
      </w:r>
      <w:r>
        <w:rPr>
          <w:rFonts w:ascii="Times New Roman" w:hAnsi="Times New Roman" w:cs="Times New Roman"/>
          <w:noProof/>
          <w:color w:val="000000"/>
          <w:sz w:val="20"/>
        </w:rPr>
        <w:t>Private consumption is set to benefit from rapid wage growth and slowing inflation, thus being the main growth driver. Investment growth meanwhile is expected to decelerate further in 2020 before recovering somewhat in 2021. Export growth in 2020 is set to</w:t>
      </w:r>
      <w:r>
        <w:rPr>
          <w:rFonts w:ascii="Times New Roman" w:hAnsi="Times New Roman" w:cs="Times New Roman"/>
          <w:noProof/>
          <w:color w:val="000000"/>
          <w:sz w:val="20"/>
        </w:rPr>
        <w:t xml:space="preserve"> benefit slightly from the good harvest of 2019. However, this will not be enough to compensate for the drag on growth coming from weakening external demand. Overall, growth is forecast to reach 2.3% in 2020 and increase slightly to 2.4% in 2021. </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Consumpt</w:t>
      </w:r>
      <w:r>
        <w:rPr>
          <w:rFonts w:ascii="Century Gothic" w:hAnsi="Century Gothic" w:cs="Times New Roman"/>
          <w:b/>
          <w:noProof/>
          <w:color w:val="333399"/>
          <w:sz w:val="18"/>
        </w:rPr>
        <w:t>ion</w:t>
      </w:r>
    </w:p>
    <w:p w:rsidR="00A8765D" w:rsidRDefault="006C09F5">
      <w:pPr>
        <w:spacing w:after="240" w:line="240" w:lineRule="atLeast"/>
        <w:jc w:val="both"/>
        <w:rPr>
          <w:rFonts w:ascii="Times New Roman" w:hAnsi="Times New Roman" w:cs="Times New Roman"/>
          <w:noProof/>
          <w:color w:val="000000"/>
          <w:sz w:val="20"/>
          <w:highlight w:val="yellow"/>
        </w:rPr>
      </w:pPr>
      <w:r>
        <w:rPr>
          <w:rFonts w:ascii="Times New Roman" w:hAnsi="Times New Roman" w:cs="Times New Roman"/>
          <w:b/>
          <w:noProof/>
          <w:color w:val="000000"/>
          <w:sz w:val="20"/>
        </w:rPr>
        <w:t>Despite the slowdown in 2019, private consumption is set to remain strong on the back of robust growth in real disposable income.</w:t>
      </w:r>
      <w:r>
        <w:rPr>
          <w:rFonts w:ascii="Times New Roman" w:hAnsi="Times New Roman" w:cs="Times New Roman"/>
          <w:noProof/>
          <w:color w:val="000000"/>
          <w:sz w:val="20"/>
        </w:rPr>
        <w:t xml:space="preserve"> In 2019, household consumption is forecast to have grown by 3.2%, somewhat lower than the 4.2% growth in 2018. The slowdow</w:t>
      </w:r>
      <w:r>
        <w:rPr>
          <w:rFonts w:ascii="Times New Roman" w:hAnsi="Times New Roman" w:cs="Times New Roman"/>
          <w:noProof/>
          <w:color w:val="000000"/>
          <w:sz w:val="20"/>
        </w:rPr>
        <w:t xml:space="preserve">n was primarily due to lower employment growth and higher inflation which both restrained disposable income growth. However, with the labour market set to remain tight, robust wage growth combined with abating inflation are expected to ensure solid growth </w:t>
      </w:r>
      <w:r>
        <w:rPr>
          <w:rFonts w:ascii="Times New Roman" w:hAnsi="Times New Roman" w:cs="Times New Roman"/>
          <w:noProof/>
          <w:color w:val="000000"/>
          <w:sz w:val="20"/>
        </w:rPr>
        <w:t xml:space="preserve">of real income and by extension – private consumption. Consumer confidence remains high, providing further support for private consumption. </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Investment</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Investment is set to gradually slow as inflows of EU funds approach their peak in 2020. However, the beg</w:t>
      </w:r>
      <w:r>
        <w:rPr>
          <w:rFonts w:ascii="Times New Roman" w:hAnsi="Times New Roman" w:cs="Times New Roman"/>
          <w:b/>
          <w:noProof/>
          <w:color w:val="000000"/>
          <w:sz w:val="20"/>
        </w:rPr>
        <w:t>inning of the Rail Baltica project is expected to boost investments in 2021.</w:t>
      </w:r>
      <w:r>
        <w:rPr>
          <w:rFonts w:ascii="Times New Roman" w:hAnsi="Times New Roman" w:cs="Times New Roman"/>
          <w:noProof/>
          <w:color w:val="000000"/>
          <w:sz w:val="20"/>
        </w:rPr>
        <w:t xml:space="preserve"> In 2019, investment is forecast to have grown by 4.5% - notably less than the double-digit growth rates seen in 2017 and 2018. Due to EU fund inflows levelling off, public investm</w:t>
      </w:r>
      <w:r>
        <w:rPr>
          <w:rFonts w:ascii="Times New Roman" w:hAnsi="Times New Roman" w:cs="Times New Roman"/>
          <w:noProof/>
          <w:color w:val="000000"/>
          <w:sz w:val="20"/>
        </w:rPr>
        <w:t>ent growth declined significantly while the momentum in private investment held up better. In 2020, public investment is expected to decline slightly while moderate growth in private investment should put the total growth rate in low positive territory. Th</w:t>
      </w:r>
      <w:r>
        <w:rPr>
          <w:rFonts w:ascii="Times New Roman" w:hAnsi="Times New Roman" w:cs="Times New Roman"/>
          <w:noProof/>
          <w:color w:val="000000"/>
          <w:sz w:val="20"/>
        </w:rPr>
        <w:t xml:space="preserve">e construction related to the Rail Baltica project (see Section 3.4) is expected to begin at the end of 2020 and should boost the investment growth rate in 2021. </w:t>
      </w: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Graph 1.2:</w:t>
            </w:r>
            <w:r>
              <w:rPr>
                <w:rFonts w:ascii="Century Gothic" w:hAnsi="Century Gothic" w:cs="Times New Roman"/>
                <w:b/>
                <w:noProof/>
                <w:color w:val="333399"/>
                <w:sz w:val="14"/>
              </w:rPr>
              <w:tab/>
              <w:t>Investment growth and contributions, %</w:t>
            </w:r>
          </w:p>
        </w:tc>
      </w:tr>
      <w:tr w:rsidR="00A8765D">
        <w:trPr>
          <w:cantSplit/>
        </w:trPr>
        <w:tc>
          <w:tcPr>
            <w:tcW w:w="4111"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12" w:name="_Toc33020646"/>
            <w:r>
              <w:rPr>
                <w:rFonts w:ascii="Times New Roman" w:hAnsi="Times New Roman" w:cs="Times New Roman"/>
                <w:noProof/>
                <w:color w:val="000000"/>
                <w:sz w:val="20"/>
              </w:rPr>
              <w:instrText>1.2.</w:instrText>
            </w:r>
            <w:r>
              <w:rPr>
                <w:rFonts w:ascii="Times New Roman" w:hAnsi="Times New Roman" w:cs="Times New Roman"/>
                <w:noProof/>
                <w:color w:val="000000"/>
                <w:sz w:val="20"/>
              </w:rPr>
              <w:tab/>
              <w:instrText xml:space="preserve">Investment growth and </w:instrText>
            </w:r>
            <w:r>
              <w:rPr>
                <w:rFonts w:ascii="Times New Roman" w:hAnsi="Times New Roman" w:cs="Times New Roman"/>
                <w:noProof/>
                <w:color w:val="000000"/>
                <w:sz w:val="20"/>
              </w:rPr>
              <w:instrText>contributions, %</w:instrText>
            </w:r>
            <w:bookmarkEnd w:id="12"/>
            <w:r>
              <w:rPr>
                <w:rFonts w:ascii="Times New Roman" w:hAnsi="Times New Roman" w:cs="Times New Roman"/>
                <w:noProof/>
                <w:color w:val="000000"/>
                <w:sz w:val="20"/>
              </w:rPr>
              <w:instrText xml:space="preserve">" \fgraph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0"/>
                <w:lang w:eastAsia="en-GB"/>
              </w:rPr>
              <w:drawing>
                <wp:inline distT="0" distB="0" distL="0" distR="0">
                  <wp:extent cx="2597150" cy="24447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7150" cy="2444750"/>
                          </a:xfrm>
                          <a:prstGeom prst="rect">
                            <a:avLst/>
                          </a:prstGeom>
                          <a:noFill/>
                        </pic:spPr>
                      </pic:pic>
                    </a:graphicData>
                  </a:graphic>
                </wp:inline>
              </w:drawing>
            </w:r>
            <w:r>
              <w:rPr>
                <w:rFonts w:ascii="Times New Roman" w:hAnsi="Times New Roman" w:cs="Times New Roman"/>
                <w:noProof/>
                <w:color w:val="000000"/>
                <w:sz w:val="2"/>
              </w:rPr>
              <w:t xml:space="preserve"> </w:t>
            </w:r>
          </w:p>
        </w:tc>
      </w:tr>
      <w:tr w:rsidR="00A8765D">
        <w:trPr>
          <w:cantSplit/>
        </w:trPr>
        <w:tc>
          <w:tcPr>
            <w:tcW w:w="4111" w:type="dxa"/>
            <w:shd w:val="clear" w:color="auto" w:fill="auto"/>
            <w:tcMar>
              <w:bottom w:w="240" w:type="dxa"/>
            </w:tcMar>
          </w:tcPr>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European Commission</w:t>
            </w:r>
          </w:p>
        </w:tc>
      </w:tr>
    </w:tbl>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Trade</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Exports slow amid weakening external demand while decelerating investment curbs import growth.</w:t>
      </w:r>
      <w:r>
        <w:rPr>
          <w:rFonts w:ascii="Times New Roman" w:hAnsi="Times New Roman" w:cs="Times New Roman"/>
          <w:noProof/>
          <w:color w:val="000000"/>
          <w:sz w:val="20"/>
        </w:rPr>
        <w:t xml:space="preserve"> In 2019, </w:t>
      </w:r>
      <w:r>
        <w:rPr>
          <w:rFonts w:ascii="Times New Roman" w:hAnsi="Times New Roman" w:cs="Times New Roman"/>
          <w:b/>
          <w:noProof/>
          <w:color w:val="000000"/>
          <w:sz w:val="20"/>
        </w:rPr>
        <w:t>e</w:t>
      </w:r>
      <w:r>
        <w:rPr>
          <w:rFonts w:ascii="Times New Roman" w:hAnsi="Times New Roman" w:cs="Times New Roman"/>
          <w:noProof/>
          <w:color w:val="000000"/>
          <w:sz w:val="20"/>
        </w:rPr>
        <w:t>xports are forecast to have grown by 2.7%, down from 4.0% in 2018. The slowdown is partly due to a drop in re-exports. However, there was also a slowdown in growth in exports of domestically produced merchandise, most notably wood products, after the boost</w:t>
      </w:r>
      <w:r>
        <w:rPr>
          <w:rFonts w:ascii="Times New Roman" w:hAnsi="Times New Roman" w:cs="Times New Roman"/>
          <w:noProof/>
          <w:color w:val="000000"/>
          <w:sz w:val="20"/>
        </w:rPr>
        <w:t xml:space="preserve"> from high timber prices of previous years. On the positive side, services export growth improved compared to 2018 thanks to the especially strong performance of business and IT services exports, which outweighed the languishing transport sector — Latvia’s</w:t>
      </w:r>
      <w:r>
        <w:rPr>
          <w:rFonts w:ascii="Times New Roman" w:hAnsi="Times New Roman" w:cs="Times New Roman"/>
          <w:noProof/>
          <w:color w:val="000000"/>
          <w:sz w:val="20"/>
        </w:rPr>
        <w:t xml:space="preserve"> biggest services export sector. Over the coming years, export growth is unlikely to improve significantly given the weakening demand from the country’s main export markets. </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Inflation</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Inflation reaches its peak in 2019 as food and utility prices drove it </w:t>
      </w:r>
      <w:r>
        <w:rPr>
          <w:rFonts w:ascii="Times New Roman" w:hAnsi="Times New Roman" w:cs="Times New Roman"/>
          <w:b/>
          <w:noProof/>
          <w:color w:val="000000"/>
          <w:sz w:val="20"/>
        </w:rPr>
        <w:t>past the 3 per cent mark.</w:t>
      </w:r>
      <w:r>
        <w:rPr>
          <w:rFonts w:ascii="Times New Roman" w:hAnsi="Times New Roman" w:cs="Times New Roman"/>
          <w:noProof/>
          <w:color w:val="000000"/>
          <w:sz w:val="20"/>
        </w:rPr>
        <w:t> HICP inflation reached 3.1% in 2019, up from 2.6% in 2018. The pick-up in inflation was due to hikes in the prices of several utilities at the beginning of the year, a pick-up in inflation for industrial goods and a spike in the g</w:t>
      </w:r>
      <w:r>
        <w:rPr>
          <w:rFonts w:ascii="Times New Roman" w:hAnsi="Times New Roman" w:cs="Times New Roman"/>
          <w:noProof/>
          <w:color w:val="000000"/>
          <w:sz w:val="20"/>
        </w:rPr>
        <w:t>rowth of food prices, which was partly the result of the previous year’s poor harvest. Services price growth at the same time remained stable, hovering around 3 per cent. It is expected that the acceleration in utility and food prices will have been tempor</w:t>
      </w:r>
      <w:r>
        <w:rPr>
          <w:rFonts w:ascii="Times New Roman" w:hAnsi="Times New Roman" w:cs="Times New Roman"/>
          <w:noProof/>
          <w:color w:val="000000"/>
          <w:sz w:val="20"/>
        </w:rPr>
        <w:t>ary and will therefore slow inflation this year and next. Inflation is forecast at 2.5% in 2020 and at 2.3% in 2021.</w:t>
      </w: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Graph 1.3:</w:t>
            </w:r>
            <w:r>
              <w:rPr>
                <w:rFonts w:ascii="Century Gothic" w:hAnsi="Century Gothic" w:cs="Times New Roman"/>
                <w:b/>
                <w:noProof/>
                <w:color w:val="333399"/>
                <w:sz w:val="14"/>
              </w:rPr>
              <w:tab/>
              <w:t>HICP inflation and contributions, % 12-month average year-on-year change</w:t>
            </w:r>
          </w:p>
        </w:tc>
      </w:tr>
      <w:tr w:rsidR="00A8765D">
        <w:trPr>
          <w:cantSplit/>
        </w:trPr>
        <w:tc>
          <w:tcPr>
            <w:tcW w:w="4111"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13" w:name="_Toc33020647"/>
            <w:r>
              <w:rPr>
                <w:rFonts w:ascii="Times New Roman" w:hAnsi="Times New Roman" w:cs="Times New Roman"/>
                <w:noProof/>
                <w:color w:val="000000"/>
                <w:sz w:val="20"/>
              </w:rPr>
              <w:instrText>1.3.</w:instrText>
            </w:r>
            <w:r>
              <w:rPr>
                <w:rFonts w:ascii="Times New Roman" w:hAnsi="Times New Roman" w:cs="Times New Roman"/>
                <w:noProof/>
                <w:color w:val="000000"/>
                <w:sz w:val="20"/>
              </w:rPr>
              <w:tab/>
              <w:instrText>HICP inflation and contributions, % 12-month</w:instrText>
            </w:r>
            <w:r>
              <w:rPr>
                <w:rFonts w:ascii="Times New Roman" w:hAnsi="Times New Roman" w:cs="Times New Roman"/>
                <w:noProof/>
                <w:color w:val="000000"/>
                <w:sz w:val="20"/>
              </w:rPr>
              <w:instrText xml:space="preserve"> average year-on-year change</w:instrText>
            </w:r>
            <w:bookmarkEnd w:id="13"/>
            <w:r>
              <w:rPr>
                <w:rFonts w:ascii="Times New Roman" w:hAnsi="Times New Roman" w:cs="Times New Roman"/>
                <w:noProof/>
                <w:color w:val="000000"/>
                <w:sz w:val="20"/>
              </w:rPr>
              <w:instrText xml:space="preserve">" \fgraph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en-GB"/>
              </w:rPr>
              <w:drawing>
                <wp:inline distT="0" distB="0" distL="0" distR="0">
                  <wp:extent cx="2597595" cy="2234905"/>
                  <wp:effectExtent l="0" t="0" r="0" b="0"/>
                  <wp:docPr id="9" name="Picture 9" descr="&lt;nbr&gt;&lt;GETTEXTFROMWORD&gt;&lt;/nbr&gt;&#10;&lt;title&gt;&lt;GETTEXTFROMWORD&gt;&lt;/title&gt;&#10;&lt;id&gt;c35be04e-2998-461a-ab4a-9f88a8868d18&lt;/id&gt;&#10;&lt;srcType&gt;EXCEL&lt;/srcType&gt;&#10;&lt;srcPath&gt;O:\2017 CRs\2020 European semester\LV\LV2020_ graphs\&lt;/srcPath&gt;&#10;&lt;srcName&gt;HICP item contributions.xlsx&lt;/srcName&gt;&#10;&lt;type&gt;graph&lt;/type&gt;&#10; &lt;srcSheet&gt;Data&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9-11-18T14:57:56&lt;/scrFileTime&gt;&#10;&lt;imageInformation&gt;&#10; &lt;dontScaleUp&gt;no&lt;/dontScaleUp&gt;&#10; &lt;usedpercentageofavailablewidth&gt;100&lt;/usedpercentageofavailablewidth&gt;&#10;&lt;/imageInformation&gt;&#10;&lt;url&gt;Chap0/Chap0-Graph-%SectionNumber%.3.xlsx&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9">
                            <a:extLst>
                              <a:ext uri="{28A0092B-C50C-407E-A947-70E740481C1C}">
                                <a14:useLocalDpi xmlns:a14="http://schemas.microsoft.com/office/drawing/2010/main" val="0"/>
                              </a:ext>
                            </a:extLst>
                          </a:blip>
                          <a:srcRect/>
                          <a:stretch>
                            <a:fillRect/>
                          </a:stretch>
                        </pic:blipFill>
                        <pic:spPr>
                          <a:xfrm>
                            <a:off x="0" y="0"/>
                            <a:ext cx="2597595" cy="2234905"/>
                          </a:xfrm>
                          <a:prstGeom prst="rect">
                            <a:avLst/>
                          </a:prstGeom>
                        </pic:spPr>
                      </pic:pic>
                    </a:graphicData>
                  </a:graphic>
                </wp:inline>
              </w:drawing>
            </w:r>
            <w:r>
              <w:rPr>
                <w:rFonts w:ascii="Times New Roman" w:hAnsi="Times New Roman" w:cs="Times New Roman"/>
                <w:noProof/>
                <w:color w:val="000000"/>
                <w:sz w:val="2"/>
              </w:rPr>
              <w:t xml:space="preserve"> </w:t>
            </w:r>
          </w:p>
        </w:tc>
      </w:tr>
      <w:tr w:rsidR="00A8765D">
        <w:trPr>
          <w:cantSplit/>
        </w:trPr>
        <w:tc>
          <w:tcPr>
            <w:tcW w:w="4111" w:type="dxa"/>
            <w:shd w:val="clear" w:color="auto" w:fill="auto"/>
            <w:tcMar>
              <w:bottom w:w="240" w:type="dxa"/>
            </w:tcMar>
          </w:tcPr>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European Commission</w:t>
            </w:r>
          </w:p>
        </w:tc>
      </w:tr>
    </w:tbl>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Labour market</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At 6.4% in 2019, the unemployment rate edges closer to its record low as wage growth remains high.</w:t>
      </w:r>
      <w:r>
        <w:rPr>
          <w:rFonts w:ascii="Times New Roman" w:hAnsi="Times New Roman" w:cs="Times New Roman"/>
          <w:noProof/>
          <w:color w:val="000000"/>
          <w:sz w:val="20"/>
        </w:rPr>
        <w:t xml:space="preserve"> In 2019 the unemployment rate dropped to 6.4% from 7.4% in 2018. The unemployment rate continued falling despite a forecast 0.4% decline in employment — this was due to the declining active population. Employment was down in trade, while in construction i</w:t>
      </w:r>
      <w:r>
        <w:rPr>
          <w:rFonts w:ascii="Times New Roman" w:hAnsi="Times New Roman" w:cs="Times New Roman"/>
          <w:noProof/>
          <w:color w:val="000000"/>
          <w:sz w:val="20"/>
        </w:rPr>
        <w:t>t continued to grow. However, with investment growth projected to slow, employment demand from the construction sector should also fall. Nonetheless, a continued decline of the labour force is expected to keep the unemployment rate constant despite falling</w:t>
      </w:r>
      <w:r>
        <w:rPr>
          <w:rFonts w:ascii="Times New Roman" w:hAnsi="Times New Roman" w:cs="Times New Roman"/>
          <w:noProof/>
          <w:color w:val="000000"/>
          <w:sz w:val="20"/>
        </w:rPr>
        <w:t xml:space="preserve"> employment — it is forecast to remain at 6.4% in 2020 and 2021. The continued decline of the working age population is set to ensure a dwindling active population. Altogether, this will ensure the labour market remains tight over the forecast horizon, exe</w:t>
      </w:r>
      <w:r>
        <w:rPr>
          <w:rFonts w:ascii="Times New Roman" w:hAnsi="Times New Roman" w:cs="Times New Roman"/>
          <w:noProof/>
          <w:color w:val="000000"/>
          <w:sz w:val="20"/>
        </w:rPr>
        <w:t xml:space="preserve">rting upward pressure on wages. </w:t>
      </w: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Graph 1.4:</w:t>
            </w:r>
            <w:r>
              <w:rPr>
                <w:rFonts w:ascii="Century Gothic" w:hAnsi="Century Gothic" w:cs="Times New Roman"/>
                <w:b/>
                <w:noProof/>
                <w:color w:val="333399"/>
                <w:sz w:val="14"/>
              </w:rPr>
              <w:tab/>
              <w:t>Selected labour market indicators</w:t>
            </w:r>
          </w:p>
        </w:tc>
      </w:tr>
      <w:tr w:rsidR="00A8765D">
        <w:trPr>
          <w:cantSplit/>
        </w:trPr>
        <w:tc>
          <w:tcPr>
            <w:tcW w:w="4111"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14" w:name="_Toc33020648"/>
            <w:r>
              <w:rPr>
                <w:rFonts w:ascii="Times New Roman" w:hAnsi="Times New Roman" w:cs="Times New Roman"/>
                <w:noProof/>
                <w:color w:val="000000"/>
                <w:sz w:val="20"/>
              </w:rPr>
              <w:instrText>1.4.</w:instrText>
            </w:r>
            <w:r>
              <w:rPr>
                <w:rFonts w:ascii="Times New Roman" w:hAnsi="Times New Roman" w:cs="Times New Roman"/>
                <w:noProof/>
                <w:color w:val="000000"/>
                <w:sz w:val="20"/>
              </w:rPr>
              <w:tab/>
              <w:instrText>Selected labour market indicators</w:instrText>
            </w:r>
            <w:bookmarkEnd w:id="14"/>
            <w:r>
              <w:rPr>
                <w:rFonts w:ascii="Times New Roman" w:hAnsi="Times New Roman" w:cs="Times New Roman"/>
                <w:noProof/>
                <w:color w:val="000000"/>
                <w:sz w:val="20"/>
              </w:rPr>
              <w:instrText xml:space="preserve">" \fgraph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fr-BE"/>
              </w:rPr>
              <w:t xml:space="preserve"> </w:t>
            </w:r>
            <w:r>
              <w:rPr>
                <w:rFonts w:ascii="Times New Roman" w:hAnsi="Times New Roman" w:cs="Times New Roman"/>
                <w:noProof/>
                <w:color w:val="000000"/>
                <w:sz w:val="2"/>
                <w:lang w:eastAsia="en-GB"/>
              </w:rPr>
              <w:drawing>
                <wp:inline distT="0" distB="0" distL="0" distR="0">
                  <wp:extent cx="2581669" cy="243309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3016" cy="2443793"/>
                          </a:xfrm>
                          <a:prstGeom prst="rect">
                            <a:avLst/>
                          </a:prstGeom>
                          <a:noFill/>
                          <a:ln>
                            <a:noFill/>
                          </a:ln>
                        </pic:spPr>
                      </pic:pic>
                    </a:graphicData>
                  </a:graphic>
                </wp:inline>
              </w:drawing>
            </w:r>
            <w:r>
              <w:rPr>
                <w:rFonts w:ascii="Times New Roman" w:hAnsi="Times New Roman" w:cs="Times New Roman"/>
                <w:noProof/>
                <w:color w:val="000000"/>
                <w:sz w:val="2"/>
              </w:rPr>
              <w:t xml:space="preserve"> </w:t>
            </w:r>
          </w:p>
        </w:tc>
      </w:tr>
      <w:tr w:rsidR="00A8765D">
        <w:trPr>
          <w:cantSplit/>
        </w:trPr>
        <w:tc>
          <w:tcPr>
            <w:tcW w:w="4111" w:type="dxa"/>
            <w:shd w:val="clear" w:color="auto" w:fill="auto"/>
            <w:tcMar>
              <w:bottom w:w="240" w:type="dxa"/>
            </w:tcMar>
          </w:tcPr>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European Commission</w:t>
            </w:r>
          </w:p>
        </w:tc>
      </w:tr>
    </w:tbl>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Labour supply is expected to continue falling and skills mismatches have emerged. </w:t>
      </w:r>
      <w:r>
        <w:rPr>
          <w:rFonts w:ascii="Times New Roman" w:hAnsi="Times New Roman" w:cs="Times New Roman"/>
          <w:noProof/>
          <w:color w:val="000000"/>
          <w:sz w:val="20"/>
        </w:rPr>
        <w:t xml:space="preserve">The reduced labour supply – the outcome of natural population decline and emigration – has led to emerging labour shortages and a tightening labour market. In addition, skills mismatches prevail with large and increasing differences among the unemployment </w:t>
      </w:r>
      <w:r>
        <w:rPr>
          <w:rFonts w:ascii="Times New Roman" w:hAnsi="Times New Roman" w:cs="Times New Roman"/>
          <w:noProof/>
          <w:color w:val="000000"/>
          <w:sz w:val="20"/>
        </w:rPr>
        <w:t xml:space="preserve">rates of different skills groups (Section 3.3.1). </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Wages and productivity</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Rapid wage growth drives unit labour cost appreciation.</w:t>
      </w:r>
      <w:r>
        <w:rPr>
          <w:rFonts w:ascii="Times New Roman" w:hAnsi="Times New Roman" w:cs="Times New Roman"/>
          <w:noProof/>
          <w:color w:val="000000"/>
          <w:sz w:val="20"/>
        </w:rPr>
        <w:t xml:space="preserve"> Nominal wages grew by 8.5% in 2019, up from 7.6% growth in 2018. Wages have been increasing at a brisk pace for some time now with the average wage growth over the past 5 years reaching 7.9%, substantially above the EU average of 1.6%. Productivity growth</w:t>
      </w:r>
      <w:r>
        <w:rPr>
          <w:rFonts w:ascii="Times New Roman" w:hAnsi="Times New Roman" w:cs="Times New Roman"/>
          <w:noProof/>
          <w:color w:val="000000"/>
          <w:sz w:val="20"/>
        </w:rPr>
        <w:t xml:space="preserve"> has also been fairly rapid with 3.0% growth in 2019, slightly higher than the 2.8% average growth rate over the past 5 years. Wage growth, however, has outpaced productivity growth by some margin, leading to a significant appreciation in unit labour costs</w:t>
      </w:r>
      <w:r>
        <w:rPr>
          <w:rFonts w:ascii="Times New Roman" w:hAnsi="Times New Roman" w:cs="Times New Roman"/>
          <w:noProof/>
          <w:color w:val="000000"/>
          <w:sz w:val="20"/>
        </w:rPr>
        <w:t xml:space="preserve">, which grew by 5.3% in 2018 and the three-year growth of 14.7% is above the </w:t>
      </w:r>
      <w:r>
        <w:rPr>
          <w:rFonts w:ascii="Times New Roman" w:hAnsi="Times New Roman" w:cs="Times New Roman"/>
          <w:i/>
          <w:noProof/>
          <w:color w:val="000000"/>
          <w:sz w:val="20"/>
        </w:rPr>
        <w:t>macroeconomic imbalance procedure</w:t>
      </w:r>
      <w:r>
        <w:rPr>
          <w:rFonts w:ascii="Times New Roman" w:hAnsi="Times New Roman" w:cs="Times New Roman"/>
          <w:noProof/>
          <w:color w:val="000000"/>
          <w:sz w:val="20"/>
        </w:rPr>
        <w:t xml:space="preserve"> threshold of 12%. In 2019, unit labour cost growth is expected to have slowed along with slowing wage growth. However, looking forward, the tight</w:t>
      </w:r>
      <w:r>
        <w:rPr>
          <w:rFonts w:ascii="Times New Roman" w:hAnsi="Times New Roman" w:cs="Times New Roman"/>
          <w:noProof/>
          <w:color w:val="000000"/>
          <w:sz w:val="20"/>
        </w:rPr>
        <w:t xml:space="preserve"> labour market is set to continue driving swift wage growth, which may lead to elevated unit labour cost growth.</w:t>
      </w:r>
    </w:p>
    <w:p w:rsidR="00A8765D" w:rsidRDefault="00A8765D">
      <w:pPr>
        <w:spacing w:after="240" w:line="240" w:lineRule="atLeast"/>
        <w:jc w:val="both"/>
        <w:rPr>
          <w:rFonts w:ascii="Times New Roman" w:hAnsi="Times New Roman" w:cs="Times New Roman"/>
          <w:noProof/>
          <w:color w:val="000000"/>
          <w:sz w:val="20"/>
        </w:rPr>
      </w:pP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Graph 1.5:</w:t>
            </w:r>
            <w:r>
              <w:rPr>
                <w:rFonts w:ascii="Century Gothic" w:hAnsi="Century Gothic" w:cs="Times New Roman"/>
                <w:b/>
                <w:noProof/>
                <w:color w:val="333399"/>
                <w:sz w:val="14"/>
              </w:rPr>
              <w:tab/>
              <w:t>Wages, productivity and unit labour costs, index 2000=100</w:t>
            </w:r>
          </w:p>
        </w:tc>
      </w:tr>
      <w:tr w:rsidR="00A8765D">
        <w:trPr>
          <w:cantSplit/>
        </w:trPr>
        <w:tc>
          <w:tcPr>
            <w:tcW w:w="4111"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15" w:name="_Toc33020649"/>
            <w:r>
              <w:rPr>
                <w:rFonts w:ascii="Times New Roman" w:hAnsi="Times New Roman" w:cs="Times New Roman"/>
                <w:noProof/>
                <w:color w:val="000000"/>
                <w:sz w:val="20"/>
              </w:rPr>
              <w:instrText>1.5.</w:instrText>
            </w:r>
            <w:r>
              <w:rPr>
                <w:rFonts w:ascii="Times New Roman" w:hAnsi="Times New Roman" w:cs="Times New Roman"/>
                <w:noProof/>
                <w:color w:val="000000"/>
                <w:sz w:val="20"/>
              </w:rPr>
              <w:tab/>
              <w:instrText>Wages, productivity and unit labour costs, index 2000=100</w:instrText>
            </w:r>
            <w:bookmarkEnd w:id="15"/>
            <w:r>
              <w:rPr>
                <w:rFonts w:ascii="Times New Roman" w:hAnsi="Times New Roman" w:cs="Times New Roman"/>
                <w:noProof/>
                <w:color w:val="000000"/>
                <w:sz w:val="20"/>
              </w:rPr>
              <w:instrText>" \fg</w:instrText>
            </w:r>
            <w:r>
              <w:rPr>
                <w:rFonts w:ascii="Times New Roman" w:hAnsi="Times New Roman" w:cs="Times New Roman"/>
                <w:noProof/>
                <w:color w:val="000000"/>
                <w:sz w:val="20"/>
              </w:rPr>
              <w:instrText xml:space="preserve">raph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en-GB"/>
              </w:rPr>
              <w:drawing>
                <wp:inline distT="0" distB="0" distL="0" distR="0">
                  <wp:extent cx="2597595" cy="2598227"/>
                  <wp:effectExtent l="0" t="0" r="0" b="0"/>
                  <wp:docPr id="8" name="Picture 8" descr="&lt;nbr&gt;&lt;GETTEXTFROMWORD&gt;&lt;/nbr&gt;&#10;&lt;title&gt;&lt;GETTEXTFROMWORD&gt;&lt;/title&gt;&#10;&lt;id&gt;198c2d46-0aa1-4076-8637-c8b0c7a3c20b&lt;/id&gt;&#10;&lt;srcType&gt;EXCEL&lt;/srcType&gt;&#10;&lt;srcPath&gt;O:\2017 CRs\2020 European semester\LV\LV2020_ graphs\&lt;/srcPath&gt;&#10;&lt;srcName&gt;EMPL LV wage benchmark.xlsx&lt;/srcName&gt;&#10;&lt;type&gt;graph&lt;/type&gt;&#10; &lt;srcSheet&gt;Sheet2&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9-12-10T14:24:42&lt;/scrFileTime&gt;&#10;&lt;imageInformation&gt;&#10; &lt;dontScaleUp&gt;no&lt;/dontScaleUp&gt;&#10; &lt;usedpercentageofavailablewidth&gt;100&lt;/usedpercentageofavailablewidth&gt;&#10;&lt;/imageInformation&gt;&#10;&lt;url&gt;Chap0/Chap0-Graph-%SectionNumber%.5.xlsx&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1">
                            <a:extLst>
                              <a:ext uri="{28A0092B-C50C-407E-A947-70E740481C1C}">
                                <a14:useLocalDpi xmlns:a14="http://schemas.microsoft.com/office/drawing/2010/main" val="0"/>
                              </a:ext>
                            </a:extLst>
                          </a:blip>
                          <a:srcRect/>
                          <a:stretch>
                            <a:fillRect/>
                          </a:stretch>
                        </pic:blipFill>
                        <pic:spPr>
                          <a:xfrm>
                            <a:off x="0" y="0"/>
                            <a:ext cx="2597595" cy="2598227"/>
                          </a:xfrm>
                          <a:prstGeom prst="rect">
                            <a:avLst/>
                          </a:prstGeom>
                        </pic:spPr>
                      </pic:pic>
                    </a:graphicData>
                  </a:graphic>
                </wp:inline>
              </w:drawing>
            </w:r>
            <w:r>
              <w:rPr>
                <w:rFonts w:ascii="Times New Roman" w:hAnsi="Times New Roman" w:cs="Times New Roman"/>
                <w:noProof/>
                <w:color w:val="000000"/>
                <w:sz w:val="2"/>
              </w:rPr>
              <w:t xml:space="preserve"> </w:t>
            </w:r>
          </w:p>
        </w:tc>
      </w:tr>
      <w:tr w:rsidR="00A8765D">
        <w:trPr>
          <w:cantSplit/>
        </w:trPr>
        <w:tc>
          <w:tcPr>
            <w:tcW w:w="4111" w:type="dxa"/>
            <w:shd w:val="clear" w:color="auto" w:fill="auto"/>
            <w:tcMar>
              <w:bottom w:w="240" w:type="dxa"/>
            </w:tcMar>
          </w:tcPr>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European Commission</w:t>
            </w:r>
          </w:p>
        </w:tc>
      </w:tr>
    </w:tbl>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Income level</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In 2018, Latvia’s GDP per capita stood at nearly 70% of the EU average.</w:t>
      </w:r>
      <w:r>
        <w:rPr>
          <w:rFonts w:ascii="Times New Roman" w:hAnsi="Times New Roman" w:cs="Times New Roman"/>
          <w:noProof/>
          <w:color w:val="000000"/>
          <w:sz w:val="20"/>
        </w:rPr>
        <w:t xml:space="preserve"> In 2018, Latvia’s GDP per capita increased by 5.4% — among the highest growth rates in the EU. It was driven in equal parts by productivity growth, which increased by 3.0% and by growth in the share of the employed population, which increased by 2.4%. In </w:t>
      </w:r>
      <w:r>
        <w:rPr>
          <w:rFonts w:ascii="Times New Roman" w:hAnsi="Times New Roman" w:cs="Times New Roman"/>
          <w:noProof/>
          <w:color w:val="000000"/>
          <w:sz w:val="20"/>
        </w:rPr>
        <w:t>purchasing power parity terms, it was 69.3% of the EU average, more than 3 percentage points higher than the year before. However, there are significant regional differences in GDP per capita within the country — in 2016, in Riga it stood at 165% of the na</w:t>
      </w:r>
      <w:r>
        <w:rPr>
          <w:rFonts w:ascii="Times New Roman" w:hAnsi="Times New Roman" w:cs="Times New Roman"/>
          <w:noProof/>
          <w:color w:val="000000"/>
          <w:sz w:val="20"/>
        </w:rPr>
        <w:t>tional average, while in the other regions it was below the national average with the poorest region — Latgale — producing only 51% of the national average. The differences in wage levels are smaller, with the Riga region’s wages being 113% compared with L</w:t>
      </w:r>
      <w:r>
        <w:rPr>
          <w:rFonts w:ascii="Times New Roman" w:hAnsi="Times New Roman" w:cs="Times New Roman"/>
          <w:noProof/>
          <w:color w:val="000000"/>
          <w:sz w:val="20"/>
        </w:rPr>
        <w:t xml:space="preserve">atgale’s 69% of the national average. </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Social developments</w:t>
      </w:r>
    </w:p>
    <w:p w:rsidR="00A8765D" w:rsidRDefault="006C09F5">
      <w:pPr>
        <w:spacing w:after="240" w:line="240" w:lineRule="atLeast"/>
        <w:jc w:val="both"/>
        <w:rPr>
          <w:rFonts w:ascii="Times New Roman" w:hAnsi="Times New Roman" w:cs="Times New Roman"/>
          <w:b/>
          <w:noProof/>
          <w:color w:val="000000"/>
          <w:sz w:val="20"/>
        </w:rPr>
      </w:pPr>
      <w:r>
        <w:rPr>
          <w:rFonts w:ascii="Times New Roman" w:hAnsi="Times New Roman" w:cs="Times New Roman"/>
          <w:b/>
          <w:noProof/>
          <w:color w:val="000000"/>
          <w:sz w:val="20"/>
        </w:rPr>
        <w:t>While severe material deprivation has declined, relative poverty has worsened and both remain above the EU average.</w:t>
      </w:r>
      <w:r>
        <w:rPr>
          <w:rFonts w:ascii="Times New Roman" w:hAnsi="Times New Roman" w:cs="Times New Roman"/>
          <w:noProof/>
          <w:color w:val="000000"/>
          <w:sz w:val="20"/>
        </w:rPr>
        <w:t xml:space="preserve"> In line with the gradual improvement in labour market indicators, the share of people living in low-work intensity households has been falling for a number of years and reached 7.6 % in 2018, down from 10 % in 2013. This however, has not been sufficient t</w:t>
      </w:r>
      <w:r>
        <w:rPr>
          <w:rFonts w:ascii="Times New Roman" w:hAnsi="Times New Roman" w:cs="Times New Roman"/>
          <w:noProof/>
          <w:color w:val="000000"/>
          <w:sz w:val="20"/>
        </w:rPr>
        <w:t>o alleviate poverty, due to the presence of high in-work poverty</w:t>
      </w:r>
      <w:r>
        <w:rPr>
          <w:noProof/>
        </w:rPr>
        <w:t xml:space="preserve"> </w:t>
      </w:r>
      <w:r>
        <w:rPr>
          <w:rFonts w:ascii="Times New Roman" w:hAnsi="Times New Roman" w:cs="Times New Roman"/>
          <w:noProof/>
          <w:color w:val="000000"/>
          <w:sz w:val="20"/>
        </w:rPr>
        <w:t>in the low work intensity households. The at-risk-of-poverty rate, a measure of relative poverty, increased to 23.3 % in 2018 from 19.4 % in 2013, above the EU average of 17.1 %. Meanwhile, s</w:t>
      </w:r>
      <w:r>
        <w:rPr>
          <w:rFonts w:ascii="Times New Roman" w:hAnsi="Times New Roman" w:cs="Times New Roman"/>
          <w:noProof/>
          <w:color w:val="000000"/>
          <w:sz w:val="20"/>
        </w:rPr>
        <w:t xml:space="preserve">evere material deprivation showed a marked decline from 24% in 2013 to 9.5% in 2018, but remains somewhat above the EU average of 5.9% (see Graph </w:t>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QUOTE "1.6"</w:instrText>
      </w:r>
      <w:r>
        <w:rPr>
          <w:rFonts w:ascii="Times New Roman" w:hAnsi="Times New Roman" w:cs="Times New Roman"/>
          <w:noProof/>
          <w:color w:val="000000"/>
          <w:sz w:val="20"/>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AHIAZwAvADIAMAAwADEALwBYAE0ATABTAGMAaABlAG0AYQAiAD4ADQAKACAAIAA8AEkAZAA+ADAA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</w:fldData>
        </w:fldChar>
      </w:r>
      <w:r>
        <w:rPr>
          <w:rFonts w:ascii="Times New Roman" w:hAnsi="Times New Roman" w:cs="Times New Roman"/>
          <w:noProof/>
          <w:color w:val="000000"/>
          <w:sz w:val="20"/>
        </w:rPr>
        <w:instrText xml:space="preserve"> ADDIN </w:instrText>
      </w:r>
      <w:r>
        <w:rPr>
          <w:rFonts w:ascii="Times New Roman" w:hAnsi="Times New Roman" w:cs="Times New Roman"/>
          <w:noProof/>
          <w:color w:val="000000"/>
          <w:sz w:val="20"/>
        </w:rPr>
      </w:r>
      <w:r>
        <w:rPr>
          <w:rFonts w:ascii="Times New Roman" w:hAnsi="Times New Roman" w:cs="Times New Roman"/>
          <w:noProof/>
          <w:color w:val="000000"/>
          <w:sz w:val="20"/>
        </w:rPr>
        <w:fldChar w:fldCharType="end"/>
      </w:r>
      <w:r>
        <w:rPr>
          <w:rFonts w:ascii="Times New Roman" w:hAnsi="Times New Roman" w:cs="Times New Roman"/>
          <w:noProof/>
          <w:color w:val="000000"/>
          <w:sz w:val="20"/>
        </w:rPr>
        <w:instrText xml:space="preserve"> </w:instrText>
      </w:r>
      <w:r>
        <w:rPr>
          <w:rFonts w:ascii="Times New Roman" w:hAnsi="Times New Roman" w:cs="Times New Roman"/>
          <w:noProof/>
          <w:color w:val="000000"/>
          <w:sz w:val="20"/>
        </w:rPr>
        <w:fldChar w:fldCharType="separate"/>
      </w:r>
      <w:r>
        <w:rPr>
          <w:rFonts w:ascii="Times New Roman" w:hAnsi="Times New Roman" w:cs="Times New Roman"/>
          <w:noProof/>
          <w:color w:val="000000"/>
          <w:sz w:val="20"/>
        </w:rPr>
        <w:t>1.6</w:t>
      </w:r>
      <w:r>
        <w:rPr>
          <w:rFonts w:ascii="Times New Roman" w:hAnsi="Times New Roman" w:cs="Times New Roman"/>
          <w:noProof/>
          <w:color w:val="000000"/>
          <w:sz w:val="20"/>
        </w:rPr>
        <w:fldChar w:fldCharType="end"/>
      </w:r>
      <w:r>
        <w:rPr>
          <w:rFonts w:ascii="Times New Roman" w:hAnsi="Times New Roman" w:cs="Times New Roman"/>
          <w:noProof/>
          <w:color w:val="000000"/>
          <w:sz w:val="20"/>
        </w:rPr>
        <w:t xml:space="preserve">). In 2018, </w:t>
      </w:r>
      <w:r>
        <w:rPr>
          <w:rFonts w:ascii="Times New Roman" w:hAnsi="Times New Roman" w:cs="Times New Roman"/>
          <w:noProof/>
          <w:color w:val="000000"/>
          <w:sz w:val="20"/>
        </w:rPr>
        <w:t>the overall at-risk-of-poverty-or-social-exclusion rate of 28.4% also masked large differences between age groups, with the elderly (65+) facing a much higher risk compared to children or those of working age (49% as opposed to 22.5% and 23.5 % respectivel</w:t>
      </w:r>
      <w:r>
        <w:rPr>
          <w:rFonts w:ascii="Times New Roman" w:hAnsi="Times New Roman" w:cs="Times New Roman"/>
          <w:noProof/>
          <w:color w:val="000000"/>
          <w:sz w:val="20"/>
        </w:rPr>
        <w:t>y) (Section 3.3.2).</w:t>
      </w: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Graph 1.6:</w:t>
            </w:r>
            <w:r>
              <w:rPr>
                <w:rFonts w:ascii="Century Gothic" w:hAnsi="Century Gothic" w:cs="Times New Roman"/>
                <w:b/>
                <w:noProof/>
                <w:color w:val="333399"/>
                <w:sz w:val="14"/>
              </w:rPr>
              <w:tab/>
              <w:t>Selected social inclusion indicators, % of population</w:t>
            </w:r>
          </w:p>
        </w:tc>
      </w:tr>
      <w:tr w:rsidR="00A8765D">
        <w:trPr>
          <w:cantSplit/>
        </w:trPr>
        <w:tc>
          <w:tcPr>
            <w:tcW w:w="4111"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16" w:name="_Toc33020650"/>
            <w:r>
              <w:rPr>
                <w:rFonts w:ascii="Times New Roman" w:hAnsi="Times New Roman" w:cs="Times New Roman"/>
                <w:noProof/>
                <w:color w:val="000000"/>
                <w:sz w:val="20"/>
              </w:rPr>
              <w:instrText>1.6.</w:instrText>
            </w:r>
            <w:r>
              <w:rPr>
                <w:rFonts w:ascii="Times New Roman" w:hAnsi="Times New Roman" w:cs="Times New Roman"/>
                <w:noProof/>
                <w:color w:val="000000"/>
                <w:sz w:val="20"/>
              </w:rPr>
              <w:tab/>
              <w:instrText>Selected social inclusion indicators, % of population</w:instrText>
            </w:r>
            <w:bookmarkEnd w:id="16"/>
            <w:r>
              <w:rPr>
                <w:rFonts w:ascii="Times New Roman" w:hAnsi="Times New Roman" w:cs="Times New Roman"/>
                <w:noProof/>
                <w:color w:val="000000"/>
                <w:sz w:val="20"/>
              </w:rPr>
              <w:instrText xml:space="preserve">" \fgraph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en-GB"/>
              </w:rPr>
              <w:drawing>
                <wp:inline distT="0" distB="0" distL="0" distR="0">
                  <wp:extent cx="2597595" cy="2444684"/>
                  <wp:effectExtent l="0" t="0" r="0" b="0"/>
                  <wp:docPr id="7" name="Picture 7" descr="&lt;nbr&gt;&lt;GETTEXTFROMWORD&gt;&lt;/nbr&gt;&#10;&lt;title&gt;&lt;GETTEXTFROMWORD&gt;&lt;/title&gt;&#10;&lt;id&gt;00652d2e-f8d2-4189-a2cf-0baae24c0da8&lt;/id&gt;&#10;&lt;srcType&gt;EXCEL&lt;/srcType&gt;&#10;&lt;srcPath&gt;O:\2017 CRs\2020 European semester\LV\LV2020_ graphs\&lt;/srcPath&gt;&#10;&lt;srcName&gt;EMPL graph economic outlook.xlsx&lt;/srcName&gt;&#10;&lt;type&gt;graph&lt;/type&gt;&#10; &lt;srcSheet&gt;AROPE&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9-11-18T15:55:02&lt;/scrFileTime&gt;&#10;&lt;imageInformation&gt;&#10; &lt;dontScaleUp&gt;no&lt;/dontScaleUp&gt;&#10; &lt;usedpercentageofavailablewidth&gt;100&lt;/usedpercentageofavailablewidth&gt;&#10;&lt;/imageInformation&gt;&#10;&lt;url&gt;Chap0/Chap0-Graph-%SectionNumber%.6.xlsx&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2">
                            <a:extLst>
                              <a:ext uri="{28A0092B-C50C-407E-A947-70E740481C1C}">
                                <a14:useLocalDpi xmlns:a14="http://schemas.microsoft.com/office/drawing/2010/main" val="0"/>
                              </a:ext>
                            </a:extLst>
                          </a:blip>
                          <a:srcRect/>
                          <a:stretch>
                            <a:fillRect/>
                          </a:stretch>
                        </pic:blipFill>
                        <pic:spPr>
                          <a:xfrm>
                            <a:off x="0" y="0"/>
                            <a:ext cx="2597595" cy="2444684"/>
                          </a:xfrm>
                          <a:prstGeom prst="rect">
                            <a:avLst/>
                          </a:prstGeom>
                        </pic:spPr>
                      </pic:pic>
                    </a:graphicData>
                  </a:graphic>
                </wp:inline>
              </w:drawing>
            </w:r>
            <w:r>
              <w:rPr>
                <w:rFonts w:ascii="Times New Roman" w:hAnsi="Times New Roman" w:cs="Times New Roman"/>
                <w:noProof/>
                <w:color w:val="000000"/>
                <w:sz w:val="2"/>
              </w:rPr>
              <w:t xml:space="preserve"> </w:t>
            </w:r>
          </w:p>
        </w:tc>
      </w:tr>
      <w:tr w:rsidR="00A8765D">
        <w:trPr>
          <w:cantSplit/>
        </w:trPr>
        <w:tc>
          <w:tcPr>
            <w:tcW w:w="4111" w:type="dxa"/>
            <w:shd w:val="clear" w:color="auto" w:fill="auto"/>
            <w:tcMar>
              <w:bottom w:w="240" w:type="dxa"/>
            </w:tcMar>
          </w:tcPr>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European Commission</w:t>
            </w:r>
          </w:p>
        </w:tc>
      </w:tr>
    </w:tbl>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Income inequality remains well above the EU average.</w:t>
      </w:r>
      <w:r>
        <w:rPr>
          <w:rFonts w:ascii="Times New Roman" w:hAnsi="Times New Roman" w:cs="Times New Roman"/>
          <w:noProof/>
          <w:color w:val="000000"/>
          <w:sz w:val="20"/>
        </w:rPr>
        <w:t xml:space="preserve"> While reducing inequality is one of the main goals of Latvia’s national development plan, Latvia is unlikely to achieve its national target to bring inequality down to the EU average by 2020. Income inequality as measured by the S80/S20 has risen in the p</w:t>
      </w:r>
      <w:r>
        <w:rPr>
          <w:rFonts w:ascii="Times New Roman" w:hAnsi="Times New Roman" w:cs="Times New Roman"/>
          <w:noProof/>
          <w:color w:val="000000"/>
          <w:sz w:val="20"/>
        </w:rPr>
        <w:t xml:space="preserve">ost-crisis period and is among the highest in the EU. In 2018, the ratio stood at 6.8 compared with the EU average of 5.2. While income inequality before taxes and benefits is below the EU average, inequality after taxes and benefits, remains high, due to </w:t>
      </w:r>
      <w:r>
        <w:rPr>
          <w:rFonts w:ascii="Times New Roman" w:hAnsi="Times New Roman" w:cs="Times New Roman"/>
          <w:noProof/>
          <w:color w:val="000000"/>
          <w:sz w:val="20"/>
        </w:rPr>
        <w:t xml:space="preserve">its relatively small role in redistributing income. A key driver is the low income of elderly households whose median income level is less than three quarters of that of the general population.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Unequal opportunities in access to education and healthcare p</w:t>
      </w:r>
      <w:r>
        <w:rPr>
          <w:rFonts w:ascii="Times New Roman" w:hAnsi="Times New Roman" w:cs="Times New Roman"/>
          <w:b/>
          <w:noProof/>
          <w:color w:val="000000"/>
          <w:sz w:val="20"/>
        </w:rPr>
        <w:t>ersist.</w:t>
      </w:r>
      <w:r>
        <w:rPr>
          <w:rFonts w:ascii="Times New Roman" w:hAnsi="Times New Roman" w:cs="Times New Roman"/>
          <w:noProof/>
          <w:color w:val="000000"/>
          <w:sz w:val="20"/>
        </w:rPr>
        <w:t xml:space="preserve"> According to the OECD Programme for International Student Assessment (PISA), the education system is rather equitable, with socioeconomic background exerting a relatively limited influence on learning achievement in reading. At the same time, acces</w:t>
      </w:r>
      <w:r>
        <w:rPr>
          <w:rFonts w:ascii="Times New Roman" w:hAnsi="Times New Roman" w:cs="Times New Roman"/>
          <w:noProof/>
          <w:color w:val="000000"/>
          <w:sz w:val="20"/>
        </w:rPr>
        <w:t>s to quality education remains dependent on the place of residence, and urban schools outperform rural ones (Section 3.3.4.). A similar urban-rural divide exists in access to healthcare. Moreover, low-income groups report significantly more unmet needs for</w:t>
      </w:r>
      <w:r>
        <w:rPr>
          <w:rFonts w:ascii="Times New Roman" w:hAnsi="Times New Roman" w:cs="Times New Roman"/>
          <w:noProof/>
          <w:color w:val="000000"/>
          <w:sz w:val="20"/>
        </w:rPr>
        <w:t xml:space="preserve"> medical services than high-income groups (Section 3.3.3.). </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External position</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current account remains close to balance.</w:t>
      </w:r>
      <w:r>
        <w:rPr>
          <w:rFonts w:ascii="Times New Roman" w:hAnsi="Times New Roman" w:cs="Times New Roman"/>
          <w:noProof/>
          <w:color w:val="000000"/>
          <w:sz w:val="20"/>
        </w:rPr>
        <w:t xml:space="preserve"> In 2019, the current account is forecast to have recorded a deficit of 0.8% of GDP, similar to the previous year. The main forces a</w:t>
      </w:r>
      <w:r>
        <w:rPr>
          <w:rFonts w:ascii="Times New Roman" w:hAnsi="Times New Roman" w:cs="Times New Roman"/>
          <w:noProof/>
          <w:color w:val="000000"/>
          <w:sz w:val="20"/>
        </w:rPr>
        <w:t>t work in determining the current account balance are (i) EU fund inflows, which are partly spent on importing investment goods, and (ii) household savings growth in excess of domestic investments, which need to find an investment outlet outside of the cou</w:t>
      </w:r>
      <w:r>
        <w:rPr>
          <w:rFonts w:ascii="Times New Roman" w:hAnsi="Times New Roman" w:cs="Times New Roman"/>
          <w:noProof/>
          <w:color w:val="000000"/>
          <w:sz w:val="20"/>
        </w:rPr>
        <w:t>ntry. Consequently, the net international investment position has continued to improve and stood at minus 50% of GDP at the end of 2018, from minus 83% of GDP in 2010. While still relatively high, the associated economic risks are limited, because this net</w:t>
      </w:r>
      <w:r>
        <w:rPr>
          <w:rFonts w:ascii="Times New Roman" w:hAnsi="Times New Roman" w:cs="Times New Roman"/>
          <w:noProof/>
          <w:color w:val="000000"/>
          <w:sz w:val="20"/>
        </w:rPr>
        <w:t xml:space="preserve"> investment position is mostly composed of foreign direct investment, while the investment position excluding equity was close to balance at the end of 2018. </w:t>
      </w: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Graph 1.7:</w:t>
            </w:r>
            <w:r>
              <w:rPr>
                <w:rFonts w:ascii="Century Gothic" w:hAnsi="Century Gothic" w:cs="Times New Roman"/>
                <w:b/>
                <w:noProof/>
                <w:color w:val="333399"/>
                <w:sz w:val="14"/>
              </w:rPr>
              <w:tab/>
              <w:t>Current account and its components, % of GDP</w:t>
            </w:r>
          </w:p>
        </w:tc>
      </w:tr>
      <w:tr w:rsidR="00A8765D">
        <w:trPr>
          <w:cantSplit/>
        </w:trPr>
        <w:tc>
          <w:tcPr>
            <w:tcW w:w="4111"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17" w:name="_Toc33020651"/>
            <w:r>
              <w:rPr>
                <w:rFonts w:ascii="Times New Roman" w:hAnsi="Times New Roman" w:cs="Times New Roman"/>
                <w:noProof/>
                <w:color w:val="000000"/>
                <w:sz w:val="20"/>
              </w:rPr>
              <w:instrText>1.7.</w:instrText>
            </w:r>
            <w:r>
              <w:rPr>
                <w:rFonts w:ascii="Times New Roman" w:hAnsi="Times New Roman" w:cs="Times New Roman"/>
                <w:noProof/>
                <w:color w:val="000000"/>
                <w:sz w:val="20"/>
              </w:rPr>
              <w:tab/>
              <w:instrText xml:space="preserve">Current account and its </w:instrText>
            </w:r>
            <w:r>
              <w:rPr>
                <w:rFonts w:ascii="Times New Roman" w:hAnsi="Times New Roman" w:cs="Times New Roman"/>
                <w:noProof/>
                <w:color w:val="000000"/>
                <w:sz w:val="20"/>
              </w:rPr>
              <w:instrText>components, % of GDP</w:instrText>
            </w:r>
            <w:bookmarkEnd w:id="17"/>
            <w:r>
              <w:rPr>
                <w:rFonts w:ascii="Times New Roman" w:hAnsi="Times New Roman" w:cs="Times New Roman"/>
                <w:noProof/>
                <w:color w:val="000000"/>
                <w:sz w:val="20"/>
              </w:rPr>
              <w:instrText xml:space="preserve">" \fgraph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en-GB"/>
              </w:rPr>
              <w:drawing>
                <wp:inline distT="0" distB="0" distL="0" distR="0">
                  <wp:extent cx="2597595" cy="2440893"/>
                  <wp:effectExtent l="0" t="0" r="0" b="0"/>
                  <wp:docPr id="66" name="Picture 66" descr="&lt;nbr&gt;&lt;GETTEXTFROMWORD&gt;&lt;/nbr&gt;&#10;&lt;title&gt;&lt;GETTEXTFROMWORD&gt;&lt;/title&gt;&#10;&lt;id&gt;af45582f-1832-4a15-9e23-0cbd6b0a70da&lt;/id&gt;&#10;&lt;srcType&gt;EXCEL&lt;/srcType&gt;&#10;&lt;srcPath&gt;O:\2017 CRs\2020 European semester\LV\LV2020_ graphs\&lt;/srcPath&gt;&#10;&lt;srcName&gt;External_Dynamics_LV.xls&lt;/srcName&gt;&#10;&lt;type&gt;graph&lt;/type&gt;&#10; &lt;srcSheet&gt;CA_decomp&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9-11-18T10:47:48&lt;/scrFileTime&gt;&#10;&lt;imageInformation&gt;&#10; &lt;dontScaleUp&gt;no&lt;/dontScaleUp&gt;&#10; &lt;usedpercentageofavailablewidth&gt;100&lt;/usedpercentageofavailablewidth&gt;&#10;&lt;/imageInformation&gt;&#10;&lt;url&gt;Chap0/Chap0-Graph-%SectionNumber%.7.xls&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rcRect/>
                          <a:stretch>
                            <a:fillRect/>
                          </a:stretch>
                        </pic:blipFill>
                        <pic:spPr>
                          <a:xfrm>
                            <a:off x="0" y="0"/>
                            <a:ext cx="2597595" cy="2440893"/>
                          </a:xfrm>
                          <a:prstGeom prst="rect">
                            <a:avLst/>
                          </a:prstGeom>
                        </pic:spPr>
                      </pic:pic>
                    </a:graphicData>
                  </a:graphic>
                </wp:inline>
              </w:drawing>
            </w:r>
            <w:r>
              <w:rPr>
                <w:rFonts w:ascii="Times New Roman" w:hAnsi="Times New Roman" w:cs="Times New Roman"/>
                <w:noProof/>
                <w:color w:val="000000"/>
                <w:sz w:val="2"/>
              </w:rPr>
              <w:t xml:space="preserve"> </w:t>
            </w:r>
          </w:p>
        </w:tc>
      </w:tr>
      <w:tr w:rsidR="00A8765D">
        <w:trPr>
          <w:cantSplit/>
        </w:trPr>
        <w:tc>
          <w:tcPr>
            <w:tcW w:w="4111" w:type="dxa"/>
            <w:shd w:val="clear" w:color="auto" w:fill="auto"/>
            <w:tcMar>
              <w:bottom w:w="240" w:type="dxa"/>
            </w:tcMar>
          </w:tcPr>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European Commission</w:t>
            </w:r>
          </w:p>
        </w:tc>
      </w:tr>
    </w:tbl>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Public finances</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general government balance improved slightly in 2019.</w:t>
      </w:r>
      <w:r>
        <w:rPr>
          <w:rFonts w:ascii="Times New Roman" w:hAnsi="Times New Roman" w:cs="Times New Roman"/>
          <w:noProof/>
          <w:color w:val="000000"/>
          <w:sz w:val="20"/>
        </w:rPr>
        <w:t xml:space="preserve"> The general government deficit is forecast to have been 0.6% of GDP in 2019, slightly better than the 0.7% of GDP deficit in 2018. The government balance is set to remain broadly stable in 2020 and 2021, while the government debt is expected to continue f</w:t>
      </w:r>
      <w:r>
        <w:rPr>
          <w:rFonts w:ascii="Times New Roman" w:hAnsi="Times New Roman" w:cs="Times New Roman"/>
          <w:noProof/>
          <w:color w:val="000000"/>
          <w:sz w:val="20"/>
        </w:rPr>
        <w:t xml:space="preserve">alling to reach 32.9% of GDP in 2021. The Commission estimates that the output gap will remain positive but will be shrinking throughout 2019-2021. </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Key sustainability challenges</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 xml:space="preserve">Latvia progresses well on most United Nation’s Sustainable Development goals </w:t>
      </w:r>
      <w:r>
        <w:rPr>
          <w:rFonts w:ascii="Times New Roman" w:hAnsi="Times New Roman" w:cs="Times New Roman"/>
          <w:noProof/>
          <w:color w:val="000000"/>
          <w:sz w:val="20"/>
        </w:rPr>
        <w:t>with slower progress in health, innovation and reducing inequalities. Latvia has among the highest shares of renewable energy among EU countries (SDG 7, see Section 3.5), it scores above EU average on most education and labour market indicators (SDGs 4 and</w:t>
      </w:r>
      <w:r>
        <w:rPr>
          <w:rFonts w:ascii="Times New Roman" w:hAnsi="Times New Roman" w:cs="Times New Roman"/>
          <w:noProof/>
          <w:color w:val="000000"/>
          <w:sz w:val="20"/>
        </w:rPr>
        <w:t xml:space="preserve"> 8, see Section 3.3.4). However, inequality in Latvia is high and has seen little progress over medium to long term (SDG10, see Section 3.3.3). This is also reflected in Latvia’s health outcomes (SDG 3, see Section 3.3.3) and social protection (SDG 1, see </w:t>
      </w:r>
      <w:r>
        <w:rPr>
          <w:rFonts w:ascii="Times New Roman" w:hAnsi="Times New Roman" w:cs="Times New Roman"/>
          <w:noProof/>
          <w:color w:val="000000"/>
          <w:sz w:val="20"/>
        </w:rPr>
        <w:t>Section 3.3.2) remaining below EU average, as these sector have been significantly underfunded. Furthermore, breaking the trend of rapidly growing energy consumption and improving the recycling rates remain the key environmental sustainability challenges (</w:t>
      </w:r>
      <w:r>
        <w:rPr>
          <w:rFonts w:ascii="Times New Roman" w:hAnsi="Times New Roman" w:cs="Times New Roman"/>
          <w:noProof/>
          <w:color w:val="000000"/>
          <w:sz w:val="20"/>
        </w:rPr>
        <w:t xml:space="preserve">SDG 12, see Section 3.5). Finally, while Latvia’s economic performance has overall been good, as its income per capita growth over the past decade has been  remarkable (SDG 8, see Sections 1 and 3.4), its innovation performance is poor and has seen little </w:t>
      </w:r>
      <w:r>
        <w:rPr>
          <w:rFonts w:ascii="Times New Roman" w:hAnsi="Times New Roman" w:cs="Times New Roman"/>
          <w:noProof/>
          <w:color w:val="000000"/>
          <w:sz w:val="20"/>
        </w:rPr>
        <w:t xml:space="preserve">progress in recent years (SDG 9, see Section 3.4). </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A8765D">
        <w:trPr>
          <w:cantSplit/>
          <w:trHeight w:val="20"/>
        </w:trPr>
        <w:tc>
          <w:tcPr>
            <w:tcW w:w="8505" w:type="dxa"/>
            <w:shd w:val="clear" w:color="auto" w:fill="auto"/>
          </w:tcPr>
          <w:p w:rsidR="00A8765D" w:rsidRDefault="006C09F5">
            <w:pPr>
              <w:keepNext/>
              <w:spacing w:after="0" w:line="240" w:lineRule="auto"/>
              <w:jc w:val="both"/>
              <w:rPr>
                <w:rFonts w:ascii="Times New Roman" w:hAnsi="Times New Roman" w:cs="Times New Roman"/>
                <w:noProof/>
                <w:color w:val="000000"/>
                <w:sz w:val="2"/>
              </w:rPr>
            </w:pPr>
            <w:r>
              <w:rPr>
                <w:rFonts w:ascii="Times New Roman" w:hAnsi="Times New Roman" w:cs="Times New Roman"/>
                <w:noProof/>
                <w:color w:val="000000"/>
                <w:sz w:val="2"/>
              </w:rPr>
              <w:fldChar w:fldCharType="begin"/>
            </w:r>
            <w:r>
              <w:rPr>
                <w:rFonts w:ascii="Times New Roman" w:hAnsi="Times New Roman" w:cs="Times New Roman"/>
                <w:noProof/>
                <w:color w:val="000000"/>
                <w:sz w:val="2"/>
              </w:rPr>
              <w:instrText xml:space="preserve"> TC "</w:instrText>
            </w:r>
            <w:bookmarkStart w:id="18" w:name="_Toc33020608"/>
            <w:r>
              <w:rPr>
                <w:rFonts w:ascii="Times New Roman" w:hAnsi="Times New Roman" w:cs="Times New Roman"/>
                <w:noProof/>
                <w:color w:val="000000"/>
                <w:sz w:val="2"/>
              </w:rPr>
              <w:instrText>1.1.</w:instrText>
            </w:r>
            <w:r>
              <w:rPr>
                <w:rFonts w:ascii="Times New Roman" w:hAnsi="Times New Roman" w:cs="Times New Roman"/>
                <w:noProof/>
                <w:color w:val="000000"/>
                <w:sz w:val="2"/>
              </w:rPr>
              <w:tab/>
              <w:instrText>Key economic and financial indicators - Latvia</w:instrText>
            </w:r>
            <w:bookmarkEnd w:id="18"/>
            <w:r>
              <w:rPr>
                <w:rFonts w:ascii="Times New Roman" w:hAnsi="Times New Roman" w:cs="Times New Roman"/>
                <w:noProof/>
                <w:color w:val="000000"/>
                <w:sz w:val="2"/>
              </w:rPr>
              <w:instrText xml:space="preserve">" \ftable \l 5 </w:instrText>
            </w:r>
            <w:r>
              <w:rPr>
                <w:rFonts w:ascii="Times New Roman" w:hAnsi="Times New Roman" w:cs="Times New Roman"/>
                <w:noProof/>
                <w:color w:val="000000"/>
                <w:sz w:val="2"/>
              </w:rPr>
              <w:fldChar w:fldCharType="end"/>
            </w:r>
          </w:p>
        </w:tc>
      </w:tr>
      <w:tr w:rsidR="00A8765D">
        <w:trPr>
          <w:cantSplit/>
        </w:trPr>
        <w:tc>
          <w:tcPr>
            <w:tcW w:w="8505"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Table 1.1:</w:t>
            </w:r>
            <w:r>
              <w:rPr>
                <w:rFonts w:ascii="Century Gothic" w:hAnsi="Century Gothic" w:cs="Times New Roman"/>
                <w:b/>
                <w:noProof/>
                <w:color w:val="333399"/>
                <w:sz w:val="14"/>
              </w:rPr>
              <w:tab/>
              <w:t>Key economic and financial indicators - Latvia</w:t>
            </w:r>
          </w:p>
        </w:tc>
      </w:tr>
      <w:tr w:rsidR="00A8765D">
        <w:trPr>
          <w:cantSplit/>
        </w:trPr>
        <w:tc>
          <w:tcPr>
            <w:tcW w:w="8505"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
                <w:lang w:eastAsia="en-GB"/>
              </w:rPr>
              <w:drawing>
                <wp:inline distT="0" distB="0" distL="0" distR="0">
                  <wp:extent cx="5401310" cy="6230620"/>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1310" cy="6230620"/>
                          </a:xfrm>
                          <a:prstGeom prst="rect">
                            <a:avLst/>
                          </a:prstGeom>
                          <a:noFill/>
                        </pic:spPr>
                      </pic:pic>
                    </a:graphicData>
                  </a:graphic>
                </wp:inline>
              </w:drawing>
            </w:r>
            <w:r>
              <w:rPr>
                <w:rFonts w:ascii="Times New Roman" w:hAnsi="Times New Roman" w:cs="Times New Roman"/>
                <w:noProof/>
                <w:color w:val="000000"/>
                <w:sz w:val="2"/>
              </w:rPr>
              <w:t xml:space="preserve"> </w:t>
            </w:r>
          </w:p>
        </w:tc>
      </w:tr>
      <w:tr w:rsidR="00A8765D">
        <w:trPr>
          <w:cantSplit/>
        </w:trPr>
        <w:tc>
          <w:tcPr>
            <w:tcW w:w="8505" w:type="dxa"/>
            <w:shd w:val="clear" w:color="auto" w:fill="auto"/>
          </w:tcPr>
          <w:p w:rsidR="00A8765D" w:rsidRDefault="006C09F5">
            <w:pPr>
              <w:keepNext/>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noProof/>
                <w:color w:val="000000"/>
                <w:sz w:val="14"/>
              </w:rPr>
              <w:t>(1) NIIP excluding direct investment and portfolio equity shares.</w:t>
            </w:r>
            <w:r>
              <w:rPr>
                <w:rFonts w:ascii="Century Gothic" w:hAnsi="Century Gothic" w:cs="Times New Roman"/>
                <w:noProof/>
                <w:color w:val="000000"/>
                <w:sz w:val="14"/>
              </w:rPr>
              <w:br/>
            </w:r>
            <w:r>
              <w:rPr>
                <w:rFonts w:ascii="Century Gothic" w:hAnsi="Century Gothic" w:cs="Times New Roman"/>
                <w:noProof/>
                <w:color w:val="000000"/>
                <w:sz w:val="14"/>
              </w:rPr>
              <w:t xml:space="preserve">(2) Domestic banking groups and stand-alone banks, EU and non-EU foreign-controlled subsidiaries and EU and non-EU foreign-controlled branches. </w:t>
            </w:r>
            <w:r>
              <w:rPr>
                <w:rFonts w:ascii="Century Gothic" w:hAnsi="Century Gothic" w:cs="Times New Roman"/>
                <w:noProof/>
                <w:color w:val="000000"/>
                <w:sz w:val="14"/>
              </w:rPr>
              <w:br/>
              <w:t>(3) The tax-to-GDP indicator includes imputed social contributions and hence differs from the tax-to-GDP indica</w:t>
            </w:r>
            <w:r>
              <w:rPr>
                <w:rFonts w:ascii="Century Gothic" w:hAnsi="Century Gothic" w:cs="Times New Roman"/>
                <w:noProof/>
                <w:color w:val="000000"/>
                <w:sz w:val="14"/>
              </w:rPr>
              <w:t>tor used in the section on taxation.</w:t>
            </w:r>
          </w:p>
          <w:p w:rsidR="00A8765D" w:rsidRDefault="006C09F5">
            <w:pPr>
              <w:keepNext/>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Source: Eurostat and ECB as of 9-1-2020, where available; European Commission for forecast figures (Autumn forecast 2019)</w:t>
            </w:r>
          </w:p>
        </w:tc>
      </w:tr>
      <w:tr w:rsidR="00A8765D">
        <w:trPr>
          <w:cantSplit/>
          <w:trHeight w:val="20"/>
        </w:trPr>
        <w:tc>
          <w:tcPr>
            <w:tcW w:w="8505" w:type="dxa"/>
            <w:shd w:val="clear" w:color="auto" w:fill="auto"/>
          </w:tcPr>
          <w:p w:rsidR="00A8765D" w:rsidRDefault="00A8765D">
            <w:pPr>
              <w:spacing w:after="0" w:line="240" w:lineRule="auto"/>
              <w:jc w:val="both"/>
              <w:rPr>
                <w:rFonts w:ascii="Times New Roman" w:hAnsi="Times New Roman" w:cs="Times New Roman"/>
                <w:noProof/>
                <w:color w:val="000000"/>
                <w:sz w:val="2"/>
              </w:rPr>
            </w:pPr>
          </w:p>
        </w:tc>
      </w:tr>
      <w:bookmarkEnd w:id="9"/>
    </w:tbl>
    <w:p w:rsidR="00A8765D" w:rsidRDefault="00A8765D">
      <w:pPr>
        <w:spacing w:after="240" w:line="240" w:lineRule="atLeast"/>
        <w:jc w:val="both"/>
        <w:rPr>
          <w:rFonts w:ascii="Times New Roman" w:hAnsi="Times New Roman" w:cs="Times New Roman"/>
          <w:noProof/>
          <w:color w:val="000000"/>
          <w:sz w:val="20"/>
        </w:rPr>
        <w:sectPr w:rsidR="00A8765D">
          <w:headerReference w:type="even" r:id="rId35"/>
          <w:headerReference w:type="default" r:id="rId36"/>
          <w:footerReference w:type="even" r:id="rId37"/>
          <w:footerReference w:type="default" r:id="rId38"/>
          <w:headerReference w:type="first" r:id="rId39"/>
          <w:footerReference w:type="first" r:id="rId40"/>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bookmarkStart w:id="19" w:name="GUID389523A8214740D4B922C4392D407A48"/>
    <w:p w:rsidR="00A8765D" w:rsidRDefault="006C09F5">
      <w:pPr>
        <w:spacing w:after="240" w:line="240" w:lineRule="atLeast"/>
        <w:jc w:val="both"/>
        <w:rPr>
          <w:rFonts w:ascii="Times New Roman" w:hAnsi="Times New Roman" w:cs="Times New Roman"/>
          <w:noProof/>
          <w:vanish/>
          <w:color w:val="000000"/>
          <w:sz w:val="20"/>
        </w:rPr>
      </w:pPr>
      <w:r>
        <w:rPr>
          <w:rFonts w:ascii="Times New Roman" w:hAnsi="Times New Roman" w:cs="Times New Roman"/>
          <w:noProof/>
          <w:vanish/>
          <w:color w:val="000000"/>
          <w:sz w:val="20"/>
        </w:rPr>
        <w:fldChar w:fldCharType="begin"/>
      </w:r>
      <w:r>
        <w:rPr>
          <w:rFonts w:ascii="Times New Roman" w:hAnsi="Times New Roman" w:cs="Times New Roman"/>
          <w:noProof/>
          <w:color w:val="000000"/>
          <w:sz w:val="20"/>
        </w:rPr>
        <w:instrText xml:space="preserve"> TC "</w:instrText>
      </w:r>
      <w:bookmarkStart w:id="20" w:name="_Toc33020595"/>
      <w:r>
        <w:rPr>
          <w:rFonts w:ascii="Times New Roman" w:hAnsi="Times New Roman" w:cs="Times New Roman"/>
          <w:noProof/>
          <w:color w:val="000000"/>
          <w:sz w:val="20"/>
        </w:rPr>
        <w:instrText>2.</w:instrText>
      </w:r>
      <w:r>
        <w:rPr>
          <w:rFonts w:ascii="Times New Roman" w:hAnsi="Times New Roman" w:cs="Times New Roman"/>
          <w:noProof/>
          <w:color w:val="000000"/>
          <w:sz w:val="20"/>
        </w:rPr>
        <w:tab/>
        <w:instrText>Progress with country-specific recommendations</w:instrText>
      </w:r>
      <w:bookmarkEnd w:id="20"/>
      <w:r>
        <w:rPr>
          <w:rFonts w:ascii="Times New Roman" w:hAnsi="Times New Roman" w:cs="Times New Roman"/>
          <w:noProof/>
          <w:color w:val="000000"/>
          <w:sz w:val="20"/>
        </w:rPr>
        <w:instrText xml:space="preserve">" \f \l 2 </w:instrText>
      </w:r>
      <w:r>
        <w:rPr>
          <w:rFonts w:ascii="Times New Roman" w:hAnsi="Times New Roman" w:cs="Times New Roman"/>
          <w:noProof/>
          <w:vanish/>
          <w:color w:val="000000"/>
          <w:sz w:val="20"/>
        </w:rPr>
        <w:fldChar w:fldCharType="end"/>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Since the start of the European Semester in 2011, 95% of all country-specific recommendations addressed to Latvia have </w:t>
      </w:r>
      <w:r>
        <w:rPr>
          <w:rFonts w:ascii="Times New Roman" w:hAnsi="Times New Roman" w:cs="Times New Roman"/>
          <w:b/>
          <w:noProof/>
          <w:color w:val="000000"/>
          <w:sz w:val="20"/>
        </w:rPr>
        <w:t>recorded at least ‘some progress’.</w:t>
      </w:r>
      <w:r>
        <w:rPr>
          <w:rFonts w:ascii="Times New Roman" w:hAnsi="Times New Roman" w:cs="Times New Roman"/>
          <w:noProof/>
          <w:color w:val="000000"/>
          <w:sz w:val="20"/>
        </w:rPr>
        <w:t xml:space="preserve"> In 2019, work advanced on some long-standing recommendations, with ‘some progress’ made in improving the adequacy of minimum social benefits and public administration reform has helped improve governance of municipalities</w:t>
      </w:r>
      <w:r>
        <w:rPr>
          <w:rFonts w:ascii="Times New Roman" w:hAnsi="Times New Roman" w:cs="Times New Roman"/>
          <w:noProof/>
          <w:color w:val="000000"/>
          <w:sz w:val="20"/>
        </w:rPr>
        <w:t>. Moreover, the taxation of low wages (the tax wedge) has been notably reduced over the years past few, bringing it in line with the benchmark against other EU countries in 2020. However, this reduction in the tax on labour has been only partly compensated</w:t>
      </w:r>
      <w:r>
        <w:rPr>
          <w:rFonts w:ascii="Times New Roman" w:hAnsi="Times New Roman" w:cs="Times New Roman"/>
          <w:noProof/>
          <w:color w:val="000000"/>
          <w:sz w:val="20"/>
        </w:rPr>
        <w:t xml:space="preserve"> by other tax measures, showing ‘limited progress’ over time (Graph </w:t>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QUOTE "2.1"</w:instrText>
      </w:r>
      <w:r>
        <w:rPr>
          <w:rFonts w:ascii="Times New Roman" w:hAnsi="Times New Roman" w:cs="Times New Roman"/>
          <w:noProof/>
          <w:color w:val="000000"/>
          <w:sz w:val="20"/>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AHIAZwAvADIAMAAwADEALwBYAE0ATABTAGMAaABlAG0AYQAiAD4ADQAKACAAIAA8AEkAZAA+AGUA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</w:fldData>
        </w:fldChar>
      </w:r>
      <w:r>
        <w:rPr>
          <w:rFonts w:ascii="Times New Roman" w:hAnsi="Times New Roman" w:cs="Times New Roman"/>
          <w:noProof/>
          <w:color w:val="000000"/>
          <w:sz w:val="20"/>
        </w:rPr>
        <w:instrText xml:space="preserve"> ADDIN </w:instrText>
      </w:r>
      <w:r>
        <w:rPr>
          <w:rFonts w:ascii="Times New Roman" w:hAnsi="Times New Roman" w:cs="Times New Roman"/>
          <w:noProof/>
          <w:color w:val="000000"/>
          <w:sz w:val="20"/>
        </w:rPr>
      </w:r>
      <w:r>
        <w:rPr>
          <w:rFonts w:ascii="Times New Roman" w:hAnsi="Times New Roman" w:cs="Times New Roman"/>
          <w:noProof/>
          <w:color w:val="000000"/>
          <w:sz w:val="20"/>
        </w:rPr>
        <w:fldChar w:fldCharType="end"/>
      </w:r>
      <w:r>
        <w:rPr>
          <w:rFonts w:ascii="Times New Roman" w:hAnsi="Times New Roman" w:cs="Times New Roman"/>
          <w:noProof/>
          <w:color w:val="000000"/>
          <w:sz w:val="20"/>
        </w:rPr>
        <w:instrText xml:space="preserve"> </w:instrText>
      </w:r>
      <w:r>
        <w:rPr>
          <w:rFonts w:ascii="Times New Roman" w:hAnsi="Times New Roman" w:cs="Times New Roman"/>
          <w:noProof/>
          <w:color w:val="000000"/>
          <w:sz w:val="20"/>
        </w:rPr>
        <w:fldChar w:fldCharType="separate"/>
      </w:r>
      <w:r>
        <w:rPr>
          <w:rFonts w:ascii="Times New Roman" w:hAnsi="Times New Roman" w:cs="Times New Roman"/>
          <w:noProof/>
          <w:color w:val="000000"/>
          <w:sz w:val="20"/>
        </w:rPr>
        <w:t>2.1</w:t>
      </w:r>
      <w:r>
        <w:rPr>
          <w:rFonts w:ascii="Times New Roman" w:hAnsi="Times New Roman" w:cs="Times New Roman"/>
          <w:noProof/>
          <w:color w:val="000000"/>
          <w:sz w:val="20"/>
        </w:rPr>
        <w:fldChar w:fldCharType="end"/>
      </w:r>
      <w:r>
        <w:rPr>
          <w:rFonts w:ascii="Times New Roman" w:hAnsi="Times New Roman" w:cs="Times New Roman"/>
          <w:noProof/>
          <w:color w:val="000000"/>
          <w:sz w:val="20"/>
        </w:rPr>
        <w:t>). Latvia has achieved ‘substantial progress’</w:t>
      </w:r>
      <w:r>
        <w:rPr>
          <w:rFonts w:ascii="Times New Roman" w:hAnsi="Times New Roman" w:cs="Times New Roman"/>
          <w:noProof/>
          <w:color w:val="000000"/>
          <w:sz w:val="20"/>
        </w:rPr>
        <w:t xml:space="preserve"> and ‘full implementation’ in introducing a fiscal governance framework, reforming the pension system a few years ago and strengthening the anti-money laundering system more recently. </w:t>
      </w: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Graph 2.1:</w:t>
            </w:r>
            <w:r>
              <w:rPr>
                <w:rFonts w:ascii="Century Gothic" w:hAnsi="Century Gothic" w:cs="Times New Roman"/>
                <w:b/>
                <w:noProof/>
                <w:color w:val="333399"/>
                <w:sz w:val="14"/>
              </w:rPr>
              <w:tab/>
              <w:t>Overall multiannual implementation of 2012-2019 CSRs to date</w:t>
            </w:r>
          </w:p>
        </w:tc>
      </w:tr>
      <w:tr w:rsidR="00A8765D">
        <w:trPr>
          <w:cantSplit/>
        </w:trPr>
        <w:tc>
          <w:tcPr>
            <w:tcW w:w="4111"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21" w:name="_Toc33020652"/>
            <w:r>
              <w:rPr>
                <w:rFonts w:ascii="Times New Roman" w:hAnsi="Times New Roman" w:cs="Times New Roman"/>
                <w:noProof/>
                <w:color w:val="000000"/>
                <w:sz w:val="20"/>
              </w:rPr>
              <w:instrText>2.1.</w:instrText>
            </w:r>
            <w:r>
              <w:rPr>
                <w:rFonts w:ascii="Times New Roman" w:hAnsi="Times New Roman" w:cs="Times New Roman"/>
                <w:noProof/>
                <w:color w:val="000000"/>
                <w:sz w:val="20"/>
              </w:rPr>
              <w:tab/>
              <w:instrText>Overall multiannual implementation of 2012-2019 CSRs to date</w:instrText>
            </w:r>
            <w:bookmarkEnd w:id="21"/>
            <w:r>
              <w:rPr>
                <w:rFonts w:ascii="Times New Roman" w:hAnsi="Times New Roman" w:cs="Times New Roman"/>
                <w:noProof/>
                <w:color w:val="000000"/>
                <w:sz w:val="20"/>
              </w:rPr>
              <w:instrText xml:space="preserve">" \fgraph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en-GB"/>
              </w:rPr>
              <w:drawing>
                <wp:inline distT="0" distB="0" distL="0" distR="0">
                  <wp:extent cx="2560320" cy="15544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0320" cy="1554480"/>
                          </a:xfrm>
                          <a:prstGeom prst="rect">
                            <a:avLst/>
                          </a:prstGeom>
                          <a:noFill/>
                          <a:ln>
                            <a:noFill/>
                          </a:ln>
                        </pic:spPr>
                      </pic:pic>
                    </a:graphicData>
                  </a:graphic>
                </wp:inline>
              </w:drawing>
            </w:r>
            <w:r>
              <w:rPr>
                <w:rFonts w:ascii="Times New Roman" w:hAnsi="Times New Roman" w:cs="Times New Roman"/>
                <w:noProof/>
                <w:color w:val="000000"/>
                <w:sz w:val="2"/>
              </w:rPr>
              <w:t xml:space="preserve"> </w:t>
            </w:r>
          </w:p>
        </w:tc>
      </w:tr>
      <w:tr w:rsidR="00A8765D">
        <w:trPr>
          <w:cantSplit/>
        </w:trPr>
        <w:tc>
          <w:tcPr>
            <w:tcW w:w="4111" w:type="dxa"/>
            <w:shd w:val="clear" w:color="auto" w:fill="auto"/>
            <w:tcMar>
              <w:bottom w:w="240" w:type="dxa"/>
            </w:tcMar>
          </w:tcPr>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noProof/>
                <w:color w:val="000000"/>
                <w:sz w:val="14"/>
              </w:rPr>
              <w:t>(1) The overall assessment of the country-specific recommendations related toon fiscal policy exclude compliance with the Stability and Growth Pact.</w:t>
            </w:r>
            <w:r>
              <w:rPr>
                <w:rFonts w:ascii="Century Gothic" w:hAnsi="Century Gothic" w:cs="Times New Roman"/>
                <w:noProof/>
                <w:color w:val="000000"/>
                <w:sz w:val="14"/>
              </w:rPr>
              <w:br/>
              <w:t xml:space="preserve">(2) The </w:t>
            </w:r>
            <w:r>
              <w:rPr>
                <w:rFonts w:ascii="Century Gothic" w:hAnsi="Century Gothic" w:cs="Times New Roman"/>
                <w:noProof/>
                <w:color w:val="000000"/>
                <w:sz w:val="14"/>
              </w:rPr>
              <w:t>multiannual CSR assessment of the country-specific recommendations looks at their implementation since from the CSRs time they were first adopted until the February 2020 Country report.</w:t>
            </w:r>
          </w:p>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European Commission</w:t>
            </w:r>
          </w:p>
        </w:tc>
      </w:tr>
    </w:tbl>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Latvia is committed to fiscal discipline </w:t>
      </w:r>
      <w:r>
        <w:rPr>
          <w:rFonts w:ascii="Times New Roman" w:hAnsi="Times New Roman" w:cs="Times New Roman"/>
          <w:b/>
          <w:noProof/>
          <w:color w:val="000000"/>
          <w:sz w:val="20"/>
        </w:rPr>
        <w:t>and the tax wedge for low wages has been reduced.</w:t>
      </w:r>
      <w:r>
        <w:rPr>
          <w:rFonts w:ascii="Times New Roman" w:hAnsi="Times New Roman" w:cs="Times New Roman"/>
          <w:noProof/>
          <w:color w:val="000000"/>
          <w:sz w:val="20"/>
        </w:rPr>
        <w:t xml:space="preserve"> Latvia corrected its excessive government deficit in 2012 and since then has strived to maintain government borrowing within the limits set by the well-established fiscal governance framework. The increase </w:t>
      </w:r>
      <w:r>
        <w:rPr>
          <w:rFonts w:ascii="Times New Roman" w:hAnsi="Times New Roman" w:cs="Times New Roman"/>
          <w:noProof/>
          <w:color w:val="000000"/>
          <w:sz w:val="20"/>
        </w:rPr>
        <w:t>in the income-dependent basic allowance in 2020 should reduce the tax wedge for low wages, thus showing a substantial progress in this respect. However, Latvia has not ensured revenue neutrality of the recent tax changes with the tax revenue from capital a</w:t>
      </w:r>
      <w:r>
        <w:rPr>
          <w:rFonts w:ascii="Times New Roman" w:hAnsi="Times New Roman" w:cs="Times New Roman"/>
          <w:noProof/>
          <w:color w:val="000000"/>
          <w:sz w:val="20"/>
        </w:rPr>
        <w:t>nd property declining, contrary to what has been recommended. This limits its capacity to address the social reforms recommended to Latvia. Tax compliance is gradually improving, but more could still be done by closing tax policy loopholes, like the micro-</w:t>
      </w:r>
      <w:r>
        <w:rPr>
          <w:rFonts w:ascii="Times New Roman" w:hAnsi="Times New Roman" w:cs="Times New Roman"/>
          <w:noProof/>
          <w:color w:val="000000"/>
          <w:sz w:val="20"/>
        </w:rPr>
        <w:t xml:space="preserve">enterprise tax regime, and by tackling more decisively shadow activity in several sectors of the economy.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Some progress has been made in carrying out social policy reforms, but their implementation is limited by the low level of public funding.</w:t>
      </w:r>
      <w:r>
        <w:rPr>
          <w:rFonts w:ascii="Times New Roman" w:hAnsi="Times New Roman" w:cs="Times New Roman"/>
          <w:noProof/>
          <w:color w:val="000000"/>
          <w:sz w:val="20"/>
        </w:rPr>
        <w:t xml:space="preserve"> Ambitious government plans to raise the minimum income level announced in 2014 have been shelved up to now due to a lack of funding. In 2020, the minimum social assistance benefits have been somewhat increased, but less than planned for 2020-2021, due to </w:t>
      </w:r>
      <w:r>
        <w:rPr>
          <w:rFonts w:ascii="Times New Roman" w:hAnsi="Times New Roman" w:cs="Times New Roman"/>
          <w:noProof/>
          <w:color w:val="000000"/>
          <w:sz w:val="20"/>
        </w:rPr>
        <w:t>funding constraints. The adequacy of the minimum social benefit remains low and more effort is needed. The low level of public financing for health has limited people’s access to quality and timely care for years. Healthcare financing increased in 2017-201</w:t>
      </w:r>
      <w:r>
        <w:rPr>
          <w:rFonts w:ascii="Times New Roman" w:hAnsi="Times New Roman" w:cs="Times New Roman"/>
          <w:noProof/>
          <w:color w:val="000000"/>
          <w:sz w:val="20"/>
        </w:rPr>
        <w:t>9, reaching an estimated 3.8% of GDP, but it is set to decline in 2020, as funding commitments are only partly satisfied. Efforts to increase the efficiency and quality of the health system continue, while major reforms of the hospital and primary care net</w:t>
      </w:r>
      <w:r>
        <w:rPr>
          <w:rFonts w:ascii="Times New Roman" w:hAnsi="Times New Roman" w:cs="Times New Roman"/>
          <w:noProof/>
          <w:color w:val="000000"/>
          <w:sz w:val="20"/>
        </w:rPr>
        <w:t>works are still at an early stage, despite being on the reform agenda for some years now.</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Education reforms have shown ‘some progress’ since 2012, but a greater effort could be done in order to improve the quality and efficiency of the education system, wh</w:t>
      </w:r>
      <w:r>
        <w:rPr>
          <w:rFonts w:ascii="Times New Roman" w:hAnsi="Times New Roman" w:cs="Times New Roman"/>
          <w:b/>
          <w:noProof/>
          <w:color w:val="000000"/>
          <w:sz w:val="20"/>
        </w:rPr>
        <w:t>ile expanding adult learning.</w:t>
      </w:r>
      <w:r>
        <w:rPr>
          <w:rFonts w:ascii="Times New Roman" w:hAnsi="Times New Roman" w:cs="Times New Roman"/>
          <w:noProof/>
          <w:color w:val="000000"/>
          <w:sz w:val="20"/>
        </w:rPr>
        <w:t xml:space="preserve"> Latvia made some progress in developing a quality-rewarding financing model for higher education and setting up an external quality assurance agency for higher education over 2012-2015. However, the amount of performance-based</w:t>
      </w:r>
      <w:r>
        <w:rPr>
          <w:rFonts w:ascii="Times New Roman" w:hAnsi="Times New Roman" w:cs="Times New Roman"/>
          <w:noProof/>
          <w:color w:val="000000"/>
          <w:sz w:val="20"/>
        </w:rPr>
        <w:t xml:space="preserve"> funding remains limited, and the higher education system remains fragmented, with too many study programmes and education institutions. The intentions of streamlining the school network, given the declining number of students, has not proceeded as planned</w:t>
      </w:r>
      <w:r>
        <w:rPr>
          <w:rFonts w:ascii="Times New Roman" w:hAnsi="Times New Roman" w:cs="Times New Roman"/>
          <w:noProof/>
          <w:color w:val="000000"/>
          <w:sz w:val="20"/>
        </w:rPr>
        <w:t xml:space="preserve"> in recent years, thus delaying gains in quality and efficiency in general education. Reforms to improve vocational education and training are ongoing, but the share of students in this type of education remains low. Participation in adult learning is low,</w:t>
      </w:r>
      <w:r>
        <w:rPr>
          <w:rFonts w:ascii="Times New Roman" w:hAnsi="Times New Roman" w:cs="Times New Roman"/>
          <w:noProof/>
          <w:color w:val="000000"/>
          <w:sz w:val="20"/>
        </w:rPr>
        <w:t xml:space="preserve"> especially for the low-skilled, due to personal reasons and insufficient non-financial and financial incentives for employers to invest and support adult learning for their employees.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Despite low national financing, ‘some progress’ has been achieved in i</w:t>
      </w:r>
      <w:r>
        <w:rPr>
          <w:rFonts w:ascii="Times New Roman" w:hAnsi="Times New Roman" w:cs="Times New Roman"/>
          <w:b/>
          <w:noProof/>
          <w:color w:val="000000"/>
          <w:sz w:val="20"/>
        </w:rPr>
        <w:t xml:space="preserve">nvesting in innovation, transport and digital infrastructure, while housing and environmentally minded policies have not yet been established. </w:t>
      </w:r>
      <w:r>
        <w:rPr>
          <w:rFonts w:ascii="Times New Roman" w:hAnsi="Times New Roman" w:cs="Times New Roman"/>
          <w:noProof/>
          <w:color w:val="000000"/>
          <w:sz w:val="20"/>
        </w:rPr>
        <w:t>Since 2012, Latvia has been recommended to expand its investments in R&amp;D, but funding plans have not materialised</w:t>
      </w:r>
      <w:r>
        <w:rPr>
          <w:rFonts w:ascii="Times New Roman" w:hAnsi="Times New Roman" w:cs="Times New Roman"/>
          <w:noProof/>
          <w:color w:val="000000"/>
          <w:sz w:val="20"/>
        </w:rPr>
        <w:t>. Nevertheless, consolidation of the research institutions has been achieved and establishing a unified governance body planned. Transport and digital infrastructure have been developed with the EU’s support, but broadband coverage in rural areas remains l</w:t>
      </w:r>
      <w:r>
        <w:rPr>
          <w:rFonts w:ascii="Times New Roman" w:hAnsi="Times New Roman" w:cs="Times New Roman"/>
          <w:noProof/>
          <w:color w:val="000000"/>
          <w:sz w:val="20"/>
        </w:rPr>
        <w:t>ow. Plans to develop an environmentally sustainable energy and transportation network have not yet been devised. However, the development of Rail Baltica should support the shift to transport that is less carbon intensive. Investments in housing are hamper</w:t>
      </w:r>
      <w:r>
        <w:rPr>
          <w:rFonts w:ascii="Times New Roman" w:hAnsi="Times New Roman" w:cs="Times New Roman"/>
          <w:noProof/>
          <w:color w:val="000000"/>
          <w:sz w:val="20"/>
        </w:rPr>
        <w:t>ed by lengthy and cumbersome planning processes, as well as outdated rental laws, with no progress on proposed changes since 2018.</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Public governance reforms, one of the reform priorities since 2012, have shown ‘some progress’ in recent years. </w:t>
      </w:r>
      <w:r>
        <w:rPr>
          <w:rFonts w:ascii="Times New Roman" w:hAnsi="Times New Roman" w:cs="Times New Roman"/>
          <w:noProof/>
          <w:color w:val="000000"/>
          <w:sz w:val="20"/>
        </w:rPr>
        <w:t>The reduction</w:t>
      </w:r>
      <w:r>
        <w:rPr>
          <w:rFonts w:ascii="Times New Roman" w:hAnsi="Times New Roman" w:cs="Times New Roman"/>
          <w:noProof/>
          <w:color w:val="000000"/>
          <w:sz w:val="20"/>
        </w:rPr>
        <w:t xml:space="preserve"> in the length of court proceedings in general has been achieved, while the role of the Council for the Judiciary has been strengthened. Public oversight of insolvency administrators has been established. Public administration reform for the central govern</w:t>
      </w:r>
      <w:r>
        <w:rPr>
          <w:rFonts w:ascii="Times New Roman" w:hAnsi="Times New Roman" w:cs="Times New Roman"/>
          <w:noProof/>
          <w:color w:val="000000"/>
          <w:sz w:val="20"/>
        </w:rPr>
        <w:t xml:space="preserve">ment is being implemented over the period 2017-2020 and reform of local governments is set to be rolled out from 2021. Moreover, corporate governance of state and municipal companies already started to improve before the country’s accession to the OECD in </w:t>
      </w:r>
      <w:r>
        <w:rPr>
          <w:rFonts w:ascii="Times New Roman" w:hAnsi="Times New Roman" w:cs="Times New Roman"/>
          <w:noProof/>
          <w:color w:val="000000"/>
          <w:sz w:val="20"/>
        </w:rPr>
        <w:t>2016 and has continued to improve since then. ‘Some progress’ has been made in preventing conflict of interests over time, but certain shortcomings remain.</w:t>
      </w:r>
      <w:r>
        <w:rPr>
          <w:rFonts w:ascii="Times New Roman" w:hAnsi="Times New Roman" w:cs="Times New Roman"/>
          <w:noProof/>
          <w:color w:val="000000"/>
          <w:sz w:val="20"/>
        </w:rPr>
        <w:br w:type="column"/>
      </w:r>
      <w:r>
        <w:rPr>
          <w:rFonts w:ascii="Times New Roman" w:hAnsi="Times New Roman" w:cs="Times New Roman"/>
          <w:b/>
          <w:noProof/>
          <w:color w:val="000000"/>
          <w:sz w:val="20"/>
        </w:rPr>
        <w:t>Latvia has made ‘some progress’ in addressing the 2019 country-specific recommendations</w:t>
      </w:r>
      <w:r>
        <w:rPr>
          <w:rFonts w:ascii="Times New Roman" w:hAnsi="Times New Roman" w:cs="Times New Roman"/>
          <w:noProof/>
          <w:color w:val="000000"/>
          <w:sz w:val="20"/>
        </w:rPr>
        <w:t xml:space="preserve"> (see Table </w:t>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w:instrText>
      </w:r>
      <w:r>
        <w:rPr>
          <w:rFonts w:ascii="Times New Roman" w:hAnsi="Times New Roman" w:cs="Times New Roman"/>
          <w:noProof/>
          <w:color w:val="000000"/>
          <w:sz w:val="20"/>
        </w:rPr>
        <w:instrText>QUOTE "2.1"</w:instrText>
      </w:r>
      <w:r>
        <w:rPr>
          <w:rFonts w:ascii="Times New Roman" w:hAnsi="Times New Roman" w:cs="Times New Roman"/>
          <w:noProof/>
          <w:color w:val="000000"/>
          <w:sz w:val="20"/>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AHIAZwAvADIAMAAwADEALwBYAE0ATABTAGMAaABlAG0AYQAiAD4ADQAKACAAIAA8AEkAZAA+AGEA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</w:fldData>
        </w:fldChar>
      </w:r>
      <w:r>
        <w:rPr>
          <w:rFonts w:ascii="Times New Roman" w:hAnsi="Times New Roman" w:cs="Times New Roman"/>
          <w:noProof/>
          <w:color w:val="000000"/>
          <w:sz w:val="20"/>
        </w:rPr>
        <w:instrText xml:space="preserve"> ADDIN </w:instrText>
      </w:r>
      <w:r>
        <w:rPr>
          <w:rFonts w:ascii="Times New Roman" w:hAnsi="Times New Roman" w:cs="Times New Roman"/>
          <w:noProof/>
          <w:color w:val="000000"/>
          <w:sz w:val="20"/>
        </w:rPr>
      </w:r>
      <w:r>
        <w:rPr>
          <w:rFonts w:ascii="Times New Roman" w:hAnsi="Times New Roman" w:cs="Times New Roman"/>
          <w:noProof/>
          <w:color w:val="000000"/>
          <w:sz w:val="20"/>
        </w:rPr>
        <w:fldChar w:fldCharType="end"/>
      </w:r>
      <w:r>
        <w:rPr>
          <w:rFonts w:ascii="Times New Roman" w:hAnsi="Times New Roman" w:cs="Times New Roman"/>
          <w:noProof/>
          <w:color w:val="000000"/>
          <w:sz w:val="20"/>
        </w:rPr>
        <w:instrText xml:space="preserve"> </w:instrText>
      </w:r>
      <w:r>
        <w:rPr>
          <w:rFonts w:ascii="Times New Roman" w:hAnsi="Times New Roman" w:cs="Times New Roman"/>
          <w:noProof/>
          <w:color w:val="000000"/>
          <w:sz w:val="20"/>
        </w:rPr>
        <w:fldChar w:fldCharType="separate"/>
      </w:r>
      <w:r>
        <w:rPr>
          <w:rFonts w:ascii="Times New Roman" w:hAnsi="Times New Roman" w:cs="Times New Roman"/>
          <w:noProof/>
          <w:color w:val="000000"/>
          <w:sz w:val="20"/>
        </w:rPr>
        <w:t>2.1</w:t>
      </w:r>
      <w:r>
        <w:rPr>
          <w:rFonts w:ascii="Times New Roman" w:hAnsi="Times New Roman" w:cs="Times New Roman"/>
          <w:noProof/>
          <w:color w:val="000000"/>
          <w:sz w:val="20"/>
        </w:rPr>
        <w:fldChar w:fldCharType="end"/>
      </w:r>
      <w:r>
        <w:rPr>
          <w:rFonts w:ascii="Times New Roman" w:hAnsi="Times New Roman" w:cs="Times New Roman"/>
          <w:noProof/>
          <w:color w:val="000000"/>
          <w:sz w:val="20"/>
        </w:rPr>
        <w:t xml:space="preserve">). ‘Substantial progress’ has been made in strengthening the anti-money laundering system and reducing the flow of risky money through Latvia. The shifting of the tax burden </w:t>
      </w:r>
      <w:r>
        <w:rPr>
          <w:rFonts w:ascii="Times New Roman" w:hAnsi="Times New Roman" w:cs="Times New Roman"/>
          <w:noProof/>
          <w:color w:val="000000"/>
          <w:sz w:val="20"/>
        </w:rPr>
        <w:t>from labour to other less detrimental tax sources has been partly achieved, as the measures were not revenue neutral. Social and healthcare plans for 2020 have had their financing restricted, resulting in ‘some progress’. Environmentally sustainable invest</w:t>
      </w:r>
      <w:r>
        <w:rPr>
          <w:rFonts w:ascii="Times New Roman" w:hAnsi="Times New Roman" w:cs="Times New Roman"/>
          <w:noProof/>
          <w:color w:val="000000"/>
          <w:sz w:val="20"/>
        </w:rPr>
        <w:t>ment policies are still being designed. Public administration reforms have advanced, while the system to prevent conflict of interest showed mixed developments.</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Upon request from a Member State, the Commission can provide tailor-made expertise via the Stru</w:t>
      </w:r>
      <w:r>
        <w:rPr>
          <w:rFonts w:ascii="Times New Roman" w:hAnsi="Times New Roman" w:cs="Times New Roman"/>
          <w:noProof/>
          <w:color w:val="000000"/>
          <w:sz w:val="20"/>
        </w:rPr>
        <w:t>ctural Reform Support Programme to help design and implement growth-enhancing reforms. Since 2017, Latvia has received support for a total of 32 projects. In 2019, several projects were implemented, including the development of a framework for assessing pe</w:t>
      </w:r>
      <w:r>
        <w:rPr>
          <w:rFonts w:ascii="Times New Roman" w:hAnsi="Times New Roman" w:cs="Times New Roman"/>
          <w:noProof/>
          <w:color w:val="000000"/>
          <w:sz w:val="20"/>
        </w:rPr>
        <w:t>rformance of the healthcare system and the provision of a methodology for innovative public service reform projects. Moreover, the Commission has supported the authorities in implementing the mid-term tax strategy by, among other things, supporting the dev</w:t>
      </w:r>
      <w:r>
        <w:rPr>
          <w:rFonts w:ascii="Times New Roman" w:hAnsi="Times New Roman" w:cs="Times New Roman"/>
          <w:noProof/>
          <w:color w:val="000000"/>
          <w:sz w:val="20"/>
        </w:rPr>
        <w:t>elopment of VAT gap analysis methods and a compliance-risk management strategy. In 2019, work started on reviewing system for assessing disabilities and on enhancing the integration of people with disabilities in the labour market.</w:t>
      </w:r>
    </w:p>
    <w:tbl>
      <w:tblPr>
        <w:tblpPr w:vertAnchor="page" w:horzAnchor="margin" w:tblpY="2785"/>
        <w:tblOverlap w:val="never"/>
        <w:tblW w:w="8505" w:type="dxa"/>
        <w:tblLayout w:type="fixed"/>
        <w:tblCellMar>
          <w:left w:w="0" w:type="dxa"/>
          <w:right w:w="0" w:type="dxa"/>
        </w:tblCellMar>
        <w:tblLook w:val="0000" w:firstRow="0" w:lastRow="0" w:firstColumn="0" w:lastColumn="0" w:noHBand="0" w:noVBand="0"/>
      </w:tblPr>
      <w:tblGrid>
        <w:gridCol w:w="8505"/>
      </w:tblGrid>
      <w:tr w:rsidR="00A8765D">
        <w:trPr>
          <w:cantSplit/>
          <w:trHeight w:val="20"/>
        </w:trPr>
        <w:tc>
          <w:tcPr>
            <w:tcW w:w="8505" w:type="dxa"/>
            <w:shd w:val="clear" w:color="auto" w:fill="auto"/>
          </w:tcPr>
          <w:p w:rsidR="00A8765D" w:rsidRDefault="00A8765D">
            <w:pPr>
              <w:keepNext/>
              <w:spacing w:after="0" w:line="240" w:lineRule="auto"/>
              <w:jc w:val="both"/>
              <w:rPr>
                <w:rFonts w:ascii="Times New Roman" w:hAnsi="Times New Roman" w:cs="Times New Roman"/>
                <w:noProof/>
                <w:color w:val="000000"/>
                <w:sz w:val="2"/>
              </w:rPr>
            </w:pPr>
          </w:p>
        </w:tc>
      </w:tr>
      <w:tr w:rsidR="00A8765D">
        <w:trPr>
          <w:cantSplit/>
        </w:trPr>
        <w:tc>
          <w:tcPr>
            <w:tcW w:w="8505"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Table 2.1:</w:t>
            </w:r>
            <w:r>
              <w:rPr>
                <w:rFonts w:ascii="Century Gothic" w:hAnsi="Century Gothic" w:cs="Times New Roman"/>
                <w:b/>
                <w:noProof/>
                <w:color w:val="333399"/>
                <w:sz w:val="14"/>
              </w:rPr>
              <w:tab/>
              <w:t>Summary tab</w:t>
            </w:r>
            <w:r>
              <w:rPr>
                <w:rFonts w:ascii="Century Gothic" w:hAnsi="Century Gothic" w:cs="Times New Roman"/>
                <w:b/>
                <w:noProof/>
                <w:color w:val="333399"/>
                <w:sz w:val="14"/>
              </w:rPr>
              <w:t>le of 2019 CSR assessment *</w:t>
            </w:r>
          </w:p>
        </w:tc>
      </w:tr>
      <w:tr w:rsidR="00A8765D">
        <w:trPr>
          <w:cantSplit/>
        </w:trPr>
        <w:tc>
          <w:tcPr>
            <w:tcW w:w="8505"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
                <w:lang w:eastAsia="en-GB"/>
              </w:rPr>
              <w:drawing>
                <wp:inline distT="0" distB="0" distL="0" distR="0">
                  <wp:extent cx="5401310" cy="3493135"/>
                  <wp:effectExtent l="0" t="0" r="889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1310" cy="3493135"/>
                          </a:xfrm>
                          <a:prstGeom prst="rect">
                            <a:avLst/>
                          </a:prstGeom>
                          <a:noFill/>
                        </pic:spPr>
                      </pic:pic>
                    </a:graphicData>
                  </a:graphic>
                </wp:inline>
              </w:drawing>
            </w:r>
            <w:r>
              <w:rPr>
                <w:rFonts w:ascii="Times New Roman" w:hAnsi="Times New Roman" w:cs="Times New Roman"/>
                <w:noProof/>
                <w:color w:val="000000"/>
                <w:sz w:val="2"/>
              </w:rPr>
              <w:t xml:space="preserve"> </w:t>
            </w:r>
          </w:p>
        </w:tc>
      </w:tr>
      <w:tr w:rsidR="00A8765D">
        <w:trPr>
          <w:cantSplit/>
        </w:trPr>
        <w:tc>
          <w:tcPr>
            <w:tcW w:w="8505" w:type="dxa"/>
            <w:shd w:val="clear" w:color="auto" w:fill="auto"/>
          </w:tcPr>
          <w:p w:rsidR="00A8765D" w:rsidRDefault="006C09F5">
            <w:pPr>
              <w:keepNext/>
              <w:pBdr>
                <w:top w:val="single" w:sz="2" w:space="2" w:color="auto"/>
                <w:bottom w:val="single" w:sz="2" w:space="2" w:color="auto"/>
              </w:pBdr>
              <w:spacing w:after="0" w:line="240" w:lineRule="auto"/>
              <w:rPr>
                <w:rFonts w:ascii="Century Gothic" w:hAnsi="Century Gothic" w:cs="Times New Roman"/>
                <w:noProof/>
                <w:color w:val="000000"/>
                <w:sz w:val="14"/>
                <w:szCs w:val="14"/>
              </w:rPr>
            </w:pPr>
            <w:r>
              <w:rPr>
                <w:rFonts w:ascii="Century Gothic" w:hAnsi="Century Gothic" w:cs="Times New Roman"/>
                <w:noProof/>
                <w:color w:val="000000"/>
                <w:sz w:val="14"/>
                <w:szCs w:val="14"/>
              </w:rPr>
              <w:t>(1) The assessment of CSR1 does not include an assessment of compliance with the Stability and Growth Pact.</w:t>
            </w:r>
          </w:p>
          <w:p w:rsidR="00A8765D" w:rsidRDefault="006C09F5">
            <w:pPr>
              <w:keepNext/>
              <w:pBdr>
                <w:top w:val="single" w:sz="2" w:space="2" w:color="auto"/>
                <w:bottom w:val="single" w:sz="2" w:space="2" w:color="auto"/>
              </w:pBdr>
              <w:spacing w:after="0" w:line="240" w:lineRule="auto"/>
              <w:rPr>
                <w:rFonts w:ascii="Century Gothic" w:hAnsi="Century Gothic" w:cs="Times New Roman"/>
                <w:noProof/>
                <w:color w:val="000000"/>
                <w:sz w:val="14"/>
                <w:szCs w:val="14"/>
              </w:rPr>
            </w:pPr>
            <w:r>
              <w:rPr>
                <w:rFonts w:ascii="Century Gothic" w:hAnsi="Century Gothic" w:cs="Times New Roman"/>
                <w:b/>
                <w:noProof/>
                <w:color w:val="000000"/>
                <w:sz w:val="14"/>
                <w:szCs w:val="14"/>
              </w:rPr>
              <w:t>Source:</w:t>
            </w:r>
            <w:r>
              <w:rPr>
                <w:rFonts w:ascii="Century Gothic" w:hAnsi="Century Gothic" w:cs="Times New Roman"/>
                <w:noProof/>
                <w:color w:val="000000"/>
                <w:sz w:val="14"/>
                <w:szCs w:val="14"/>
              </w:rPr>
              <w:t xml:space="preserve"> European Commission</w:t>
            </w:r>
          </w:p>
          <w:p w:rsidR="00A8765D" w:rsidRDefault="006C09F5">
            <w:pPr>
              <w:keepNext/>
              <w:pBdr>
                <w:top w:val="single" w:sz="2" w:space="2" w:color="auto"/>
                <w:bottom w:val="single" w:sz="2" w:space="2" w:color="auto"/>
              </w:pBdr>
              <w:spacing w:after="0" w:line="240" w:lineRule="auto"/>
              <w:jc w:val="both"/>
              <w:rPr>
                <w:rFonts w:ascii="Century Gothic" w:hAnsi="Century Gothic" w:cs="Times New Roman"/>
                <w:noProof/>
                <w:color w:val="000000"/>
                <w:sz w:val="14"/>
                <w:szCs w:val="14"/>
              </w:rPr>
            </w:pPr>
            <w:r>
              <w:rPr>
                <w:rFonts w:ascii="Century Gothic" w:hAnsi="Century Gothic" w:cs="Times New Roman"/>
                <w:noProof/>
                <w:color w:val="000000"/>
                <w:sz w:val="14"/>
                <w:szCs w:val="14"/>
              </w:rPr>
              <w:t xml:space="preserve">* </w:t>
            </w:r>
            <w:r>
              <w:rPr>
                <w:rFonts w:ascii="Century Gothic" w:hAnsi="Century Gothic"/>
                <w:iCs/>
                <w:noProof/>
                <w:color w:val="000000"/>
                <w:sz w:val="14"/>
                <w:szCs w:val="14"/>
              </w:rPr>
              <w:t xml:space="preserve">The assessment of CSR3 does not take into account the contribution of the EU </w:t>
            </w:r>
            <w:r>
              <w:rPr>
                <w:rFonts w:ascii="Century Gothic" w:hAnsi="Century Gothic"/>
                <w:iCs/>
                <w:noProof/>
                <w:color w:val="000000"/>
                <w:sz w:val="14"/>
                <w:szCs w:val="14"/>
              </w:rPr>
              <w:t>2021-2027 cohesion policy funds. The regulatory framework underpinning the programming of the 2021-2027 EU cohesion policy funds has not yet been adopted by the co-legislators, pending inter alia an agreement on the multiannual financial framework (MFF</w:t>
            </w:r>
            <w:r>
              <w:rPr>
                <w:rFonts w:ascii="Century Gothic" w:hAnsi="Century Gothic"/>
                <w:noProof/>
                <w:color w:val="000000"/>
                <w:sz w:val="14"/>
                <w:szCs w:val="14"/>
              </w:rPr>
              <w:t>)”.</w:t>
            </w:r>
          </w:p>
        </w:tc>
      </w:tr>
      <w:tr w:rsidR="00A8765D">
        <w:trPr>
          <w:cantSplit/>
          <w:trHeight w:val="20"/>
        </w:trPr>
        <w:tc>
          <w:tcPr>
            <w:tcW w:w="8505" w:type="dxa"/>
            <w:shd w:val="clear" w:color="auto" w:fill="auto"/>
          </w:tcPr>
          <w:p w:rsidR="00A8765D" w:rsidRDefault="00A8765D">
            <w:pPr>
              <w:spacing w:after="0" w:line="240" w:lineRule="auto"/>
              <w:jc w:val="both"/>
              <w:rPr>
                <w:rFonts w:ascii="Times New Roman" w:hAnsi="Times New Roman" w:cs="Times New Roman"/>
                <w:noProof/>
                <w:color w:val="000000"/>
                <w:sz w:val="2"/>
              </w:rPr>
            </w:pPr>
          </w:p>
        </w:tc>
      </w:tr>
    </w:tbl>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22" w:name="_Toc33020609"/>
      <w:r>
        <w:rPr>
          <w:rFonts w:ascii="Times New Roman" w:hAnsi="Times New Roman" w:cs="Times New Roman"/>
          <w:noProof/>
          <w:color w:val="000000"/>
          <w:sz w:val="20"/>
        </w:rPr>
        <w:instrText>2.1.</w:instrText>
      </w:r>
      <w:r>
        <w:rPr>
          <w:rFonts w:ascii="Times New Roman" w:hAnsi="Times New Roman" w:cs="Times New Roman"/>
          <w:noProof/>
          <w:color w:val="000000"/>
          <w:sz w:val="20"/>
        </w:rPr>
        <w:tab/>
        <w:instrText>Summary table of 2019 CSR assessment</w:instrText>
      </w:r>
      <w:bookmarkEnd w:id="22"/>
      <w:r>
        <w:rPr>
          <w:rFonts w:ascii="Times New Roman" w:hAnsi="Times New Roman" w:cs="Times New Roman"/>
          <w:noProof/>
          <w:color w:val="000000"/>
          <w:sz w:val="20"/>
        </w:rPr>
        <w:instrText xml:space="preserve">" \ftable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0"/>
        </w:rPr>
        <w:br w:type="page"/>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23" w:name="_Toc33440673"/>
      <w:bookmarkStart w:id="24" w:name="_Toc33531602"/>
      <w:r>
        <w:rPr>
          <w:rFonts w:ascii="Times New Roman" w:hAnsi="Times New Roman" w:cs="Times New Roman"/>
          <w:noProof/>
          <w:color w:val="000000"/>
          <w:sz w:val="20"/>
        </w:rPr>
        <w:instrText>2.1.</w:instrText>
      </w:r>
      <w:r>
        <w:rPr>
          <w:rFonts w:ascii="Times New Roman" w:hAnsi="Times New Roman" w:cs="Times New Roman"/>
          <w:noProof/>
          <w:color w:val="000000"/>
          <w:sz w:val="20"/>
        </w:rPr>
        <w:tab/>
        <w:instrText>EU funds and programmes to address structural challenges and to foster growth and competitiveness in Latvia</w:instrText>
      </w:r>
      <w:bookmarkEnd w:id="23"/>
      <w:bookmarkEnd w:id="24"/>
      <w:r>
        <w:rPr>
          <w:rFonts w:ascii="Times New Roman" w:hAnsi="Times New Roman" w:cs="Times New Roman"/>
          <w:noProof/>
          <w:color w:val="000000"/>
          <w:sz w:val="20"/>
        </w:rPr>
        <w:instrText xml:space="preserve">" \fbox \l 5 </w:instrText>
      </w:r>
      <w:r>
        <w:rPr>
          <w:rFonts w:ascii="Times New Roman" w:hAnsi="Times New Roman" w:cs="Times New Roman"/>
          <w:noProof/>
          <w:color w:val="000000"/>
          <w:sz w:val="20"/>
        </w:rPr>
        <w:fldChar w:fldCharType="end"/>
      </w:r>
    </w:p>
    <w:tbl>
      <w:tblPr>
        <w:tblpPr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A8765D">
        <w:trPr>
          <w:cantSplit/>
          <w:trHeight w:val="20"/>
        </w:trPr>
        <w:tc>
          <w:tcPr>
            <w:tcW w:w="8505" w:type="dxa"/>
            <w:shd w:val="clear" w:color="auto" w:fill="F7FCFF"/>
          </w:tcPr>
          <w:p w:rsidR="00A8765D" w:rsidRDefault="00A8765D">
            <w:pPr>
              <w:keepNext/>
              <w:spacing w:after="0" w:line="240" w:lineRule="auto"/>
              <w:jc w:val="both"/>
              <w:rPr>
                <w:rFonts w:ascii="Times New Roman" w:hAnsi="Times New Roman" w:cs="Times New Roman"/>
                <w:noProof/>
                <w:color w:val="000000"/>
                <w:sz w:val="2"/>
              </w:rPr>
            </w:pPr>
          </w:p>
        </w:tc>
      </w:tr>
      <w:tr w:rsidR="00A8765D">
        <w:trPr>
          <w:cantSplit/>
          <w:trHeight w:val="20"/>
        </w:trPr>
        <w:tc>
          <w:tcPr>
            <w:tcW w:w="8505" w:type="dxa"/>
            <w:shd w:val="clear" w:color="auto" w:fill="F7FCFF"/>
          </w:tcPr>
          <w:p w:rsidR="00A8765D" w:rsidRDefault="00A8765D">
            <w:pPr>
              <w:keepNext/>
              <w:spacing w:after="0" w:line="240" w:lineRule="auto"/>
              <w:jc w:val="both"/>
              <w:rPr>
                <w:rFonts w:ascii="Times New Roman" w:hAnsi="Times New Roman" w:cs="Times New Roman"/>
                <w:noProof/>
                <w:color w:val="000000"/>
                <w:sz w:val="2"/>
              </w:rPr>
            </w:pPr>
          </w:p>
        </w:tc>
      </w:tr>
      <w:tr w:rsidR="00A8765D">
        <w:trPr>
          <w:cantSplit/>
        </w:trPr>
        <w:tc>
          <w:tcPr>
            <w:tcW w:w="8505" w:type="dxa"/>
            <w:shd w:val="clear" w:color="auto" w:fill="F7FCFF"/>
          </w:tcPr>
          <w:p w:rsidR="00A8765D" w:rsidRDefault="006C09F5">
            <w:pPr>
              <w:keepNext/>
              <w:spacing w:before="120" w:after="120" w:line="240" w:lineRule="atLeast"/>
              <w:jc w:val="center"/>
              <w:rPr>
                <w:rFonts w:ascii="Times New Roman" w:hAnsi="Times New Roman" w:cs="Times New Roman"/>
                <w:noProof/>
                <w:color w:val="000000"/>
                <w:sz w:val="2"/>
              </w:rPr>
            </w:pPr>
            <w:r>
              <w:rPr>
                <w:rFonts w:ascii="Times New Roman" w:hAnsi="Times New Roman" w:cs="Times New Roman"/>
                <w:noProof/>
                <w:color w:val="000000"/>
                <w:sz w:val="2"/>
                <w:lang w:eastAsia="en-GB"/>
              </w:rPr>
              <w:drawing>
                <wp:inline distT="0" distB="0" distL="0" distR="0">
                  <wp:extent cx="5041900" cy="74866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1900" cy="7486650"/>
                          </a:xfrm>
                          <a:prstGeom prst="rect">
                            <a:avLst/>
                          </a:prstGeom>
                          <a:noFill/>
                        </pic:spPr>
                      </pic:pic>
                    </a:graphicData>
                  </a:graphic>
                </wp:inline>
              </w:drawing>
            </w:r>
            <w:r>
              <w:rPr>
                <w:rFonts w:ascii="Times New Roman" w:hAnsi="Times New Roman" w:cs="Times New Roman"/>
                <w:noProof/>
                <w:color w:val="000000"/>
                <w:sz w:val="2"/>
              </w:rPr>
              <w:t xml:space="preserve">  </w:t>
            </w:r>
          </w:p>
        </w:tc>
      </w:tr>
      <w:tr w:rsidR="00A8765D">
        <w:trPr>
          <w:cantSplit/>
          <w:trHeight w:val="20"/>
        </w:trPr>
        <w:tc>
          <w:tcPr>
            <w:tcW w:w="8505" w:type="dxa"/>
            <w:shd w:val="clear" w:color="auto" w:fill="F7FCFF"/>
          </w:tcPr>
          <w:p w:rsidR="00A8765D" w:rsidRDefault="00A8765D">
            <w:pPr>
              <w:keepNext/>
              <w:spacing w:after="0" w:line="240" w:lineRule="auto"/>
              <w:jc w:val="both"/>
              <w:rPr>
                <w:rFonts w:ascii="Times New Roman" w:hAnsi="Times New Roman" w:cs="Times New Roman"/>
                <w:noProof/>
                <w:color w:val="000000"/>
                <w:sz w:val="2"/>
              </w:rPr>
            </w:pPr>
          </w:p>
        </w:tc>
      </w:tr>
      <w:tr w:rsidR="00A8765D">
        <w:trPr>
          <w:cantSplit/>
        </w:trPr>
        <w:tc>
          <w:tcPr>
            <w:tcW w:w="8505" w:type="dxa"/>
            <w:shd w:val="clear" w:color="auto" w:fill="F7FCFF"/>
            <w:vAlign w:val="bottom"/>
          </w:tcPr>
          <w:p w:rsidR="00A8765D" w:rsidRDefault="006C09F5">
            <w:pPr>
              <w:spacing w:after="20" w:line="240" w:lineRule="auto"/>
              <w:ind w:right="283"/>
              <w:jc w:val="right"/>
              <w:rPr>
                <w:rFonts w:ascii="Century Gothic" w:hAnsi="Century Gothic" w:cs="Times New Roman"/>
                <w:i/>
                <w:noProof/>
                <w:color w:val="333399"/>
                <w:sz w:val="14"/>
              </w:rPr>
            </w:pPr>
            <w:r>
              <w:rPr>
                <w:rFonts w:ascii="Century Gothic" w:hAnsi="Century Gothic" w:cs="Times New Roman"/>
                <w:i/>
                <w:noProof/>
                <w:color w:val="333399"/>
                <w:sz w:val="14"/>
              </w:rPr>
              <w:t>(Continued on the next page)</w:t>
            </w:r>
          </w:p>
        </w:tc>
      </w:tr>
    </w:tbl>
    <w:p w:rsidR="00A8765D" w:rsidRDefault="00A8765D">
      <w:pPr>
        <w:spacing w:after="0" w:line="20" w:lineRule="exact"/>
        <w:jc w:val="both"/>
        <w:rPr>
          <w:rFonts w:ascii="Times New Roman" w:hAnsi="Times New Roman" w:cs="Times New Roman"/>
          <w:noProof/>
          <w:color w:val="000000"/>
          <w:sz w:val="2"/>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A8765D">
        <w:trPr>
          <w:cantSplit/>
        </w:trPr>
        <w:tc>
          <w:tcPr>
            <w:tcW w:w="8505" w:type="dxa"/>
            <w:shd w:val="clear" w:color="auto" w:fill="F7FCFF"/>
          </w:tcPr>
          <w:p w:rsidR="00A8765D" w:rsidRDefault="006C09F5">
            <w:pPr>
              <w:keepNext/>
              <w:pageBreakBefore/>
              <w:spacing w:before="20" w:after="0" w:line="240" w:lineRule="auto"/>
              <w:ind w:left="283"/>
              <w:jc w:val="both"/>
              <w:rPr>
                <w:rFonts w:ascii="Century Gothic" w:hAnsi="Century Gothic" w:cs="Times New Roman"/>
                <w:i/>
                <w:noProof/>
                <w:color w:val="333399"/>
                <w:sz w:val="14"/>
              </w:rPr>
            </w:pPr>
            <w:r>
              <w:rPr>
                <w:rFonts w:ascii="Century Gothic" w:hAnsi="Century Gothic" w:cs="Times New Roman"/>
                <w:i/>
                <w:noProof/>
                <w:color w:val="333399"/>
                <w:sz w:val="14"/>
              </w:rPr>
              <w:t xml:space="preserve">Box </w:t>
            </w:r>
            <w:r>
              <w:rPr>
                <w:rFonts w:ascii="Century Gothic" w:hAnsi="Century Gothic" w:cs="Times New Roman"/>
                <w:i/>
                <w:noProof/>
                <w:color w:val="333399"/>
                <w:sz w:val="14"/>
              </w:rPr>
              <w:t>(continued)</w:t>
            </w:r>
          </w:p>
        </w:tc>
      </w:tr>
      <w:tr w:rsidR="00A8765D">
        <w:trPr>
          <w:cantSplit/>
          <w:trHeight w:val="20"/>
        </w:trPr>
        <w:tc>
          <w:tcPr>
            <w:tcW w:w="8505" w:type="dxa"/>
            <w:shd w:val="clear" w:color="auto" w:fill="F7FCFF"/>
          </w:tcPr>
          <w:p w:rsidR="00A8765D" w:rsidRDefault="00A8765D">
            <w:pPr>
              <w:keepNext/>
              <w:spacing w:after="0" w:line="240" w:lineRule="auto"/>
              <w:jc w:val="both"/>
              <w:rPr>
                <w:rFonts w:ascii="Times New Roman" w:hAnsi="Times New Roman" w:cs="Times New Roman"/>
                <w:noProof/>
                <w:color w:val="000000"/>
                <w:sz w:val="2"/>
              </w:rPr>
            </w:pPr>
          </w:p>
        </w:tc>
      </w:tr>
      <w:tr w:rsidR="00A8765D">
        <w:trPr>
          <w:cantSplit/>
        </w:trPr>
        <w:tc>
          <w:tcPr>
            <w:tcW w:w="8505" w:type="dxa"/>
            <w:shd w:val="clear" w:color="auto" w:fill="F7FCFF"/>
          </w:tcPr>
          <w:p w:rsidR="00A8765D" w:rsidRDefault="006C09F5">
            <w:pPr>
              <w:keepNext/>
              <w:spacing w:before="120" w:after="120" w:line="240" w:lineRule="atLeast"/>
              <w:jc w:val="center"/>
              <w:rPr>
                <w:rFonts w:ascii="Times New Roman" w:hAnsi="Times New Roman" w:cs="Times New Roman"/>
                <w:noProof/>
                <w:color w:val="000000"/>
                <w:sz w:val="2"/>
              </w:rPr>
            </w:pPr>
            <w:r>
              <w:rPr>
                <w:rFonts w:ascii="Times New Roman" w:hAnsi="Times New Roman" w:cs="Times New Roman"/>
                <w:noProof/>
                <w:color w:val="000000"/>
                <w:sz w:val="2"/>
                <w:lang w:eastAsia="en-GB"/>
              </w:rPr>
              <w:drawing>
                <wp:inline distT="0" distB="0" distL="0" distR="0">
                  <wp:extent cx="5041900" cy="3841115"/>
                  <wp:effectExtent l="0" t="0" r="635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1900" cy="3841115"/>
                          </a:xfrm>
                          <a:prstGeom prst="rect">
                            <a:avLst/>
                          </a:prstGeom>
                          <a:noFill/>
                        </pic:spPr>
                      </pic:pic>
                    </a:graphicData>
                  </a:graphic>
                </wp:inline>
              </w:drawing>
            </w:r>
            <w:r>
              <w:rPr>
                <w:rFonts w:ascii="Times New Roman" w:hAnsi="Times New Roman" w:cs="Times New Roman"/>
                <w:noProof/>
                <w:color w:val="000000"/>
                <w:sz w:val="2"/>
              </w:rPr>
              <w:t xml:space="preserve">  </w:t>
            </w:r>
          </w:p>
        </w:tc>
      </w:tr>
      <w:tr w:rsidR="00A8765D">
        <w:trPr>
          <w:cantSplit/>
          <w:trHeight w:val="20"/>
        </w:trPr>
        <w:tc>
          <w:tcPr>
            <w:tcW w:w="8505" w:type="dxa"/>
            <w:shd w:val="clear" w:color="auto" w:fill="F7FCFF"/>
          </w:tcPr>
          <w:p w:rsidR="00A8765D" w:rsidRDefault="00A8765D">
            <w:pPr>
              <w:keepNext/>
              <w:spacing w:after="0" w:line="240" w:lineRule="auto"/>
              <w:jc w:val="both"/>
              <w:rPr>
                <w:rFonts w:ascii="Times New Roman" w:hAnsi="Times New Roman" w:cs="Times New Roman"/>
                <w:noProof/>
                <w:color w:val="000000"/>
                <w:sz w:val="2"/>
              </w:rPr>
            </w:pPr>
          </w:p>
        </w:tc>
      </w:tr>
      <w:tr w:rsidR="00A8765D">
        <w:trPr>
          <w:cantSplit/>
          <w:trHeight w:val="20"/>
        </w:trPr>
        <w:tc>
          <w:tcPr>
            <w:tcW w:w="8505" w:type="dxa"/>
            <w:shd w:val="clear" w:color="auto" w:fill="F7FCFF"/>
            <w:vAlign w:val="bottom"/>
          </w:tcPr>
          <w:p w:rsidR="00A8765D" w:rsidRDefault="00A8765D">
            <w:pPr>
              <w:spacing w:after="0" w:line="240" w:lineRule="auto"/>
              <w:jc w:val="both"/>
              <w:rPr>
                <w:rFonts w:ascii="Times New Roman" w:hAnsi="Times New Roman" w:cs="Times New Roman"/>
                <w:noProof/>
                <w:color w:val="000000"/>
                <w:sz w:val="2"/>
              </w:rPr>
            </w:pPr>
          </w:p>
        </w:tc>
      </w:tr>
      <w:bookmarkEnd w:id="19"/>
    </w:tbl>
    <w:p w:rsidR="00A8765D" w:rsidRDefault="00A8765D">
      <w:pPr>
        <w:spacing w:after="240" w:line="240" w:lineRule="atLeast"/>
        <w:jc w:val="both"/>
        <w:rPr>
          <w:rFonts w:ascii="Times New Roman" w:hAnsi="Times New Roman" w:cs="Times New Roman"/>
          <w:noProof/>
          <w:color w:val="000000"/>
          <w:sz w:val="20"/>
        </w:rPr>
        <w:sectPr w:rsidR="00A8765D">
          <w:headerReference w:type="even" r:id="rId45"/>
          <w:headerReference w:type="default" r:id="rId46"/>
          <w:footerReference w:type="even" r:id="rId47"/>
          <w:footerReference w:type="default" r:id="rId48"/>
          <w:headerReference w:type="first" r:id="rId49"/>
          <w:footerReference w:type="first" r:id="rId50"/>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bookmarkStart w:id="25" w:name="SubsectionHeading"/>
    <w:bookmarkStart w:id="26" w:name="GUID215055E5AFD44C949DDB35E21B483F55"/>
    <w:p w:rsidR="00A8765D" w:rsidRDefault="006C09F5">
      <w:pPr>
        <w:spacing w:after="240" w:line="240" w:lineRule="atLeast"/>
        <w:jc w:val="both"/>
        <w:rPr>
          <w:rFonts w:ascii="Times New Roman" w:hAnsi="Times New Roman" w:cs="Times New Roman"/>
          <w:noProof/>
          <w:vanish/>
          <w:color w:val="000000"/>
          <w:sz w:val="20"/>
        </w:rPr>
      </w:pPr>
      <w:r>
        <w:rPr>
          <w:rFonts w:ascii="Times New Roman" w:hAnsi="Times New Roman" w:cs="Times New Roman"/>
          <w:noProof/>
          <w:vanish/>
          <w:color w:val="000000"/>
          <w:sz w:val="20"/>
        </w:rPr>
        <w:fldChar w:fldCharType="begin"/>
      </w:r>
      <w:r>
        <w:rPr>
          <w:rFonts w:ascii="Times New Roman" w:hAnsi="Times New Roman" w:cs="Times New Roman"/>
          <w:noProof/>
          <w:color w:val="000000"/>
          <w:sz w:val="20"/>
        </w:rPr>
        <w:instrText xml:space="preserve"> TC "</w:instrText>
      </w:r>
      <w:bookmarkStart w:id="27" w:name="_Toc33020596"/>
      <w:r>
        <w:rPr>
          <w:rFonts w:ascii="Times New Roman" w:hAnsi="Times New Roman" w:cs="Times New Roman"/>
          <w:noProof/>
          <w:color w:val="000000"/>
          <w:sz w:val="20"/>
        </w:rPr>
        <w:instrText>3.</w:instrText>
      </w:r>
      <w:r>
        <w:rPr>
          <w:rFonts w:ascii="Times New Roman" w:hAnsi="Times New Roman" w:cs="Times New Roman"/>
          <w:noProof/>
          <w:color w:val="000000"/>
          <w:sz w:val="20"/>
        </w:rPr>
        <w:tab/>
        <w:instrText>Reform priorities</w:instrText>
      </w:r>
      <w:bookmarkEnd w:id="27"/>
      <w:r>
        <w:rPr>
          <w:rFonts w:ascii="Times New Roman" w:hAnsi="Times New Roman" w:cs="Times New Roman"/>
          <w:noProof/>
          <w:color w:val="000000"/>
          <w:sz w:val="20"/>
        </w:rPr>
        <w:instrText xml:space="preserve">" \f \l 2 </w:instrText>
      </w:r>
      <w:r>
        <w:rPr>
          <w:rFonts w:ascii="Times New Roman" w:hAnsi="Times New Roman" w:cs="Times New Roman"/>
          <w:noProof/>
          <w:vanish/>
          <w:color w:val="000000"/>
          <w:sz w:val="20"/>
        </w:rPr>
        <w:fldChar w:fldCharType="end"/>
      </w:r>
    </w:p>
    <w:p w:rsidR="00A8765D" w:rsidRDefault="006C09F5">
      <w:pPr>
        <w:pStyle w:val="SubsectionHeading"/>
        <w:framePr w:wrap="around"/>
        <w:rPr>
          <w:noProof/>
        </w:rPr>
      </w:pPr>
      <w:bookmarkStart w:id="28" w:name="_Toc33020000"/>
      <w:bookmarkStart w:id="29" w:name="_Toc33020597"/>
      <w:bookmarkEnd w:id="25"/>
      <w:r>
        <w:rPr>
          <w:noProof/>
        </w:rPr>
        <w:t>3.1.</w:t>
      </w:r>
      <w:r>
        <w:rPr>
          <w:noProof/>
        </w:rPr>
        <w:tab/>
      </w:r>
      <w:r>
        <w:rPr>
          <w:noProof/>
        </w:rPr>
        <w:t>Public finances and taxation</w:t>
      </w:r>
      <w:bookmarkEnd w:id="28"/>
      <w:bookmarkEnd w:id="29"/>
    </w:p>
    <w:p w:rsidR="00A8765D" w:rsidRDefault="006C09F5">
      <w:pPr>
        <w:pStyle w:val="NumberedHeading1"/>
        <w:tabs>
          <w:tab w:val="left" w:pos="567"/>
        </w:tabs>
        <w:rPr>
          <w:noProof/>
        </w:rPr>
      </w:pPr>
      <w:r>
        <w:rPr>
          <w:noProof/>
        </w:rPr>
        <w:t>3.1.1.</w:t>
      </w:r>
      <w:r>
        <w:rPr>
          <w:noProof/>
        </w:rPr>
        <w:tab/>
        <w:t>Fiscal policy</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Latvia’s fiscal stance is estimated to have tightened in 2019 and 2020.</w:t>
      </w:r>
      <w:r>
        <w:rPr>
          <w:rFonts w:ascii="Times New Roman" w:hAnsi="Times New Roman" w:cs="Times New Roman"/>
          <w:noProof/>
          <w:color w:val="000000"/>
          <w:sz w:val="20"/>
        </w:rPr>
        <w:t xml:space="preserve"> Latvia ran a fiscal expansion in 2017 and 2018 during a cyclical upturn in the economy. This was marked by an increase in government b</w:t>
      </w:r>
      <w:r>
        <w:rPr>
          <w:rFonts w:ascii="Times New Roman" w:hAnsi="Times New Roman" w:cs="Times New Roman"/>
          <w:noProof/>
          <w:color w:val="000000"/>
          <w:sz w:val="20"/>
        </w:rPr>
        <w:t>orrowing and annual expenditure growth rates of around 10%. It is projected that in 2019 and 2020, the structural deficit will be reduced in parallel with a slowdown in economic growth and a narrowing positive output gap (Graph </w:t>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QUOTE "3.1.1"</w:instrText>
      </w:r>
      <w:r>
        <w:rPr>
          <w:rFonts w:ascii="Times New Roman" w:hAnsi="Times New Roman" w:cs="Times New Roman"/>
          <w:noProof/>
          <w:color w:val="000000"/>
          <w:sz w:val="20"/>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AHIAZwAvADIAMAAwADEALwBYAE0ATABTAGMAaABlAG0AYQAiAD4ADQAKACAAIAA8AEkAZAA+ADMA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=
</w:fldData>
        </w:fldChar>
      </w:r>
      <w:r>
        <w:rPr>
          <w:rFonts w:ascii="Times New Roman" w:hAnsi="Times New Roman" w:cs="Times New Roman"/>
          <w:noProof/>
          <w:color w:val="000000"/>
          <w:sz w:val="20"/>
        </w:rPr>
        <w:instrText xml:space="preserve"> ADDIN </w:instrText>
      </w:r>
      <w:r>
        <w:rPr>
          <w:rFonts w:ascii="Times New Roman" w:hAnsi="Times New Roman" w:cs="Times New Roman"/>
          <w:noProof/>
          <w:color w:val="000000"/>
          <w:sz w:val="20"/>
        </w:rPr>
      </w:r>
      <w:r>
        <w:rPr>
          <w:rFonts w:ascii="Times New Roman" w:hAnsi="Times New Roman" w:cs="Times New Roman"/>
          <w:noProof/>
          <w:color w:val="000000"/>
          <w:sz w:val="20"/>
        </w:rPr>
        <w:fldChar w:fldCharType="end"/>
      </w:r>
      <w:r>
        <w:rPr>
          <w:rFonts w:ascii="Times New Roman" w:hAnsi="Times New Roman" w:cs="Times New Roman"/>
          <w:noProof/>
          <w:color w:val="000000"/>
          <w:sz w:val="20"/>
        </w:rPr>
        <w:instrText xml:space="preserve"> </w:instrText>
      </w:r>
      <w:r>
        <w:rPr>
          <w:rFonts w:ascii="Times New Roman" w:hAnsi="Times New Roman" w:cs="Times New Roman"/>
          <w:noProof/>
          <w:color w:val="000000"/>
          <w:sz w:val="20"/>
        </w:rPr>
        <w:fldChar w:fldCharType="separate"/>
      </w:r>
      <w:r>
        <w:rPr>
          <w:rFonts w:ascii="Times New Roman" w:hAnsi="Times New Roman" w:cs="Times New Roman"/>
          <w:noProof/>
          <w:color w:val="000000"/>
          <w:sz w:val="20"/>
        </w:rPr>
        <w:t>3.1.1</w:t>
      </w:r>
      <w:r>
        <w:rPr>
          <w:rFonts w:ascii="Times New Roman" w:hAnsi="Times New Roman" w:cs="Times New Roman"/>
          <w:noProof/>
          <w:color w:val="000000"/>
          <w:sz w:val="20"/>
        </w:rPr>
        <w:fldChar w:fldCharType="end"/>
      </w:r>
      <w:r>
        <w:rPr>
          <w:rFonts w:ascii="Times New Roman" w:hAnsi="Times New Roman" w:cs="Times New Roman"/>
          <w:noProof/>
          <w:color w:val="000000"/>
          <w:sz w:val="20"/>
        </w:rPr>
        <w:t>). The expansionary revenue effort resulting from tax-cutting measures being implemented as of 2018 has been offset by a contractionary expenditure effort, as nominal expenditure growth is re</w:t>
      </w:r>
      <w:r>
        <w:rPr>
          <w:rFonts w:ascii="Times New Roman" w:hAnsi="Times New Roman" w:cs="Times New Roman"/>
          <w:noProof/>
          <w:color w:val="000000"/>
          <w:sz w:val="20"/>
        </w:rPr>
        <w:t>strained at around 3.5% on average in 2019 and 2020 (Graph </w:t>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QUOTE "3.1.2"</w:instrText>
      </w:r>
      <w:r>
        <w:rPr>
          <w:rFonts w:ascii="Times New Roman" w:hAnsi="Times New Roman" w:cs="Times New Roman"/>
          <w:noProof/>
          <w:color w:val="000000"/>
          <w:sz w:val="20"/>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AHIAZwAvADIAMAAwADEALwBYAE0ATABTAGMAaABlAG0AYQAiAD4ADQAKACAAIAA8AEkAZAA+ADQA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</w:fldData>
        </w:fldChar>
      </w:r>
      <w:r>
        <w:rPr>
          <w:rFonts w:ascii="Times New Roman" w:hAnsi="Times New Roman" w:cs="Times New Roman"/>
          <w:noProof/>
          <w:color w:val="000000"/>
          <w:sz w:val="20"/>
        </w:rPr>
        <w:instrText xml:space="preserve"> ADDIN </w:instrText>
      </w:r>
      <w:r>
        <w:rPr>
          <w:rFonts w:ascii="Times New Roman" w:hAnsi="Times New Roman" w:cs="Times New Roman"/>
          <w:noProof/>
          <w:color w:val="000000"/>
          <w:sz w:val="20"/>
        </w:rPr>
      </w:r>
      <w:r>
        <w:rPr>
          <w:rFonts w:ascii="Times New Roman" w:hAnsi="Times New Roman" w:cs="Times New Roman"/>
          <w:noProof/>
          <w:color w:val="000000"/>
          <w:sz w:val="20"/>
        </w:rPr>
        <w:fldChar w:fldCharType="end"/>
      </w:r>
      <w:r>
        <w:rPr>
          <w:rFonts w:ascii="Times New Roman" w:hAnsi="Times New Roman" w:cs="Times New Roman"/>
          <w:noProof/>
          <w:color w:val="000000"/>
          <w:sz w:val="20"/>
        </w:rPr>
        <w:instrText xml:space="preserve"> </w:instrText>
      </w:r>
      <w:r>
        <w:rPr>
          <w:rFonts w:ascii="Times New Roman" w:hAnsi="Times New Roman" w:cs="Times New Roman"/>
          <w:noProof/>
          <w:color w:val="000000"/>
          <w:sz w:val="20"/>
        </w:rPr>
        <w:fldChar w:fldCharType="separate"/>
      </w:r>
      <w:r>
        <w:rPr>
          <w:rFonts w:ascii="Times New Roman" w:hAnsi="Times New Roman" w:cs="Times New Roman"/>
          <w:noProof/>
          <w:color w:val="000000"/>
          <w:sz w:val="20"/>
        </w:rPr>
        <w:t>3.1.2</w:t>
      </w:r>
      <w:r>
        <w:rPr>
          <w:rFonts w:ascii="Times New Roman" w:hAnsi="Times New Roman" w:cs="Times New Roman"/>
          <w:noProof/>
          <w:color w:val="000000"/>
          <w:sz w:val="20"/>
        </w:rPr>
        <w:fldChar w:fldCharType="end"/>
      </w:r>
      <w:r>
        <w:rPr>
          <w:rFonts w:ascii="Times New Roman" w:hAnsi="Times New Roman" w:cs="Times New Roman"/>
          <w:noProof/>
          <w:color w:val="000000"/>
          <w:sz w:val="20"/>
        </w:rPr>
        <w:t>).</w:t>
      </w: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Graph 3.1.1:</w:t>
            </w:r>
            <w:r>
              <w:rPr>
                <w:rFonts w:ascii="Century Gothic" w:hAnsi="Century Gothic" w:cs="Times New Roman"/>
                <w:b/>
                <w:noProof/>
                <w:color w:val="333399"/>
                <w:sz w:val="14"/>
              </w:rPr>
              <w:tab/>
              <w:t>The fiscal stance and the economic cycle</w:t>
            </w:r>
          </w:p>
        </w:tc>
      </w:tr>
      <w:tr w:rsidR="00A8765D">
        <w:trPr>
          <w:cantSplit/>
        </w:trPr>
        <w:tc>
          <w:tcPr>
            <w:tcW w:w="4111"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30" w:name="_Toc33020653"/>
            <w:r>
              <w:rPr>
                <w:rFonts w:ascii="Times New Roman" w:hAnsi="Times New Roman" w:cs="Times New Roman"/>
                <w:noProof/>
                <w:color w:val="000000"/>
                <w:sz w:val="20"/>
              </w:rPr>
              <w:instrText>3.1.1.</w:instrText>
            </w:r>
            <w:r>
              <w:rPr>
                <w:rFonts w:ascii="Times New Roman" w:hAnsi="Times New Roman" w:cs="Times New Roman"/>
                <w:noProof/>
                <w:color w:val="000000"/>
                <w:sz w:val="20"/>
              </w:rPr>
              <w:tab/>
              <w:instrText>The fiscal stance and</w:instrText>
            </w:r>
            <w:r>
              <w:rPr>
                <w:rFonts w:ascii="Times New Roman" w:hAnsi="Times New Roman" w:cs="Times New Roman"/>
                <w:noProof/>
                <w:color w:val="000000"/>
                <w:sz w:val="20"/>
              </w:rPr>
              <w:instrText xml:space="preserve"> the economic cycle</w:instrText>
            </w:r>
            <w:bookmarkEnd w:id="30"/>
            <w:r>
              <w:rPr>
                <w:rFonts w:ascii="Times New Roman" w:hAnsi="Times New Roman" w:cs="Times New Roman"/>
                <w:noProof/>
                <w:color w:val="000000"/>
                <w:sz w:val="20"/>
              </w:rPr>
              <w:instrText xml:space="preserve">" \fgraph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en-GB"/>
              </w:rPr>
              <w:drawing>
                <wp:inline distT="0" distB="0" distL="0" distR="0">
                  <wp:extent cx="2597595" cy="2460480"/>
                  <wp:effectExtent l="0" t="0" r="0" b="0"/>
                  <wp:docPr id="70" name="Picture 70" descr="&lt;nbr&gt;&lt;GETTEXTFROMWORD&gt;&lt;/nbr&gt;&#10;&lt;title&gt;&lt;GETTEXTFROMWORD&gt;&lt;/title&gt;&#10;&lt;id&gt;306ff73d-d0e6-4b06-bf79-fc774f27bbfb&lt;/id&gt;&#10;&lt;srcType&gt;EXCEL&lt;/srcType&gt;&#10;&lt;srcPath&gt;O:\2017 CRs\2020 European semester\LV\LV2020_ graphs\&lt;/srcPath&gt;&#10;&lt;srcName&gt;Section 3.1.xlsx&lt;/srcName&gt;&#10;&lt;type&gt;graph&lt;/type&gt;&#10; &lt;srcSheet&gt;fiscal stanc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1T16:37:22&lt;/scrFileTime&gt;&#10;&lt;imageInformation&gt;&#10; &lt;dontScaleUp&gt;no&lt;/dontScaleUp&gt;&#10; &lt;usedpercentageofavailablewidth&gt;100&lt;/usedpercentageofavailablewidth&gt;&#10;&lt;/imageInformation&gt;&#10;&lt;url&gt;Chap0/Chap0-Graph-%SectionNumber%.9.xlsx&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51">
                            <a:extLst>
                              <a:ext uri="{28A0092B-C50C-407E-A947-70E740481C1C}">
                                <a14:useLocalDpi xmlns:a14="http://schemas.microsoft.com/office/drawing/2010/main" val="0"/>
                              </a:ext>
                            </a:extLst>
                          </a:blip>
                          <a:srcRect/>
                          <a:stretch>
                            <a:fillRect/>
                          </a:stretch>
                        </pic:blipFill>
                        <pic:spPr>
                          <a:xfrm>
                            <a:off x="0" y="0"/>
                            <a:ext cx="2597595" cy="2460480"/>
                          </a:xfrm>
                          <a:prstGeom prst="rect">
                            <a:avLst/>
                          </a:prstGeom>
                        </pic:spPr>
                      </pic:pic>
                    </a:graphicData>
                  </a:graphic>
                </wp:inline>
              </w:drawing>
            </w:r>
            <w:r>
              <w:rPr>
                <w:rFonts w:ascii="Times New Roman" w:hAnsi="Times New Roman" w:cs="Times New Roman"/>
                <w:noProof/>
                <w:color w:val="000000"/>
                <w:sz w:val="2"/>
              </w:rPr>
              <w:t xml:space="preserve"> </w:t>
            </w:r>
          </w:p>
        </w:tc>
      </w:tr>
      <w:tr w:rsidR="00A8765D">
        <w:trPr>
          <w:cantSplit/>
        </w:trPr>
        <w:tc>
          <w:tcPr>
            <w:tcW w:w="4111" w:type="dxa"/>
            <w:shd w:val="clear" w:color="auto" w:fill="auto"/>
            <w:tcMar>
              <w:bottom w:w="240" w:type="dxa"/>
            </w:tcMar>
          </w:tcPr>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European Commission – Autumn 2019 forecast</w:t>
            </w:r>
          </w:p>
        </w:tc>
      </w:tr>
    </w:tbl>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The government revenue and expenditure share in GDP has declined due to tax-cutting measures. </w:t>
      </w:r>
      <w:r>
        <w:rPr>
          <w:rFonts w:ascii="Times New Roman" w:hAnsi="Times New Roman" w:cs="Times New Roman"/>
          <w:noProof/>
          <w:color w:val="000000"/>
          <w:sz w:val="20"/>
        </w:rPr>
        <w:t>The cuts in effective tax on labour and corporate profits and dividends adopted in 2017 and being implemented from 2018 have only been partly compensated by revenue-increasing measures. It is estimated that the ratio of government revenue to GDP will decli</w:t>
      </w:r>
      <w:r>
        <w:rPr>
          <w:rFonts w:ascii="Times New Roman" w:hAnsi="Times New Roman" w:cs="Times New Roman"/>
          <w:noProof/>
          <w:color w:val="000000"/>
          <w:sz w:val="20"/>
        </w:rPr>
        <w:t>ne by 1 percentage point of GDP between 2018 and 2020. This will lead to a contraction of the government expenditure ratio, while the government is committed to reducing government borrowing. Current expenditure is planned to decrease by 1 percentage point</w:t>
      </w:r>
      <w:r>
        <w:rPr>
          <w:rFonts w:ascii="Times New Roman" w:hAnsi="Times New Roman" w:cs="Times New Roman"/>
          <w:noProof/>
          <w:color w:val="000000"/>
          <w:sz w:val="20"/>
        </w:rPr>
        <w:t xml:space="preserve"> of GDP (mostly government purchases and transfers) and capital expenditure by 0.5 percentage points of GDP between 2018 and 2020. At the same time the government sector wage bill and social payments are expected to expand, in view of discretionary increas</w:t>
      </w:r>
      <w:r>
        <w:rPr>
          <w:rFonts w:ascii="Times New Roman" w:hAnsi="Times New Roman" w:cs="Times New Roman"/>
          <w:noProof/>
          <w:color w:val="000000"/>
          <w:sz w:val="20"/>
        </w:rPr>
        <w:t xml:space="preserve">es and indexation to wage and price developments in the economy. </w:t>
      </w: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Graph 3.1.2:</w:t>
            </w:r>
            <w:r>
              <w:rPr>
                <w:rFonts w:ascii="Century Gothic" w:hAnsi="Century Gothic" w:cs="Times New Roman"/>
                <w:b/>
                <w:noProof/>
                <w:color w:val="333399"/>
                <w:sz w:val="14"/>
              </w:rPr>
              <w:tab/>
              <w:t>Expenditure growth and the discretionary</w:t>
            </w:r>
            <w:r>
              <w:rPr>
                <w:rFonts w:ascii="Century Gothic" w:hAnsi="Century Gothic" w:cs="Times New Roman"/>
                <w:b/>
                <w:noProof/>
                <w:color w:val="333399"/>
                <w:sz w:val="14"/>
              </w:rPr>
              <w:br/>
              <w:t>fiscal effort</w:t>
            </w:r>
          </w:p>
        </w:tc>
      </w:tr>
      <w:tr w:rsidR="00A8765D">
        <w:trPr>
          <w:cantSplit/>
        </w:trPr>
        <w:tc>
          <w:tcPr>
            <w:tcW w:w="4111"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31" w:name="_Toc33020654"/>
            <w:r>
              <w:rPr>
                <w:rFonts w:ascii="Times New Roman" w:hAnsi="Times New Roman" w:cs="Times New Roman"/>
                <w:noProof/>
                <w:color w:val="000000"/>
                <w:sz w:val="20"/>
              </w:rPr>
              <w:instrText>3.1.2.</w:instrText>
            </w:r>
            <w:r>
              <w:rPr>
                <w:rFonts w:ascii="Times New Roman" w:hAnsi="Times New Roman" w:cs="Times New Roman"/>
                <w:noProof/>
                <w:color w:val="000000"/>
                <w:sz w:val="20"/>
              </w:rPr>
              <w:tab/>
              <w:instrText>Expenditure growth and the discretionary fiscal effort</w:instrText>
            </w:r>
            <w:bookmarkEnd w:id="31"/>
            <w:r>
              <w:rPr>
                <w:rFonts w:ascii="Times New Roman" w:hAnsi="Times New Roman" w:cs="Times New Roman"/>
                <w:noProof/>
                <w:color w:val="000000"/>
                <w:sz w:val="20"/>
              </w:rPr>
              <w:instrText xml:space="preserve">" \fgraph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en-GB"/>
              </w:rPr>
              <w:drawing>
                <wp:inline distT="0" distB="0" distL="0" distR="0">
                  <wp:extent cx="2597595" cy="2444684"/>
                  <wp:effectExtent l="0" t="0" r="0" b="0"/>
                  <wp:docPr id="1" name="Picture 1" descr="&lt;nbr&gt;&lt;GETTEXTFROMWORD&gt;&lt;/nbr&gt;&#10;&lt;title&gt;&lt;GETTEXTFROMWORD&gt;&lt;/title&gt;&#10;&lt;id&gt;4ac3edea-3e7f-4c1b-9fb6-14c00e4b11d0&lt;/id&gt;&#10;&lt;srcType&gt;EXCEL&lt;/srcType&gt;&#10;&lt;srcPath&gt;O:\2017 CRs\2020 European semester\LV\LV2020_ graphs\&lt;/srcPath&gt;&#10;&lt;srcName&gt;Section 3.1.xlsx&lt;/srcName&gt;&#10;&lt;type&gt;graph&lt;/type&gt;&#10; &lt;srcSheet&gt;Exp growth&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1T16:37:22&lt;/scrFileTime&gt;&#10;&lt;imageInformation&gt;&#10; &lt;dontScaleUp&gt;no&lt;/dontScaleUp&gt;&#10; &lt;usedpercentageofavailablewidth&gt;100&lt;/usedpercentageofavailablewidth&gt;&#10;&lt;/imageInformation&gt;&#10;&lt;url&gt;Chap0/Chap0-Graph-%SectionNumber%.10.xlsx&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rcRect/>
                          <a:stretch>
                            <a:fillRect/>
                          </a:stretch>
                        </pic:blipFill>
                        <pic:spPr>
                          <a:xfrm>
                            <a:off x="0" y="0"/>
                            <a:ext cx="2597595" cy="2444684"/>
                          </a:xfrm>
                          <a:prstGeom prst="rect">
                            <a:avLst/>
                          </a:prstGeom>
                        </pic:spPr>
                      </pic:pic>
                    </a:graphicData>
                  </a:graphic>
                </wp:inline>
              </w:drawing>
            </w:r>
            <w:r>
              <w:rPr>
                <w:rFonts w:ascii="Times New Roman" w:hAnsi="Times New Roman" w:cs="Times New Roman"/>
                <w:noProof/>
                <w:color w:val="000000"/>
                <w:sz w:val="2"/>
              </w:rPr>
              <w:t xml:space="preserve"> </w:t>
            </w:r>
          </w:p>
        </w:tc>
      </w:tr>
      <w:tr w:rsidR="00A8765D">
        <w:trPr>
          <w:cantSplit/>
        </w:trPr>
        <w:tc>
          <w:tcPr>
            <w:tcW w:w="4111" w:type="dxa"/>
            <w:shd w:val="clear" w:color="auto" w:fill="auto"/>
            <w:tcMar>
              <w:bottom w:w="240" w:type="dxa"/>
            </w:tcMar>
          </w:tcPr>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noProof/>
                <w:color w:val="000000"/>
                <w:sz w:val="14"/>
              </w:rPr>
              <w:t xml:space="preserve">(1) Discretionary fiscal effort (DFE) consists of revenue and expenditure effort. (1)=(2)+(3) </w:t>
            </w:r>
            <w:r>
              <w:rPr>
                <w:rFonts w:ascii="Century Gothic" w:hAnsi="Century Gothic" w:cs="Times New Roman"/>
                <w:noProof/>
                <w:color w:val="000000"/>
                <w:sz w:val="14"/>
              </w:rPr>
              <w:br/>
              <w:t xml:space="preserve">(2) Revenue effort represents discretionary revenue measures. In this graph, positive revenue effort means expansionary fiscal stance (deficit-increasing). </w:t>
            </w:r>
            <w:r>
              <w:rPr>
                <w:rFonts w:ascii="Century Gothic" w:hAnsi="Century Gothic" w:cs="Times New Roman"/>
                <w:noProof/>
                <w:color w:val="000000"/>
                <w:sz w:val="14"/>
              </w:rPr>
              <w:br/>
              <w:t xml:space="preserve">(3) </w:t>
            </w:r>
            <w:r>
              <w:rPr>
                <w:rFonts w:ascii="Century Gothic" w:hAnsi="Century Gothic" w:cs="Times New Roman"/>
                <w:noProof/>
                <w:color w:val="000000"/>
                <w:sz w:val="14"/>
              </w:rPr>
              <w:t xml:space="preserve">Expenditure effort shows the gap between the growth of public spending and smoothed potential growth over 10 years. </w:t>
            </w:r>
            <w:r>
              <w:rPr>
                <w:rFonts w:ascii="Century Gothic" w:hAnsi="Century Gothic" w:cs="Times New Roman"/>
                <w:noProof/>
                <w:color w:val="000000"/>
                <w:sz w:val="14"/>
              </w:rPr>
              <w:br/>
              <w:t>(4) Expenditure benchmark growth follows the notion of the expenditure benchmark in the EU fiscal framework (nominal smoothed potential gro</w:t>
            </w:r>
            <w:r>
              <w:rPr>
                <w:rFonts w:ascii="Century Gothic" w:hAnsi="Century Gothic" w:cs="Times New Roman"/>
                <w:noProof/>
                <w:color w:val="000000"/>
                <w:sz w:val="14"/>
              </w:rPr>
              <w:t>wth adjusted for discretionary revenue effort). For further details on the methodology see Carnot, N. and F. de Castro (2015). ‘The Discretionary Fiscal Effort: an Assessment of Fiscal Policy and its Output Effect’. European Commission, Economic Papers 543</w:t>
            </w:r>
            <w:r>
              <w:rPr>
                <w:rFonts w:ascii="Century Gothic" w:hAnsi="Century Gothic" w:cs="Times New Roman"/>
                <w:noProof/>
                <w:color w:val="000000"/>
                <w:sz w:val="14"/>
              </w:rPr>
              <w:t xml:space="preserve">, February. </w:t>
            </w:r>
          </w:p>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European Commission – 2019 Autumn Forecast</w:t>
            </w:r>
          </w:p>
        </w:tc>
      </w:tr>
    </w:tbl>
    <w:p w:rsidR="00A8765D" w:rsidRDefault="006C09F5">
      <w:pPr>
        <w:keepNext/>
        <w:tabs>
          <w:tab w:val="left" w:pos="567"/>
        </w:tabs>
        <w:spacing w:before="240" w:after="240" w:line="240" w:lineRule="atLeast"/>
        <w:ind w:left="567" w:hanging="567"/>
        <w:outlineLvl w:val="2"/>
        <w:rPr>
          <w:rFonts w:ascii="Century Gothic" w:hAnsi="Century Gothic" w:cs="Times New Roman"/>
          <w:b/>
          <w:caps/>
          <w:noProof/>
          <w:color w:val="333399"/>
          <w:sz w:val="18"/>
        </w:rPr>
      </w:pPr>
      <w:r>
        <w:rPr>
          <w:rFonts w:ascii="Century Gothic" w:hAnsi="Century Gothic" w:cs="Times New Roman"/>
          <w:b/>
          <w:caps/>
          <w:noProof/>
          <w:color w:val="333399"/>
          <w:sz w:val="18"/>
        </w:rPr>
        <w:t>3.1.2.</w:t>
      </w:r>
      <w:r>
        <w:rPr>
          <w:rFonts w:ascii="Century Gothic" w:hAnsi="Century Gothic" w:cs="Times New Roman"/>
          <w:b/>
          <w:caps/>
          <w:noProof/>
          <w:color w:val="333399"/>
          <w:sz w:val="18"/>
        </w:rPr>
        <w:tab/>
        <w:t>FISCAL FRAMEWORK AND EXPENDITURE REVIEW</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fiscal framework guides the fiscal targets with a margin of interpretation.</w:t>
      </w:r>
      <w:r>
        <w:rPr>
          <w:rFonts w:ascii="Times New Roman" w:hAnsi="Times New Roman" w:cs="Times New Roman"/>
          <w:noProof/>
          <w:color w:val="000000"/>
          <w:sz w:val="20"/>
        </w:rPr>
        <w:t xml:space="preserve"> Budgetary targets are set on the basis of the fiscal rules established in the Law on fiscal discipline and are monitored by the independent Fiscal Discipline Council. However, the Latvian budgetary authorities exercise interpretation when setting the targ</w:t>
      </w:r>
      <w:r>
        <w:rPr>
          <w:rFonts w:ascii="Times New Roman" w:hAnsi="Times New Roman" w:cs="Times New Roman"/>
          <w:noProof/>
          <w:color w:val="000000"/>
          <w:sz w:val="20"/>
        </w:rPr>
        <w:t>ets, frequently resulting in higher structural balances than what is allowed by the national fiscal framework, as noted in the Surveillance Report by the Fiscal Discipline Council (2019). In particular, the authorities treat part of the tax reform costs as</w:t>
      </w:r>
      <w:r>
        <w:rPr>
          <w:rFonts w:ascii="Times New Roman" w:hAnsi="Times New Roman" w:cs="Times New Roman"/>
          <w:noProof/>
          <w:color w:val="000000"/>
          <w:sz w:val="20"/>
        </w:rPr>
        <w:t xml:space="preserve"> one-off measures, relaxing the structural balance requirement under the national fiscal framework, which is contested by the Fiscal Discipline Council. The Commission also does not recognise such one-off measures, and the authorities take that into accoun</w:t>
      </w:r>
      <w:r>
        <w:rPr>
          <w:rFonts w:ascii="Times New Roman" w:hAnsi="Times New Roman" w:cs="Times New Roman"/>
          <w:noProof/>
          <w:color w:val="000000"/>
          <w:sz w:val="20"/>
        </w:rPr>
        <w:t>t for compliance with the Stability and Growth Pact.</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expenditure review in 2019 analyses health and education expenditure, but does not re-evaluate spending priorities across government sectors.</w:t>
      </w:r>
      <w:r>
        <w:rPr>
          <w:rFonts w:ascii="Times New Roman" w:hAnsi="Times New Roman" w:cs="Times New Roman"/>
          <w:noProof/>
          <w:color w:val="000000"/>
          <w:sz w:val="20"/>
        </w:rPr>
        <w:t xml:space="preserve"> The review brought forward improvements in budget prepara</w:t>
      </w:r>
      <w:r>
        <w:rPr>
          <w:rFonts w:ascii="Times New Roman" w:hAnsi="Times New Roman" w:cs="Times New Roman"/>
          <w:noProof/>
          <w:color w:val="000000"/>
          <w:sz w:val="20"/>
        </w:rPr>
        <w:t>tion, analysed spending on education and health and presented some savings for reallocation. However, the expenditure review does not assess the relevance of existing spending amounts. Any savings in one government sector are expected to be used in the sam</w:t>
      </w:r>
      <w:r>
        <w:rPr>
          <w:rFonts w:ascii="Times New Roman" w:hAnsi="Times New Roman" w:cs="Times New Roman"/>
          <w:noProof/>
          <w:color w:val="000000"/>
          <w:sz w:val="20"/>
        </w:rPr>
        <w:t>e sector first, while reallocations among government functions are limited. Sectors with historically larger budgets and established indexation mechanisms are in a stronger negotiation position in the government discussions (defence, social protection). Ho</w:t>
      </w:r>
      <w:r>
        <w:rPr>
          <w:rFonts w:ascii="Times New Roman" w:hAnsi="Times New Roman" w:cs="Times New Roman"/>
          <w:noProof/>
          <w:color w:val="000000"/>
          <w:sz w:val="20"/>
        </w:rPr>
        <w:t>wever, sectors relying on discretionary decisions need political support from other ministers to be agreed. For example, the baseline budgetary plans for the healthcare sector do not account for the underlying demographic and cost pressures, undermining it</w:t>
      </w:r>
      <w:r>
        <w:rPr>
          <w:rFonts w:ascii="Times New Roman" w:hAnsi="Times New Roman" w:cs="Times New Roman"/>
          <w:noProof/>
          <w:color w:val="000000"/>
          <w:sz w:val="20"/>
        </w:rPr>
        <w:t xml:space="preserve">s starting positon in the budget negotiations. </w:t>
      </w:r>
    </w:p>
    <w:p w:rsidR="00A8765D" w:rsidRDefault="006C09F5">
      <w:pPr>
        <w:keepNext/>
        <w:tabs>
          <w:tab w:val="left" w:pos="567"/>
        </w:tabs>
        <w:spacing w:before="240" w:after="240" w:line="240" w:lineRule="atLeast"/>
        <w:ind w:left="567" w:hanging="567"/>
        <w:outlineLvl w:val="2"/>
        <w:rPr>
          <w:rFonts w:ascii="Century Gothic" w:hAnsi="Century Gothic" w:cs="Times New Roman"/>
          <w:b/>
          <w:caps/>
          <w:noProof/>
          <w:color w:val="333399"/>
          <w:sz w:val="18"/>
        </w:rPr>
      </w:pPr>
      <w:r>
        <w:rPr>
          <w:rFonts w:ascii="Century Gothic" w:hAnsi="Century Gothic" w:cs="Times New Roman"/>
          <w:b/>
          <w:caps/>
          <w:noProof/>
          <w:color w:val="333399"/>
          <w:sz w:val="18"/>
        </w:rPr>
        <w:t>3.1.3.</w:t>
      </w:r>
      <w:r>
        <w:rPr>
          <w:rFonts w:ascii="Century Gothic" w:hAnsi="Century Gothic" w:cs="Times New Roman"/>
          <w:b/>
          <w:caps/>
          <w:noProof/>
          <w:color w:val="333399"/>
          <w:sz w:val="18"/>
        </w:rPr>
        <w:tab/>
        <w:t>TAXATION</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Latvia’s tax revenue share in GDP has been reduced by tax-cutting measures.</w:t>
      </w:r>
      <w:r>
        <w:rPr>
          <w:rFonts w:ascii="Times New Roman" w:hAnsi="Times New Roman" w:cs="Times New Roman"/>
          <w:noProof/>
          <w:color w:val="000000"/>
          <w:sz w:val="20"/>
        </w:rPr>
        <w:t xml:space="preserve"> The ratio of tax revenue to GDP is set to decline from 31½% in 2017 to 30½% in 2020, which is well below the EU average of 39%. The main sources of revenue are labour and consumption taxes. The share of capital taxes was already low compared to other Memb</w:t>
      </w:r>
      <w:r>
        <w:rPr>
          <w:rFonts w:ascii="Times New Roman" w:hAnsi="Times New Roman" w:cs="Times New Roman"/>
          <w:noProof/>
          <w:color w:val="000000"/>
          <w:sz w:val="20"/>
        </w:rPr>
        <w:t>er States and has been further reduced by the corporate tax reform. The transition to the new corporate income tax regime, where only dividend withdrawals are taxed, resulted in higher temporary costs in 2019 and lower revenue in the medium-term, as compan</w:t>
      </w:r>
      <w:r>
        <w:rPr>
          <w:rFonts w:ascii="Times New Roman" w:hAnsi="Times New Roman" w:cs="Times New Roman"/>
          <w:noProof/>
          <w:color w:val="000000"/>
          <w:sz w:val="20"/>
        </w:rPr>
        <w:t xml:space="preserve">ies appear to be retaining profits more than initially planned. Moreover, the decision to postpone the property value update for property tax from 2020 to 2022 limits revenue the potential of taxes on capital.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Latvia has moved towards a greener tax system</w:t>
      </w:r>
      <w:r>
        <w:rPr>
          <w:rFonts w:ascii="Times New Roman" w:hAnsi="Times New Roman" w:cs="Times New Roman"/>
          <w:b/>
          <w:noProof/>
          <w:color w:val="000000"/>
          <w:sz w:val="20"/>
        </w:rPr>
        <w:t xml:space="preserve"> and of all Member States now has one of the highest shares of environmental taxes.</w:t>
      </w:r>
      <w:r>
        <w:rPr>
          <w:rFonts w:ascii="Times New Roman" w:hAnsi="Times New Roman" w:cs="Times New Roman"/>
          <w:noProof/>
          <w:color w:val="000000"/>
          <w:sz w:val="20"/>
        </w:rPr>
        <w:t xml:space="preserve"> Taxes on energy, transport, pollution and use of resources amounted to 3.4% of GDP in 2018 (EU average 2.4%). Nevertheless, some tax exemption remain, decreasing tax effect</w:t>
      </w:r>
      <w:r>
        <w:rPr>
          <w:rFonts w:ascii="Times New Roman" w:hAnsi="Times New Roman" w:cs="Times New Roman"/>
          <w:noProof/>
          <w:color w:val="000000"/>
          <w:sz w:val="20"/>
        </w:rPr>
        <w:t>iveness in changing environmentally harmful consumption patterns. Reduced VAT and excise duty rates on energy (heating and fuel used in agriculture) accounted for 0.3% of GDP in tax expenditure in 2017 (Ministry of Finance, 2018). Moreover, VAT deductibili</w:t>
      </w:r>
      <w:r>
        <w:rPr>
          <w:rFonts w:ascii="Times New Roman" w:hAnsi="Times New Roman" w:cs="Times New Roman"/>
          <w:noProof/>
          <w:color w:val="000000"/>
          <w:sz w:val="20"/>
        </w:rPr>
        <w:t xml:space="preserve">ty for the purchase price and operating costs of company cars subsidises the private use of company cars. Latvia’s draft energy and climate plan intends to review and to reduce tax subsidies on fossil fuels, aligning taxation based on CO2 emissions, while </w:t>
      </w:r>
      <w:r>
        <w:rPr>
          <w:rFonts w:ascii="Times New Roman" w:hAnsi="Times New Roman" w:cs="Times New Roman"/>
          <w:noProof/>
          <w:color w:val="000000"/>
          <w:sz w:val="20"/>
        </w:rPr>
        <w:t>household investments in energy efficiency could be incentivised by temporary VAT or property tax reliefs. Increasing environmental taxes can help in achieving environmental objectives. At the same time distributional effects and respective compensatory me</w:t>
      </w:r>
      <w:r>
        <w:rPr>
          <w:rFonts w:ascii="Times New Roman" w:hAnsi="Times New Roman" w:cs="Times New Roman"/>
          <w:noProof/>
          <w:color w:val="000000"/>
          <w:sz w:val="20"/>
        </w:rPr>
        <w:t xml:space="preserve">asures for the most vulnerable households should be taken into account (European Commission, 2019c).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taxation of low wages has been brought in line with other Member States.</w:t>
      </w:r>
      <w:r>
        <w:rPr>
          <w:rFonts w:ascii="Times New Roman" w:hAnsi="Times New Roman" w:cs="Times New Roman"/>
          <w:noProof/>
          <w:color w:val="000000"/>
          <w:sz w:val="20"/>
        </w:rPr>
        <w:t xml:space="preserve"> The budget for 2020 further increased the monthly income-dependent basic allo</w:t>
      </w:r>
      <w:r>
        <w:rPr>
          <w:rFonts w:ascii="Times New Roman" w:hAnsi="Times New Roman" w:cs="Times New Roman"/>
          <w:noProof/>
          <w:color w:val="000000"/>
          <w:sz w:val="20"/>
        </w:rPr>
        <w:t>wance to EUR 300 and its minimum threshold to EUR 500, exceeding the previously adopted plans. As a result, the tax wedge for wages at 50% of average wage would decrease to 35% in 2020 — broadly in line with levels in other Member States (Graph </w:t>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QUOTE "3.1</w:instrText>
      </w:r>
      <w:r>
        <w:rPr>
          <w:rFonts w:ascii="Times New Roman" w:hAnsi="Times New Roman" w:cs="Times New Roman"/>
          <w:noProof/>
          <w:color w:val="000000"/>
          <w:sz w:val="20"/>
        </w:rPr>
        <w:instrText>.3"</w:instrText>
      </w:r>
      <w:r>
        <w:rPr>
          <w:rFonts w:ascii="Times New Roman" w:hAnsi="Times New Roman" w:cs="Times New Roman"/>
          <w:noProof/>
          <w:color w:val="000000"/>
          <w:sz w:val="20"/>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AHIAZwAvADIAMAAwADEALwBYAE0ATABTAGMAaABlAG0AYQAiAD4ADQAKACAAIAA8AEkAZAA+ADkA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</w:fldData>
        </w:fldChar>
      </w:r>
      <w:r>
        <w:rPr>
          <w:rFonts w:ascii="Times New Roman" w:hAnsi="Times New Roman" w:cs="Times New Roman"/>
          <w:noProof/>
          <w:color w:val="000000"/>
          <w:sz w:val="20"/>
        </w:rPr>
        <w:instrText xml:space="preserve"> ADDIN </w:instrText>
      </w:r>
      <w:r>
        <w:rPr>
          <w:rFonts w:ascii="Times New Roman" w:hAnsi="Times New Roman" w:cs="Times New Roman"/>
          <w:noProof/>
          <w:color w:val="000000"/>
          <w:sz w:val="20"/>
        </w:rPr>
      </w:r>
      <w:r>
        <w:rPr>
          <w:rFonts w:ascii="Times New Roman" w:hAnsi="Times New Roman" w:cs="Times New Roman"/>
          <w:noProof/>
          <w:color w:val="000000"/>
          <w:sz w:val="20"/>
        </w:rPr>
        <w:fldChar w:fldCharType="end"/>
      </w:r>
      <w:r>
        <w:rPr>
          <w:rFonts w:ascii="Times New Roman" w:hAnsi="Times New Roman" w:cs="Times New Roman"/>
          <w:noProof/>
          <w:color w:val="000000"/>
          <w:sz w:val="20"/>
        </w:rPr>
        <w:instrText xml:space="preserve"> </w:instrText>
      </w:r>
      <w:r>
        <w:rPr>
          <w:rFonts w:ascii="Times New Roman" w:hAnsi="Times New Roman" w:cs="Times New Roman"/>
          <w:noProof/>
          <w:color w:val="000000"/>
          <w:sz w:val="20"/>
        </w:rPr>
        <w:fldChar w:fldCharType="separate"/>
      </w:r>
      <w:r>
        <w:rPr>
          <w:rFonts w:ascii="Times New Roman" w:hAnsi="Times New Roman" w:cs="Times New Roman"/>
          <w:noProof/>
          <w:color w:val="000000"/>
          <w:sz w:val="20"/>
        </w:rPr>
        <w:t>3.1.3</w:t>
      </w:r>
      <w:r>
        <w:rPr>
          <w:rFonts w:ascii="Times New Roman" w:hAnsi="Times New Roman" w:cs="Times New Roman"/>
          <w:noProof/>
          <w:color w:val="000000"/>
          <w:sz w:val="20"/>
        </w:rPr>
        <w:fldChar w:fldCharType="end"/>
      </w:r>
      <w:r>
        <w:rPr>
          <w:rFonts w:ascii="Times New Roman" w:hAnsi="Times New Roman" w:cs="Times New Roman"/>
          <w:noProof/>
          <w:color w:val="000000"/>
          <w:sz w:val="20"/>
        </w:rPr>
        <w:t>). While the measure is targeted at low wage earners, it is estimated to benefit more middle income g</w:t>
      </w:r>
      <w:r>
        <w:rPr>
          <w:rFonts w:ascii="Times New Roman" w:hAnsi="Times New Roman" w:cs="Times New Roman"/>
          <w:noProof/>
          <w:color w:val="000000"/>
          <w:sz w:val="20"/>
        </w:rPr>
        <w:t xml:space="preserve">roups in the population-wide income distribution (Graph </w:t>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QUOTE "3.1.4"</w:instrText>
      </w:r>
      <w:r>
        <w:rPr>
          <w:rFonts w:ascii="Times New Roman" w:hAnsi="Times New Roman" w:cs="Times New Roman"/>
          <w:noProof/>
          <w:color w:val="000000"/>
          <w:sz w:val="20"/>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AHIAZwAvADIAMAAwADEALwBYAE0ATABTAGMAaABlAG0AYQAiAD4ADQAKACAAIAA8AEkAZAA+ADYA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==
</w:fldData>
        </w:fldChar>
      </w:r>
      <w:r>
        <w:rPr>
          <w:rFonts w:ascii="Times New Roman" w:hAnsi="Times New Roman" w:cs="Times New Roman"/>
          <w:noProof/>
          <w:color w:val="000000"/>
          <w:sz w:val="20"/>
        </w:rPr>
        <w:instrText xml:space="preserve"> ADDIN </w:instrText>
      </w:r>
      <w:r>
        <w:rPr>
          <w:rFonts w:ascii="Times New Roman" w:hAnsi="Times New Roman" w:cs="Times New Roman"/>
          <w:noProof/>
          <w:color w:val="000000"/>
          <w:sz w:val="20"/>
        </w:rPr>
      </w:r>
      <w:r>
        <w:rPr>
          <w:rFonts w:ascii="Times New Roman" w:hAnsi="Times New Roman" w:cs="Times New Roman"/>
          <w:noProof/>
          <w:color w:val="000000"/>
          <w:sz w:val="20"/>
        </w:rPr>
        <w:fldChar w:fldCharType="end"/>
      </w:r>
      <w:r>
        <w:rPr>
          <w:rFonts w:ascii="Times New Roman" w:hAnsi="Times New Roman" w:cs="Times New Roman"/>
          <w:noProof/>
          <w:color w:val="000000"/>
          <w:sz w:val="20"/>
        </w:rPr>
        <w:instrText xml:space="preserve"> </w:instrText>
      </w:r>
      <w:r>
        <w:rPr>
          <w:rFonts w:ascii="Times New Roman" w:hAnsi="Times New Roman" w:cs="Times New Roman"/>
          <w:noProof/>
          <w:color w:val="000000"/>
          <w:sz w:val="20"/>
        </w:rPr>
        <w:fldChar w:fldCharType="separate"/>
      </w:r>
      <w:r>
        <w:rPr>
          <w:rFonts w:ascii="Times New Roman" w:hAnsi="Times New Roman" w:cs="Times New Roman"/>
          <w:noProof/>
          <w:color w:val="000000"/>
          <w:sz w:val="20"/>
        </w:rPr>
        <w:t>3.1.4</w:t>
      </w:r>
      <w:r>
        <w:rPr>
          <w:rFonts w:ascii="Times New Roman" w:hAnsi="Times New Roman" w:cs="Times New Roman"/>
          <w:noProof/>
          <w:color w:val="000000"/>
          <w:sz w:val="20"/>
        </w:rPr>
        <w:fldChar w:fldCharType="end"/>
      </w:r>
      <w:r>
        <w:rPr>
          <w:rFonts w:ascii="Times New Roman" w:hAnsi="Times New Roman" w:cs="Times New Roman"/>
          <w:noProof/>
          <w:color w:val="000000"/>
          <w:sz w:val="20"/>
        </w:rPr>
        <w:t xml:space="preserve">). This is explained by a low work intensity </w:t>
      </w:r>
      <w:r>
        <w:rPr>
          <w:rFonts w:ascii="Times New Roman" w:hAnsi="Times New Roman" w:cs="Times New Roman"/>
          <w:noProof/>
          <w:color w:val="000000"/>
          <w:sz w:val="20"/>
        </w:rPr>
        <w:t>of lower income groups and already existing allowances that partly or fully exempt low wages from personal income tax. Social transfers generally considered to be better suited to reaching the poorest households (see Section 3.2.3). At a cost similar to th</w:t>
      </w:r>
      <w:r>
        <w:rPr>
          <w:rFonts w:ascii="Times New Roman" w:hAnsi="Times New Roman" w:cs="Times New Roman"/>
          <w:noProof/>
          <w:color w:val="000000"/>
          <w:sz w:val="20"/>
        </w:rPr>
        <w:t>e 2017 tax reform, a reform of the minimum income level, with a tapered transition to labour income, could close the gap with the EU average in terms of poverty and inequality while improving incentives to work (Ivaškaitė-Tamošiūnė et al., 2018).</w:t>
      </w: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Graph 3.1</w:t>
            </w:r>
            <w:r>
              <w:rPr>
                <w:rFonts w:ascii="Century Gothic" w:hAnsi="Century Gothic" w:cs="Times New Roman"/>
                <w:noProof/>
                <w:color w:val="333399"/>
                <w:sz w:val="14"/>
              </w:rPr>
              <w:t>.3:</w:t>
            </w:r>
            <w:r>
              <w:rPr>
                <w:rFonts w:ascii="Century Gothic" w:hAnsi="Century Gothic" w:cs="Times New Roman"/>
                <w:b/>
                <w:noProof/>
                <w:color w:val="333399"/>
                <w:sz w:val="14"/>
              </w:rPr>
              <w:tab/>
              <w:t>Estimated tax wedge on labour in 2020, compared to relatively high and relatively low levels in other EU countries</w:t>
            </w:r>
          </w:p>
        </w:tc>
      </w:tr>
      <w:tr w:rsidR="00A8765D">
        <w:trPr>
          <w:cantSplit/>
        </w:trPr>
        <w:tc>
          <w:tcPr>
            <w:tcW w:w="4111"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32" w:name="_Toc33020655"/>
            <w:r>
              <w:rPr>
                <w:rFonts w:ascii="Times New Roman" w:hAnsi="Times New Roman" w:cs="Times New Roman"/>
                <w:noProof/>
                <w:color w:val="000000"/>
                <w:sz w:val="20"/>
              </w:rPr>
              <w:instrText>3.1.3.</w:instrText>
            </w:r>
            <w:r>
              <w:rPr>
                <w:rFonts w:ascii="Times New Roman" w:hAnsi="Times New Roman" w:cs="Times New Roman"/>
                <w:noProof/>
                <w:color w:val="000000"/>
                <w:sz w:val="20"/>
              </w:rPr>
              <w:tab/>
              <w:instrText>Estimated tax wedge on labour in 2020, compared to relatively high and relatively low levels in other EU countries</w:instrText>
            </w:r>
            <w:bookmarkEnd w:id="32"/>
            <w:r>
              <w:rPr>
                <w:rFonts w:ascii="Times New Roman" w:hAnsi="Times New Roman" w:cs="Times New Roman"/>
                <w:noProof/>
                <w:color w:val="000000"/>
                <w:sz w:val="20"/>
              </w:rPr>
              <w:instrText xml:space="preserve">" \fgraph </w:instrText>
            </w:r>
            <w:r>
              <w:rPr>
                <w:rFonts w:ascii="Times New Roman" w:hAnsi="Times New Roman" w:cs="Times New Roman"/>
                <w:noProof/>
                <w:color w:val="000000"/>
                <w:sz w:val="20"/>
              </w:rPr>
              <w:instrText xml:space="preserve">\l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en-GB"/>
              </w:rPr>
              <w:drawing>
                <wp:inline distT="0" distB="0" distL="0" distR="0">
                  <wp:extent cx="2597595" cy="2460480"/>
                  <wp:effectExtent l="0" t="0" r="0" b="0"/>
                  <wp:docPr id="71" name="Picture 71" descr="&lt;nbr&gt;&lt;GETTEXTFROMWORD&gt;&lt;/nbr&gt;&#10;&lt;title&gt;&lt;GETTEXTFROMWORD&gt;&lt;/title&gt;&#10;&lt;id&gt;9dea7d57-4df7-49bb-b5a4-e1af320ddf24&lt;/id&gt;&#10;&lt;srcType&gt;EXCEL&lt;/srcType&gt;&#10;&lt;srcPath&gt;O:\2017 CRs\2020 European semester\LV\LV2020_ graphs\&lt;/srcPath&gt;&#10;&lt;srcName&gt;Section 3.1.xlsx&lt;/srcName&gt;&#10;&lt;type&gt;graph&lt;/type&gt;&#10; &lt;srcSheet&gt;tax wedge&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1T16:37:22&lt;/scrFileTime&gt;&#10;&lt;imageInformation&gt;&#10; &lt;dontScaleUp&gt;no&lt;/dontScaleUp&gt;&#10; &lt;usedpercentageofavailablewidth&gt;100&lt;/usedpercentageofavailablewidth&gt;&#10;&lt;/imageInformation&gt;&#10;&lt;url&gt;Chap0/Chap0-Graph-%SectionNumber%.11.xlsx&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53">
                            <a:extLst>
                              <a:ext uri="{28A0092B-C50C-407E-A947-70E740481C1C}">
                                <a14:useLocalDpi xmlns:a14="http://schemas.microsoft.com/office/drawing/2010/main" val="0"/>
                              </a:ext>
                            </a:extLst>
                          </a:blip>
                          <a:srcRect/>
                          <a:stretch>
                            <a:fillRect/>
                          </a:stretch>
                        </pic:blipFill>
                        <pic:spPr>
                          <a:xfrm>
                            <a:off x="0" y="0"/>
                            <a:ext cx="2597595" cy="2460480"/>
                          </a:xfrm>
                          <a:prstGeom prst="rect">
                            <a:avLst/>
                          </a:prstGeom>
                        </pic:spPr>
                      </pic:pic>
                    </a:graphicData>
                  </a:graphic>
                </wp:inline>
              </w:drawing>
            </w:r>
            <w:r>
              <w:rPr>
                <w:rFonts w:ascii="Times New Roman" w:hAnsi="Times New Roman" w:cs="Times New Roman"/>
                <w:noProof/>
                <w:color w:val="000000"/>
                <w:sz w:val="2"/>
              </w:rPr>
              <w:t xml:space="preserve"> </w:t>
            </w:r>
          </w:p>
        </w:tc>
      </w:tr>
      <w:tr w:rsidR="00A8765D">
        <w:trPr>
          <w:cantSplit/>
        </w:trPr>
        <w:tc>
          <w:tcPr>
            <w:tcW w:w="4111" w:type="dxa"/>
            <w:shd w:val="clear" w:color="auto" w:fill="auto"/>
            <w:tcMar>
              <w:bottom w:w="240" w:type="dxa"/>
            </w:tcMar>
          </w:tcPr>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European Commission</w:t>
            </w:r>
          </w:p>
        </w:tc>
      </w:tr>
    </w:tbl>
    <w:p w:rsidR="00A8765D" w:rsidRDefault="00A8765D">
      <w:pPr>
        <w:spacing w:after="0" w:line="20" w:lineRule="exact"/>
        <w:jc w:val="both"/>
        <w:rPr>
          <w:rFonts w:ascii="Times New Roman" w:hAnsi="Times New Roman" w:cs="Times New Roman"/>
          <w:noProof/>
          <w:color w:val="000000"/>
          <w:sz w:val="2"/>
        </w:rPr>
      </w:pP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Graph 3.1.4:</w:t>
            </w:r>
            <w:r>
              <w:rPr>
                <w:rFonts w:ascii="Century Gothic" w:hAnsi="Century Gothic" w:cs="Times New Roman"/>
                <w:b/>
                <w:noProof/>
                <w:color w:val="333399"/>
                <w:sz w:val="14"/>
              </w:rPr>
              <w:tab/>
              <w:t>Effect on income distribution of the increase in the basic allowance presented in the budget for 2020</w:t>
            </w:r>
          </w:p>
        </w:tc>
      </w:tr>
      <w:tr w:rsidR="00A8765D">
        <w:trPr>
          <w:cantSplit/>
        </w:trPr>
        <w:tc>
          <w:tcPr>
            <w:tcW w:w="4111"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33" w:name="_Toc33020656"/>
            <w:r>
              <w:rPr>
                <w:rFonts w:ascii="Times New Roman" w:hAnsi="Times New Roman" w:cs="Times New Roman"/>
                <w:noProof/>
                <w:color w:val="000000"/>
                <w:sz w:val="20"/>
              </w:rPr>
              <w:instrText>3.1.4.</w:instrText>
            </w:r>
            <w:r>
              <w:rPr>
                <w:rFonts w:ascii="Times New Roman" w:hAnsi="Times New Roman" w:cs="Times New Roman"/>
                <w:noProof/>
                <w:color w:val="000000"/>
                <w:sz w:val="20"/>
              </w:rPr>
              <w:tab/>
              <w:instrText xml:space="preserve">Effect on income distribution of the increase in the basic allowance presented in the </w:instrText>
            </w:r>
            <w:r>
              <w:rPr>
                <w:rFonts w:ascii="Times New Roman" w:hAnsi="Times New Roman" w:cs="Times New Roman"/>
                <w:noProof/>
                <w:color w:val="000000"/>
                <w:sz w:val="20"/>
              </w:rPr>
              <w:instrText>budget for 2020</w:instrText>
            </w:r>
            <w:bookmarkEnd w:id="33"/>
            <w:r>
              <w:rPr>
                <w:rFonts w:ascii="Times New Roman" w:hAnsi="Times New Roman" w:cs="Times New Roman"/>
                <w:noProof/>
                <w:color w:val="000000"/>
                <w:sz w:val="20"/>
              </w:rPr>
              <w:instrText xml:space="preserve">" \fgraph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en-GB"/>
              </w:rPr>
              <w:drawing>
                <wp:inline distT="0" distB="0" distL="0" distR="0">
                  <wp:extent cx="2597595" cy="2502183"/>
                  <wp:effectExtent l="0" t="0" r="0" b="0"/>
                  <wp:docPr id="72" name="Picture 72" descr="&lt;nbr&gt;&lt;GETTEXTFROMWORD&gt;&lt;/nbr&gt;&#10;&lt;title&gt;&lt;GETTEXTFROMWORD&gt;&lt;/title&gt;&#10;&lt;id&gt;69ac0673-f157-4f69-8afe-947d9cfef3a8&lt;/id&gt;&#10;&lt;srcType&gt;EXCEL&lt;/srcType&gt;&#10;&lt;srcPath&gt;O:\2017 CRs\2020 European semester\LV\LV2020_ graphs\&lt;/srcPath&gt;&#10;&lt;srcName&gt;Section 3.1.xlsx&lt;/srcName&gt;&#10;&lt;type&gt;graph&lt;/type&gt;&#10; &lt;srcSheet&gt;distributional effect&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1T16:37:22&lt;/scrFileTime&gt;&#10;&lt;imageInformation&gt;&#10; &lt;dontScaleUp&gt;no&lt;/dontScaleUp&gt;&#10; &lt;usedpercentageofavailablewidth&gt;100&lt;/usedpercentageofavailablewidth&gt;&#10;&lt;/imageInformation&gt;&#10;&lt;url&gt;Chap0/Chap0-Graph-%SectionNumber%.12.xlsx&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54">
                            <a:extLst>
                              <a:ext uri="{28A0092B-C50C-407E-A947-70E740481C1C}">
                                <a14:useLocalDpi xmlns:a14="http://schemas.microsoft.com/office/drawing/2010/main" val="0"/>
                              </a:ext>
                            </a:extLst>
                          </a:blip>
                          <a:srcRect/>
                          <a:stretch>
                            <a:fillRect/>
                          </a:stretch>
                        </pic:blipFill>
                        <pic:spPr>
                          <a:xfrm>
                            <a:off x="0" y="0"/>
                            <a:ext cx="2597595" cy="2502183"/>
                          </a:xfrm>
                          <a:prstGeom prst="rect">
                            <a:avLst/>
                          </a:prstGeom>
                        </pic:spPr>
                      </pic:pic>
                    </a:graphicData>
                  </a:graphic>
                </wp:inline>
              </w:drawing>
            </w:r>
            <w:r>
              <w:rPr>
                <w:rFonts w:ascii="Times New Roman" w:hAnsi="Times New Roman" w:cs="Times New Roman"/>
                <w:noProof/>
                <w:color w:val="000000"/>
                <w:sz w:val="2"/>
              </w:rPr>
              <w:t xml:space="preserve"> </w:t>
            </w:r>
          </w:p>
        </w:tc>
      </w:tr>
      <w:tr w:rsidR="00A8765D">
        <w:trPr>
          <w:cantSplit/>
        </w:trPr>
        <w:tc>
          <w:tcPr>
            <w:tcW w:w="4111" w:type="dxa"/>
            <w:shd w:val="clear" w:color="auto" w:fill="auto"/>
            <w:tcMar>
              <w:bottom w:w="240" w:type="dxa"/>
            </w:tcMar>
          </w:tcPr>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European Commission (Euromod)</w:t>
            </w:r>
          </w:p>
        </w:tc>
      </w:tr>
    </w:tbl>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Despite increased labour tax progressivity, the tax system could do more to reduce inequalities.</w:t>
      </w:r>
      <w:r>
        <w:rPr>
          <w:rFonts w:ascii="Times New Roman" w:hAnsi="Times New Roman" w:cs="Times New Roman"/>
          <w:noProof/>
          <w:color w:val="000000"/>
          <w:sz w:val="20"/>
        </w:rPr>
        <w:t xml:space="preserve"> Since 2018, Latvia has adopted a progressive tax schedule and has increased the income-dependent basic allowance, making personal income taxation more progressive. Nevertheless, tax progressivity in Latvia remains lower than in other EU Member States. Mor</w:t>
      </w:r>
      <w:r>
        <w:rPr>
          <w:rFonts w:ascii="Times New Roman" w:hAnsi="Times New Roman" w:cs="Times New Roman"/>
          <w:noProof/>
          <w:color w:val="000000"/>
          <w:sz w:val="20"/>
        </w:rPr>
        <w:t>eover, a strong reliance on consumption tax revenue, which typically contributes little to redistribution, and low capital taxation limit the distributional effect of the tax-benefit system and its effectiveness in reducing income inequalities.</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Property ta</w:t>
      </w:r>
      <w:r>
        <w:rPr>
          <w:rFonts w:ascii="Times New Roman" w:hAnsi="Times New Roman" w:cs="Times New Roman"/>
          <w:b/>
          <w:noProof/>
          <w:color w:val="000000"/>
          <w:sz w:val="20"/>
        </w:rPr>
        <w:t>xation remains based on outdated values.</w:t>
      </w:r>
      <w:r>
        <w:rPr>
          <w:rFonts w:ascii="Times New Roman" w:hAnsi="Times New Roman" w:cs="Times New Roman"/>
          <w:noProof/>
          <w:color w:val="000000"/>
          <w:sz w:val="20"/>
        </w:rPr>
        <w:t xml:space="preserve"> Latvia has a potential to increase revenue from property taxation. Recurrent property tax accounted for 0.7% of GDP in 2019, below the EU average of 1.6% of GDP in 2017. While real estate cadastral values which are </w:t>
      </w:r>
      <w:r>
        <w:rPr>
          <w:rFonts w:ascii="Times New Roman" w:hAnsi="Times New Roman" w:cs="Times New Roman"/>
          <w:noProof/>
          <w:color w:val="000000"/>
          <w:sz w:val="20"/>
        </w:rPr>
        <w:t>used to calculate property tax are meant to follow the market values, the Latvian government has consecutively postponed updating the cadastral values. The planned update in 2020 has been postponed to 2022, as increasing property taxation is highly unpopul</w:t>
      </w:r>
      <w:r>
        <w:rPr>
          <w:rFonts w:ascii="Times New Roman" w:hAnsi="Times New Roman" w:cs="Times New Roman"/>
          <w:noProof/>
          <w:color w:val="000000"/>
          <w:sz w:val="20"/>
        </w:rPr>
        <w:t>ar. This postponement is estimated to cost around 0.1% of GDP on top of around 0.3% of GDP forgone in revenue due to the previous postponements of valuation updates.</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Proposed changes to property taxation would narrow the tax base.</w:t>
      </w:r>
      <w:r>
        <w:rPr>
          <w:rFonts w:ascii="Times New Roman" w:hAnsi="Times New Roman" w:cs="Times New Roman"/>
          <w:noProof/>
          <w:color w:val="000000"/>
          <w:sz w:val="20"/>
        </w:rPr>
        <w:t xml:space="preserve"> The draft cadastral metho</w:t>
      </w:r>
      <w:r>
        <w:rPr>
          <w:rFonts w:ascii="Times New Roman" w:hAnsi="Times New Roman" w:cs="Times New Roman"/>
          <w:noProof/>
          <w:color w:val="000000"/>
          <w:sz w:val="20"/>
        </w:rPr>
        <w:t>dology presented in 2019 envisages to standardise site areas used for buildings and to cut a number of building classification types, thus addressing the valuation difficulties and sources of inconsistencies. However, the planned introduction of special va</w:t>
      </w:r>
      <w:r>
        <w:rPr>
          <w:rFonts w:ascii="Times New Roman" w:hAnsi="Times New Roman" w:cs="Times New Roman"/>
          <w:noProof/>
          <w:color w:val="000000"/>
          <w:sz w:val="20"/>
        </w:rPr>
        <w:t xml:space="preserve">lues for taxation of individual housing sites would make their taxation more detached from the market values. Furthermore, a proposal to tax only primary residences valued more than EUR 100 000 would exempt a majority of households from paying the tax and </w:t>
      </w:r>
      <w:r>
        <w:rPr>
          <w:rFonts w:ascii="Times New Roman" w:hAnsi="Times New Roman" w:cs="Times New Roman"/>
          <w:noProof/>
          <w:color w:val="000000"/>
          <w:sz w:val="20"/>
        </w:rPr>
        <w:t>would cost some 0.2% of GDP in tax revenue.</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share of the shadow economy still appears to be high.</w:t>
      </w:r>
      <w:r>
        <w:rPr>
          <w:rFonts w:ascii="Times New Roman" w:hAnsi="Times New Roman" w:cs="Times New Roman"/>
          <w:noProof/>
          <w:color w:val="000000"/>
          <w:sz w:val="20"/>
        </w:rPr>
        <w:t xml:space="preserve"> Based on surveys of company managers, Latvia’s shadow economy was estimated at 24% of GDP in 2018, exceeding estimates for Estonia (17%) and Lithuania (19</w:t>
      </w:r>
      <w:r>
        <w:rPr>
          <w:rFonts w:ascii="Times New Roman" w:hAnsi="Times New Roman" w:cs="Times New Roman"/>
          <w:noProof/>
          <w:color w:val="000000"/>
          <w:sz w:val="20"/>
        </w:rPr>
        <w:t xml:space="preserve">%) (Sauka &amp; Putnins, 2019). The under-reported business income in Latvia (35% of the shadow economy) and ‘envelope’ wages (22%) account for most of the difference with other Baltic states. Among sectors, construction (36%) and retail (25%) had the highest </w:t>
      </w:r>
      <w:r>
        <w:rPr>
          <w:rFonts w:ascii="Times New Roman" w:hAnsi="Times New Roman" w:cs="Times New Roman"/>
          <w:noProof/>
          <w:color w:val="000000"/>
          <w:sz w:val="20"/>
        </w:rPr>
        <w:t>share of shadow activity in 2016-2018 on average. The VAT gap (</w:t>
      </w:r>
      <w:r>
        <w:rPr>
          <w:rFonts w:ascii="Times New Roman" w:hAnsi="Times New Roman" w:cs="Times New Roman"/>
          <w:noProof/>
          <w:color w:val="000000"/>
          <w:sz w:val="20"/>
          <w:vertAlign w:val="superscript"/>
        </w:rPr>
        <w:footnoteReference w:id="2"/>
      </w:r>
      <w:r>
        <w:rPr>
          <w:rFonts w:ascii="Times New Roman" w:hAnsi="Times New Roman" w:cs="Times New Roman"/>
          <w:noProof/>
          <w:color w:val="000000"/>
          <w:sz w:val="20"/>
        </w:rPr>
        <w:t xml:space="preserve">) in Latvia is estimated at 15% in 2017 exceeding the EU average of 11% (CASE, 2019). The State Revenue Service of Latvia shares similar VAT gap estimates and expects the gap have narrowed in </w:t>
      </w:r>
      <w:r>
        <w:rPr>
          <w:rFonts w:ascii="Times New Roman" w:hAnsi="Times New Roman" w:cs="Times New Roman"/>
          <w:noProof/>
          <w:color w:val="000000"/>
          <w:sz w:val="20"/>
        </w:rPr>
        <w:t>2018. However, VAT fraud remains widespread. The World Bank has prepared several recommendations on this to the Latvian authorities and organised training for the staff of the State Revenue Service in order to improve VAT collection (</w:t>
      </w:r>
      <w:r>
        <w:rPr>
          <w:rFonts w:ascii="Times New Roman" w:hAnsi="Times New Roman" w:cs="Times New Roman"/>
          <w:noProof/>
          <w:color w:val="000000"/>
          <w:sz w:val="20"/>
          <w:vertAlign w:val="superscript"/>
        </w:rPr>
        <w:footnoteReference w:id="3"/>
      </w:r>
      <w:r>
        <w:rPr>
          <w:rFonts w:ascii="Times New Roman" w:hAnsi="Times New Roman" w:cs="Times New Roman"/>
          <w:noProof/>
          <w:color w:val="000000"/>
          <w:sz w:val="20"/>
        </w:rPr>
        <w:t>).</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Tax compliance has</w:t>
      </w:r>
      <w:r>
        <w:rPr>
          <w:rFonts w:ascii="Times New Roman" w:hAnsi="Times New Roman" w:cs="Times New Roman"/>
          <w:b/>
          <w:noProof/>
          <w:color w:val="000000"/>
          <w:sz w:val="20"/>
        </w:rPr>
        <w:t xml:space="preserve"> gradually improved through variety of measures.</w:t>
      </w:r>
      <w:r>
        <w:rPr>
          <w:rFonts w:ascii="Times New Roman" w:hAnsi="Times New Roman" w:cs="Times New Roman"/>
          <w:noProof/>
          <w:color w:val="000000"/>
          <w:sz w:val="20"/>
        </w:rPr>
        <w:t xml:space="preserve"> In 2019, the authorities continued expanding use of data-driven risk assessments, increasing communication with the taxpayers through the electronic declaration system and implementing sector specific measur</w:t>
      </w:r>
      <w:r>
        <w:rPr>
          <w:rFonts w:ascii="Times New Roman" w:hAnsi="Times New Roman" w:cs="Times New Roman"/>
          <w:noProof/>
          <w:color w:val="000000"/>
          <w:sz w:val="20"/>
        </w:rPr>
        <w:t>es. In the construction sector, the implementation of the collective agreement (see Section 3.3.1) and tightening of electronic employee registration on large construction sites are expected to reduce the high share of shadow activity in the sector. Illega</w:t>
      </w:r>
      <w:r>
        <w:rPr>
          <w:rFonts w:ascii="Times New Roman" w:hAnsi="Times New Roman" w:cs="Times New Roman"/>
          <w:noProof/>
          <w:color w:val="000000"/>
          <w:sz w:val="20"/>
        </w:rPr>
        <w:t>l online gambling has been restricted by more efficient blocking of access to unlicensed gambling sites and by involving payment service providers in policing unlicensed activities. The State Revenue Service is also improving its analytical capacity in usi</w:t>
      </w:r>
      <w:r>
        <w:rPr>
          <w:rFonts w:ascii="Times New Roman" w:hAnsi="Times New Roman" w:cs="Times New Roman"/>
          <w:noProof/>
          <w:color w:val="000000"/>
          <w:sz w:val="20"/>
        </w:rPr>
        <w:t>ng large data sets and in identifying suspicious operations. Tax revenue gains from these measures can be expected in the medium term, but it requires a continuous effort to monitor tax compliance and to react to the signs of evasion.</w:t>
      </w:r>
    </w:p>
    <w:p w:rsidR="00A8765D" w:rsidRDefault="006C09F5">
      <w:pPr>
        <w:keepNext/>
        <w:tabs>
          <w:tab w:val="left" w:pos="567"/>
        </w:tabs>
        <w:spacing w:before="240" w:after="240" w:line="240" w:lineRule="atLeast"/>
        <w:ind w:left="567" w:hanging="567"/>
        <w:outlineLvl w:val="2"/>
        <w:rPr>
          <w:rFonts w:ascii="Century Gothic" w:hAnsi="Century Gothic" w:cs="Times New Roman"/>
          <w:b/>
          <w:caps/>
          <w:noProof/>
          <w:color w:val="333399"/>
          <w:sz w:val="18"/>
        </w:rPr>
      </w:pPr>
      <w:r>
        <w:rPr>
          <w:rFonts w:ascii="Century Gothic" w:hAnsi="Century Gothic" w:cs="Times New Roman"/>
          <w:b/>
          <w:caps/>
          <w:noProof/>
          <w:color w:val="333399"/>
          <w:sz w:val="18"/>
        </w:rPr>
        <w:t>3.1.4.</w:t>
      </w:r>
      <w:r>
        <w:rPr>
          <w:rFonts w:ascii="Century Gothic" w:hAnsi="Century Gothic" w:cs="Times New Roman"/>
          <w:b/>
          <w:caps/>
          <w:noProof/>
          <w:color w:val="333399"/>
          <w:sz w:val="18"/>
        </w:rPr>
        <w:tab/>
        <w:t>DEBT SUSTAINAB</w:t>
      </w:r>
      <w:r>
        <w:rPr>
          <w:rFonts w:ascii="Century Gothic" w:hAnsi="Century Gothic" w:cs="Times New Roman"/>
          <w:b/>
          <w:caps/>
          <w:noProof/>
          <w:color w:val="333399"/>
          <w:sz w:val="18"/>
        </w:rPr>
        <w:t>ILITY ANALYSIS AND FISCAL RISKS</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risk to Latvia’s fiscal sustainability is assessed to be low in the medium and long term, assuming current policies continue.</w:t>
      </w:r>
      <w:r>
        <w:rPr>
          <w:rFonts w:ascii="Times New Roman" w:hAnsi="Times New Roman" w:cs="Times New Roman"/>
          <w:noProof/>
          <w:color w:val="000000"/>
          <w:sz w:val="20"/>
        </w:rPr>
        <w:t xml:space="preserve"> The low risks to fiscal sustainability are assessed on the basis of the low initial debt level</w:t>
      </w:r>
      <w:r>
        <w:rPr>
          <w:rFonts w:ascii="Times New Roman" w:hAnsi="Times New Roman" w:cs="Times New Roman"/>
          <w:noProof/>
          <w:color w:val="000000"/>
          <w:sz w:val="20"/>
        </w:rPr>
        <w:t xml:space="preserve"> and on the assumption that the costs related to the ageing population will be contained (see Annex B). Under the baseline scenario of the 2018 Ageing Report (European Commission, 2018a), total ageing-related expenditure is projected to decline by 1.3 perc</w:t>
      </w:r>
      <w:r>
        <w:rPr>
          <w:rFonts w:ascii="Times New Roman" w:hAnsi="Times New Roman" w:cs="Times New Roman"/>
          <w:noProof/>
          <w:color w:val="000000"/>
          <w:sz w:val="20"/>
        </w:rPr>
        <w:t xml:space="preserve">entage points of GDP between 2018 and 2070, assuming a fall in pension spending and a limited increase in healthcare spending. The average public pension benefit is projected to decline relative to the average wage, though this would be partly compensated </w:t>
      </w:r>
      <w:r>
        <w:rPr>
          <w:rFonts w:ascii="Times New Roman" w:hAnsi="Times New Roman" w:cs="Times New Roman"/>
          <w:noProof/>
          <w:color w:val="000000"/>
          <w:sz w:val="20"/>
        </w:rPr>
        <w:t>by the increasing size of the mandatory private pension schemes. The health expenditure-to-GDP ratio is expected to increase from 3.7% in 2016 to 4.3% in 2070, in view of the projected demographic changes. This would still be one of the lowest in the EU. T</w:t>
      </w:r>
      <w:r>
        <w:rPr>
          <w:rFonts w:ascii="Times New Roman" w:hAnsi="Times New Roman" w:cs="Times New Roman"/>
          <w:noProof/>
          <w:color w:val="000000"/>
          <w:sz w:val="20"/>
        </w:rPr>
        <w:t>hese assumptions might be politically and socially unsustainable, thought, in view of the currently low adequacy of pensions (see Section 3.3.2) and underfunding of public healthcare (see Section 3.3.3).</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If Latvia converges with the EU average indicators f</w:t>
      </w:r>
      <w:r>
        <w:rPr>
          <w:rFonts w:ascii="Times New Roman" w:hAnsi="Times New Roman" w:cs="Times New Roman"/>
          <w:b/>
          <w:noProof/>
          <w:color w:val="000000"/>
          <w:sz w:val="20"/>
        </w:rPr>
        <w:t>or pension adequacy and health spending, risks to fiscal sustainability appear higher.</w:t>
      </w:r>
      <w:r>
        <w:rPr>
          <w:rFonts w:ascii="Times New Roman" w:hAnsi="Times New Roman" w:cs="Times New Roman"/>
          <w:noProof/>
          <w:color w:val="000000"/>
          <w:sz w:val="20"/>
        </w:rPr>
        <w:t xml:space="preserve"> Assuming that healthcare costs converge with the EU average, Latvia’s healthcare and long-term care spending is projected to increase by some 3% of GDP by 2070. Maintain</w:t>
      </w:r>
      <w:r>
        <w:rPr>
          <w:rFonts w:ascii="Times New Roman" w:hAnsi="Times New Roman" w:cs="Times New Roman"/>
          <w:noProof/>
          <w:color w:val="000000"/>
          <w:sz w:val="20"/>
        </w:rPr>
        <w:t>ing the current levels of the pension benefit ratio up to 2070 would cost around 2% of GDP annually. Moreover, raising the pension benefit ratio to the EU average would cost 10% of GDP. Such assumptions would lead to higher risks to fiscal sustainability i</w:t>
      </w:r>
      <w:r>
        <w:rPr>
          <w:rFonts w:ascii="Times New Roman" w:hAnsi="Times New Roman" w:cs="Times New Roman"/>
          <w:noProof/>
          <w:color w:val="000000"/>
          <w:sz w:val="20"/>
        </w:rPr>
        <w:t xml:space="preserve">n the medium and long run than current policies suggest. </w:t>
      </w:r>
    </w:p>
    <w:bookmarkEnd w:id="26"/>
    <w:p w:rsidR="00A8765D" w:rsidRDefault="00A8765D">
      <w:pPr>
        <w:spacing w:after="240" w:line="240" w:lineRule="atLeast"/>
        <w:jc w:val="both"/>
        <w:rPr>
          <w:rFonts w:ascii="Times New Roman" w:hAnsi="Times New Roman" w:cs="Times New Roman"/>
          <w:noProof/>
          <w:color w:val="000000"/>
          <w:sz w:val="20"/>
        </w:rPr>
        <w:sectPr w:rsidR="00A8765D">
          <w:headerReference w:type="even" r:id="rId55"/>
          <w:headerReference w:type="default" r:id="rId56"/>
          <w:footerReference w:type="even" r:id="rId57"/>
          <w:footerReference w:type="default" r:id="rId58"/>
          <w:headerReference w:type="first" r:id="rId59"/>
          <w:footerReference w:type="first" r:id="rId60"/>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bookmarkStart w:id="34" w:name="GUID1901637FAC11432580AF371A30ABF14E"/>
    <w:p w:rsidR="00A8765D" w:rsidRDefault="006C09F5">
      <w:pPr>
        <w:pStyle w:val="EPKitTCFrame"/>
        <w:rPr>
          <w:noProof/>
        </w:rPr>
      </w:pPr>
      <w:r>
        <w:rPr>
          <w:noProof/>
        </w:rPr>
        <w:fldChar w:fldCharType="begin"/>
      </w:r>
      <w:r>
        <w:rPr>
          <w:noProof/>
          <w:vanish w:val="0"/>
        </w:rPr>
        <w:instrText xml:space="preserve"> TC "</w:instrText>
      </w:r>
      <w:bookmarkStart w:id="35" w:name="_Toc33020001"/>
      <w:bookmarkStart w:id="36" w:name="_Toc33020598"/>
      <w:r>
        <w:rPr>
          <w:noProof/>
          <w:vanish w:val="0"/>
        </w:rPr>
        <w:instrText>3.2.</w:instrText>
      </w:r>
      <w:r>
        <w:rPr>
          <w:noProof/>
          <w:vanish w:val="0"/>
        </w:rPr>
        <w:tab/>
        <w:instrText>Financial sector</w:instrText>
      </w:r>
      <w:bookmarkEnd w:id="35"/>
      <w:bookmarkEnd w:id="36"/>
      <w:r>
        <w:rPr>
          <w:noProof/>
          <w:vanish w:val="0"/>
        </w:rPr>
        <w:instrText xml:space="preserve">" \f \l 3 </w:instrText>
      </w:r>
      <w:r>
        <w:rPr>
          <w:noProof/>
        </w:rPr>
        <w:fldChar w:fldCharType="end"/>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 xml:space="preserve">Financial stability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The Latvian banking sector remains profitable, well-capitalised and overall sound despite the decline of the non-resident segment. </w:t>
      </w:r>
      <w:r>
        <w:rPr>
          <w:rFonts w:ascii="Times New Roman" w:hAnsi="Times New Roman" w:cs="Times New Roman"/>
          <w:noProof/>
          <w:color w:val="000000"/>
          <w:sz w:val="20"/>
        </w:rPr>
        <w:t>Average profitability has remained relatively stable despite the shrinking of non-resident banks’ operat</w:t>
      </w:r>
      <w:r>
        <w:rPr>
          <w:rFonts w:ascii="Times New Roman" w:hAnsi="Times New Roman" w:cs="Times New Roman"/>
          <w:noProof/>
          <w:color w:val="000000"/>
          <w:sz w:val="20"/>
        </w:rPr>
        <w:t>ions. Return on equity increased slightly to 10.1% in the first half of 2019 while the return on assets was 1.1% at the end of the first half of 2019. As a result, banks are on average well capitalised with a total capital ratio of 22.6, which is well abov</w:t>
      </w:r>
      <w:r>
        <w:rPr>
          <w:rFonts w:ascii="Times New Roman" w:hAnsi="Times New Roman" w:cs="Times New Roman"/>
          <w:noProof/>
          <w:color w:val="000000"/>
          <w:sz w:val="20"/>
        </w:rPr>
        <w:t xml:space="preserve">e the EU average and the prudential minimum set by the regulator. According to a stress test done by the Bank of Latvia, the shock absorption capacity at a systemic level is good. Local deposits are still outpacing credit growth, contributing to a falling </w:t>
      </w:r>
      <w:r>
        <w:rPr>
          <w:rFonts w:ascii="Times New Roman" w:hAnsi="Times New Roman" w:cs="Times New Roman"/>
          <w:noProof/>
          <w:color w:val="000000"/>
          <w:sz w:val="20"/>
        </w:rPr>
        <w:t xml:space="preserve">loan-to-deposit ratio, which reached 74% at the end of Q2 of 2019. The liquidity risk of credit institutions is limited, as liquid assets make up a large share of total assets (30%). </w:t>
      </w: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Table 3.2.1:</w:t>
            </w:r>
            <w:r>
              <w:rPr>
                <w:rFonts w:ascii="Century Gothic" w:hAnsi="Century Gothic" w:cs="Times New Roman"/>
                <w:b/>
                <w:noProof/>
                <w:color w:val="333399"/>
                <w:sz w:val="14"/>
              </w:rPr>
              <w:tab/>
              <w:t>Financial soundness indicators</w:t>
            </w:r>
          </w:p>
        </w:tc>
      </w:tr>
    </w:tbl>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lang w:eastAsia="en-GB"/>
        </w:rPr>
        <w:drawing>
          <wp:inline distT="0" distB="0" distL="0" distR="0">
            <wp:extent cx="2610485" cy="12262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10485" cy="1226218"/>
                    </a:xfrm>
                    <a:prstGeom prst="rect">
                      <a:avLst/>
                    </a:prstGeom>
                    <a:noFill/>
                    <a:ln>
                      <a:noFill/>
                    </a:ln>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noProof/>
                <w:color w:val="000000"/>
                <w:sz w:val="14"/>
              </w:rPr>
              <w:t xml:space="preserve">(1) * ECB aggregated balance sheet: loans excluding to government and monetary financial institutions / deposits excluding from government and MFI </w:t>
            </w:r>
            <w:r>
              <w:rPr>
                <w:rFonts w:ascii="Century Gothic" w:hAnsi="Century Gothic" w:cs="Times New Roman"/>
                <w:noProof/>
                <w:color w:val="000000"/>
                <w:sz w:val="14"/>
              </w:rPr>
              <w:br/>
              <w:t>** For comparability only annual values are presented</w:t>
            </w:r>
          </w:p>
          <w:p w:rsidR="00A8765D" w:rsidRDefault="006C09F5">
            <w:pPr>
              <w:keepNext/>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European Central Bank CBD2</w:t>
            </w:r>
          </w:p>
        </w:tc>
      </w:tr>
    </w:tbl>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banks formerly</w:t>
      </w:r>
      <w:r>
        <w:rPr>
          <w:rFonts w:ascii="Times New Roman" w:hAnsi="Times New Roman" w:cs="Times New Roman"/>
          <w:b/>
          <w:noProof/>
          <w:color w:val="000000"/>
          <w:sz w:val="20"/>
        </w:rPr>
        <w:t xml:space="preserve"> servicing non-resident clients are in the process of finding a viable alternative for their former business model.</w:t>
      </w:r>
      <w:r>
        <w:rPr>
          <w:rFonts w:ascii="Times New Roman" w:hAnsi="Times New Roman" w:cs="Times New Roman"/>
          <w:noProof/>
          <w:color w:val="000000"/>
          <w:sz w:val="20"/>
        </w:rPr>
        <w:t xml:space="preserve"> Non-resident banks (</w:t>
      </w:r>
      <w:r>
        <w:rPr>
          <w:rFonts w:ascii="Times New Roman" w:hAnsi="Times New Roman" w:cs="Times New Roman"/>
          <w:noProof/>
          <w:color w:val="000000"/>
          <w:sz w:val="20"/>
          <w:vertAlign w:val="superscript"/>
        </w:rPr>
        <w:footnoteReference w:id="4"/>
      </w:r>
      <w:r>
        <w:rPr>
          <w:rFonts w:ascii="Times New Roman" w:hAnsi="Times New Roman" w:cs="Times New Roman"/>
          <w:noProof/>
          <w:color w:val="000000"/>
          <w:sz w:val="20"/>
        </w:rPr>
        <w:t>) have substantially downsized their operations on the back of tightened anti-money laundering rules (see below) and tr</w:t>
      </w:r>
      <w:r>
        <w:rPr>
          <w:rFonts w:ascii="Times New Roman" w:hAnsi="Times New Roman" w:cs="Times New Roman"/>
          <w:noProof/>
          <w:color w:val="000000"/>
          <w:sz w:val="20"/>
        </w:rPr>
        <w:t>ansformed their business models. As a result, their business volumes and deposits shrunk notably. A part of the credit institutions servicing foreign customers has started to offer new financial products and collect household deposits via web platforms. Wh</w:t>
      </w:r>
      <w:r>
        <w:rPr>
          <w:rFonts w:ascii="Times New Roman" w:hAnsi="Times New Roman" w:cs="Times New Roman"/>
          <w:noProof/>
          <w:color w:val="000000"/>
          <w:sz w:val="20"/>
        </w:rPr>
        <w:t>ile this improves the maturity composition of their financing, it may pose refinancing and liquidity risks in the medium term, given the likely outflow at maturity. Other credit institutions have seen the quality of their foreign loan portfolio deteriorate</w:t>
      </w:r>
      <w:r>
        <w:rPr>
          <w:rFonts w:ascii="Times New Roman" w:hAnsi="Times New Roman" w:cs="Times New Roman"/>
          <w:noProof/>
          <w:color w:val="000000"/>
          <w:sz w:val="20"/>
        </w:rPr>
        <w:t>, a large part of which consists of unlikely-to-pay loans (NPL) not past due. The average non-performing loan ratio for households and non-financial corporations amounted to 7.5% in Q2 2019, but trends in the NPL-ratio of credit institutions servicing dome</w:t>
      </w:r>
      <w:r>
        <w:rPr>
          <w:rFonts w:ascii="Times New Roman" w:hAnsi="Times New Roman" w:cs="Times New Roman"/>
          <w:noProof/>
          <w:color w:val="000000"/>
          <w:sz w:val="20"/>
        </w:rPr>
        <w:t xml:space="preserve">stic customers and foreign customers considerably differ (4.2% and 31.4% respectively).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main risks to financial stability are associated with housing market developments in the Nordic countries and anti-money laundering in Latvia.</w:t>
      </w:r>
      <w:r>
        <w:rPr>
          <w:rFonts w:ascii="Times New Roman" w:hAnsi="Times New Roman" w:cs="Times New Roman"/>
          <w:noProof/>
          <w:color w:val="000000"/>
          <w:sz w:val="20"/>
        </w:rPr>
        <w:t xml:space="preserve"> Although, the signif</w:t>
      </w:r>
      <w:r>
        <w:rPr>
          <w:rFonts w:ascii="Times New Roman" w:hAnsi="Times New Roman" w:cs="Times New Roman"/>
          <w:noProof/>
          <w:color w:val="000000"/>
          <w:sz w:val="20"/>
        </w:rPr>
        <w:t xml:space="preserve">icance of Nordic parent bank funding for their subsidiaries in Latvia has shrunk considerably, risks related to the housing market in Sweden could impact Latvia via trade and confidence channels. Moreover, following the transformation of Luminor Bank from </w:t>
      </w:r>
      <w:r>
        <w:rPr>
          <w:rFonts w:ascii="Times New Roman" w:hAnsi="Times New Roman" w:cs="Times New Roman"/>
          <w:noProof/>
          <w:color w:val="000000"/>
          <w:sz w:val="20"/>
        </w:rPr>
        <w:t>a subsidiary into a branch of the Estonian entity, the transmission of shocks coming from other Baltic states to Latvia could be accelerated. While measures have already been put in place to mitigate the risks of money laundering and terrorist financing, p</w:t>
      </w:r>
      <w:r>
        <w:rPr>
          <w:rFonts w:ascii="Times New Roman" w:hAnsi="Times New Roman" w:cs="Times New Roman"/>
          <w:noProof/>
          <w:color w:val="000000"/>
          <w:sz w:val="20"/>
        </w:rPr>
        <w:t>otential ramifications in the financial sector could be wide and uncertain in case of adverse events.</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 xml:space="preserve">Anti-money laundering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Latvia has reaffirmed its commitment to fighting money laundering and terrorism financing as key to preserve trust and stability of</w:t>
      </w:r>
      <w:r>
        <w:rPr>
          <w:rFonts w:ascii="Times New Roman" w:hAnsi="Times New Roman" w:cs="Times New Roman"/>
          <w:b/>
          <w:noProof/>
          <w:color w:val="000000"/>
          <w:sz w:val="20"/>
        </w:rPr>
        <w:t xml:space="preserve"> its financial system.</w:t>
      </w:r>
      <w:r>
        <w:rPr>
          <w:rFonts w:ascii="Times New Roman" w:hAnsi="Times New Roman" w:cs="Times New Roman"/>
          <w:noProof/>
          <w:color w:val="000000"/>
          <w:sz w:val="20"/>
        </w:rPr>
        <w:t xml:space="preserve"> Following the ABLV case (</w:t>
      </w:r>
      <w:r>
        <w:rPr>
          <w:rFonts w:ascii="Times New Roman" w:hAnsi="Times New Roman" w:cs="Times New Roman"/>
          <w:noProof/>
          <w:color w:val="000000"/>
          <w:sz w:val="20"/>
          <w:vertAlign w:val="superscript"/>
        </w:rPr>
        <w:footnoteReference w:id="5"/>
      </w:r>
      <w:r>
        <w:rPr>
          <w:rFonts w:ascii="Times New Roman" w:hAnsi="Times New Roman" w:cs="Times New Roman"/>
          <w:noProof/>
          <w:color w:val="000000"/>
          <w:sz w:val="20"/>
        </w:rPr>
        <w:t>), Latvia took immediate steps to reduce the flow of risky assets through its financial system (European Commission, 2019a) In July 2018, Moneyval concluded that the effectiveness of Latvia’s anti-money laun</w:t>
      </w:r>
      <w:r>
        <w:rPr>
          <w:rFonts w:ascii="Times New Roman" w:hAnsi="Times New Roman" w:cs="Times New Roman"/>
          <w:noProof/>
          <w:color w:val="000000"/>
          <w:sz w:val="20"/>
        </w:rPr>
        <w:t>dering (AML) system was only moderate and put it under enhanced monitoring by the Financial Action Task Force (</w:t>
      </w:r>
      <w:r>
        <w:rPr>
          <w:rFonts w:ascii="Times New Roman" w:hAnsi="Times New Roman" w:cs="Times New Roman"/>
          <w:noProof/>
          <w:color w:val="000000"/>
          <w:sz w:val="20"/>
          <w:vertAlign w:val="superscript"/>
        </w:rPr>
        <w:footnoteReference w:id="6"/>
      </w:r>
      <w:r>
        <w:rPr>
          <w:rFonts w:ascii="Times New Roman" w:hAnsi="Times New Roman" w:cs="Times New Roman"/>
          <w:noProof/>
          <w:color w:val="000000"/>
          <w:sz w:val="20"/>
        </w:rPr>
        <w:t>) (FATF). The FATF will assess the progress made by Latvia at its next plenary meeting in February 2020. Following Moneyval’s report, Latvia has</w:t>
      </w:r>
      <w:r>
        <w:rPr>
          <w:rFonts w:ascii="Times New Roman" w:hAnsi="Times New Roman" w:cs="Times New Roman"/>
          <w:noProof/>
          <w:color w:val="000000"/>
          <w:sz w:val="20"/>
        </w:rPr>
        <w:t xml:space="preserve"> declared shoring up its AML system a priority and has worked on many fronts to strengthen its anti-money laundering system. In January 2020, Moneyval has taken stock of Latvia’s progress and improved the country’s ratings on 11 recommendations, and Latvia</w:t>
      </w:r>
      <w:r>
        <w:rPr>
          <w:rFonts w:ascii="Times New Roman" w:hAnsi="Times New Roman" w:cs="Times New Roman"/>
          <w:noProof/>
          <w:color w:val="000000"/>
          <w:sz w:val="20"/>
        </w:rPr>
        <w:t xml:space="preserve"> is now “compliant” or “largely compliant” with all FATF’s recommendations. Measures to improve the fight against money laundering would contribute to advancing towards SDG 16.</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Latvia has updated its anti-money laundering legal framework and strengthened t</w:t>
      </w:r>
      <w:r>
        <w:rPr>
          <w:rFonts w:ascii="Times New Roman" w:hAnsi="Times New Roman" w:cs="Times New Roman"/>
          <w:b/>
          <w:noProof/>
          <w:color w:val="000000"/>
          <w:sz w:val="20"/>
        </w:rPr>
        <w:t>he supervisory and law enforcement institutions.</w:t>
      </w:r>
      <w:r>
        <w:rPr>
          <w:rFonts w:ascii="Times New Roman" w:hAnsi="Times New Roman" w:cs="Times New Roman"/>
          <w:noProof/>
          <w:color w:val="000000"/>
          <w:sz w:val="20"/>
        </w:rPr>
        <w:t xml:space="preserve"> Latvia updated its anti-money laundering law, the law on credit institutions and the law governing Latvia’s financial supervisory agency – the Financial and Capital Markets commission (FCMC). The list of aut</w:t>
      </w:r>
      <w:r>
        <w:rPr>
          <w:rFonts w:ascii="Times New Roman" w:hAnsi="Times New Roman" w:cs="Times New Roman"/>
          <w:noProof/>
          <w:color w:val="000000"/>
          <w:sz w:val="20"/>
        </w:rPr>
        <w:t>horities with competence to enforce sanctions was also expanded. Implementation of international sanctions is among the FCMC’s top priorities for the coming years. As of 29 June 2019, the Financial Intelligence Unit (FIU) is the chief authority responsible</w:t>
      </w:r>
      <w:r>
        <w:rPr>
          <w:rFonts w:ascii="Times New Roman" w:hAnsi="Times New Roman" w:cs="Times New Roman"/>
          <w:noProof/>
          <w:color w:val="000000"/>
          <w:sz w:val="20"/>
        </w:rPr>
        <w:t xml:space="preserve"> for AML/CFT issues. Its staff was increased and its independence and autonomy were bolstered. The extent to which the Financial Intelligence Unit (FIU) of Latvia can effectively execute and leverage its new powers will be essential given its central role </w:t>
      </w:r>
      <w:r>
        <w:rPr>
          <w:rFonts w:ascii="Times New Roman" w:hAnsi="Times New Roman" w:cs="Times New Roman"/>
          <w:noProof/>
          <w:color w:val="000000"/>
          <w:sz w:val="20"/>
        </w:rPr>
        <w:t>in AML/CFT framework.</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Latvia has increased the financial supervisor’s staff and invested in its analytical capacity. </w:t>
      </w:r>
      <w:r>
        <w:rPr>
          <w:rFonts w:ascii="Times New Roman" w:hAnsi="Times New Roman" w:cs="Times New Roman"/>
          <w:noProof/>
          <w:color w:val="000000"/>
          <w:sz w:val="20"/>
        </w:rPr>
        <w:t>The number of staff dealing with AML supervision increased markedly. FCMC developed new tools to better identify beneficial owner groups an</w:t>
      </w:r>
      <w:r>
        <w:rPr>
          <w:rFonts w:ascii="Times New Roman" w:hAnsi="Times New Roman" w:cs="Times New Roman"/>
          <w:noProof/>
          <w:color w:val="000000"/>
          <w:sz w:val="20"/>
        </w:rPr>
        <w:t>d transaction connections. The FCMC also increased the number of on-site inspections and strengthened its supervision of money services providers, which have emerged in the wake of shell companies closing down. Over 2019, the FCMC has imposed enforcement a</w:t>
      </w:r>
      <w:r>
        <w:rPr>
          <w:rFonts w:ascii="Times New Roman" w:hAnsi="Times New Roman" w:cs="Times New Roman"/>
          <w:noProof/>
          <w:color w:val="000000"/>
          <w:sz w:val="20"/>
        </w:rPr>
        <w:t>ctions (monetary and other) on four banks and four administrative investigations are ongoing. A new supervisors’ coordination platform allows a common understanding of money laundering and terrorist financing risks and is used to share knowledge and superv</w:t>
      </w:r>
      <w:r>
        <w:rPr>
          <w:rFonts w:ascii="Times New Roman" w:hAnsi="Times New Roman" w:cs="Times New Roman"/>
          <w:noProof/>
          <w:color w:val="000000"/>
          <w:sz w:val="20"/>
        </w:rPr>
        <w:t>isory practices. All supervisors have now developed sectoral risk assessments and guidelines for risk-based supervision. However, Latvia should continue its efforts to implement risk based supervision in practice.</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De-risking and rebuilding the reputation o</w:t>
      </w:r>
      <w:r>
        <w:rPr>
          <w:rFonts w:ascii="Times New Roman" w:hAnsi="Times New Roman" w:cs="Times New Roman"/>
          <w:b/>
          <w:noProof/>
          <w:color w:val="000000"/>
          <w:sz w:val="20"/>
        </w:rPr>
        <w:t xml:space="preserve">f Latvia’s financial sector has been a critical part of Latvia’s anti-money laundering strategy. </w:t>
      </w:r>
      <w:r>
        <w:rPr>
          <w:rFonts w:ascii="Times New Roman" w:hAnsi="Times New Roman" w:cs="Times New Roman"/>
          <w:noProof/>
          <w:color w:val="000000"/>
          <w:sz w:val="20"/>
        </w:rPr>
        <w:t>One of the FCMC's main objectives is to closely monitor the change of business model of the banks (formerly) servicing foreign clients. Due to de-risking measu</w:t>
      </w:r>
      <w:r>
        <w:rPr>
          <w:rFonts w:ascii="Times New Roman" w:hAnsi="Times New Roman" w:cs="Times New Roman"/>
          <w:noProof/>
          <w:color w:val="000000"/>
          <w:sz w:val="20"/>
        </w:rPr>
        <w:t>res taken by banks, amplified by the ban on servicing particular type of shell companies, the share of non-EU deposits has decreased from 35.6% in 2015 to 6.6% in September 2019. The value of non-resident deposits has shrunk from €8.1 bn in 2017 to €3.2 bn</w:t>
      </w:r>
      <w:r>
        <w:rPr>
          <w:rFonts w:ascii="Times New Roman" w:hAnsi="Times New Roman" w:cs="Times New Roman"/>
          <w:noProof/>
          <w:color w:val="000000"/>
          <w:sz w:val="20"/>
        </w:rPr>
        <w:t xml:space="preserve"> in September 2019 (39.7% to 19.5% in total deposits). De-risking actions taken in respect of other high-risk areas (e.g. foreign-owned companies) include improved transparency of legal persons (</w:t>
      </w:r>
      <w:r>
        <w:rPr>
          <w:rFonts w:ascii="Times New Roman" w:hAnsi="Times New Roman" w:cs="Times New Roman"/>
          <w:noProof/>
          <w:color w:val="000000"/>
          <w:sz w:val="20"/>
          <w:vertAlign w:val="superscript"/>
        </w:rPr>
        <w:footnoteReference w:id="7"/>
      </w:r>
      <w:r>
        <w:rPr>
          <w:rFonts w:ascii="Times New Roman" w:hAnsi="Times New Roman" w:cs="Times New Roman"/>
          <w:noProof/>
          <w:color w:val="000000"/>
          <w:sz w:val="20"/>
        </w:rPr>
        <w:t>). Nevertheless, Latvia should increase its understanding of</w:t>
      </w:r>
      <w:r>
        <w:rPr>
          <w:rFonts w:ascii="Times New Roman" w:hAnsi="Times New Roman" w:cs="Times New Roman"/>
          <w:noProof/>
          <w:color w:val="000000"/>
          <w:sz w:val="20"/>
        </w:rPr>
        <w:t xml:space="preserve"> underlying risks of money laundering and terrorist financing, in particular in relation to accountants, lawyers, tax advisors and other professionals involved in company formation.</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The government has also strengthened the dialogue between the financial </w:t>
      </w:r>
      <w:r>
        <w:rPr>
          <w:rFonts w:ascii="Times New Roman" w:hAnsi="Times New Roman" w:cs="Times New Roman"/>
          <w:b/>
          <w:noProof/>
          <w:color w:val="000000"/>
          <w:sz w:val="20"/>
        </w:rPr>
        <w:t>sector, the supervisor and the law enforcement bodies.</w:t>
      </w:r>
      <w:r>
        <w:rPr>
          <w:rFonts w:ascii="Times New Roman" w:hAnsi="Times New Roman" w:cs="Times New Roman"/>
          <w:noProof/>
          <w:color w:val="000000"/>
          <w:sz w:val="20"/>
        </w:rPr>
        <w:t xml:space="preserve"> In 2018 a coordination group led by the FIU was set up and helped improved the stakeholders’ understanding of money laundering risks. Moreover, thanks to the feedback by the Financial Intelligence Unit</w:t>
      </w:r>
      <w:r>
        <w:rPr>
          <w:rFonts w:ascii="Times New Roman" w:hAnsi="Times New Roman" w:cs="Times New Roman"/>
          <w:noProof/>
          <w:color w:val="000000"/>
          <w:sz w:val="20"/>
        </w:rPr>
        <w:t xml:space="preserve"> to obliged entities, the quality of suspicious transaction reports has improved and its quantity reduced, although it remains rather high. Cross-border dissemination of suspicious transaction reports has improved. Latvia should continue its efforts on the</w:t>
      </w:r>
      <w:r>
        <w:rPr>
          <w:rFonts w:ascii="Times New Roman" w:hAnsi="Times New Roman" w:cs="Times New Roman"/>
          <w:noProof/>
          <w:color w:val="000000"/>
          <w:sz w:val="20"/>
        </w:rPr>
        <w:t xml:space="preserve"> cross border dissemination of suspicious transaction reports.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law enforcement authorities’ capacity to handle money laundering cases still needs to be strengthened</w:t>
      </w:r>
      <w:r>
        <w:rPr>
          <w:rFonts w:ascii="Times New Roman" w:hAnsi="Times New Roman" w:cs="Times New Roman"/>
          <w:noProof/>
          <w:color w:val="000000"/>
          <w:sz w:val="20"/>
        </w:rPr>
        <w:t>. Guidelines on investigation have been updated and training has been provided to all j</w:t>
      </w:r>
      <w:r>
        <w:rPr>
          <w:rFonts w:ascii="Times New Roman" w:hAnsi="Times New Roman" w:cs="Times New Roman"/>
          <w:noProof/>
          <w:color w:val="000000"/>
          <w:sz w:val="20"/>
        </w:rPr>
        <w:t>udicial stakeholders to improve the quality and effectiveness of prosecuting money laundering cases. Data show that the number of prosecutions and criminal proceedings has increased and that assets are being confiscated (</w:t>
      </w:r>
      <w:r>
        <w:rPr>
          <w:rFonts w:ascii="Times New Roman" w:hAnsi="Times New Roman" w:cs="Times New Roman"/>
          <w:noProof/>
          <w:color w:val="000000"/>
          <w:sz w:val="20"/>
          <w:vertAlign w:val="superscript"/>
        </w:rPr>
        <w:footnoteReference w:id="8"/>
      </w:r>
      <w:r>
        <w:rPr>
          <w:rFonts w:ascii="Times New Roman" w:hAnsi="Times New Roman" w:cs="Times New Roman"/>
          <w:noProof/>
          <w:color w:val="000000"/>
          <w:sz w:val="20"/>
        </w:rPr>
        <w:t>). However, efforts could continue</w:t>
      </w:r>
      <w:r>
        <w:rPr>
          <w:rFonts w:ascii="Times New Roman" w:hAnsi="Times New Roman" w:cs="Times New Roman"/>
          <w:noProof/>
          <w:color w:val="000000"/>
          <w:sz w:val="20"/>
        </w:rPr>
        <w:t xml:space="preserve"> to ensure that money laundering investigations are prioritised and effective and dissuasive sanctions for persons convicted of money laundering. </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Credit growth</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Mortgage lending has been boosted by a state support programme, but credit growth remains slugg</w:t>
      </w:r>
      <w:r>
        <w:rPr>
          <w:rFonts w:ascii="Times New Roman" w:hAnsi="Times New Roman" w:cs="Times New Roman"/>
          <w:b/>
          <w:noProof/>
          <w:color w:val="000000"/>
          <w:sz w:val="20"/>
        </w:rPr>
        <w:t>ish overall.</w:t>
      </w:r>
      <w:r>
        <w:rPr>
          <w:rFonts w:ascii="Times New Roman" w:hAnsi="Times New Roman" w:cs="Times New Roman"/>
          <w:noProof/>
          <w:color w:val="000000"/>
          <w:sz w:val="20"/>
        </w:rPr>
        <w:t xml:space="preserve"> After prolonged deleveraging, the annual growth rate of mortgage loans turned positive in 2018, reaching 1.9% (year-on-year) in August 2019. The growth in mortgages is underpinned by an improvement in the financial situation of households, low</w:t>
      </w:r>
      <w:r>
        <w:rPr>
          <w:rFonts w:ascii="Times New Roman" w:hAnsi="Times New Roman" w:cs="Times New Roman"/>
          <w:noProof/>
          <w:color w:val="000000"/>
          <w:sz w:val="20"/>
        </w:rPr>
        <w:t xml:space="preserve"> interest rates and the state programme to support house purchases. The increase in lending to non-financial corporations (3.5% growth year-on-year in the first half of 2019) is to a large extent linked to a few large long-term loans. At the end of 2018 ba</w:t>
      </w:r>
      <w:r>
        <w:rPr>
          <w:rFonts w:ascii="Times New Roman" w:hAnsi="Times New Roman" w:cs="Times New Roman"/>
          <w:noProof/>
          <w:color w:val="000000"/>
          <w:sz w:val="20"/>
        </w:rPr>
        <w:t>nk lending to the domestic non-financial sector stood at 34% of GDP, remaining among the lowest in the EU. At the same time, the role of non-bank financial institutions  in domestic lending continues to strengthen. At the same time, the role of non-bank fi</w:t>
      </w:r>
      <w:r>
        <w:rPr>
          <w:rFonts w:ascii="Times New Roman" w:hAnsi="Times New Roman" w:cs="Times New Roman"/>
          <w:noProof/>
          <w:color w:val="000000"/>
          <w:sz w:val="20"/>
        </w:rPr>
        <w:t>nancial institutions (</w:t>
      </w:r>
      <w:r>
        <w:rPr>
          <w:rFonts w:ascii="Times New Roman" w:hAnsi="Times New Roman" w:cs="Times New Roman"/>
          <w:noProof/>
          <w:color w:val="000000"/>
          <w:sz w:val="20"/>
          <w:vertAlign w:val="superscript"/>
        </w:rPr>
        <w:footnoteReference w:id="9"/>
      </w:r>
      <w:r>
        <w:rPr>
          <w:rFonts w:ascii="Times New Roman" w:hAnsi="Times New Roman" w:cs="Times New Roman"/>
          <w:noProof/>
          <w:color w:val="000000"/>
          <w:sz w:val="20"/>
        </w:rPr>
        <w:t>) in domestic lending continues to grow. At the end of 2019, non-bank lenders accounted for 17% of all loans granted to households and non-financial corporations. The growth in household leasing provided by the non-bank financial sec</w:t>
      </w:r>
      <w:r>
        <w:rPr>
          <w:rFonts w:ascii="Times New Roman" w:hAnsi="Times New Roman" w:cs="Times New Roman"/>
          <w:noProof/>
          <w:color w:val="000000"/>
          <w:sz w:val="20"/>
        </w:rPr>
        <w:t>tor, in particular, accelerated from 5.9% in 2018 to 8.2% in Q2-2019. By contrast, growth in leases to non-financial companies decreased from 10% in Q4-2018 to 3.2% in Q2-2019. This can be explained by the deferral of corporate income tax tax for reinveste</w:t>
      </w:r>
      <w:r>
        <w:rPr>
          <w:rFonts w:ascii="Times New Roman" w:hAnsi="Times New Roman" w:cs="Times New Roman"/>
          <w:noProof/>
          <w:color w:val="000000"/>
          <w:sz w:val="20"/>
        </w:rPr>
        <w:t>d profits, which was introduced from 2018.</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Slow credit growth is due to both demand and supply factors.</w:t>
      </w:r>
      <w:r>
        <w:rPr>
          <w:rFonts w:ascii="Times New Roman" w:hAnsi="Times New Roman" w:cs="Times New Roman"/>
          <w:noProof/>
          <w:color w:val="000000"/>
          <w:sz w:val="20"/>
        </w:rPr>
        <w:t xml:space="preserve"> Banks’ standards for lending to small and medium-sized enterprises remain tight. High credit risk (bad track records, weak borrower collateral and equit</w:t>
      </w:r>
      <w:r>
        <w:rPr>
          <w:rFonts w:ascii="Times New Roman" w:hAnsi="Times New Roman" w:cs="Times New Roman"/>
          <w:noProof/>
          <w:color w:val="000000"/>
          <w:sz w:val="20"/>
        </w:rPr>
        <w:t>y), shortcomings in the legal framework, and the shadow economy are important supply-side constraints to corporate lending. On the demand side, the share of finance-constrained firms appears to be higher in Latvia than in other Member States (EIB Investmen</w:t>
      </w:r>
      <w:r>
        <w:rPr>
          <w:rFonts w:ascii="Times New Roman" w:hAnsi="Times New Roman" w:cs="Times New Roman"/>
          <w:noProof/>
          <w:color w:val="000000"/>
          <w:sz w:val="20"/>
        </w:rPr>
        <w:t>t Survey 2019). Rejected loan application rates remain high — according to SAFE survey data, the percentage of rejected loan applications by small and medium-sized enterprises (SMEs) has further increased, reaching the fourth highest share in the EU. At th</w:t>
      </w:r>
      <w:r>
        <w:rPr>
          <w:rFonts w:ascii="Times New Roman" w:hAnsi="Times New Roman" w:cs="Times New Roman"/>
          <w:noProof/>
          <w:color w:val="000000"/>
          <w:sz w:val="20"/>
        </w:rPr>
        <w:t xml:space="preserve">e same time, the availability of bank loans for large corporates with sound financial indicators is good. However, their demand is low and volatile. Smaller investments are often financed with internal resources.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Additional macro-prudential measures aimed</w:t>
      </w:r>
      <w:r>
        <w:rPr>
          <w:rFonts w:ascii="Times New Roman" w:hAnsi="Times New Roman" w:cs="Times New Roman"/>
          <w:b/>
          <w:noProof/>
          <w:color w:val="000000"/>
          <w:sz w:val="20"/>
        </w:rPr>
        <w:t xml:space="preserve"> at limiting the growth of loan-to-value ratios are under way.</w:t>
      </w:r>
      <w:r>
        <w:rPr>
          <w:rFonts w:ascii="Times New Roman" w:hAnsi="Times New Roman" w:cs="Times New Roman"/>
          <w:noProof/>
          <w:color w:val="000000"/>
          <w:sz w:val="20"/>
        </w:rPr>
        <w:t xml:space="preserve"> Bank of Latvia has expressed concern about the loan-to-value ratios which are rising because of the state guarantee programme helping families buy their first property by guaranteeing part of t</w:t>
      </w:r>
      <w:r>
        <w:rPr>
          <w:rFonts w:ascii="Times New Roman" w:hAnsi="Times New Roman" w:cs="Times New Roman"/>
          <w:noProof/>
          <w:color w:val="000000"/>
          <w:sz w:val="20"/>
        </w:rPr>
        <w:t>heir down-payment. About half of all mortgages are granted under the state support programme. In the first half of 2019, new loans with a loan-to-value ratio exceeding 90% accounted for one third of all new mortgages. Besides the lower down payment, a disc</w:t>
      </w:r>
      <w:r>
        <w:rPr>
          <w:rFonts w:ascii="Times New Roman" w:hAnsi="Times New Roman" w:cs="Times New Roman"/>
          <w:noProof/>
          <w:color w:val="000000"/>
          <w:sz w:val="20"/>
        </w:rPr>
        <w:t>ount on stamp duties for loans granted through the state support programme provides an additional incentive to apply for support. Bank of Latvia wishes to make the 90% ceiling on the loan-to-value ratio, which is already effective for banks, also binding f</w:t>
      </w:r>
      <w:r>
        <w:rPr>
          <w:rFonts w:ascii="Times New Roman" w:hAnsi="Times New Roman" w:cs="Times New Roman"/>
          <w:noProof/>
          <w:color w:val="000000"/>
          <w:sz w:val="20"/>
        </w:rPr>
        <w:t>or non-bank lenders.</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Alternative financing</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There has been a steady increase in the availability of venture capital in recent years and this trend is expected to continue.</w:t>
      </w:r>
      <w:r>
        <w:rPr>
          <w:rFonts w:ascii="Times New Roman" w:hAnsi="Times New Roman" w:cs="Times New Roman"/>
          <w:noProof/>
          <w:color w:val="000000"/>
          <w:sz w:val="20"/>
        </w:rPr>
        <w:t xml:space="preserve"> Access to finance is supported by the national development institution Altum, which p</w:t>
      </w:r>
      <w:r>
        <w:rPr>
          <w:rFonts w:ascii="Times New Roman" w:hAnsi="Times New Roman" w:cs="Times New Roman"/>
          <w:noProof/>
          <w:color w:val="000000"/>
          <w:sz w:val="20"/>
        </w:rPr>
        <w:t>lays a major role by supplementing bank and other market-based financing to mainly small and medium-sized enterprises. It provides loan guarantees to established companies and direct funding to start-ups for seed, acceleration and expansion phases. The sec</w:t>
      </w:r>
      <w:r>
        <w:rPr>
          <w:rFonts w:ascii="Times New Roman" w:hAnsi="Times New Roman" w:cs="Times New Roman"/>
          <w:noProof/>
          <w:color w:val="000000"/>
          <w:sz w:val="20"/>
        </w:rPr>
        <w:t>toral distribution of venture capital investments is diversified, but ICT and manufacturing stand out. There is a strong concentration of venture capital in the Riga region, where most high-growth enterprises are located. According to the start-up ecosyste</w:t>
      </w:r>
      <w:r>
        <w:rPr>
          <w:rFonts w:ascii="Times New Roman" w:hAnsi="Times New Roman" w:cs="Times New Roman"/>
          <w:noProof/>
          <w:color w:val="000000"/>
          <w:sz w:val="20"/>
        </w:rPr>
        <w:t>m mapping completed in 2019, between 2012 and 2018 the amount of venture capital attracted by 178 Latvian start-ups totalled €122.2 million. Venture capital constitutes the main form of financing for start-ups or 46%. Other investors like banks and financi</w:t>
      </w:r>
      <w:r>
        <w:rPr>
          <w:rFonts w:ascii="Times New Roman" w:hAnsi="Times New Roman" w:cs="Times New Roman"/>
          <w:noProof/>
          <w:color w:val="000000"/>
          <w:sz w:val="20"/>
        </w:rPr>
        <w:t>al institutions represent 23% of the total investment, with financing also coming from business angels (6%), enterprises (5%) and crowdfunding (1%). Despite increasingly positive trends, the venture capital market in Latvia is still developing relatively s</w:t>
      </w:r>
      <w:r>
        <w:rPr>
          <w:rFonts w:ascii="Times New Roman" w:hAnsi="Times New Roman" w:cs="Times New Roman"/>
          <w:noProof/>
          <w:color w:val="000000"/>
          <w:sz w:val="20"/>
        </w:rPr>
        <w:t>lowly. It is focused on the rather early stages of financing and remains dependent on public co-funding (European Commission, 2019e). In August, the continuation of the Baltic Innovation Fund initiative was ensured with the signature of the Baltic Innovati</w:t>
      </w:r>
      <w:r>
        <w:rPr>
          <w:rFonts w:ascii="Times New Roman" w:hAnsi="Times New Roman" w:cs="Times New Roman"/>
          <w:noProof/>
          <w:color w:val="000000"/>
          <w:sz w:val="20"/>
        </w:rPr>
        <w:t>on Fund 2 Agreement by the European Investment Fund and the three Baltic states. Over the next 5 years, the Baltic Innovation Fund 2 (€156 million) will invest in private equity and venture capital funds that focus on the Baltic states, with the goal of fu</w:t>
      </w:r>
      <w:r>
        <w:rPr>
          <w:rFonts w:ascii="Times New Roman" w:hAnsi="Times New Roman" w:cs="Times New Roman"/>
          <w:noProof/>
          <w:color w:val="000000"/>
          <w:sz w:val="20"/>
        </w:rPr>
        <w:t>rther developing equity investments in SMEs to boost growth in the region.</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Housing market</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growth in residential real estate prices does not pose systemic risks to financial stability.</w:t>
      </w:r>
      <w:r>
        <w:rPr>
          <w:rFonts w:ascii="Times New Roman" w:hAnsi="Times New Roman" w:cs="Times New Roman"/>
          <w:noProof/>
          <w:color w:val="000000"/>
          <w:sz w:val="20"/>
        </w:rPr>
        <w:t xml:space="preserve"> Nominal house prices have grown on average by 8-9% annually in recen</w:t>
      </w:r>
      <w:r>
        <w:rPr>
          <w:rFonts w:ascii="Times New Roman" w:hAnsi="Times New Roman" w:cs="Times New Roman"/>
          <w:noProof/>
          <w:color w:val="000000"/>
          <w:sz w:val="20"/>
        </w:rPr>
        <w:t>t years. The increase in house prices has been supported by the steady wage growth of recent years and the state support programme for house purchase that was introduced at the beginning of 2015 and expanded in 2018. Since the burst of the housing bubble i</w:t>
      </w:r>
      <w:r>
        <w:rPr>
          <w:rFonts w:ascii="Times New Roman" w:hAnsi="Times New Roman" w:cs="Times New Roman"/>
          <w:noProof/>
          <w:color w:val="000000"/>
          <w:sz w:val="20"/>
        </w:rPr>
        <w:t>n 2009 when house prices fell by 45%, their recovery has not exceeded wage growth. In fact, since 2010 when house prices were at their most depressed level, wage growth has exceeded house price growth by some 10 percentage points, as evidenced in the conti</w:t>
      </w:r>
      <w:r>
        <w:rPr>
          <w:rFonts w:ascii="Times New Roman" w:hAnsi="Times New Roman" w:cs="Times New Roman"/>
          <w:noProof/>
          <w:color w:val="000000"/>
          <w:sz w:val="20"/>
        </w:rPr>
        <w:t xml:space="preserve">nuously declining house price wage ratio (see Graph </w:t>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QUOTE "3.2.1"</w:instrText>
      </w:r>
      <w:r>
        <w:rPr>
          <w:rFonts w:ascii="Times New Roman" w:hAnsi="Times New Roman" w:cs="Times New Roman"/>
          <w:noProof/>
          <w:color w:val="000000"/>
          <w:sz w:val="20"/>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AHIAZwAvADIAMAAwADEALwBYAE0ATABTAGMAaABlAG0AYQAiAD4ADQAKACAAIAA8AEkAZAA+ADgA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==
</w:fldData>
        </w:fldChar>
      </w:r>
      <w:r>
        <w:rPr>
          <w:rFonts w:ascii="Times New Roman" w:hAnsi="Times New Roman" w:cs="Times New Roman"/>
          <w:noProof/>
          <w:color w:val="000000"/>
          <w:sz w:val="20"/>
        </w:rPr>
        <w:instrText xml:space="preserve"> ADDIN </w:instrText>
      </w:r>
      <w:r>
        <w:rPr>
          <w:rFonts w:ascii="Times New Roman" w:hAnsi="Times New Roman" w:cs="Times New Roman"/>
          <w:noProof/>
          <w:color w:val="000000"/>
          <w:sz w:val="20"/>
        </w:rPr>
      </w:r>
      <w:r>
        <w:rPr>
          <w:rFonts w:ascii="Times New Roman" w:hAnsi="Times New Roman" w:cs="Times New Roman"/>
          <w:noProof/>
          <w:color w:val="000000"/>
          <w:sz w:val="20"/>
        </w:rPr>
        <w:fldChar w:fldCharType="end"/>
      </w:r>
      <w:r>
        <w:rPr>
          <w:rFonts w:ascii="Times New Roman" w:hAnsi="Times New Roman" w:cs="Times New Roman"/>
          <w:noProof/>
          <w:color w:val="000000"/>
          <w:sz w:val="20"/>
        </w:rPr>
        <w:instrText xml:space="preserve"> </w:instrText>
      </w:r>
      <w:r>
        <w:rPr>
          <w:rFonts w:ascii="Times New Roman" w:hAnsi="Times New Roman" w:cs="Times New Roman"/>
          <w:noProof/>
          <w:color w:val="000000"/>
          <w:sz w:val="20"/>
        </w:rPr>
        <w:fldChar w:fldCharType="separate"/>
      </w:r>
      <w:r>
        <w:rPr>
          <w:rFonts w:ascii="Times New Roman" w:hAnsi="Times New Roman" w:cs="Times New Roman"/>
          <w:noProof/>
          <w:color w:val="000000"/>
          <w:sz w:val="20"/>
        </w:rPr>
        <w:t>3.2.1</w:t>
      </w:r>
      <w:r>
        <w:rPr>
          <w:rFonts w:ascii="Times New Roman" w:hAnsi="Times New Roman" w:cs="Times New Roman"/>
          <w:noProof/>
          <w:color w:val="000000"/>
          <w:sz w:val="20"/>
        </w:rPr>
        <w:fldChar w:fldCharType="end"/>
      </w:r>
      <w:r>
        <w:rPr>
          <w:rFonts w:ascii="Times New Roman" w:hAnsi="Times New Roman" w:cs="Times New Roman"/>
          <w:noProof/>
          <w:color w:val="000000"/>
          <w:sz w:val="20"/>
        </w:rPr>
        <w:t>). A housing affordability index compiled by one of the Baltics’ leading commercial banks shows that, of th</w:t>
      </w:r>
      <w:r>
        <w:rPr>
          <w:rFonts w:ascii="Times New Roman" w:hAnsi="Times New Roman" w:cs="Times New Roman"/>
          <w:noProof/>
          <w:color w:val="000000"/>
          <w:sz w:val="20"/>
        </w:rPr>
        <w:t>e three Baltic capitals, house prices remain most affordable in Riga (Swedbank, 2019). The volatility of construction demand has fuelled rapidly rising labour costs. Moreover, lengthy and cumbersome processes for obtaining planning and building permits hav</w:t>
      </w:r>
      <w:r>
        <w:rPr>
          <w:rFonts w:ascii="Times New Roman" w:hAnsi="Times New Roman" w:cs="Times New Roman"/>
          <w:noProof/>
          <w:color w:val="000000"/>
          <w:sz w:val="20"/>
        </w:rPr>
        <w:t xml:space="preserve">e also contributed to the high cost of construction. As a result, the market for new dwellings is concentrated mainly in Riga and the surrounding area, because lower purchasing power in places further away makes new housing commercially unviable (European </w:t>
      </w:r>
      <w:r>
        <w:rPr>
          <w:rFonts w:ascii="Times New Roman" w:hAnsi="Times New Roman" w:cs="Times New Roman"/>
          <w:noProof/>
          <w:color w:val="000000"/>
          <w:sz w:val="20"/>
        </w:rPr>
        <w:t xml:space="preserve">Commission, 2019a). Streamlining building regulations is essential to remove a range of supply-side factors that impede the ability of the construction sector to respond to a growing demand for affordable housing. </w:t>
      </w: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Graph 3.2.1:</w:t>
            </w:r>
            <w:r>
              <w:rPr>
                <w:rFonts w:ascii="Century Gothic" w:hAnsi="Century Gothic" w:cs="Times New Roman"/>
                <w:b/>
                <w:noProof/>
                <w:color w:val="333399"/>
                <w:sz w:val="14"/>
              </w:rPr>
              <w:tab/>
              <w:t xml:space="preserve">House prices / wages ratio, </w:t>
            </w:r>
            <w:r>
              <w:rPr>
                <w:rFonts w:ascii="Century Gothic" w:hAnsi="Century Gothic" w:cs="Times New Roman"/>
                <w:b/>
                <w:noProof/>
                <w:color w:val="333399"/>
                <w:sz w:val="14"/>
              </w:rPr>
              <w:t>index, 2006=100</w:t>
            </w:r>
          </w:p>
        </w:tc>
      </w:tr>
      <w:tr w:rsidR="00A8765D">
        <w:trPr>
          <w:cantSplit/>
        </w:trPr>
        <w:tc>
          <w:tcPr>
            <w:tcW w:w="4111"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37" w:name="_Toc33020657"/>
            <w:r>
              <w:rPr>
                <w:rFonts w:ascii="Times New Roman" w:hAnsi="Times New Roman" w:cs="Times New Roman"/>
                <w:noProof/>
                <w:color w:val="000000"/>
                <w:sz w:val="20"/>
              </w:rPr>
              <w:instrText>3.2.1.</w:instrText>
            </w:r>
            <w:r>
              <w:rPr>
                <w:rFonts w:ascii="Times New Roman" w:hAnsi="Times New Roman" w:cs="Times New Roman"/>
                <w:noProof/>
                <w:color w:val="000000"/>
                <w:sz w:val="20"/>
              </w:rPr>
              <w:tab/>
              <w:instrText>House prices / wages ratio, index, 2006=100</w:instrText>
            </w:r>
            <w:bookmarkEnd w:id="37"/>
            <w:r>
              <w:rPr>
                <w:rFonts w:ascii="Times New Roman" w:hAnsi="Times New Roman" w:cs="Times New Roman"/>
                <w:noProof/>
                <w:color w:val="000000"/>
                <w:sz w:val="20"/>
              </w:rPr>
              <w:instrText xml:space="preserve">" \fgraph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en-GB"/>
              </w:rPr>
              <w:drawing>
                <wp:inline distT="0" distB="0" distL="0" distR="0">
                  <wp:extent cx="2597595" cy="2442788"/>
                  <wp:effectExtent l="0" t="0" r="0" b="0"/>
                  <wp:docPr id="74" name="Picture 74" descr="&lt;nbr&gt;&lt;GETTEXTFROMWORD&gt;&lt;/nbr&gt;&#10;&lt;title&gt;&lt;GETTEXTFROMWORD&gt;&lt;/title&gt;&#10;&lt;id&gt;8265fa15-4fd0-4b1e-9c6b-8c4d952a3383&lt;/id&gt;&#10;&lt;srcType&gt;EXCEL&lt;/srcType&gt;&#10;&lt;srcPath&gt;O:\2017 CRs\2020 European semester\LV\LV2020_ graphs\&lt;/srcPath&gt;&#10;&lt;srcName&gt;house price - wage index.xlsx&lt;/srcName&gt;&#10;&lt;type&gt;graph&lt;/type&gt;&#10; &lt;srcSheet&gt;Data&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9-12-17T10:54:32&lt;/scrFileTime&gt;&#10;&lt;imageInformation&gt;&#10; &lt;dontScaleUp&gt;no&lt;/dontScaleUp&gt;&#10; &lt;usedpercentageofavailablewidth&gt;100&lt;/usedpercentageofavailablewidth&gt;&#10;&lt;/imageInformation&gt;&#10;&lt;url&gt;Chap0/Chap0-Graph-%SectionNumber%.13.xlsx&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rcRect/>
                          <a:stretch>
                            <a:fillRect/>
                          </a:stretch>
                        </pic:blipFill>
                        <pic:spPr>
                          <a:xfrm>
                            <a:off x="0" y="0"/>
                            <a:ext cx="2597595" cy="2442788"/>
                          </a:xfrm>
                          <a:prstGeom prst="rect">
                            <a:avLst/>
                          </a:prstGeom>
                        </pic:spPr>
                      </pic:pic>
                    </a:graphicData>
                  </a:graphic>
                </wp:inline>
              </w:drawing>
            </w:r>
            <w:r>
              <w:rPr>
                <w:rFonts w:ascii="Times New Roman" w:hAnsi="Times New Roman" w:cs="Times New Roman"/>
                <w:noProof/>
                <w:color w:val="000000"/>
                <w:sz w:val="2"/>
              </w:rPr>
              <w:t xml:space="preserve"> </w:t>
            </w:r>
          </w:p>
        </w:tc>
      </w:tr>
      <w:tr w:rsidR="00A8765D">
        <w:trPr>
          <w:cantSplit/>
        </w:trPr>
        <w:tc>
          <w:tcPr>
            <w:tcW w:w="4111" w:type="dxa"/>
            <w:shd w:val="clear" w:color="auto" w:fill="auto"/>
            <w:tcMar>
              <w:bottom w:w="240" w:type="dxa"/>
            </w:tcMar>
          </w:tcPr>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European Commission</w:t>
            </w:r>
          </w:p>
        </w:tc>
      </w:tr>
    </w:tbl>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Shortages of skilled workers are a major bottleneck in the construction sector.</w:t>
      </w:r>
      <w:r>
        <w:rPr>
          <w:rFonts w:ascii="Times New Roman" w:hAnsi="Times New Roman" w:cs="Times New Roman"/>
          <w:noProof/>
          <w:color w:val="000000"/>
          <w:sz w:val="20"/>
        </w:rPr>
        <w:t xml:space="preserve"> There is a particular need for construction managers, water and wastewater engineers and roofers. Latvia adopted a construction industry development strategy for 2017-2024 to address industry issues, which include ensuring a qualified workforce; increasin</w:t>
      </w:r>
      <w:r>
        <w:rPr>
          <w:rFonts w:ascii="Times New Roman" w:hAnsi="Times New Roman" w:cs="Times New Roman"/>
          <w:noProof/>
          <w:color w:val="000000"/>
          <w:sz w:val="20"/>
        </w:rPr>
        <w:t>g productivity; reducing administrative barriers; and improving the quality of construction services. In addition, the volatility of investment demand exacerbates the capacity constraints and price pressures in the construction sector (European Constructio</w:t>
      </w:r>
      <w:r>
        <w:rPr>
          <w:rFonts w:ascii="Times New Roman" w:hAnsi="Times New Roman" w:cs="Times New Roman"/>
          <w:noProof/>
          <w:color w:val="000000"/>
          <w:sz w:val="20"/>
        </w:rPr>
        <w:t>n Observatory 2019).</w:t>
      </w:r>
    </w:p>
    <w:bookmarkEnd w:id="34"/>
    <w:p w:rsidR="00A8765D" w:rsidRDefault="00A8765D">
      <w:pPr>
        <w:spacing w:after="240" w:line="240" w:lineRule="atLeast"/>
        <w:jc w:val="both"/>
        <w:rPr>
          <w:rFonts w:ascii="Times New Roman" w:hAnsi="Times New Roman" w:cs="Times New Roman"/>
          <w:noProof/>
          <w:color w:val="000000"/>
          <w:sz w:val="20"/>
        </w:rPr>
        <w:sectPr w:rsidR="00A8765D">
          <w:headerReference w:type="even" r:id="rId63"/>
          <w:headerReference w:type="default" r:id="rId64"/>
          <w:footerReference w:type="even" r:id="rId65"/>
          <w:footerReference w:type="default" r:id="rId66"/>
          <w:headerReference w:type="first" r:id="rId67"/>
          <w:footerReference w:type="first" r:id="rId68"/>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bookmarkStart w:id="38" w:name="GUID13FAA3ACAA604D5F8AEE0DD48A18C8B9"/>
    <w:p w:rsidR="00A8765D" w:rsidRDefault="006C09F5">
      <w:pPr>
        <w:spacing w:after="240" w:line="240" w:lineRule="atLeast"/>
        <w:jc w:val="both"/>
        <w:rPr>
          <w:rFonts w:ascii="Times New Roman" w:hAnsi="Times New Roman" w:cs="Times New Roman"/>
          <w:noProof/>
          <w:vanish/>
          <w:color w:val="000000"/>
          <w:sz w:val="20"/>
        </w:rPr>
      </w:pPr>
      <w:r>
        <w:rPr>
          <w:rFonts w:ascii="Times New Roman" w:hAnsi="Times New Roman" w:cs="Times New Roman"/>
          <w:noProof/>
          <w:vanish/>
          <w:color w:val="000000"/>
          <w:sz w:val="20"/>
        </w:rPr>
        <w:fldChar w:fldCharType="begin"/>
      </w:r>
      <w:r>
        <w:rPr>
          <w:rFonts w:ascii="Times New Roman" w:hAnsi="Times New Roman" w:cs="Times New Roman"/>
          <w:noProof/>
          <w:color w:val="000000"/>
          <w:sz w:val="20"/>
        </w:rPr>
        <w:instrText xml:space="preserve"> TC "</w:instrText>
      </w:r>
      <w:bookmarkStart w:id="39" w:name="_Toc33020599"/>
      <w:r>
        <w:rPr>
          <w:rFonts w:ascii="Times New Roman" w:hAnsi="Times New Roman" w:cs="Times New Roman"/>
          <w:noProof/>
          <w:color w:val="000000"/>
          <w:sz w:val="20"/>
        </w:rPr>
        <w:instrText>3.3.</w:instrText>
      </w:r>
      <w:r>
        <w:rPr>
          <w:rFonts w:ascii="Times New Roman" w:hAnsi="Times New Roman" w:cs="Times New Roman"/>
          <w:noProof/>
          <w:color w:val="000000"/>
          <w:sz w:val="20"/>
        </w:rPr>
        <w:tab/>
        <w:instrText>Labour market, education and social policies</w:instrText>
      </w:r>
      <w:bookmarkEnd w:id="39"/>
      <w:r>
        <w:rPr>
          <w:rFonts w:ascii="Times New Roman" w:hAnsi="Times New Roman" w:cs="Times New Roman"/>
          <w:noProof/>
          <w:color w:val="000000"/>
          <w:sz w:val="20"/>
        </w:rPr>
        <w:instrText xml:space="preserve">" \f \l 3 </w:instrText>
      </w:r>
      <w:r>
        <w:rPr>
          <w:rFonts w:ascii="Times New Roman" w:hAnsi="Times New Roman" w:cs="Times New Roman"/>
          <w:noProof/>
          <w:vanish/>
          <w:color w:val="000000"/>
          <w:sz w:val="20"/>
        </w:rPr>
        <w:fldChar w:fldCharType="end"/>
      </w:r>
    </w:p>
    <w:p w:rsidR="00A8765D" w:rsidRDefault="006C09F5">
      <w:pPr>
        <w:keepNext/>
        <w:tabs>
          <w:tab w:val="left" w:pos="567"/>
        </w:tabs>
        <w:spacing w:before="240" w:after="240" w:line="240" w:lineRule="atLeast"/>
        <w:ind w:left="567" w:hanging="567"/>
        <w:outlineLvl w:val="2"/>
        <w:rPr>
          <w:rFonts w:ascii="Century Gothic" w:hAnsi="Century Gothic" w:cs="Times New Roman"/>
          <w:b/>
          <w:caps/>
          <w:noProof/>
          <w:color w:val="333399"/>
          <w:sz w:val="18"/>
        </w:rPr>
      </w:pPr>
      <w:r>
        <w:rPr>
          <w:rFonts w:ascii="Century Gothic" w:hAnsi="Century Gothic" w:cs="Times New Roman"/>
          <w:b/>
          <w:caps/>
          <w:noProof/>
          <w:color w:val="333399"/>
          <w:sz w:val="18"/>
        </w:rPr>
        <w:t>3.3.1.</w:t>
      </w:r>
      <w:r>
        <w:rPr>
          <w:rFonts w:ascii="Century Gothic" w:hAnsi="Century Gothic" w:cs="Times New Roman"/>
          <w:b/>
          <w:caps/>
          <w:noProof/>
          <w:color w:val="333399"/>
          <w:sz w:val="18"/>
        </w:rPr>
        <w:tab/>
        <w:t>Labour market</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Labour market </w:t>
      </w:r>
      <w:r>
        <w:rPr>
          <w:rFonts w:ascii="Times New Roman" w:hAnsi="Times New Roman" w:cs="Times New Roman"/>
          <w:b/>
          <w:noProof/>
          <w:color w:val="000000"/>
          <w:sz w:val="20"/>
        </w:rPr>
        <w:t>performance is overall positive; however, labour shortages and skills mismatches have emerged.</w:t>
      </w:r>
      <w:r>
        <w:rPr>
          <w:rFonts w:ascii="Times New Roman" w:hAnsi="Times New Roman" w:cs="Times New Roman"/>
          <w:noProof/>
          <w:color w:val="000000"/>
          <w:sz w:val="20"/>
        </w:rPr>
        <w:t xml:space="preserve"> The employment rate continues its upward trend (77.4% in Q3-2019; 76.8% in 2018), on the back of declining unemployment (6.2% in Q3-2019; 7.4% in 2018) and a gro</w:t>
      </w:r>
      <w:r>
        <w:rPr>
          <w:rFonts w:ascii="Times New Roman" w:hAnsi="Times New Roman" w:cs="Times New Roman"/>
          <w:noProof/>
          <w:color w:val="000000"/>
          <w:sz w:val="20"/>
        </w:rPr>
        <w:t>wing activity rate (77.7% in 2018). The long-term unemployed and young people also continue to benefit from the steady improvement in the labour market. Nonetheless, unemployment rates continue to differ depending on the region and level of skills, highlig</w:t>
      </w:r>
      <w:r>
        <w:rPr>
          <w:rFonts w:ascii="Times New Roman" w:hAnsi="Times New Roman" w:cs="Times New Roman"/>
          <w:noProof/>
          <w:color w:val="000000"/>
          <w:sz w:val="20"/>
        </w:rPr>
        <w:t>hting the need for significant investment. Unemployment is forecast to fall further over the coming years, mainly because the labour supply is expected to continue falling due to a natural decline in the population and emigration (see Section 1). Between 2</w:t>
      </w:r>
      <w:r>
        <w:rPr>
          <w:rFonts w:ascii="Times New Roman" w:hAnsi="Times New Roman" w:cs="Times New Roman"/>
          <w:noProof/>
          <w:color w:val="000000"/>
          <w:sz w:val="20"/>
        </w:rPr>
        <w:t>000 and 2016, Latvia lost about 287 000 people (12.1% of the initial population) to net migration, with skilled labour accounting for more than two thirds of this loss (Hazans M., 2018). The limited labour supply has led to emerging labour shortages and ex</w:t>
      </w:r>
      <w:r>
        <w:rPr>
          <w:rFonts w:ascii="Times New Roman" w:hAnsi="Times New Roman" w:cs="Times New Roman"/>
          <w:noProof/>
          <w:color w:val="000000"/>
          <w:sz w:val="20"/>
        </w:rPr>
        <w:t>posed skills mismatches. In Q2-2019, vacancies reached a historic peak of 30 500, with an increase of almost 24% compared to the same period in 2018 (CSB, 2019). Compared to other Member States, Latvia still faces relatively low labour shortages with 15.5%</w:t>
      </w:r>
      <w:r>
        <w:rPr>
          <w:rFonts w:ascii="Times New Roman" w:hAnsi="Times New Roman" w:cs="Times New Roman"/>
          <w:noProof/>
          <w:color w:val="000000"/>
          <w:sz w:val="20"/>
        </w:rPr>
        <w:t xml:space="preserve"> of the firms facing difficulties finding suitable workers (EU-BCS, 2019). However, the indicator has increased substantially since 2013 (by around 7.7 pps).</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Conditions are improving with return migration and immigration from other non-EU countries on the </w:t>
      </w:r>
      <w:r>
        <w:rPr>
          <w:rFonts w:ascii="Times New Roman" w:hAnsi="Times New Roman" w:cs="Times New Roman"/>
          <w:b/>
          <w:noProof/>
          <w:color w:val="000000"/>
          <w:sz w:val="20"/>
        </w:rPr>
        <w:t>rise.</w:t>
      </w:r>
      <w:r>
        <w:rPr>
          <w:rFonts w:ascii="Times New Roman" w:hAnsi="Times New Roman" w:cs="Times New Roman"/>
          <w:noProof/>
          <w:color w:val="000000"/>
          <w:sz w:val="20"/>
        </w:rPr>
        <w:t xml:space="preserve"> In 2018, international long-term net migration was still negative at 4.9 thousand people. However, this is the lowest level recorded in the past 20 years. The ongoing income convergence and moderate labour shortages provide positive conditions for re</w:t>
      </w:r>
      <w:r>
        <w:rPr>
          <w:rFonts w:ascii="Times New Roman" w:hAnsi="Times New Roman" w:cs="Times New Roman"/>
          <w:noProof/>
          <w:color w:val="000000"/>
          <w:sz w:val="20"/>
        </w:rPr>
        <w:t>turn migration. Coupled with more flexible immigration regulations, they have also led to an increase in immigration from non-EU countries. In 2018, about 4 000 work permits were issued, mostly for workers from Ukraine and the Commonwealth of Independent S</w:t>
      </w:r>
      <w:r>
        <w:rPr>
          <w:rFonts w:ascii="Times New Roman" w:hAnsi="Times New Roman" w:cs="Times New Roman"/>
          <w:noProof/>
          <w:color w:val="000000"/>
          <w:sz w:val="20"/>
        </w:rPr>
        <w:t>tates (CIS), which is comparable with the number of return migrants (Krasnopjorovs, 2019). Nevertheless, assessing the full extent of non-EU workers in the Latvian labour market remains a challenge due to the multiple entry channels, absence of proper moni</w:t>
      </w:r>
      <w:r>
        <w:rPr>
          <w:rFonts w:ascii="Times New Roman" w:hAnsi="Times New Roman" w:cs="Times New Roman"/>
          <w:noProof/>
          <w:color w:val="000000"/>
          <w:sz w:val="20"/>
        </w:rPr>
        <w:t>toring tools and fragmented oversight. While increasing, the limited size of return migration and immigration cannot compensate for the shortage of skilled labour caused by emigration over the past years (Hazans M., 2018). It could, however, alleviate some</w:t>
      </w:r>
      <w:r>
        <w:rPr>
          <w:rFonts w:ascii="Times New Roman" w:hAnsi="Times New Roman" w:cs="Times New Roman"/>
          <w:noProof/>
          <w:color w:val="000000"/>
          <w:sz w:val="20"/>
        </w:rPr>
        <w:t xml:space="preserve"> short-term labour market pressures.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A large share of the unemployed are low-skilled, while there is a shortage of high-skilled labour.</w:t>
      </w:r>
      <w:r>
        <w:rPr>
          <w:rFonts w:ascii="Times New Roman" w:hAnsi="Times New Roman" w:cs="Times New Roman"/>
          <w:noProof/>
          <w:color w:val="000000"/>
          <w:sz w:val="20"/>
        </w:rPr>
        <w:t xml:space="preserve"> In the short term, the strong growth in the construction sector absorbs low and medium-skilled workers, with little eff</w:t>
      </w:r>
      <w:r>
        <w:rPr>
          <w:rFonts w:ascii="Times New Roman" w:hAnsi="Times New Roman" w:cs="Times New Roman"/>
          <w:noProof/>
          <w:color w:val="000000"/>
          <w:sz w:val="20"/>
        </w:rPr>
        <w:t>ort for upskilling and adult learning (</w:t>
      </w:r>
      <w:r>
        <w:rPr>
          <w:rFonts w:ascii="Times New Roman" w:hAnsi="Times New Roman" w:cs="Times New Roman"/>
          <w:noProof/>
          <w:color w:val="000000"/>
          <w:sz w:val="20"/>
          <w:vertAlign w:val="superscript"/>
        </w:rPr>
        <w:footnoteReference w:id="10"/>
      </w:r>
      <w:r>
        <w:rPr>
          <w:rFonts w:ascii="Times New Roman" w:hAnsi="Times New Roman" w:cs="Times New Roman"/>
          <w:noProof/>
          <w:color w:val="000000"/>
          <w:sz w:val="20"/>
        </w:rPr>
        <w:t>). Nevertheless, unemployment rates continue to differ by skill level: the unemployment rates of high, medium and low-skilled workers stood at 3.7%, 8.5% and 16.5%, respectively (2018) (Graph </w:t>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QUOTE "3.3.1"</w:instrText>
      </w:r>
      <w:r>
        <w:rPr>
          <w:rFonts w:ascii="Times New Roman" w:hAnsi="Times New Roman" w:cs="Times New Roman"/>
          <w:noProof/>
          <w:color w:val="000000"/>
          <w:sz w:val="20"/>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AHIAZwAvADIAMAAwADEALwBYAE0ATABTAGMAaABlAG0AYQAiAD4ADQAKACAAIAA8AEkAZAA+ADUA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</w:fldData>
        </w:fldChar>
      </w:r>
      <w:r>
        <w:rPr>
          <w:rFonts w:ascii="Times New Roman" w:hAnsi="Times New Roman" w:cs="Times New Roman"/>
          <w:noProof/>
          <w:color w:val="000000"/>
          <w:sz w:val="20"/>
        </w:rPr>
        <w:instrText xml:space="preserve"> ADDIN </w:instrText>
      </w:r>
      <w:r>
        <w:rPr>
          <w:rFonts w:ascii="Times New Roman" w:hAnsi="Times New Roman" w:cs="Times New Roman"/>
          <w:noProof/>
          <w:color w:val="000000"/>
          <w:sz w:val="20"/>
        </w:rPr>
      </w:r>
      <w:r>
        <w:rPr>
          <w:rFonts w:ascii="Times New Roman" w:hAnsi="Times New Roman" w:cs="Times New Roman"/>
          <w:noProof/>
          <w:color w:val="000000"/>
          <w:sz w:val="20"/>
        </w:rPr>
        <w:fldChar w:fldCharType="end"/>
      </w:r>
      <w:r>
        <w:rPr>
          <w:rFonts w:ascii="Times New Roman" w:hAnsi="Times New Roman" w:cs="Times New Roman"/>
          <w:noProof/>
          <w:color w:val="000000"/>
          <w:sz w:val="20"/>
        </w:rPr>
        <w:instrText xml:space="preserve"> </w:instrText>
      </w:r>
      <w:r>
        <w:rPr>
          <w:rFonts w:ascii="Times New Roman" w:hAnsi="Times New Roman" w:cs="Times New Roman"/>
          <w:noProof/>
          <w:color w:val="000000"/>
          <w:sz w:val="20"/>
        </w:rPr>
        <w:fldChar w:fldCharType="separate"/>
      </w:r>
      <w:r>
        <w:rPr>
          <w:rFonts w:ascii="Times New Roman" w:hAnsi="Times New Roman" w:cs="Times New Roman"/>
          <w:noProof/>
          <w:color w:val="000000"/>
          <w:sz w:val="20"/>
        </w:rPr>
        <w:t>3.3.1</w:t>
      </w:r>
      <w:r>
        <w:rPr>
          <w:rFonts w:ascii="Times New Roman" w:hAnsi="Times New Roman" w:cs="Times New Roman"/>
          <w:noProof/>
          <w:color w:val="000000"/>
          <w:sz w:val="20"/>
        </w:rPr>
        <w:fldChar w:fldCharType="end"/>
      </w:r>
      <w:r>
        <w:rPr>
          <w:rFonts w:ascii="Times New Roman" w:hAnsi="Times New Roman" w:cs="Times New Roman"/>
          <w:noProof/>
          <w:color w:val="000000"/>
          <w:sz w:val="20"/>
        </w:rPr>
        <w:t>). Labour market shortages have emerged for high-skilled labour in particular. At the same time, the supply of low-skilled workers exceeds their declining demand, leading</w:t>
      </w:r>
      <w:r>
        <w:rPr>
          <w:rFonts w:ascii="Times New Roman" w:hAnsi="Times New Roman" w:cs="Times New Roman"/>
          <w:noProof/>
          <w:color w:val="000000"/>
          <w:sz w:val="20"/>
        </w:rPr>
        <w:t xml:space="preserve"> to a high unemployment rate for this group, with the gap expected to continue widening over the medium and long term (Ministry of Economics, 2019a). Increasing training of low-skilled and unemployed could help to progress on European Pillar of Social Righ</w:t>
      </w:r>
      <w:r>
        <w:rPr>
          <w:rFonts w:ascii="Times New Roman" w:hAnsi="Times New Roman" w:cs="Times New Roman"/>
          <w:noProof/>
          <w:color w:val="000000"/>
          <w:sz w:val="20"/>
        </w:rPr>
        <w:t>ts principle 1, thereby also contributing to advancing towards the United Nations’ Sustainable Development Goal 4 and 8.</w:t>
      </w: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Graph 3.3.1:</w:t>
            </w:r>
            <w:r>
              <w:rPr>
                <w:rFonts w:ascii="Century Gothic" w:hAnsi="Century Gothic" w:cs="Times New Roman"/>
                <w:b/>
                <w:noProof/>
                <w:color w:val="333399"/>
                <w:sz w:val="14"/>
              </w:rPr>
              <w:tab/>
              <w:t>Unemployment rate by education attainment</w:t>
            </w:r>
          </w:p>
        </w:tc>
      </w:tr>
      <w:tr w:rsidR="00A8765D">
        <w:trPr>
          <w:cantSplit/>
        </w:trPr>
        <w:tc>
          <w:tcPr>
            <w:tcW w:w="4111"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40" w:name="_Toc33020658"/>
            <w:r>
              <w:rPr>
                <w:rFonts w:ascii="Times New Roman" w:hAnsi="Times New Roman" w:cs="Times New Roman"/>
                <w:noProof/>
                <w:color w:val="000000"/>
                <w:sz w:val="20"/>
              </w:rPr>
              <w:instrText>3.3.1.</w:instrText>
            </w:r>
            <w:r>
              <w:rPr>
                <w:rFonts w:ascii="Times New Roman" w:hAnsi="Times New Roman" w:cs="Times New Roman"/>
                <w:noProof/>
                <w:color w:val="000000"/>
                <w:sz w:val="20"/>
              </w:rPr>
              <w:tab/>
              <w:instrText>Unemployment rate by education attainment</w:instrText>
            </w:r>
            <w:bookmarkEnd w:id="40"/>
            <w:r>
              <w:rPr>
                <w:rFonts w:ascii="Times New Roman" w:hAnsi="Times New Roman" w:cs="Times New Roman"/>
                <w:noProof/>
                <w:color w:val="000000"/>
                <w:sz w:val="20"/>
              </w:rPr>
              <w:instrText xml:space="preserve">" \fgraph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en-GB"/>
              </w:rPr>
              <w:drawing>
                <wp:inline distT="0" distB="0" distL="0" distR="0">
                  <wp:extent cx="2597595" cy="2429519"/>
                  <wp:effectExtent l="0" t="0" r="0" b="0"/>
                  <wp:docPr id="75" name="Picture 75" descr="&lt;nbr&gt;&lt;GETTEXTFROMWORD&gt;&lt;/nbr&gt;&#10;&lt;title&gt;&lt;GETTEXTFROMWORD&gt;&lt;/title&gt;&#10;&lt;id&gt;5822cc3e-d7a0-441f-84a6-06bc83fe0e88&lt;/id&gt;&#10;&lt;srcType&gt;EXCEL&lt;/srcType&gt;&#10;&lt;srcPath&gt;O:\2017 CRs\2020 European semester\LV\LV2020_ graphs\&lt;/srcPath&gt;&#10;&lt;srcName&gt;Section 3.3.xlsx&lt;/srcName&gt;&#10;&lt;type&gt;graph&lt;/type&gt;&#10; &lt;srcSheet&gt;UR by skill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9-12-13T11:16:10&lt;/scrFileTime&gt;&#10;&lt;imageInformation&gt;&#10; &lt;dontScaleUp&gt;no&lt;/dontScaleUp&gt;&#10; &lt;usedpercentageofavailablewidth&gt;100&lt;/usedpercentageofavailablewidth&gt;&#10;&lt;/imageInformation&gt;&#10;&lt;url&gt;Chap0/Chap0-Graph-%SectionNumber%.14.xlsx&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9">
                            <a:extLst>
                              <a:ext uri="{28A0092B-C50C-407E-A947-70E740481C1C}">
                                <a14:useLocalDpi xmlns:a14="http://schemas.microsoft.com/office/drawing/2010/main" val="0"/>
                              </a:ext>
                            </a:extLst>
                          </a:blip>
                          <a:srcRect/>
                          <a:stretch>
                            <a:fillRect/>
                          </a:stretch>
                        </pic:blipFill>
                        <pic:spPr>
                          <a:xfrm>
                            <a:off x="0" y="0"/>
                            <a:ext cx="2597595" cy="2429519"/>
                          </a:xfrm>
                          <a:prstGeom prst="rect">
                            <a:avLst/>
                          </a:prstGeom>
                        </pic:spPr>
                      </pic:pic>
                    </a:graphicData>
                  </a:graphic>
                </wp:inline>
              </w:drawing>
            </w:r>
            <w:r>
              <w:rPr>
                <w:rFonts w:ascii="Times New Roman" w:hAnsi="Times New Roman" w:cs="Times New Roman"/>
                <w:noProof/>
                <w:color w:val="000000"/>
                <w:sz w:val="2"/>
              </w:rPr>
              <w:t xml:space="preserve"> </w:t>
            </w:r>
          </w:p>
        </w:tc>
      </w:tr>
      <w:tr w:rsidR="00A8765D">
        <w:trPr>
          <w:cantSplit/>
        </w:trPr>
        <w:tc>
          <w:tcPr>
            <w:tcW w:w="4111" w:type="dxa"/>
            <w:shd w:val="clear" w:color="auto" w:fill="auto"/>
            <w:tcMar>
              <w:bottom w:w="240" w:type="dxa"/>
            </w:tcMar>
          </w:tcPr>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European Commission</w:t>
            </w:r>
          </w:p>
        </w:tc>
      </w:tr>
    </w:tbl>
    <w:p w:rsidR="00A8765D" w:rsidRDefault="00A8765D">
      <w:pPr>
        <w:spacing w:after="0" w:line="20" w:lineRule="exact"/>
        <w:jc w:val="both"/>
        <w:rPr>
          <w:rFonts w:ascii="Times New Roman" w:hAnsi="Times New Roman" w:cs="Times New Roman"/>
          <w:noProof/>
          <w:color w:val="000000"/>
          <w:sz w:val="2"/>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A8765D">
        <w:trPr>
          <w:cantSplit/>
          <w:trHeight w:val="20"/>
        </w:trPr>
        <w:tc>
          <w:tcPr>
            <w:tcW w:w="8505" w:type="dxa"/>
            <w:shd w:val="clear" w:color="auto" w:fill="F7FCFF"/>
          </w:tcPr>
          <w:p w:rsidR="00A8765D" w:rsidRDefault="00A8765D">
            <w:pPr>
              <w:keepNext/>
              <w:spacing w:after="0" w:line="240" w:lineRule="auto"/>
              <w:jc w:val="both"/>
              <w:rPr>
                <w:rFonts w:ascii="Times New Roman" w:hAnsi="Times New Roman" w:cs="Times New Roman"/>
                <w:noProof/>
                <w:color w:val="000000"/>
                <w:sz w:val="2"/>
              </w:rPr>
            </w:pPr>
          </w:p>
        </w:tc>
      </w:tr>
      <w:tr w:rsidR="00A8765D">
        <w:trPr>
          <w:cantSplit/>
          <w:trHeight w:val="20"/>
        </w:trPr>
        <w:tc>
          <w:tcPr>
            <w:tcW w:w="8505" w:type="dxa"/>
            <w:shd w:val="clear" w:color="auto" w:fill="F7FCFF"/>
          </w:tcPr>
          <w:p w:rsidR="00A8765D" w:rsidRDefault="00A8765D">
            <w:pPr>
              <w:keepNext/>
              <w:spacing w:after="0" w:line="240" w:lineRule="auto"/>
              <w:jc w:val="both"/>
              <w:rPr>
                <w:rFonts w:ascii="Times New Roman" w:hAnsi="Times New Roman" w:cs="Times New Roman"/>
                <w:noProof/>
                <w:color w:val="000000"/>
                <w:sz w:val="2"/>
              </w:rPr>
            </w:pPr>
          </w:p>
        </w:tc>
      </w:tr>
      <w:tr w:rsidR="00A8765D">
        <w:trPr>
          <w:cantSplit/>
        </w:trPr>
        <w:tc>
          <w:tcPr>
            <w:tcW w:w="8505" w:type="dxa"/>
            <w:shd w:val="clear" w:color="auto" w:fill="F7FCFF"/>
          </w:tcPr>
          <w:p w:rsidR="00A8765D" w:rsidRDefault="006C09F5">
            <w:pPr>
              <w:keepNext/>
              <w:spacing w:before="120" w:after="120" w:line="240" w:lineRule="atLeast"/>
              <w:jc w:val="center"/>
              <w:rPr>
                <w:rFonts w:ascii="Times New Roman" w:hAnsi="Times New Roman" w:cs="Times New Roman"/>
                <w:noProof/>
                <w:color w:val="000000"/>
                <w:sz w:val="2"/>
              </w:rPr>
            </w:pPr>
            <w:r>
              <w:rPr>
                <w:rFonts w:ascii="Times New Roman" w:hAnsi="Times New Roman" w:cs="Times New Roman"/>
                <w:noProof/>
                <w:color w:val="000000"/>
                <w:sz w:val="2"/>
                <w:lang w:eastAsia="en-GB"/>
              </w:rPr>
              <w:drawing>
                <wp:inline distT="0" distB="0" distL="0" distR="0">
                  <wp:extent cx="5041900" cy="740727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41900" cy="7407275"/>
                          </a:xfrm>
                          <a:prstGeom prst="rect">
                            <a:avLst/>
                          </a:prstGeom>
                          <a:noFill/>
                        </pic:spPr>
                      </pic:pic>
                    </a:graphicData>
                  </a:graphic>
                </wp:inline>
              </w:drawing>
            </w:r>
            <w:r>
              <w:rPr>
                <w:rFonts w:ascii="Times New Roman" w:hAnsi="Times New Roman" w:cs="Times New Roman"/>
                <w:noProof/>
                <w:color w:val="000000"/>
                <w:sz w:val="2"/>
              </w:rPr>
              <w:t xml:space="preserve"> </w:t>
            </w:r>
          </w:p>
        </w:tc>
      </w:tr>
      <w:tr w:rsidR="00A8765D">
        <w:trPr>
          <w:cantSplit/>
          <w:trHeight w:val="20"/>
        </w:trPr>
        <w:tc>
          <w:tcPr>
            <w:tcW w:w="8505" w:type="dxa"/>
            <w:shd w:val="clear" w:color="auto" w:fill="F7FCFF"/>
          </w:tcPr>
          <w:p w:rsidR="00A8765D" w:rsidRDefault="00A8765D">
            <w:pPr>
              <w:keepNext/>
              <w:spacing w:after="0" w:line="240" w:lineRule="auto"/>
              <w:jc w:val="both"/>
              <w:rPr>
                <w:rFonts w:ascii="Times New Roman" w:hAnsi="Times New Roman" w:cs="Times New Roman"/>
                <w:noProof/>
                <w:color w:val="000000"/>
                <w:sz w:val="2"/>
              </w:rPr>
            </w:pPr>
          </w:p>
        </w:tc>
      </w:tr>
      <w:tr w:rsidR="00A8765D">
        <w:trPr>
          <w:cantSplit/>
          <w:trHeight w:val="20"/>
        </w:trPr>
        <w:tc>
          <w:tcPr>
            <w:tcW w:w="8505" w:type="dxa"/>
            <w:shd w:val="clear" w:color="auto" w:fill="F7FCFF"/>
          </w:tcPr>
          <w:p w:rsidR="00A8765D" w:rsidRDefault="006C09F5">
            <w:pPr>
              <w:spacing w:after="0" w:line="240" w:lineRule="auto"/>
              <w:jc w:val="both"/>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41" w:name="_Toc33440674"/>
            <w:bookmarkStart w:id="42" w:name="_Toc33531603"/>
            <w:r>
              <w:rPr>
                <w:rFonts w:ascii="Times New Roman" w:hAnsi="Times New Roman" w:cs="Times New Roman"/>
                <w:noProof/>
                <w:color w:val="000000"/>
                <w:sz w:val="20"/>
              </w:rPr>
              <w:instrText>3.3.1.</w:instrText>
            </w:r>
            <w:r>
              <w:rPr>
                <w:rFonts w:ascii="Times New Roman" w:hAnsi="Times New Roman" w:cs="Times New Roman"/>
                <w:noProof/>
                <w:color w:val="000000"/>
                <w:sz w:val="20"/>
              </w:rPr>
              <w:tab/>
              <w:instrText>Monitoring performance in light of the European Pillar of Social Rights</w:instrText>
            </w:r>
            <w:bookmarkEnd w:id="41"/>
            <w:bookmarkEnd w:id="42"/>
            <w:r>
              <w:rPr>
                <w:rFonts w:ascii="Times New Roman" w:hAnsi="Times New Roman" w:cs="Times New Roman"/>
                <w:noProof/>
                <w:color w:val="000000"/>
                <w:sz w:val="20"/>
              </w:rPr>
              <w:instrText xml:space="preserve">" \fbox \l 5 </w:instrText>
            </w:r>
            <w:r>
              <w:rPr>
                <w:rFonts w:ascii="Times New Roman" w:hAnsi="Times New Roman" w:cs="Times New Roman"/>
                <w:noProof/>
                <w:color w:val="000000"/>
                <w:sz w:val="20"/>
              </w:rPr>
              <w:fldChar w:fldCharType="end"/>
            </w:r>
          </w:p>
        </w:tc>
      </w:tr>
    </w:tbl>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Low-skilled, older workers and ethnic minorities have limited access to the labour market.</w:t>
      </w:r>
      <w:r>
        <w:rPr>
          <w:rFonts w:ascii="Times New Roman" w:hAnsi="Times New Roman" w:cs="Times New Roman"/>
          <w:noProof/>
          <w:color w:val="000000"/>
          <w:sz w:val="20"/>
        </w:rPr>
        <w:t xml:space="preserve"> While youth unemployment has decreased, unemployed young people often lack work experience and basic skills, and youth employment (33.1% for young people aged 15-24) is lower than the EU average (35.4%, 2018). As many as half of the registered unemployed </w:t>
      </w:r>
      <w:r>
        <w:rPr>
          <w:rFonts w:ascii="Times New Roman" w:hAnsi="Times New Roman" w:cs="Times New Roman"/>
          <w:noProof/>
          <w:color w:val="000000"/>
          <w:sz w:val="20"/>
        </w:rPr>
        <w:t>aged 15-29 are low skilled, which reflects the overall high unemployment of the low-skilled in the country (Graph </w:t>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QUOTE "3.3.1"</w:instrText>
      </w:r>
      <w:r>
        <w:rPr>
          <w:rFonts w:ascii="Times New Roman" w:hAnsi="Times New Roman" w:cs="Times New Roman"/>
          <w:noProof/>
          <w:color w:val="000000"/>
          <w:sz w:val="20"/>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AHIAZwAvADIAMAAwADEALwBYAE0ATABTAGMAaABlAG0AYQAiAD4ADQAKACAAIAA8AEkAZAA+ADUA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</w:fldData>
        </w:fldChar>
      </w:r>
      <w:r>
        <w:rPr>
          <w:rFonts w:ascii="Times New Roman" w:hAnsi="Times New Roman" w:cs="Times New Roman"/>
          <w:noProof/>
          <w:color w:val="000000"/>
          <w:sz w:val="20"/>
        </w:rPr>
        <w:instrText xml:space="preserve"> ADDIN </w:instrText>
      </w:r>
      <w:r>
        <w:rPr>
          <w:rFonts w:ascii="Times New Roman" w:hAnsi="Times New Roman" w:cs="Times New Roman"/>
          <w:noProof/>
          <w:color w:val="000000"/>
          <w:sz w:val="20"/>
        </w:rPr>
      </w:r>
      <w:r>
        <w:rPr>
          <w:rFonts w:ascii="Times New Roman" w:hAnsi="Times New Roman" w:cs="Times New Roman"/>
          <w:noProof/>
          <w:color w:val="000000"/>
          <w:sz w:val="20"/>
        </w:rPr>
        <w:fldChar w:fldCharType="end"/>
      </w:r>
      <w:r>
        <w:rPr>
          <w:rFonts w:ascii="Times New Roman" w:hAnsi="Times New Roman" w:cs="Times New Roman"/>
          <w:noProof/>
          <w:color w:val="000000"/>
          <w:sz w:val="20"/>
        </w:rPr>
        <w:instrText xml:space="preserve"> </w:instrText>
      </w:r>
      <w:r>
        <w:rPr>
          <w:rFonts w:ascii="Times New Roman" w:hAnsi="Times New Roman" w:cs="Times New Roman"/>
          <w:noProof/>
          <w:color w:val="000000"/>
          <w:sz w:val="20"/>
        </w:rPr>
        <w:fldChar w:fldCharType="separate"/>
      </w:r>
      <w:r>
        <w:rPr>
          <w:rFonts w:ascii="Times New Roman" w:hAnsi="Times New Roman" w:cs="Times New Roman"/>
          <w:noProof/>
          <w:color w:val="000000"/>
          <w:sz w:val="20"/>
        </w:rPr>
        <w:t>3.3.1</w:t>
      </w:r>
      <w:r>
        <w:rPr>
          <w:rFonts w:ascii="Times New Roman" w:hAnsi="Times New Roman" w:cs="Times New Roman"/>
          <w:noProof/>
          <w:color w:val="000000"/>
          <w:sz w:val="20"/>
        </w:rPr>
        <w:fldChar w:fldCharType="end"/>
      </w:r>
      <w:r>
        <w:rPr>
          <w:rFonts w:ascii="Times New Roman" w:hAnsi="Times New Roman" w:cs="Times New Roman"/>
          <w:noProof/>
          <w:color w:val="000000"/>
          <w:sz w:val="20"/>
        </w:rPr>
        <w:t xml:space="preserve">). Unemployment among older workers (aged 55-74) is decreasing at a slower rate than for other age groups, which can be linked to their poor health and low participation in adult learning (3% in 2018) (CSB, 2019). The employment rate for ethnic minorities </w:t>
      </w:r>
      <w:r>
        <w:rPr>
          <w:rFonts w:ascii="Times New Roman" w:hAnsi="Times New Roman" w:cs="Times New Roman"/>
          <w:noProof/>
          <w:color w:val="000000"/>
          <w:sz w:val="20"/>
        </w:rPr>
        <w:t>is some 12 pps lower than for the ethnic majority, and unemployment among non-EU nationals is consistently higher than among nationals in every age group. This is partly linked to the insufficient public supply of general and professionally oriented Latvia</w:t>
      </w:r>
      <w:r>
        <w:rPr>
          <w:rFonts w:ascii="Times New Roman" w:hAnsi="Times New Roman" w:cs="Times New Roman"/>
          <w:noProof/>
          <w:color w:val="000000"/>
          <w:sz w:val="20"/>
        </w:rPr>
        <w:t xml:space="preserve">n language courses for the adult population (OECD, 2019a). Improving labour market access for these groups and unlocking the internal labour market reserves, could ease some of the tensions in the labour market.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Employment conditions differ across regions</w:t>
      </w:r>
      <w:r>
        <w:rPr>
          <w:rFonts w:ascii="Times New Roman" w:hAnsi="Times New Roman" w:cs="Times New Roman"/>
          <w:b/>
          <w:noProof/>
          <w:color w:val="000000"/>
          <w:sz w:val="20"/>
        </w:rPr>
        <w:t xml:space="preserve"> and internal mobility remains a challenge.</w:t>
      </w:r>
      <w:r>
        <w:rPr>
          <w:rFonts w:ascii="Times New Roman" w:hAnsi="Times New Roman" w:cs="Times New Roman"/>
          <w:noProof/>
          <w:color w:val="000000"/>
          <w:sz w:val="20"/>
        </w:rPr>
        <w:t xml:space="preserve"> The unemployment rate, youth unemployment rate and share of long-term unemployed vary considerably across regions. While densely populated Riga and the surrounding Pieriga region exhibits the lowest levels of une</w:t>
      </w:r>
      <w:r>
        <w:rPr>
          <w:rFonts w:ascii="Times New Roman" w:hAnsi="Times New Roman" w:cs="Times New Roman"/>
          <w:noProof/>
          <w:color w:val="000000"/>
          <w:sz w:val="20"/>
        </w:rPr>
        <w:t>mployment (6.7% and 4.7% in 2018 respectively), Latgale has both the highest unemployment rate (11.8% in 2018) and lowest activity rate among Latvia's NUTS-3 regions (CSB, 2019). A regional mobility support scheme reimbursing transport or housing costs for</w:t>
      </w:r>
      <w:r>
        <w:rPr>
          <w:rFonts w:ascii="Times New Roman" w:hAnsi="Times New Roman" w:cs="Times New Roman"/>
          <w:noProof/>
          <w:color w:val="000000"/>
          <w:sz w:val="20"/>
        </w:rPr>
        <w:t xml:space="preserve"> 4 months (capped at EUR 600) is having a positive effect on job uptake and has the potential to be scaled up in a targeted way (OECD, 2019b). However, rental costs relative to incomes are high in Riga and the surrounding region of Pieriga, thus discouragi</w:t>
      </w:r>
      <w:r>
        <w:rPr>
          <w:rFonts w:ascii="Times New Roman" w:hAnsi="Times New Roman" w:cs="Times New Roman"/>
          <w:noProof/>
          <w:color w:val="000000"/>
          <w:sz w:val="20"/>
        </w:rPr>
        <w:t>ng regional mobility. The absence of a national housing policy also limits the provision of housing to more vulnerable groups (see Section 3.3.2.).</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Spending on and participation in active labour market policies remain low, limiting the activation of those </w:t>
      </w:r>
      <w:r>
        <w:rPr>
          <w:rFonts w:ascii="Times New Roman" w:hAnsi="Times New Roman" w:cs="Times New Roman"/>
          <w:b/>
          <w:noProof/>
          <w:color w:val="000000"/>
          <w:sz w:val="20"/>
        </w:rPr>
        <w:t>furthest away from the labour market.</w:t>
      </w:r>
      <w:r>
        <w:rPr>
          <w:rFonts w:ascii="Times New Roman" w:hAnsi="Times New Roman" w:cs="Times New Roman"/>
          <w:noProof/>
          <w:color w:val="000000"/>
          <w:sz w:val="20"/>
        </w:rPr>
        <w:t xml:space="preserve"> While Latvia has low public spending 0.6% in 2017 on active labour market policies, the list of such policies has expanded and diversified in recent years. Training for the unemployed has had a positive effect on labou</w:t>
      </w:r>
      <w:r>
        <w:rPr>
          <w:rFonts w:ascii="Times New Roman" w:hAnsi="Times New Roman" w:cs="Times New Roman"/>
          <w:noProof/>
          <w:color w:val="000000"/>
          <w:sz w:val="20"/>
        </w:rPr>
        <w:t>r market outcomes; effectiveness has been further boosted when combined with other measures, such as support for regional mobility. However, the role of these measures is limited by the low registration of jobseekers with the public employment service, wit</w:t>
      </w:r>
      <w:r>
        <w:rPr>
          <w:rFonts w:ascii="Times New Roman" w:hAnsi="Times New Roman" w:cs="Times New Roman"/>
          <w:noProof/>
          <w:color w:val="000000"/>
          <w:sz w:val="20"/>
        </w:rPr>
        <w:t>h only around half of all unemployed registered, and relatively low participation rates (6.8 per 100 persons wanting to work, 2017). Many unemployed persons therefore cannot be reached to help them search for a job or participate in activation measures (OE</w:t>
      </w:r>
      <w:r>
        <w:rPr>
          <w:rFonts w:ascii="Times New Roman" w:hAnsi="Times New Roman" w:cs="Times New Roman"/>
          <w:noProof/>
          <w:color w:val="000000"/>
          <w:sz w:val="20"/>
        </w:rPr>
        <w:t xml:space="preserve">CD, 2019b). Cooperation between public employment services, social services and educational institutions is insufficient, resulting in poor monitoring of school-to-work transitions and limited integration in the labour market.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While the employment rate of</w:t>
      </w:r>
      <w:r>
        <w:rPr>
          <w:rFonts w:ascii="Times New Roman" w:hAnsi="Times New Roman" w:cs="Times New Roman"/>
          <w:b/>
          <w:noProof/>
          <w:color w:val="000000"/>
          <w:sz w:val="20"/>
        </w:rPr>
        <w:t xml:space="preserve"> women is high, imbalances in the labour market persist.</w:t>
      </w:r>
      <w:r>
        <w:rPr>
          <w:rFonts w:ascii="Times New Roman" w:hAnsi="Times New Roman" w:cs="Times New Roman"/>
          <w:noProof/>
          <w:color w:val="000000"/>
          <w:sz w:val="20"/>
        </w:rPr>
        <w:t xml:space="preserve"> Latvia has one of the lowest gender employment gaps (4.2 pps in Latvia, 11.6 pps EU average, 2018) and a gender pay gap around EU average (15.7% versus 16.0% in the EU, 2017). While women have higher</w:t>
      </w:r>
      <w:r>
        <w:rPr>
          <w:rFonts w:ascii="Times New Roman" w:hAnsi="Times New Roman" w:cs="Times New Roman"/>
          <w:noProof/>
          <w:color w:val="000000"/>
          <w:sz w:val="20"/>
        </w:rPr>
        <w:t xml:space="preserve"> educational attainment (see Section 3.3.4), they are also more likely to study social sciences and humanities and work in sectors with lower wages, such as healthcare, social care, education and tourism. Around 21.8% of women and 19.4% of men earn minimum</w:t>
      </w:r>
      <w:r>
        <w:rPr>
          <w:rFonts w:ascii="Times New Roman" w:hAnsi="Times New Roman" w:cs="Times New Roman"/>
          <w:noProof/>
          <w:color w:val="000000"/>
          <w:sz w:val="20"/>
        </w:rPr>
        <w:t xml:space="preserve"> wages or lower (CSB, 2019). Access to flexible working arrangements is lower in Latvia than in the EU as a whole and around two thirds of women (68%) and men (63%) are unable to change their working time arrangements (EIGE, 2019). Latvia is taking steps t</w:t>
      </w:r>
      <w:r>
        <w:rPr>
          <w:rFonts w:ascii="Times New Roman" w:hAnsi="Times New Roman" w:cs="Times New Roman"/>
          <w:noProof/>
          <w:color w:val="000000"/>
          <w:sz w:val="20"/>
        </w:rPr>
        <w:t>o progress on European Pillar of Social Rights principle 2, thereby also contributing to advancing towards the Sustainable Development Goal 5, to achieve gender equality also through national planning documents, such as the Plan for Stimulating Equal Right</w:t>
      </w:r>
      <w:r>
        <w:rPr>
          <w:rFonts w:ascii="Times New Roman" w:hAnsi="Times New Roman" w:cs="Times New Roman"/>
          <w:noProof/>
          <w:color w:val="000000"/>
          <w:sz w:val="20"/>
        </w:rPr>
        <w:t xml:space="preserve">s and Opportunities for Women and Men 2018-2020.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prevalence of completely or partially informal employment is high.</w:t>
      </w:r>
      <w:r>
        <w:rPr>
          <w:rFonts w:ascii="Times New Roman" w:hAnsi="Times New Roman" w:cs="Times New Roman"/>
          <w:noProof/>
          <w:color w:val="000000"/>
          <w:sz w:val="20"/>
        </w:rPr>
        <w:t xml:space="preserve"> While the share of undeclared earnings is slowly decreasing, estimated 41% of all employees had an undeclared earning share of at least</w:t>
      </w:r>
      <w:r>
        <w:rPr>
          <w:rFonts w:ascii="Times New Roman" w:hAnsi="Times New Roman" w:cs="Times New Roman"/>
          <w:noProof/>
          <w:color w:val="000000"/>
          <w:sz w:val="20"/>
        </w:rPr>
        <w:t xml:space="preserve"> 10% in 2016. More than 4% of employees were working entirely in the informal economy, with the highest incidence among skilled agricultural and manual workers as well as the low-skilled. Moreover, a typical ‘envelope’ wage receiver had low or middle incom</w:t>
      </w:r>
      <w:r>
        <w:rPr>
          <w:rFonts w:ascii="Times New Roman" w:hAnsi="Times New Roman" w:cs="Times New Roman"/>
          <w:noProof/>
          <w:color w:val="000000"/>
          <w:sz w:val="20"/>
        </w:rPr>
        <w:t>e and faced difficulties in making ends meet (estimates based on EU-SILC microdata). According to a special Eurobarometer survey carried out in September 2019, 36% of Latvians know someone who worked without declaring all or part of their income. One in fi</w:t>
      </w:r>
      <w:r>
        <w:rPr>
          <w:rFonts w:ascii="Times New Roman" w:hAnsi="Times New Roman" w:cs="Times New Roman"/>
          <w:noProof/>
          <w:color w:val="000000"/>
          <w:sz w:val="20"/>
        </w:rPr>
        <w:t>ve Latvians also said they have purchased goods or services that could involve undeclared work in the past year. The high prevalence of the informal economy has adverse effects on the social protection of the affected workers. It further contributes to the</w:t>
      </w:r>
      <w:r>
        <w:rPr>
          <w:rFonts w:ascii="Times New Roman" w:hAnsi="Times New Roman" w:cs="Times New Roman"/>
          <w:noProof/>
          <w:color w:val="000000"/>
          <w:sz w:val="20"/>
        </w:rPr>
        <w:t xml:space="preserve"> under-reporting of accidents at work and heightens occupational risks (European Commission, 2019b). Several measures are being implemented to improve the compliance (see Section 3.1.3.); at the same time the capacity of the State Labour Inspectorate to ta</w:t>
      </w:r>
      <w:r>
        <w:rPr>
          <w:rFonts w:ascii="Times New Roman" w:hAnsi="Times New Roman" w:cs="Times New Roman"/>
          <w:noProof/>
          <w:color w:val="000000"/>
          <w:sz w:val="20"/>
        </w:rPr>
        <w:t xml:space="preserve">ckle undeclared work remains limited, due to the high staff turnover and unfilled vacancies, especially in Riga (State Labour Inspectorate, 2019).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Wages are catching up with the EU average, but the share of low-wage earners remains high.</w:t>
      </w:r>
      <w:r>
        <w:rPr>
          <w:rFonts w:ascii="Times New Roman" w:hAnsi="Times New Roman" w:cs="Times New Roman"/>
          <w:noProof/>
          <w:color w:val="000000"/>
          <w:sz w:val="20"/>
        </w:rPr>
        <w:t xml:space="preserve"> The average month</w:t>
      </w:r>
      <w:r>
        <w:rPr>
          <w:rFonts w:ascii="Times New Roman" w:hAnsi="Times New Roman" w:cs="Times New Roman"/>
          <w:noProof/>
          <w:color w:val="000000"/>
          <w:sz w:val="20"/>
        </w:rPr>
        <w:t xml:space="preserve">ly wage (reflected in nominal compensation per employee) grew by 6.2% in 2019 (8.4% in 2018), reaching 67% of the EU average (in purchasing power standards). At the same time, some 27% of employees earned wages up to two thirds of the median wage in 2018, </w:t>
      </w:r>
      <w:r>
        <w:rPr>
          <w:rFonts w:ascii="Times New Roman" w:hAnsi="Times New Roman" w:cs="Times New Roman"/>
          <w:noProof/>
          <w:color w:val="000000"/>
          <w:sz w:val="20"/>
        </w:rPr>
        <w:t>which is a higher share than in other Member States. The national monthly minimum wage stood at EUR 430 in 2019 — at 47% of the median wage. When comparing the net disposable household income of minimum wage earners to the at-risk-of-poverty threshold in 2</w:t>
      </w:r>
      <w:r>
        <w:rPr>
          <w:rFonts w:ascii="Times New Roman" w:hAnsi="Times New Roman" w:cs="Times New Roman"/>
          <w:noProof/>
          <w:color w:val="000000"/>
          <w:sz w:val="20"/>
        </w:rPr>
        <w:t>018, the minimum wage did not provide sufficient income to be out of poverty for a single worker working full-time, for single parents with a child, nor for dual-earners couple with two children (all earning the minimum wage). The net earnings in purchasin</w:t>
      </w:r>
      <w:r>
        <w:rPr>
          <w:rFonts w:ascii="Times New Roman" w:hAnsi="Times New Roman" w:cs="Times New Roman"/>
          <w:noProof/>
          <w:color w:val="000000"/>
          <w:sz w:val="20"/>
        </w:rPr>
        <w:t>g power standards for a single person are among the lowest in the EU and reported as ‘weak but improving’ in the Social Scoreboard (Box </w:t>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QUOTE "3.3.1"</w:instrText>
      </w:r>
      <w:r>
        <w:rPr>
          <w:rFonts w:ascii="Times New Roman" w:hAnsi="Times New Roman" w:cs="Times New Roman"/>
          <w:noProof/>
          <w:color w:val="000000"/>
          <w:sz w:val="20"/>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AHIAZwAvADIAMAAwADEALwBYAE0ATABTAGMAaABlAG0AYQAiAD4ADQAKACAAIAA8AEkAZAA+ADgA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</w:fldData>
        </w:fldChar>
      </w:r>
      <w:r>
        <w:rPr>
          <w:rFonts w:ascii="Times New Roman" w:hAnsi="Times New Roman" w:cs="Times New Roman"/>
          <w:noProof/>
          <w:color w:val="000000"/>
          <w:sz w:val="20"/>
        </w:rPr>
        <w:instrText xml:space="preserve"> ADDIN </w:instrText>
      </w:r>
      <w:r>
        <w:rPr>
          <w:rFonts w:ascii="Times New Roman" w:hAnsi="Times New Roman" w:cs="Times New Roman"/>
          <w:noProof/>
          <w:color w:val="000000"/>
          <w:sz w:val="20"/>
        </w:rPr>
      </w:r>
      <w:r>
        <w:rPr>
          <w:rFonts w:ascii="Times New Roman" w:hAnsi="Times New Roman" w:cs="Times New Roman"/>
          <w:noProof/>
          <w:color w:val="000000"/>
          <w:sz w:val="20"/>
        </w:rPr>
        <w:fldChar w:fldCharType="end"/>
      </w:r>
      <w:r>
        <w:rPr>
          <w:rFonts w:ascii="Times New Roman" w:hAnsi="Times New Roman" w:cs="Times New Roman"/>
          <w:noProof/>
          <w:color w:val="000000"/>
          <w:sz w:val="20"/>
        </w:rPr>
        <w:instrText xml:space="preserve"> </w:instrText>
      </w:r>
      <w:r>
        <w:rPr>
          <w:rFonts w:ascii="Times New Roman" w:hAnsi="Times New Roman" w:cs="Times New Roman"/>
          <w:noProof/>
          <w:color w:val="000000"/>
          <w:sz w:val="20"/>
        </w:rPr>
        <w:fldChar w:fldCharType="separate"/>
      </w:r>
      <w:r>
        <w:rPr>
          <w:rFonts w:ascii="Times New Roman" w:hAnsi="Times New Roman" w:cs="Times New Roman"/>
          <w:noProof/>
          <w:color w:val="000000"/>
          <w:sz w:val="20"/>
        </w:rPr>
        <w:t>3.3.1</w:t>
      </w:r>
      <w:r>
        <w:rPr>
          <w:rFonts w:ascii="Times New Roman" w:hAnsi="Times New Roman" w:cs="Times New Roman"/>
          <w:noProof/>
          <w:color w:val="000000"/>
          <w:sz w:val="20"/>
        </w:rPr>
        <w:fldChar w:fldCharType="end"/>
      </w:r>
      <w:r>
        <w:rPr>
          <w:rFonts w:ascii="Times New Roman" w:hAnsi="Times New Roman" w:cs="Times New Roman"/>
          <w:noProof/>
          <w:color w:val="000000"/>
          <w:sz w:val="20"/>
        </w:rPr>
        <w:t xml:space="preserve">). Furthermore, Latvia faces a risk of in-work poverty, at 8.1% in 2018 (7.6% for men and 8.5% for women). This risk is particularly high for older workers (aged 55+) with 10.5% at risk of in-work poverty in </w:t>
      </w:r>
      <w:r>
        <w:rPr>
          <w:rFonts w:ascii="Times New Roman" w:hAnsi="Times New Roman" w:cs="Times New Roman"/>
          <w:noProof/>
          <w:color w:val="000000"/>
          <w:sz w:val="20"/>
        </w:rPr>
        <w:t xml:space="preserve">2018 and significantly higher for temporary and part-time workers (30.9% and 22.7% in 2018, respectively).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While sectoral collective bargaining has been strengthened, the social partners’ limited capacity restricts their role in social dialogue.</w:t>
      </w:r>
      <w:r>
        <w:rPr>
          <w:rFonts w:ascii="Times New Roman" w:hAnsi="Times New Roman" w:cs="Times New Roman"/>
          <w:noProof/>
          <w:color w:val="000000"/>
          <w:sz w:val="20"/>
        </w:rPr>
        <w:t xml:space="preserve"> As of Nov</w:t>
      </w:r>
      <w:r>
        <w:rPr>
          <w:rFonts w:ascii="Times New Roman" w:hAnsi="Times New Roman" w:cs="Times New Roman"/>
          <w:noProof/>
          <w:color w:val="000000"/>
          <w:sz w:val="20"/>
        </w:rPr>
        <w:t xml:space="preserve">ember 2019, the collective agreement in the construction sector entered into force, setting a minimum wage for the sector at EUR 780 and reducing a surcharge for overtime work to 50%. This agreement is a novelty for Latvian industrial relations and a step </w:t>
      </w:r>
      <w:r>
        <w:rPr>
          <w:rFonts w:ascii="Times New Roman" w:hAnsi="Times New Roman" w:cs="Times New Roman"/>
          <w:noProof/>
          <w:color w:val="000000"/>
          <w:sz w:val="20"/>
        </w:rPr>
        <w:t xml:space="preserve">towards strengthening sectoral collective bargaining, which is currently weak. While EU funds provide financial support to extend sectoral bargaining, collective bargaining coverage remains low and it takes place mainly at company level (Müller T. et al., </w:t>
      </w:r>
      <w:r>
        <w:rPr>
          <w:rFonts w:ascii="Times New Roman" w:hAnsi="Times New Roman" w:cs="Times New Roman"/>
          <w:noProof/>
          <w:color w:val="000000"/>
          <w:sz w:val="20"/>
        </w:rPr>
        <w:t>2019). The national setting for involving social partners in reforms and policy formation is well established; however, the social partners’ limited capacity restricts their meaningful and timely involvement.</w:t>
      </w:r>
    </w:p>
    <w:p w:rsidR="00A8765D" w:rsidRDefault="006C09F5">
      <w:pPr>
        <w:keepNext/>
        <w:tabs>
          <w:tab w:val="left" w:pos="567"/>
        </w:tabs>
        <w:spacing w:before="240" w:after="240" w:line="240" w:lineRule="atLeast"/>
        <w:ind w:left="567" w:hanging="567"/>
        <w:outlineLvl w:val="2"/>
        <w:rPr>
          <w:rFonts w:ascii="Century Gothic" w:hAnsi="Century Gothic" w:cs="Times New Roman"/>
          <w:b/>
          <w:caps/>
          <w:noProof/>
          <w:color w:val="333399"/>
          <w:sz w:val="18"/>
        </w:rPr>
      </w:pPr>
      <w:r>
        <w:rPr>
          <w:rFonts w:ascii="Century Gothic" w:hAnsi="Century Gothic" w:cs="Times New Roman"/>
          <w:b/>
          <w:caps/>
          <w:noProof/>
          <w:color w:val="333399"/>
          <w:sz w:val="18"/>
        </w:rPr>
        <w:t>3.3.2.</w:t>
      </w:r>
      <w:r>
        <w:rPr>
          <w:rFonts w:ascii="Century Gothic" w:hAnsi="Century Gothic" w:cs="Times New Roman"/>
          <w:b/>
          <w:caps/>
          <w:noProof/>
          <w:color w:val="333399"/>
          <w:sz w:val="18"/>
        </w:rPr>
        <w:tab/>
        <w:t>Social policies</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Poverty remains high and</w:t>
      </w:r>
      <w:r>
        <w:rPr>
          <w:rFonts w:ascii="Times New Roman" w:hAnsi="Times New Roman" w:cs="Times New Roman"/>
          <w:b/>
          <w:noProof/>
          <w:color w:val="000000"/>
          <w:sz w:val="20"/>
        </w:rPr>
        <w:t xml:space="preserve"> is increasing, while spending on social protection is low</w:t>
      </w:r>
      <w:r>
        <w:rPr>
          <w:rFonts w:ascii="Times New Roman" w:hAnsi="Times New Roman" w:cs="Times New Roman"/>
          <w:noProof/>
          <w:color w:val="000000"/>
          <w:sz w:val="20"/>
        </w:rPr>
        <w:t>. The risk of poverty and social exclusion slightly increased (28.4%, 2018), driven by an increase in monetary poverty (23.3%, 2018), and is reported as ‘critical’ in the Social Scoreboard (Box </w:t>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QUO</w:instrText>
      </w:r>
      <w:r>
        <w:rPr>
          <w:rFonts w:ascii="Times New Roman" w:hAnsi="Times New Roman" w:cs="Times New Roman"/>
          <w:noProof/>
          <w:color w:val="000000"/>
          <w:sz w:val="20"/>
        </w:rPr>
        <w:instrText>TE "3.3.1"</w:instrText>
      </w:r>
      <w:r>
        <w:rPr>
          <w:rFonts w:ascii="Times New Roman" w:hAnsi="Times New Roman" w:cs="Times New Roman"/>
          <w:noProof/>
          <w:color w:val="000000"/>
          <w:sz w:val="20"/>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AHIAZwAvADIAMAAwADEALwBYAE0ATABTAGMAaABlAG0AYQAiAD4ADQAKACAAIAA8AEkAZAA+ADgA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</w:fldData>
        </w:fldChar>
      </w:r>
      <w:r>
        <w:rPr>
          <w:rFonts w:ascii="Times New Roman" w:hAnsi="Times New Roman" w:cs="Times New Roman"/>
          <w:noProof/>
          <w:color w:val="000000"/>
          <w:sz w:val="20"/>
        </w:rPr>
        <w:instrText xml:space="preserve"> ADDIN </w:instrText>
      </w:r>
      <w:r>
        <w:rPr>
          <w:rFonts w:ascii="Times New Roman" w:hAnsi="Times New Roman" w:cs="Times New Roman"/>
          <w:noProof/>
          <w:color w:val="000000"/>
          <w:sz w:val="20"/>
        </w:rPr>
      </w:r>
      <w:r>
        <w:rPr>
          <w:rFonts w:ascii="Times New Roman" w:hAnsi="Times New Roman" w:cs="Times New Roman"/>
          <w:noProof/>
          <w:color w:val="000000"/>
          <w:sz w:val="20"/>
        </w:rPr>
        <w:fldChar w:fldCharType="end"/>
      </w:r>
      <w:r>
        <w:rPr>
          <w:rFonts w:ascii="Times New Roman" w:hAnsi="Times New Roman" w:cs="Times New Roman"/>
          <w:noProof/>
          <w:color w:val="000000"/>
          <w:sz w:val="20"/>
        </w:rPr>
        <w:instrText xml:space="preserve"> </w:instrText>
      </w:r>
      <w:r>
        <w:rPr>
          <w:rFonts w:ascii="Times New Roman" w:hAnsi="Times New Roman" w:cs="Times New Roman"/>
          <w:noProof/>
          <w:color w:val="000000"/>
          <w:sz w:val="20"/>
        </w:rPr>
        <w:fldChar w:fldCharType="separate"/>
      </w:r>
      <w:r>
        <w:rPr>
          <w:rFonts w:ascii="Times New Roman" w:hAnsi="Times New Roman" w:cs="Times New Roman"/>
          <w:noProof/>
          <w:color w:val="000000"/>
          <w:sz w:val="20"/>
        </w:rPr>
        <w:t>3.3.1</w:t>
      </w:r>
      <w:r>
        <w:rPr>
          <w:rFonts w:ascii="Times New Roman" w:hAnsi="Times New Roman" w:cs="Times New Roman"/>
          <w:noProof/>
          <w:color w:val="000000"/>
          <w:sz w:val="20"/>
        </w:rPr>
        <w:fldChar w:fldCharType="end"/>
      </w:r>
      <w:r>
        <w:rPr>
          <w:rFonts w:ascii="Times New Roman" w:hAnsi="Times New Roman" w:cs="Times New Roman"/>
          <w:noProof/>
          <w:color w:val="000000"/>
          <w:sz w:val="20"/>
        </w:rPr>
        <w:t>). Elderly people and people with disabilities are particularly affected (Graph </w:t>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QUOTE "3.3.2"</w:instrText>
      </w:r>
      <w:r>
        <w:rPr>
          <w:rFonts w:ascii="Times New Roman" w:hAnsi="Times New Roman" w:cs="Times New Roman"/>
          <w:noProof/>
          <w:color w:val="000000"/>
          <w:sz w:val="20"/>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AHIAZwAvADIAMAAwADEALwBYAE0ATABTAGMAaABlAG0AYQAiAD4ADQAKACAAIAA8AEkAZAA+ADIA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</w:fldData>
        </w:fldChar>
      </w:r>
      <w:r>
        <w:rPr>
          <w:rFonts w:ascii="Times New Roman" w:hAnsi="Times New Roman" w:cs="Times New Roman"/>
          <w:noProof/>
          <w:color w:val="000000"/>
          <w:sz w:val="20"/>
        </w:rPr>
        <w:instrText xml:space="preserve"> ADDIN </w:instrText>
      </w:r>
      <w:r>
        <w:rPr>
          <w:rFonts w:ascii="Times New Roman" w:hAnsi="Times New Roman" w:cs="Times New Roman"/>
          <w:noProof/>
          <w:color w:val="000000"/>
          <w:sz w:val="20"/>
        </w:rPr>
      </w:r>
      <w:r>
        <w:rPr>
          <w:rFonts w:ascii="Times New Roman" w:hAnsi="Times New Roman" w:cs="Times New Roman"/>
          <w:noProof/>
          <w:color w:val="000000"/>
          <w:sz w:val="20"/>
        </w:rPr>
        <w:fldChar w:fldCharType="end"/>
      </w:r>
      <w:r>
        <w:rPr>
          <w:rFonts w:ascii="Times New Roman" w:hAnsi="Times New Roman" w:cs="Times New Roman"/>
          <w:noProof/>
          <w:color w:val="000000"/>
          <w:sz w:val="20"/>
        </w:rPr>
        <w:instrText xml:space="preserve"> </w:instrText>
      </w:r>
      <w:r>
        <w:rPr>
          <w:rFonts w:ascii="Times New Roman" w:hAnsi="Times New Roman" w:cs="Times New Roman"/>
          <w:noProof/>
          <w:color w:val="000000"/>
          <w:sz w:val="20"/>
        </w:rPr>
        <w:fldChar w:fldCharType="separate"/>
      </w:r>
      <w:r>
        <w:rPr>
          <w:rFonts w:ascii="Times New Roman" w:hAnsi="Times New Roman" w:cs="Times New Roman"/>
          <w:noProof/>
          <w:color w:val="000000"/>
          <w:sz w:val="20"/>
        </w:rPr>
        <w:t>3.3.2</w:t>
      </w:r>
      <w:r>
        <w:rPr>
          <w:rFonts w:ascii="Times New Roman" w:hAnsi="Times New Roman" w:cs="Times New Roman"/>
          <w:noProof/>
          <w:color w:val="000000"/>
          <w:sz w:val="20"/>
        </w:rPr>
        <w:fldChar w:fldCharType="end"/>
      </w:r>
      <w:r>
        <w:rPr>
          <w:rFonts w:ascii="Times New Roman" w:hAnsi="Times New Roman" w:cs="Times New Roman"/>
          <w:noProof/>
          <w:color w:val="000000"/>
          <w:sz w:val="20"/>
        </w:rPr>
        <w:t>). The share of people who are currently poor and were poor during two out of the three previous years is high and increasing. This indicates that peo</w:t>
      </w:r>
      <w:r>
        <w:rPr>
          <w:rFonts w:ascii="Times New Roman" w:hAnsi="Times New Roman" w:cs="Times New Roman"/>
          <w:noProof/>
          <w:color w:val="000000"/>
          <w:sz w:val="20"/>
        </w:rPr>
        <w:t xml:space="preserve">ple live with a low income for long periods, as opposed to people who face transitory poverty. In 2018, 1 in 5 Latvians experienced material and social deprivation. In 2018, Latvia spent 11.6% of GDP on social payments, well below the EU average of 20.4%. </w:t>
      </w:r>
      <w:r>
        <w:rPr>
          <w:rFonts w:ascii="Times New Roman" w:hAnsi="Times New Roman" w:cs="Times New Roman"/>
          <w:noProof/>
          <w:color w:val="000000"/>
          <w:sz w:val="20"/>
        </w:rPr>
        <w:t>The budget for 2020 targets an increase in social expenditure to 11.7% of GDP (</w:t>
      </w:r>
      <w:r>
        <w:rPr>
          <w:rFonts w:ascii="Times New Roman" w:hAnsi="Times New Roman" w:cs="Times New Roman"/>
          <w:noProof/>
          <w:color w:val="000000"/>
          <w:sz w:val="20"/>
          <w:vertAlign w:val="superscript"/>
        </w:rPr>
        <w:footnoteReference w:id="11"/>
      </w:r>
      <w:r>
        <w:rPr>
          <w:rFonts w:ascii="Times New Roman" w:hAnsi="Times New Roman" w:cs="Times New Roman"/>
          <w:noProof/>
          <w:color w:val="000000"/>
          <w:sz w:val="20"/>
        </w:rPr>
        <w:t>). This mostly reflects the annual indexation of pensions, as well as discretionary increases in minimum social benefits. However, significant investment needs remain to addres</w:t>
      </w:r>
      <w:r>
        <w:rPr>
          <w:rFonts w:ascii="Times New Roman" w:hAnsi="Times New Roman" w:cs="Times New Roman"/>
          <w:noProof/>
          <w:color w:val="000000"/>
          <w:sz w:val="20"/>
        </w:rPr>
        <w:t xml:space="preserve">s Sustainable Development Goal 1 to end poverty and foster the active inclusion and social integration of vulnerable groups, which includes providing these groups with supporting social services. </w:t>
      </w: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Graph 3.3.2:</w:t>
            </w:r>
            <w:r>
              <w:rPr>
                <w:rFonts w:ascii="Century Gothic" w:hAnsi="Century Gothic" w:cs="Times New Roman"/>
                <w:b/>
                <w:noProof/>
                <w:color w:val="333399"/>
                <w:sz w:val="14"/>
              </w:rPr>
              <w:tab/>
              <w:t>At-risk-of-poverty rate by age groups</w:t>
            </w:r>
          </w:p>
        </w:tc>
      </w:tr>
      <w:tr w:rsidR="00A8765D">
        <w:trPr>
          <w:cantSplit/>
        </w:trPr>
        <w:tc>
          <w:tcPr>
            <w:tcW w:w="4111"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43" w:name="_Toc33020659"/>
            <w:r>
              <w:rPr>
                <w:rFonts w:ascii="Times New Roman" w:hAnsi="Times New Roman" w:cs="Times New Roman"/>
                <w:noProof/>
                <w:color w:val="000000"/>
                <w:sz w:val="20"/>
              </w:rPr>
              <w:instrText>3.</w:instrText>
            </w:r>
            <w:r>
              <w:rPr>
                <w:rFonts w:ascii="Times New Roman" w:hAnsi="Times New Roman" w:cs="Times New Roman"/>
                <w:noProof/>
                <w:color w:val="000000"/>
                <w:sz w:val="20"/>
              </w:rPr>
              <w:instrText>3.2.</w:instrText>
            </w:r>
            <w:r>
              <w:rPr>
                <w:rFonts w:ascii="Times New Roman" w:hAnsi="Times New Roman" w:cs="Times New Roman"/>
                <w:noProof/>
                <w:color w:val="000000"/>
                <w:sz w:val="20"/>
              </w:rPr>
              <w:tab/>
              <w:instrText>At-risk-of-poverty rate by age groups</w:instrText>
            </w:r>
            <w:bookmarkEnd w:id="43"/>
            <w:r>
              <w:rPr>
                <w:rFonts w:ascii="Times New Roman" w:hAnsi="Times New Roman" w:cs="Times New Roman"/>
                <w:noProof/>
                <w:color w:val="000000"/>
                <w:sz w:val="20"/>
              </w:rPr>
              <w:instrText xml:space="preserve">" \fgraph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en-GB"/>
              </w:rPr>
              <w:drawing>
                <wp:inline distT="0" distB="0" distL="0" distR="0">
                  <wp:extent cx="2597595" cy="2444684"/>
                  <wp:effectExtent l="0" t="0" r="0" b="0"/>
                  <wp:docPr id="77" name="Picture 77" descr="&lt;nbr&gt;&lt;GETTEXTFROMWORD&gt;&lt;/nbr&gt;&#10;&lt;title&gt;&lt;GETTEXTFROMWORD&gt;&lt;/title&gt;&#10;&lt;id&gt;2534c21c-0655-4195-88cb-bee51bcc4a7c&lt;/id&gt;&#10;&lt;srcType&gt;EXCEL&lt;/srcType&gt;&#10;&lt;srcPath&gt;O:\2017 CRs\2020 European semester\LV\LV2020_ graphs\&lt;/srcPath&gt;&#10;&lt;srcName&gt;Section 3.3.xlsx&lt;/srcName&gt;&#10;&lt;type&gt;graph&lt;/type&gt;&#10; &lt;srcSheet&gt;AROP_gap&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9-12-13T11:16:10&lt;/scrFileTime&gt;&#10;&lt;imageInformation&gt;&#10; &lt;dontScaleUp&gt;no&lt;/dontScaleUp&gt;&#10; &lt;usedpercentageofavailablewidth&gt;100&lt;/usedpercentageofavailablewidth&gt;&#10;&lt;/imageInformation&gt;&#10;&lt;url&gt;Chap0/Chap0-Graph-%SectionNumber%.15.xlsx&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71">
                            <a:extLst>
                              <a:ext uri="{28A0092B-C50C-407E-A947-70E740481C1C}">
                                <a14:useLocalDpi xmlns:a14="http://schemas.microsoft.com/office/drawing/2010/main" val="0"/>
                              </a:ext>
                            </a:extLst>
                          </a:blip>
                          <a:srcRect/>
                          <a:stretch>
                            <a:fillRect/>
                          </a:stretch>
                        </pic:blipFill>
                        <pic:spPr>
                          <a:xfrm>
                            <a:off x="0" y="0"/>
                            <a:ext cx="2597595" cy="2444684"/>
                          </a:xfrm>
                          <a:prstGeom prst="rect">
                            <a:avLst/>
                          </a:prstGeom>
                        </pic:spPr>
                      </pic:pic>
                    </a:graphicData>
                  </a:graphic>
                </wp:inline>
              </w:drawing>
            </w:r>
            <w:r>
              <w:rPr>
                <w:rFonts w:ascii="Times New Roman" w:hAnsi="Times New Roman" w:cs="Times New Roman"/>
                <w:noProof/>
                <w:color w:val="000000"/>
                <w:sz w:val="2"/>
              </w:rPr>
              <w:t xml:space="preserve"> </w:t>
            </w:r>
          </w:p>
        </w:tc>
      </w:tr>
      <w:tr w:rsidR="00A8765D">
        <w:trPr>
          <w:cantSplit/>
        </w:trPr>
        <w:tc>
          <w:tcPr>
            <w:tcW w:w="4111" w:type="dxa"/>
            <w:shd w:val="clear" w:color="auto" w:fill="auto"/>
            <w:tcMar>
              <w:bottom w:w="240" w:type="dxa"/>
            </w:tcMar>
          </w:tcPr>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noProof/>
                <w:color w:val="000000"/>
                <w:sz w:val="14"/>
              </w:rPr>
              <w:t xml:space="preserve">(1) The at-risk-of-poverty rate is the share of people with an equivalised disposable income below the at-risk-of-poverty threshold, which is set at 60% of the national median equivalised </w:t>
            </w:r>
            <w:r>
              <w:rPr>
                <w:rFonts w:ascii="Century Gothic" w:hAnsi="Century Gothic" w:cs="Times New Roman"/>
                <w:noProof/>
                <w:color w:val="000000"/>
                <w:sz w:val="14"/>
              </w:rPr>
              <w:t>disposable income.</w:t>
            </w:r>
          </w:p>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European Commission</w:t>
            </w:r>
          </w:p>
        </w:tc>
      </w:tr>
    </w:tbl>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Poverty rates are markedly different among age groups, and tax and benefit policies have not changed significantly the situation of the poorest households.</w:t>
      </w:r>
      <w:r>
        <w:rPr>
          <w:rFonts w:ascii="Times New Roman" w:hAnsi="Times New Roman" w:cs="Times New Roman"/>
          <w:noProof/>
          <w:color w:val="000000"/>
          <w:sz w:val="20"/>
        </w:rPr>
        <w:t xml:space="preserve"> In 2018, the overall at-risk-of–poverty-or-social-exclusion rate of 28.4% masked large differences between different age groups, with older people (aged 65+) facing a more than double risk compared to children or those of working age (49% versus 23%, resp</w:t>
      </w:r>
      <w:r>
        <w:rPr>
          <w:rFonts w:ascii="Times New Roman" w:hAnsi="Times New Roman" w:cs="Times New Roman"/>
          <w:noProof/>
          <w:color w:val="000000"/>
          <w:sz w:val="20"/>
        </w:rPr>
        <w:t>ectively). According to EUROMOD estimates, the tax and benefit policy changes between 2008 and 2018 increased, on average, disposable income and reduced income inequality (the Gini coefficient fell by about 1%) (European Commission, 2019b). Middle-income g</w:t>
      </w:r>
      <w:r>
        <w:rPr>
          <w:rFonts w:ascii="Times New Roman" w:hAnsi="Times New Roman" w:cs="Times New Roman"/>
          <w:noProof/>
          <w:color w:val="000000"/>
          <w:sz w:val="20"/>
        </w:rPr>
        <w:t>roups and the poorest 10% are estimated to have benefited the most. However, the overall poverty rate has remained broadly unchanged, as the poverty line of 60% of median income has increased, covering a similar share of people as before. Policy changes ha</w:t>
      </w:r>
      <w:r>
        <w:rPr>
          <w:rFonts w:ascii="Times New Roman" w:hAnsi="Times New Roman" w:cs="Times New Roman"/>
          <w:noProof/>
          <w:color w:val="000000"/>
          <w:sz w:val="20"/>
        </w:rPr>
        <w:t>ve been more targeted at reducing child poverty (by 2.9 pps), while the poverty rate for older people has increased (by 4.1 pps).</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adequacy of social assistance benefits slightly improved, but remains low and contributes little to alleviating poverty</w:t>
      </w:r>
      <w:r>
        <w:rPr>
          <w:rFonts w:ascii="Times New Roman" w:hAnsi="Times New Roman" w:cs="Times New Roman"/>
          <w:noProof/>
          <w:color w:val="000000"/>
          <w:sz w:val="20"/>
        </w:rPr>
        <w:t>. T</w:t>
      </w:r>
      <w:r>
        <w:rPr>
          <w:rFonts w:ascii="Times New Roman" w:hAnsi="Times New Roman" w:cs="Times New Roman"/>
          <w:noProof/>
          <w:color w:val="000000"/>
          <w:sz w:val="20"/>
        </w:rPr>
        <w:t>he adequacy and the coverage of the minimum income scheme are very low (</w:t>
      </w:r>
      <w:r>
        <w:rPr>
          <w:rFonts w:ascii="Times New Roman" w:hAnsi="Times New Roman" w:cs="Times New Roman"/>
          <w:noProof/>
          <w:color w:val="000000"/>
          <w:sz w:val="20"/>
          <w:vertAlign w:val="superscript"/>
        </w:rPr>
        <w:footnoteReference w:id="12"/>
      </w:r>
      <w:r>
        <w:rPr>
          <w:rFonts w:ascii="Times New Roman" w:hAnsi="Times New Roman" w:cs="Times New Roman"/>
          <w:noProof/>
          <w:color w:val="000000"/>
          <w:sz w:val="20"/>
        </w:rPr>
        <w:t>). From 2020, the guaranteed minimum income tops up monthly income to EUR 64 (from EUR 53 in 2019). The amount of the benefit is still well below the costs of living and the poverty t</w:t>
      </w:r>
      <w:r>
        <w:rPr>
          <w:rFonts w:ascii="Times New Roman" w:hAnsi="Times New Roman" w:cs="Times New Roman"/>
          <w:noProof/>
          <w:color w:val="000000"/>
          <w:sz w:val="20"/>
        </w:rPr>
        <w:t>hreshold, which stood at EUR 409 in 2018. In 2018, around 1% of the population (20 878 persons) were guaranteed minimum income recipients, out of which 20% were children, 16% people with disabilities and 14% older people. The increase will result in less t</w:t>
      </w:r>
      <w:r>
        <w:rPr>
          <w:rFonts w:ascii="Times New Roman" w:hAnsi="Times New Roman" w:cs="Times New Roman"/>
          <w:noProof/>
          <w:color w:val="000000"/>
          <w:sz w:val="20"/>
        </w:rPr>
        <w:t>han 5 000 additional people eligible for the benefit. The effect of the guaranteed minimum income on poverty reduction is very small (1 pp in 2017), and the effect of the housing benefits is equally low, underlining the poor adequacy of Latvia’s social saf</w:t>
      </w:r>
      <w:r>
        <w:rPr>
          <w:rFonts w:ascii="Times New Roman" w:hAnsi="Times New Roman" w:cs="Times New Roman"/>
          <w:noProof/>
          <w:color w:val="000000"/>
          <w:sz w:val="20"/>
        </w:rPr>
        <w:t>ety nets (European Commission, 2019b).</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Minimum pensions have been slightly increased, but the adequacy of pensions remains low.</w:t>
      </w:r>
      <w:r>
        <w:rPr>
          <w:rFonts w:ascii="Times New Roman" w:hAnsi="Times New Roman" w:cs="Times New Roman"/>
          <w:noProof/>
          <w:color w:val="000000"/>
          <w:sz w:val="20"/>
        </w:rPr>
        <w:t xml:space="preserve"> In 2018, the aggregate replacement ratio for pensions in Latvia stood at only 40 %, among the lowest in the EU. In 2018, 11.5 % </w:t>
      </w:r>
      <w:r>
        <w:rPr>
          <w:rFonts w:ascii="Times New Roman" w:hAnsi="Times New Roman" w:cs="Times New Roman"/>
          <w:noProof/>
          <w:color w:val="000000"/>
          <w:sz w:val="20"/>
        </w:rPr>
        <w:t>of newly allocated pensions were minimum pensions at an average amount of EUR 83 per month. The average monthly pension stood at around EUR 360 in 2019, which is below the poverty threshold. The gap between pensions and wages in the economy has widened. Th</w:t>
      </w:r>
      <w:r>
        <w:rPr>
          <w:rFonts w:ascii="Times New Roman" w:hAnsi="Times New Roman" w:cs="Times New Roman"/>
          <w:noProof/>
          <w:color w:val="000000"/>
          <w:sz w:val="20"/>
        </w:rPr>
        <w:t>e average inflation-adjusted gross wage increased by 33% between 2014 and 2019, while, the average inflation-adjusted old-age pension increased only by 15%over the same period. To improve the situation for pensioners, the income tax allowance was increased</w:t>
      </w:r>
      <w:r>
        <w:rPr>
          <w:rFonts w:ascii="Times New Roman" w:hAnsi="Times New Roman" w:cs="Times New Roman"/>
          <w:noProof/>
          <w:color w:val="000000"/>
          <w:sz w:val="20"/>
        </w:rPr>
        <w:t xml:space="preserve"> in 2019 and more favourable indexation rules have been applied to cover inflation and for those with longer service periods. On 1 January 2020, the government also raised the minimum pension base rate from EUR 64 to EUR 80 with higher rates applied for mo</w:t>
      </w:r>
      <w:r>
        <w:rPr>
          <w:rFonts w:ascii="Times New Roman" w:hAnsi="Times New Roman" w:cs="Times New Roman"/>
          <w:noProof/>
          <w:color w:val="000000"/>
          <w:sz w:val="20"/>
        </w:rPr>
        <w:t>re years worked. Those who have worked less than 15 years will not benefit from the increase, as they are only entitled to a state social security old-age allowance that has remained unchanged at EUR 64 since 2006. Consequently, the adequacy improvements a</w:t>
      </w:r>
      <w:r>
        <w:rPr>
          <w:rFonts w:ascii="Times New Roman" w:hAnsi="Times New Roman" w:cs="Times New Roman"/>
          <w:noProof/>
          <w:color w:val="000000"/>
          <w:sz w:val="20"/>
        </w:rPr>
        <w:t xml:space="preserve">re limited and a large proportion of older people (46%, 2018, EU-SILC) remains below the poverty threshold.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unemployed are at high risk of poverty, in particular when the duration of unemployment increases.</w:t>
      </w:r>
      <w:r>
        <w:rPr>
          <w:rFonts w:ascii="Times New Roman" w:hAnsi="Times New Roman" w:cs="Times New Roman"/>
          <w:noProof/>
          <w:color w:val="000000"/>
          <w:sz w:val="20"/>
        </w:rPr>
        <w:t xml:space="preserve"> The at-risk-of-poverty rate of unemployed pe</w:t>
      </w:r>
      <w:r>
        <w:rPr>
          <w:rFonts w:ascii="Times New Roman" w:hAnsi="Times New Roman" w:cs="Times New Roman"/>
          <w:noProof/>
          <w:color w:val="000000"/>
          <w:sz w:val="20"/>
        </w:rPr>
        <w:t>rsons is high, at 60% (2018), and rising. Despite this, as of 2020, unemployment benefits are paid only for the first 8 months of unemployment (previously 9 months) and are gradually reduced during these months. This change is expected to have a limited im</w:t>
      </w:r>
      <w:r>
        <w:rPr>
          <w:rFonts w:ascii="Times New Roman" w:hAnsi="Times New Roman" w:cs="Times New Roman"/>
          <w:noProof/>
          <w:color w:val="000000"/>
          <w:sz w:val="20"/>
        </w:rPr>
        <w:t>pact on the incentive to seek work, as there is already low benefit dependency and about half of the recipients exited the benefit scheme within 6 months (OECD, 2019b). Moreover, low social insurance contributions result in low unemployment benefits. As th</w:t>
      </w:r>
      <w:r>
        <w:rPr>
          <w:rFonts w:ascii="Times New Roman" w:hAnsi="Times New Roman" w:cs="Times New Roman"/>
          <w:noProof/>
          <w:color w:val="000000"/>
          <w:sz w:val="20"/>
        </w:rPr>
        <w:t>ere is no minimum level of unemployment benefits, vulnerable groups may require social assistance. Therefore cooperation between public employment and social services could be enhanced. The average unemployment benefit stood at EUR 356 per month (September</w:t>
      </w:r>
      <w:r>
        <w:rPr>
          <w:rFonts w:ascii="Times New Roman" w:hAnsi="Times New Roman" w:cs="Times New Roman"/>
          <w:noProof/>
          <w:color w:val="000000"/>
          <w:sz w:val="20"/>
        </w:rPr>
        <w:t xml:space="preserve"> 2019, national data), below the poverty threshold of EUR 409 (2018). Moreover, seasonal workers and the self-employed are not covered by insurance against unemployment and have limited social protection coverage.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Measures are being taken to improve the w</w:t>
      </w:r>
      <w:r>
        <w:rPr>
          <w:rFonts w:ascii="Times New Roman" w:hAnsi="Times New Roman" w:cs="Times New Roman"/>
          <w:b/>
          <w:noProof/>
          <w:color w:val="000000"/>
          <w:sz w:val="20"/>
        </w:rPr>
        <w:t>eak social protection for persons with disabilities</w:t>
      </w:r>
      <w:r>
        <w:rPr>
          <w:rFonts w:ascii="Times New Roman" w:hAnsi="Times New Roman" w:cs="Times New Roman"/>
          <w:noProof/>
          <w:color w:val="000000"/>
          <w:sz w:val="20"/>
        </w:rPr>
        <w:t>. The share of persons with disabilities at risk of poverty or social exclusion in Latvia is 43.6 %, one of the highest in the EU (EU average 28.7 %; 2018). In 2018, Latvia had one of the highest gaps in t</w:t>
      </w:r>
      <w:r>
        <w:rPr>
          <w:rFonts w:ascii="Times New Roman" w:hAnsi="Times New Roman" w:cs="Times New Roman"/>
          <w:noProof/>
          <w:color w:val="000000"/>
          <w:sz w:val="20"/>
        </w:rPr>
        <w:t xml:space="preserve">he EU between the at-risk-of poverty–and-social-exclusion rate for persons with and without disabilities (22.4 pps vs. the EU average of 9.5 pps). On 1 January 2020, the state social security benefit, which serves as a basis for calculating the invalidity </w:t>
      </w:r>
      <w:r>
        <w:rPr>
          <w:rFonts w:ascii="Times New Roman" w:hAnsi="Times New Roman" w:cs="Times New Roman"/>
          <w:noProof/>
          <w:color w:val="000000"/>
          <w:sz w:val="20"/>
        </w:rPr>
        <w:t>pension, was raised from EUR 64 to 80 EUR. But for persons with a disability since childhood, the amount has been increased from EUR 106.72 to EUR 122.69 and will be further indexed depending on the severity of the disability. Furthermore, the special care</w:t>
      </w:r>
      <w:r>
        <w:rPr>
          <w:rFonts w:ascii="Times New Roman" w:hAnsi="Times New Roman" w:cs="Times New Roman"/>
          <w:noProof/>
          <w:color w:val="000000"/>
          <w:sz w:val="20"/>
        </w:rPr>
        <w:t xml:space="preserve"> allowance for children and adults with severe disability since childhood was increased on 1 July 2019, by EUR 100, amounting to EUR 313.43 per month. While the measure increases the disposable income of this group, the amounts are still below the poverty </w:t>
      </w:r>
      <w:r>
        <w:rPr>
          <w:rFonts w:ascii="Times New Roman" w:hAnsi="Times New Roman" w:cs="Times New Roman"/>
          <w:noProof/>
          <w:color w:val="000000"/>
          <w:sz w:val="20"/>
        </w:rPr>
        <w:t xml:space="preserve">threshold, and more could be achieved by providing community-based services.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transition from institutional to community-based care has started, but only covers a part of overall needs.</w:t>
      </w:r>
      <w:r>
        <w:rPr>
          <w:rFonts w:ascii="Times New Roman" w:hAnsi="Times New Roman" w:cs="Times New Roman"/>
          <w:noProof/>
          <w:color w:val="000000"/>
          <w:sz w:val="20"/>
        </w:rPr>
        <w:t xml:space="preserve"> Despite improvements, Latvia still has a high number of people liv</w:t>
      </w:r>
      <w:r>
        <w:rPr>
          <w:rFonts w:ascii="Times New Roman" w:hAnsi="Times New Roman" w:cs="Times New Roman"/>
          <w:noProof/>
          <w:color w:val="000000"/>
          <w:sz w:val="20"/>
        </w:rPr>
        <w:t>ing in institutional settings (5 010 in 2019). With a delay of 2 years, the transition from institutional to community-based care started in 2018 for three priority groups: adults with mental disorders, children with functional disorders and children in ou</w:t>
      </w:r>
      <w:r>
        <w:rPr>
          <w:rFonts w:ascii="Times New Roman" w:hAnsi="Times New Roman" w:cs="Times New Roman"/>
          <w:noProof/>
          <w:color w:val="000000"/>
          <w:sz w:val="20"/>
        </w:rPr>
        <w:t>t-of-family care</w:t>
      </w:r>
      <w:r>
        <w:rPr>
          <w:rFonts w:ascii="Times New Roman" w:hAnsi="Times New Roman" w:cs="Times New Roman"/>
          <w:b/>
          <w:noProof/>
          <w:color w:val="000000"/>
          <w:sz w:val="20"/>
        </w:rPr>
        <w:t>.</w:t>
      </w:r>
      <w:r>
        <w:rPr>
          <w:rFonts w:ascii="Times New Roman" w:hAnsi="Times New Roman" w:cs="Times New Roman"/>
          <w:noProof/>
          <w:color w:val="000000"/>
          <w:sz w:val="20"/>
        </w:rPr>
        <w:t xml:space="preserve"> As a result, the number of children in institutions is decreasing. Prejudices towards adults with mental disabilities remain a challenge though, and continuous communication efforts are needed. The EU funds support community-based care se</w:t>
      </w:r>
      <w:r>
        <w:rPr>
          <w:rFonts w:ascii="Times New Roman" w:hAnsi="Times New Roman" w:cs="Times New Roman"/>
          <w:noProof/>
          <w:color w:val="000000"/>
          <w:sz w:val="20"/>
        </w:rPr>
        <w:t>rvices as well as infrastructure, such as day care centres and group apartments, but these funds succeed in covering only a part of the overall needs. The capacity of municipalities to develop community-based services has been strengthened, but shortages o</w:t>
      </w:r>
      <w:r>
        <w:rPr>
          <w:rFonts w:ascii="Times New Roman" w:hAnsi="Times New Roman" w:cs="Times New Roman"/>
          <w:noProof/>
          <w:color w:val="000000"/>
          <w:sz w:val="20"/>
        </w:rPr>
        <w:t>f social workers pose a risk to the successful implementation and sustainability of the programme. In 2018, 36% of the country’s municipal social services did not comply with the minimum requirement set by law to provide one social work specialist per 1 00</w:t>
      </w:r>
      <w:r>
        <w:rPr>
          <w:rFonts w:ascii="Times New Roman" w:hAnsi="Times New Roman" w:cs="Times New Roman"/>
          <w:noProof/>
          <w:color w:val="000000"/>
          <w:sz w:val="20"/>
        </w:rPr>
        <w:t xml:space="preserve">0 inhabitants.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Access to childcare facilities is low and the provision of services and support measures is unequal.</w:t>
      </w:r>
      <w:r>
        <w:rPr>
          <w:rFonts w:ascii="Times New Roman" w:hAnsi="Times New Roman" w:cs="Times New Roman"/>
          <w:noProof/>
          <w:color w:val="000000"/>
          <w:sz w:val="20"/>
        </w:rPr>
        <w:t xml:space="preserve"> In 2018, 27% of all 0-3-year-olds were enrolled in formal childcare, which is below the Barcelona targets of 33% and below the EU average o</w:t>
      </w:r>
      <w:r>
        <w:rPr>
          <w:rFonts w:ascii="Times New Roman" w:hAnsi="Times New Roman" w:cs="Times New Roman"/>
          <w:noProof/>
          <w:color w:val="000000"/>
          <w:sz w:val="20"/>
        </w:rPr>
        <w:t>f 35% (EU-SILC). While Latvia guarantees a free public early education and care place for every child from as early as one and a half years, around 17% of women and men in Latvia report unmet needs for formal childcare services. Lone mothers are more likel</w:t>
      </w:r>
      <w:r>
        <w:rPr>
          <w:rFonts w:ascii="Times New Roman" w:hAnsi="Times New Roman" w:cs="Times New Roman"/>
          <w:noProof/>
          <w:color w:val="000000"/>
          <w:sz w:val="20"/>
        </w:rPr>
        <w:t>y to report higher unmet needs for formal childcare services (24%), compared to couples with children (17%) (EIGE, 2019). The number of public and private care facilities has increased mainly in Riga and the surrounding area, but decreased in other regions</w:t>
      </w:r>
      <w:r>
        <w:rPr>
          <w:rFonts w:ascii="Times New Roman" w:hAnsi="Times New Roman" w:cs="Times New Roman"/>
          <w:noProof/>
          <w:color w:val="000000"/>
          <w:sz w:val="20"/>
        </w:rPr>
        <w:t>. Nevertheless, the availability of the legally entitled place in a public pre-school is a challenge in Riga and other larger cities. Available support measures, eligibility criteria as well as the amount of co-financing for children in private pre-schools</w:t>
      </w:r>
      <w:r>
        <w:rPr>
          <w:rFonts w:ascii="Times New Roman" w:hAnsi="Times New Roman" w:cs="Times New Roman"/>
          <w:noProof/>
          <w:color w:val="000000"/>
          <w:sz w:val="20"/>
        </w:rPr>
        <w:t xml:space="preserve"> due to the absence of publicly funded places varies among the municipalities, thus increasing the inequalities in access to early childhood education and care.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Access to adequate housing, particularly for low-income groups, is a challenge, and </w:t>
      </w:r>
      <w:r>
        <w:rPr>
          <w:rFonts w:ascii="Times New Roman" w:hAnsi="Times New Roman" w:cs="Times New Roman"/>
          <w:b/>
          <w:noProof/>
          <w:color w:val="000000"/>
          <w:sz w:val="20"/>
        </w:rPr>
        <w:t>homelessness is not addressed at national level.</w:t>
      </w:r>
      <w:r>
        <w:rPr>
          <w:rFonts w:ascii="Times New Roman" w:hAnsi="Times New Roman" w:cs="Times New Roman"/>
          <w:noProof/>
          <w:color w:val="000000"/>
          <w:sz w:val="20"/>
        </w:rPr>
        <w:t xml:space="preserve"> In 2018, 14.9% of the population and every fifth person at risk of poverty experienced severe housing deprivation, significantly above the EU average of 3.9% and 9.4% respectively. The proportion of people w</w:t>
      </w:r>
      <w:r>
        <w:rPr>
          <w:rFonts w:ascii="Times New Roman" w:hAnsi="Times New Roman" w:cs="Times New Roman"/>
          <w:noProof/>
          <w:color w:val="000000"/>
          <w:sz w:val="20"/>
        </w:rPr>
        <w:t>ho found it difficult to adequately warm their homes decreased to 7.5% (2018), while the proportion of those with arrears in utility bills remains high (11.6%, 2018) (see Section 3.5). The lack of a common approach for providing housing benefits in municip</w:t>
      </w:r>
      <w:r>
        <w:rPr>
          <w:rFonts w:ascii="Times New Roman" w:hAnsi="Times New Roman" w:cs="Times New Roman"/>
          <w:noProof/>
          <w:color w:val="000000"/>
          <w:sz w:val="20"/>
        </w:rPr>
        <w:t>alities creates unequal access to the service. The social housing stock is low and often not fit for living, while the waiting period can reach up to 25 years (BISS, 2019). Between 2009 and 2017, the number of homeless people using shelter/night shelter se</w:t>
      </w:r>
      <w:r>
        <w:rPr>
          <w:rFonts w:ascii="Times New Roman" w:hAnsi="Times New Roman" w:cs="Times New Roman"/>
          <w:noProof/>
          <w:color w:val="000000"/>
          <w:sz w:val="20"/>
        </w:rPr>
        <w:t>rvices in Latvia increased almost fourfold reaching 6 877 persons, of whom 80% are men. The service provision for the homeless remains underdeveloped and differs across various municipalities (Lāce T., 2019). Moreover, there is no national strategy in Latv</w:t>
      </w:r>
      <w:r>
        <w:rPr>
          <w:rFonts w:ascii="Times New Roman" w:hAnsi="Times New Roman" w:cs="Times New Roman"/>
          <w:noProof/>
          <w:color w:val="000000"/>
          <w:sz w:val="20"/>
        </w:rPr>
        <w:t xml:space="preserve">ia to address homelessness and housing exclusion specifically nor has any social housing policy been developed in general.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The social economy is still a new concept with a potential for growth. </w:t>
      </w:r>
      <w:r>
        <w:rPr>
          <w:rFonts w:ascii="Times New Roman" w:hAnsi="Times New Roman" w:cs="Times New Roman"/>
          <w:noProof/>
          <w:color w:val="000000"/>
          <w:sz w:val="20"/>
        </w:rPr>
        <w:t>There were 75 registered social enterprises by the end of 201</w:t>
      </w:r>
      <w:r>
        <w:rPr>
          <w:rFonts w:ascii="Times New Roman" w:hAnsi="Times New Roman" w:cs="Times New Roman"/>
          <w:noProof/>
          <w:color w:val="000000"/>
          <w:sz w:val="20"/>
        </w:rPr>
        <w:t>9 (MoW data, 2019 (</w:t>
      </w:r>
      <w:r>
        <w:rPr>
          <w:rFonts w:ascii="Times New Roman" w:hAnsi="Times New Roman" w:cs="Times New Roman"/>
          <w:noProof/>
          <w:color w:val="000000"/>
          <w:sz w:val="20"/>
          <w:vertAlign w:val="superscript"/>
        </w:rPr>
        <w:footnoteReference w:id="13"/>
      </w:r>
      <w:r>
        <w:rPr>
          <w:rFonts w:ascii="Times New Roman" w:hAnsi="Times New Roman" w:cs="Times New Roman"/>
          <w:noProof/>
          <w:color w:val="000000"/>
          <w:sz w:val="20"/>
        </w:rPr>
        <w:t>)). However, it is estimated that up to 200 social enterprises operate in Latvia. Most are relatively new and usually do not employ more than 10 people. While there is a Law on Social Enterprises (2018) and a grant programme, limited re</w:t>
      </w:r>
      <w:r>
        <w:rPr>
          <w:rFonts w:ascii="Times New Roman" w:hAnsi="Times New Roman" w:cs="Times New Roman"/>
          <w:noProof/>
          <w:color w:val="000000"/>
          <w:sz w:val="20"/>
        </w:rPr>
        <w:t>cognition by the market and society, as well as poor entrepreneurial skills constrain the creation and growth of the social economy in Latvia. (European Commission, 2018b). Furthermore, while civil society organisations have many opportunities for particip</w:t>
      </w:r>
      <w:r>
        <w:rPr>
          <w:rFonts w:ascii="Times New Roman" w:hAnsi="Times New Roman" w:cs="Times New Roman"/>
          <w:noProof/>
          <w:color w:val="000000"/>
          <w:sz w:val="20"/>
        </w:rPr>
        <w:t>ation in policy making, their impact is moderate due to their limited capacity.</w:t>
      </w:r>
    </w:p>
    <w:p w:rsidR="00A8765D" w:rsidRDefault="006C09F5">
      <w:pPr>
        <w:keepNext/>
        <w:tabs>
          <w:tab w:val="left" w:pos="567"/>
        </w:tabs>
        <w:spacing w:before="240" w:after="240" w:line="240" w:lineRule="atLeast"/>
        <w:ind w:left="567" w:hanging="567"/>
        <w:outlineLvl w:val="2"/>
        <w:rPr>
          <w:rFonts w:ascii="Century Gothic" w:hAnsi="Century Gothic" w:cs="Times New Roman"/>
          <w:b/>
          <w:caps/>
          <w:noProof/>
          <w:color w:val="333399"/>
          <w:sz w:val="18"/>
        </w:rPr>
      </w:pPr>
      <w:r>
        <w:rPr>
          <w:rFonts w:ascii="Century Gothic" w:hAnsi="Century Gothic" w:cs="Times New Roman"/>
          <w:b/>
          <w:caps/>
          <w:noProof/>
          <w:color w:val="333399"/>
          <w:sz w:val="18"/>
        </w:rPr>
        <w:t>3.3.3.</w:t>
      </w:r>
      <w:r>
        <w:rPr>
          <w:rFonts w:ascii="Century Gothic" w:hAnsi="Century Gothic" w:cs="Times New Roman"/>
          <w:b/>
          <w:caps/>
          <w:noProof/>
          <w:color w:val="333399"/>
          <w:sz w:val="18"/>
        </w:rPr>
        <w:tab/>
        <w:t>Healthcare</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Unhealthy lifestyles constitute one of the main reasons for poor health outcomes. </w:t>
      </w:r>
      <w:r>
        <w:rPr>
          <w:rFonts w:ascii="Times New Roman" w:hAnsi="Times New Roman" w:cs="Times New Roman"/>
          <w:noProof/>
          <w:color w:val="000000"/>
          <w:sz w:val="20"/>
        </w:rPr>
        <w:t>The rate of preventable mortality in Latvia was the second highest in the EU</w:t>
      </w:r>
      <w:r>
        <w:rPr>
          <w:rFonts w:ascii="Times New Roman" w:hAnsi="Times New Roman" w:cs="Times New Roman"/>
          <w:noProof/>
          <w:color w:val="000000"/>
          <w:sz w:val="20"/>
        </w:rPr>
        <w:t xml:space="preserve"> in 2017. Lifestyle-related risk factors (including tobacco smoking, dietary habits, alcohol consumption and low levels of physical activity) are responsible for around 51% of all deaths in Latvia, far above the EU average of 39%. The authorities are putti</w:t>
      </w:r>
      <w:r>
        <w:rPr>
          <w:rFonts w:ascii="Times New Roman" w:hAnsi="Times New Roman" w:cs="Times New Roman"/>
          <w:noProof/>
          <w:color w:val="000000"/>
          <w:sz w:val="20"/>
        </w:rPr>
        <w:t>ng increasing emphasis on promoting health and a series of measures have been taken in recent years. Nonetheless, the spending on public health and prevention in Latvia remained at 2.4% of the health budget in 2017, below the EU average of 3.1% (OECD/Europ</w:t>
      </w:r>
      <w:r>
        <w:rPr>
          <w:rFonts w:ascii="Times New Roman" w:hAnsi="Times New Roman" w:cs="Times New Roman"/>
          <w:noProof/>
          <w:color w:val="000000"/>
          <w:sz w:val="20"/>
        </w:rPr>
        <w:t xml:space="preserve">ean Observatory on Health Systems and Policies, 2019).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Low public financing for health limits access to quality and timely care, negatively affecting health outcomes</w:t>
      </w:r>
      <w:r>
        <w:rPr>
          <w:rFonts w:ascii="Times New Roman" w:hAnsi="Times New Roman" w:cs="Times New Roman"/>
          <w:noProof/>
          <w:color w:val="000000"/>
          <w:sz w:val="20"/>
        </w:rPr>
        <w:t>. Health coverage is nominally universal, but coverage gaps exist. Restricted access to st</w:t>
      </w:r>
      <w:r>
        <w:rPr>
          <w:rFonts w:ascii="Times New Roman" w:hAnsi="Times New Roman" w:cs="Times New Roman"/>
          <w:noProof/>
          <w:color w:val="000000"/>
          <w:sz w:val="20"/>
        </w:rPr>
        <w:t>ate-paid health services leads to long waiting times, high unmet needs for care with significant disparities between income groups (12.8% for the poorest 20% of the population versus 1.7% for the richest 20% of the population), high levels of out-of-pocket</w:t>
      </w:r>
      <w:r>
        <w:rPr>
          <w:rFonts w:ascii="Times New Roman" w:hAnsi="Times New Roman" w:cs="Times New Roman"/>
          <w:noProof/>
          <w:color w:val="000000"/>
          <w:sz w:val="20"/>
        </w:rPr>
        <w:t xml:space="preserve"> payments for health services (41.8% of the total health spending in 2017) and financial hardship for vulnerable groups such as pensioners and low-income households (European Commission, 2019a). In 2017, the rate of treatable mortality in Latvia was the th</w:t>
      </w:r>
      <w:r>
        <w:rPr>
          <w:rFonts w:ascii="Times New Roman" w:hAnsi="Times New Roman" w:cs="Times New Roman"/>
          <w:noProof/>
          <w:color w:val="000000"/>
          <w:sz w:val="20"/>
        </w:rPr>
        <w:t>ird highest in the EU, pointing to a need and scope to invest in improving access to and the quality of healthcare. Public financing for healthcare increased from 3.4% of GDP in 2017 to around 3.8% in 2019 (</w:t>
      </w:r>
      <w:r>
        <w:rPr>
          <w:rFonts w:ascii="Times New Roman" w:hAnsi="Times New Roman" w:cs="Times New Roman"/>
          <w:noProof/>
          <w:color w:val="000000"/>
          <w:sz w:val="20"/>
          <w:vertAlign w:val="superscript"/>
        </w:rPr>
        <w:footnoteReference w:id="14"/>
      </w:r>
      <w:r>
        <w:rPr>
          <w:rFonts w:ascii="Times New Roman" w:hAnsi="Times New Roman" w:cs="Times New Roman"/>
          <w:noProof/>
          <w:color w:val="000000"/>
          <w:sz w:val="20"/>
        </w:rPr>
        <w:t>). This increased the availability of some healt</w:t>
      </w:r>
      <w:r>
        <w:rPr>
          <w:rFonts w:ascii="Times New Roman" w:hAnsi="Times New Roman" w:cs="Times New Roman"/>
          <w:noProof/>
          <w:color w:val="000000"/>
          <w:sz w:val="20"/>
        </w:rPr>
        <w:t>h services and innovative medicines and reduced the waiting times in some areas. Moreover, the rise in health spending is expected to have a positive effect on GDP and public finances in the long run by increasing the size of the working age population.</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Ne</w:t>
      </w:r>
      <w:r>
        <w:rPr>
          <w:rFonts w:ascii="Times New Roman" w:hAnsi="Times New Roman" w:cs="Times New Roman"/>
          <w:b/>
          <w:noProof/>
          <w:color w:val="000000"/>
          <w:sz w:val="20"/>
        </w:rPr>
        <w:t>vertheless, spending on health in Latvia remains among the lowest in the EU.</w:t>
      </w:r>
      <w:r>
        <w:rPr>
          <w:rFonts w:ascii="Times New Roman" w:hAnsi="Times New Roman" w:cs="Times New Roman"/>
          <w:noProof/>
          <w:color w:val="000000"/>
          <w:sz w:val="20"/>
        </w:rPr>
        <w:t xml:space="preserve"> Health expenditure in Latvia, both in terms of per capita and as a proportion of GDP, remains well below the EU average (OECD/European Observatory on Health Systems and Policies, </w:t>
      </w:r>
      <w:r>
        <w:rPr>
          <w:rFonts w:ascii="Times New Roman" w:hAnsi="Times New Roman" w:cs="Times New Roman"/>
          <w:noProof/>
          <w:color w:val="000000"/>
          <w:sz w:val="20"/>
        </w:rPr>
        <w:t>2019). Latvia's public spending on health stood at 3.4% of GDP in 2017, well below the EU average of 7.8%. The spending share increased in 2018 and 2019, but is estimated to decline to 3.5% of GDP in 2020, as discretionary spending increases lag behind GDP</w:t>
      </w:r>
      <w:r>
        <w:rPr>
          <w:rFonts w:ascii="Times New Roman" w:hAnsi="Times New Roman" w:cs="Times New Roman"/>
          <w:noProof/>
          <w:color w:val="000000"/>
          <w:sz w:val="20"/>
        </w:rPr>
        <w:t xml:space="preserve"> growth (see Section 3.1.2). Significant investments are required in a number of specific areas in order to enhance the quality of healthcare and improve access in the context of Pillar principle 10 and Sustainable Development Goal 3.8: for the implementat</w:t>
      </w:r>
      <w:r>
        <w:rPr>
          <w:rFonts w:ascii="Times New Roman" w:hAnsi="Times New Roman" w:cs="Times New Roman"/>
          <w:noProof/>
          <w:color w:val="000000"/>
          <w:sz w:val="20"/>
        </w:rPr>
        <w:t>ion of the planned reforms, improvement of the geographical availability of health services, disease prevention, strengthening of primary care, eHealth, integration of care, and for the health workforce.</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A new health insurance system will replace the two-b</w:t>
      </w:r>
      <w:r>
        <w:rPr>
          <w:rFonts w:ascii="Times New Roman" w:hAnsi="Times New Roman" w:cs="Times New Roman"/>
          <w:b/>
          <w:noProof/>
          <w:color w:val="000000"/>
          <w:sz w:val="20"/>
        </w:rPr>
        <w:t xml:space="preserve">asket system, which posed risks for access to healthcare for part of the population. </w:t>
      </w:r>
      <w:r>
        <w:rPr>
          <w:rFonts w:ascii="Times New Roman" w:hAnsi="Times New Roman" w:cs="Times New Roman"/>
          <w:noProof/>
          <w:color w:val="000000"/>
          <w:sz w:val="20"/>
        </w:rPr>
        <w:t>The government decided to postpone until 2021 the introduction of the two-basket health insurance system, which was meant to come into effect in January 2019. In the meant</w:t>
      </w:r>
      <w:r>
        <w:rPr>
          <w:rFonts w:ascii="Times New Roman" w:hAnsi="Times New Roman" w:cs="Times New Roman"/>
          <w:noProof/>
          <w:color w:val="000000"/>
          <w:sz w:val="20"/>
        </w:rPr>
        <w:t>ime, the authorities plan to develop and launch a new health financing model based on compulsory national health insurance. It is expected that this new model will be based on the principle of a single basket of health services for all Latvian residents. T</w:t>
      </w:r>
      <w:r>
        <w:rPr>
          <w:rFonts w:ascii="Times New Roman" w:hAnsi="Times New Roman" w:cs="Times New Roman"/>
          <w:noProof/>
          <w:color w:val="000000"/>
          <w:sz w:val="20"/>
        </w:rPr>
        <w:t xml:space="preserve">he authorities aim to present this new model to the Parliament in the spring of 2020.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Latvia has taken a number of measures to improve the quality and efficiency of the health system and increase access to it.</w:t>
      </w:r>
      <w:r>
        <w:rPr>
          <w:rFonts w:ascii="Times New Roman" w:hAnsi="Times New Roman" w:cs="Times New Roman"/>
          <w:noProof/>
          <w:color w:val="000000"/>
          <w:sz w:val="20"/>
        </w:rPr>
        <w:t xml:space="preserve"> Actions taken in the domain of cancer care ha</w:t>
      </w:r>
      <w:r>
        <w:rPr>
          <w:rFonts w:ascii="Times New Roman" w:hAnsi="Times New Roman" w:cs="Times New Roman"/>
          <w:noProof/>
          <w:color w:val="000000"/>
          <w:sz w:val="20"/>
        </w:rPr>
        <w:t>ve resulted in improved outcomes, such as five-year survival rates after diagnosis, comparable to those in most EU countries. On the other hand, progress in certain areas, such as reducing the high mortality rate following hospital admission for acute myoc</w:t>
      </w:r>
      <w:r>
        <w:rPr>
          <w:rFonts w:ascii="Times New Roman" w:hAnsi="Times New Roman" w:cs="Times New Roman"/>
          <w:noProof/>
          <w:color w:val="000000"/>
          <w:sz w:val="20"/>
        </w:rPr>
        <w:t>ardial infarction and stroke is contingent on completing the restructuring of the hospital sector and enhancing the collaboration among hospitals. The government approved an action plan to combat anti-microbial resistance and promote a prudent use of antib</w:t>
      </w:r>
      <w:r>
        <w:rPr>
          <w:rFonts w:ascii="Times New Roman" w:hAnsi="Times New Roman" w:cs="Times New Roman"/>
          <w:noProof/>
          <w:color w:val="000000"/>
          <w:sz w:val="20"/>
        </w:rPr>
        <w:t>iotics by medical practitioners, veterinary professionals and animal farmers. The authorities also plan to offer screening programmes and diagnostic services for mental disorders in children at primary care settings, in order to increase access to such ser</w:t>
      </w:r>
      <w:r>
        <w:rPr>
          <w:rFonts w:ascii="Times New Roman" w:hAnsi="Times New Roman" w:cs="Times New Roman"/>
          <w:noProof/>
          <w:color w:val="000000"/>
          <w:sz w:val="20"/>
        </w:rPr>
        <w:t xml:space="preserve">vices, given the lack of child psychiatrists. Furthermore, patient pathways are being designed and will be implemented for diseases of high prevalence and for cases where long waiting times exist.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Plans to restructure the hospital and primary care sectors</w:t>
      </w:r>
      <w:r>
        <w:rPr>
          <w:rFonts w:ascii="Times New Roman" w:hAnsi="Times New Roman" w:cs="Times New Roman"/>
          <w:b/>
          <w:noProof/>
          <w:color w:val="000000"/>
          <w:sz w:val="20"/>
        </w:rPr>
        <w:t xml:space="preserve"> are still at an early stage.</w:t>
      </w:r>
      <w:r>
        <w:rPr>
          <w:rFonts w:ascii="Times New Roman" w:hAnsi="Times New Roman" w:cs="Times New Roman"/>
          <w:noProof/>
          <w:color w:val="000000"/>
          <w:sz w:val="20"/>
        </w:rPr>
        <w:t xml:space="preserve"> A 5-level system is introduced in the hospital sector. The authorities are assessing whether the hospitals have enough resources to provide services in accordance with their assigned level. The results of the assessment may le</w:t>
      </w:r>
      <w:r>
        <w:rPr>
          <w:rFonts w:ascii="Times New Roman" w:hAnsi="Times New Roman" w:cs="Times New Roman"/>
          <w:noProof/>
          <w:color w:val="000000"/>
          <w:sz w:val="20"/>
        </w:rPr>
        <w:t>ad to revisions of the hospitals’ levels. A hospital collaboration model has been developed, with technical support from the European Commission’s Structural Reform Support Programme, and will be piloted in one region to test aspects such as the rotation o</w:t>
      </w:r>
      <w:r>
        <w:rPr>
          <w:rFonts w:ascii="Times New Roman" w:hAnsi="Times New Roman" w:cs="Times New Roman"/>
          <w:noProof/>
          <w:color w:val="000000"/>
          <w:sz w:val="20"/>
        </w:rPr>
        <w:t>f specialists and the use of telemedicine tools. The pilots of multi-disciplinary health centres for the primary care reform have not been launched yet. This will take place in 2020 with five pilots. The pilot cases will help to detail plans for the primar</w:t>
      </w:r>
      <w:r>
        <w:rPr>
          <w:rFonts w:ascii="Times New Roman" w:hAnsi="Times New Roman" w:cs="Times New Roman"/>
          <w:noProof/>
          <w:color w:val="000000"/>
          <w:sz w:val="20"/>
        </w:rPr>
        <w:t xml:space="preserve">y care reform, such as the number and location of health centres across the country and the related investments needs.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Access to long-term care provision is limited.</w:t>
      </w:r>
      <w:r>
        <w:rPr>
          <w:rFonts w:ascii="Times New Roman" w:hAnsi="Times New Roman" w:cs="Times New Roman"/>
          <w:noProof/>
          <w:color w:val="000000"/>
          <w:sz w:val="20"/>
        </w:rPr>
        <w:t xml:space="preserve"> Public expenditure on long-term care was 0.4% of GDP in 2016 — significantly lower than t</w:t>
      </w:r>
      <w:r>
        <w:rPr>
          <w:rFonts w:ascii="Times New Roman" w:hAnsi="Times New Roman" w:cs="Times New Roman"/>
          <w:noProof/>
          <w:color w:val="000000"/>
          <w:sz w:val="20"/>
        </w:rPr>
        <w:t>he EU average (1.6%). The coverage of the long-term care system in Latvia is moderate: in 2013, 20% of the potentially dependent population was covered and only 1% of the total population were long-term care recipients. In 2016, 38% of households in need w</w:t>
      </w:r>
      <w:r>
        <w:rPr>
          <w:rFonts w:ascii="Times New Roman" w:hAnsi="Times New Roman" w:cs="Times New Roman"/>
          <w:noProof/>
          <w:color w:val="000000"/>
          <w:sz w:val="20"/>
        </w:rPr>
        <w:t>ere affected by an unmet need for homecare services due to financial reasons (the EU average was 32%). Out-of-pocket payments are estimated to be particularly high — 100% of care user’s disposable income in case of moderate needs and more than 200% in case</w:t>
      </w:r>
      <w:r>
        <w:rPr>
          <w:rFonts w:ascii="Times New Roman" w:hAnsi="Times New Roman" w:cs="Times New Roman"/>
          <w:noProof/>
          <w:color w:val="000000"/>
          <w:sz w:val="20"/>
        </w:rPr>
        <w:t xml:space="preserve"> of severe needs (OECD, 2019c). The demand for long-term care and integrated services is estimated to be on the rise in Latvia, and access to these services is particularly important for older people.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Workforce shortages are hindering access to healthcare</w:t>
      </w:r>
      <w:r>
        <w:rPr>
          <w:rFonts w:ascii="Times New Roman" w:hAnsi="Times New Roman" w:cs="Times New Roman"/>
          <w:b/>
          <w:noProof/>
          <w:color w:val="000000"/>
          <w:sz w:val="20"/>
        </w:rPr>
        <w:t xml:space="preserve"> and challenging the implementation of health reforms</w:t>
      </w:r>
      <w:r>
        <w:rPr>
          <w:rFonts w:ascii="Times New Roman" w:hAnsi="Times New Roman" w:cs="Times New Roman"/>
          <w:noProof/>
          <w:color w:val="000000"/>
          <w:sz w:val="20"/>
        </w:rPr>
        <w:t>. The situation is more pronounced in areas outside Riga, where the density of practising doctors is much lower (see Graph </w:t>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QUOTE "3.3.3"</w:instrText>
      </w:r>
      <w:r>
        <w:rPr>
          <w:rFonts w:ascii="Times New Roman" w:hAnsi="Times New Roman" w:cs="Times New Roman"/>
          <w:noProof/>
          <w:color w:val="000000"/>
          <w:sz w:val="20"/>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AHIAZwAvADIAMAAwADEALwBYAE0ATABTAGMAaABlAG0AYQAiAD4ADQAKACAAIAA8AEkAZAA+AGIA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==
</w:fldData>
        </w:fldChar>
      </w:r>
      <w:r>
        <w:rPr>
          <w:rFonts w:ascii="Times New Roman" w:hAnsi="Times New Roman" w:cs="Times New Roman"/>
          <w:noProof/>
          <w:color w:val="000000"/>
          <w:sz w:val="20"/>
        </w:rPr>
        <w:instrText xml:space="preserve"> ADDIN </w:instrText>
      </w:r>
      <w:r>
        <w:rPr>
          <w:rFonts w:ascii="Times New Roman" w:hAnsi="Times New Roman" w:cs="Times New Roman"/>
          <w:noProof/>
          <w:color w:val="000000"/>
          <w:sz w:val="20"/>
        </w:rPr>
      </w:r>
      <w:r>
        <w:rPr>
          <w:rFonts w:ascii="Times New Roman" w:hAnsi="Times New Roman" w:cs="Times New Roman"/>
          <w:noProof/>
          <w:color w:val="000000"/>
          <w:sz w:val="20"/>
        </w:rPr>
        <w:fldChar w:fldCharType="end"/>
      </w:r>
      <w:r>
        <w:rPr>
          <w:rFonts w:ascii="Times New Roman" w:hAnsi="Times New Roman" w:cs="Times New Roman"/>
          <w:noProof/>
          <w:color w:val="000000"/>
          <w:sz w:val="20"/>
        </w:rPr>
        <w:instrText xml:space="preserve"> </w:instrText>
      </w:r>
      <w:r>
        <w:rPr>
          <w:rFonts w:ascii="Times New Roman" w:hAnsi="Times New Roman" w:cs="Times New Roman"/>
          <w:noProof/>
          <w:color w:val="000000"/>
          <w:sz w:val="20"/>
        </w:rPr>
        <w:fldChar w:fldCharType="separate"/>
      </w:r>
      <w:r>
        <w:rPr>
          <w:rFonts w:ascii="Times New Roman" w:hAnsi="Times New Roman" w:cs="Times New Roman"/>
          <w:noProof/>
          <w:color w:val="000000"/>
          <w:sz w:val="20"/>
        </w:rPr>
        <w:t>3.3.3</w:t>
      </w:r>
      <w:r>
        <w:rPr>
          <w:rFonts w:ascii="Times New Roman" w:hAnsi="Times New Roman" w:cs="Times New Roman"/>
          <w:noProof/>
          <w:color w:val="000000"/>
          <w:sz w:val="20"/>
        </w:rPr>
        <w:fldChar w:fldCharType="end"/>
      </w:r>
      <w:r>
        <w:rPr>
          <w:rFonts w:ascii="Times New Roman" w:hAnsi="Times New Roman" w:cs="Times New Roman"/>
          <w:noProof/>
          <w:color w:val="000000"/>
          <w:sz w:val="20"/>
        </w:rPr>
        <w:t xml:space="preserve">), resulting in an urban-rural divide for access to healthcare. Low remuneration has been a deterrent for young health workers and nurses in particular. The authorities are taking measures to improve the </w:t>
      </w:r>
      <w:r>
        <w:rPr>
          <w:rFonts w:ascii="Times New Roman" w:hAnsi="Times New Roman" w:cs="Times New Roman"/>
          <w:noProof/>
          <w:color w:val="000000"/>
          <w:sz w:val="20"/>
        </w:rPr>
        <w:t>recruitment and retention of health workers, including a commitment to increase the wages of medical practitioners by 20% each year over 2019-2021 (European Commission, 2019a). However, the increase in the budget for 2020 only results in a wage rise of som</w:t>
      </w:r>
      <w:r>
        <w:rPr>
          <w:rFonts w:ascii="Times New Roman" w:hAnsi="Times New Roman" w:cs="Times New Roman"/>
          <w:noProof/>
          <w:color w:val="000000"/>
          <w:sz w:val="20"/>
        </w:rPr>
        <w:t>e 10% on average.</w:t>
      </w: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Graph 3.3.3:</w:t>
            </w:r>
            <w:r>
              <w:rPr>
                <w:rFonts w:ascii="Century Gothic" w:hAnsi="Century Gothic" w:cs="Times New Roman"/>
                <w:b/>
                <w:noProof/>
                <w:color w:val="333399"/>
                <w:sz w:val="14"/>
              </w:rPr>
              <w:tab/>
              <w:t>Density of practising doctors across regions of Latvia</w:t>
            </w:r>
          </w:p>
        </w:tc>
      </w:tr>
      <w:tr w:rsidR="00A8765D">
        <w:trPr>
          <w:cantSplit/>
        </w:trPr>
        <w:tc>
          <w:tcPr>
            <w:tcW w:w="4111"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44" w:name="_Toc33020660"/>
            <w:r>
              <w:rPr>
                <w:rFonts w:ascii="Times New Roman" w:hAnsi="Times New Roman" w:cs="Times New Roman"/>
                <w:noProof/>
                <w:color w:val="000000"/>
                <w:sz w:val="20"/>
              </w:rPr>
              <w:instrText>3.3.3.</w:instrText>
            </w:r>
            <w:r>
              <w:rPr>
                <w:rFonts w:ascii="Times New Roman" w:hAnsi="Times New Roman" w:cs="Times New Roman"/>
                <w:noProof/>
                <w:color w:val="000000"/>
                <w:sz w:val="20"/>
              </w:rPr>
              <w:tab/>
              <w:instrText>Density of practising doctors across regions of Latvia</w:instrText>
            </w:r>
            <w:bookmarkEnd w:id="44"/>
            <w:r>
              <w:rPr>
                <w:rFonts w:ascii="Times New Roman" w:hAnsi="Times New Roman" w:cs="Times New Roman"/>
                <w:noProof/>
                <w:color w:val="000000"/>
                <w:sz w:val="20"/>
              </w:rPr>
              <w:instrText xml:space="preserve">" \fgraph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en-GB"/>
              </w:rPr>
              <w:drawing>
                <wp:inline distT="0" distB="0" distL="0" distR="0">
                  <wp:extent cx="2597595" cy="1672546"/>
                  <wp:effectExtent l="0" t="0" r="0" b="4445"/>
                  <wp:docPr id="78" name="Picture 78" descr="&lt;nbr&gt;&lt;GETTEXTFROMWORD&gt;&lt;/nbr&gt;&#10;&lt;title&gt;&lt;GETTEXTFROMWORD&gt;&lt;/title&gt;&#10;&lt;id&gt;bd003fe2-5205-44ca-b38d-706e90622a32&lt;/id&gt;&#10;&lt;srcType&gt;IMAGE&lt;/srcType&gt;&#10;&lt;srcPath&gt;O:\2017 CRs\2020 European semester\LV\LV2020_ graphs\&lt;/srcPath&gt;&#10;&lt;srcName&gt;LV health map.jpg&lt;/srcName&gt;&#10;&lt;type&gt;graph&lt;/typ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9-12-13T15:59:33&lt;/scrFileTime&gt;&#10;&lt;imageInformation&gt;&#10; &lt;dontScaleUp&gt;no&lt;/dontScaleUp&gt;&#10; &lt;usedpercentageofavailablewidth&gt;100&lt;/usedpercentageofavailablewidth&gt;&#10;&lt;/imageInformation&gt;&#10;&lt;url&gt;Chap0/Chap0-Graph-%SectionNumber%.16.jpg&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72">
                            <a:extLst>
                              <a:ext uri="{28A0092B-C50C-407E-A947-70E740481C1C}">
                                <a14:useLocalDpi xmlns:a14="http://schemas.microsoft.com/office/drawing/2010/main"/>
                              </a:ext>
                            </a:extLst>
                          </a:blip>
                          <a:stretch>
                            <a:fillRect/>
                          </a:stretch>
                        </pic:blipFill>
                        <pic:spPr>
                          <a:xfrm>
                            <a:off x="0" y="0"/>
                            <a:ext cx="2597595" cy="1672546"/>
                          </a:xfrm>
                          <a:prstGeom prst="rect">
                            <a:avLst/>
                          </a:prstGeom>
                        </pic:spPr>
                      </pic:pic>
                    </a:graphicData>
                  </a:graphic>
                </wp:inline>
              </w:drawing>
            </w:r>
          </w:p>
        </w:tc>
      </w:tr>
      <w:tr w:rsidR="00A8765D">
        <w:trPr>
          <w:cantSplit/>
        </w:trPr>
        <w:tc>
          <w:tcPr>
            <w:tcW w:w="4111" w:type="dxa"/>
            <w:shd w:val="clear" w:color="auto" w:fill="auto"/>
            <w:tcMar>
              <w:bottom w:w="240" w:type="dxa"/>
            </w:tcMar>
          </w:tcPr>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Statistical yearbook of health care in Latvia, 2018</w:t>
            </w:r>
          </w:p>
        </w:tc>
      </w:tr>
    </w:tbl>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Policies pursued for </w:t>
      </w:r>
      <w:r>
        <w:rPr>
          <w:rFonts w:ascii="Times New Roman" w:hAnsi="Times New Roman" w:cs="Times New Roman"/>
          <w:b/>
          <w:noProof/>
          <w:color w:val="000000"/>
          <w:sz w:val="20"/>
        </w:rPr>
        <w:t>the healthcare workforce have not achieved the expected results, so far.</w:t>
      </w:r>
      <w:r>
        <w:rPr>
          <w:rFonts w:ascii="Times New Roman" w:hAnsi="Times New Roman" w:cs="Times New Roman"/>
          <w:noProof/>
          <w:color w:val="000000"/>
          <w:sz w:val="20"/>
        </w:rPr>
        <w:t xml:space="preserve"> The issues, which have long been identified, have not changed since 2006, according to a recent report on human resources in healthcare (State Audit Office, 2019). The report conclude</w:t>
      </w:r>
      <w:r>
        <w:rPr>
          <w:rFonts w:ascii="Times New Roman" w:hAnsi="Times New Roman" w:cs="Times New Roman"/>
          <w:noProof/>
          <w:color w:val="000000"/>
          <w:sz w:val="20"/>
        </w:rPr>
        <w:t>s that (i) the number of health professionals employed in the health sector is declining; (ii) there is a shortage of certain specialist doctors and (iii) regions are experiencing a shortage of medical practitioners in almost all specialties. It also estim</w:t>
      </w:r>
      <w:r>
        <w:rPr>
          <w:rFonts w:ascii="Times New Roman" w:hAnsi="Times New Roman" w:cs="Times New Roman"/>
          <w:noProof/>
          <w:color w:val="000000"/>
          <w:sz w:val="20"/>
        </w:rPr>
        <w:t>ates that the sector requires at least 3 598 additional nurses. The report recommends that the planning and forecasting methodology for human resources in healthcare needs to be improved and complemented by actions to boost the number of healthcare profess</w:t>
      </w:r>
      <w:r>
        <w:rPr>
          <w:rFonts w:ascii="Times New Roman" w:hAnsi="Times New Roman" w:cs="Times New Roman"/>
          <w:noProof/>
          <w:color w:val="000000"/>
          <w:sz w:val="20"/>
        </w:rPr>
        <w:t>ionals; ensure the capacity of educational institutions to offer appropriate training programmes and support continuous professional education. The Ministry of Health has prepared a time plan to implement the recommendations in the State Audit Report by 20</w:t>
      </w:r>
      <w:r>
        <w:rPr>
          <w:rFonts w:ascii="Times New Roman" w:hAnsi="Times New Roman" w:cs="Times New Roman"/>
          <w:noProof/>
          <w:color w:val="000000"/>
          <w:sz w:val="20"/>
        </w:rPr>
        <w:t xml:space="preserve">22. Measures include the creation of new educational programmes for nurses. Specifically, a concept for the nursing profession is being developed, which will propose wider competencies for nurses and the establishment of a new nursing role responsible for </w:t>
      </w:r>
      <w:r>
        <w:rPr>
          <w:rFonts w:ascii="Times New Roman" w:hAnsi="Times New Roman" w:cs="Times New Roman"/>
          <w:noProof/>
          <w:color w:val="000000"/>
          <w:sz w:val="20"/>
        </w:rPr>
        <w:t>general care from 2022. In addition, the current two-tier system for education of nurses will be replaced by a new unified four-year university programme.</w:t>
      </w:r>
    </w:p>
    <w:p w:rsidR="00A8765D" w:rsidRDefault="006C09F5">
      <w:pPr>
        <w:keepNext/>
        <w:tabs>
          <w:tab w:val="left" w:pos="567"/>
        </w:tabs>
        <w:spacing w:before="240" w:after="240" w:line="240" w:lineRule="atLeast"/>
        <w:ind w:left="567" w:hanging="567"/>
        <w:outlineLvl w:val="2"/>
        <w:rPr>
          <w:rFonts w:ascii="Century Gothic" w:hAnsi="Century Gothic" w:cs="Times New Roman"/>
          <w:b/>
          <w:caps/>
          <w:noProof/>
          <w:color w:val="333399"/>
          <w:sz w:val="18"/>
        </w:rPr>
      </w:pPr>
      <w:r>
        <w:rPr>
          <w:rFonts w:ascii="Century Gothic" w:hAnsi="Century Gothic" w:cs="Times New Roman"/>
          <w:b/>
          <w:caps/>
          <w:noProof/>
          <w:color w:val="333399"/>
          <w:sz w:val="18"/>
        </w:rPr>
        <w:t>3.3.4.</w:t>
      </w:r>
      <w:r>
        <w:rPr>
          <w:rFonts w:ascii="Century Gothic" w:hAnsi="Century Gothic" w:cs="Times New Roman"/>
          <w:b/>
          <w:caps/>
          <w:noProof/>
          <w:color w:val="333399"/>
          <w:sz w:val="18"/>
        </w:rPr>
        <w:tab/>
        <w:t>Education and skills</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Latvia’s education system performs well in terms of learning </w:t>
      </w:r>
      <w:r>
        <w:rPr>
          <w:rFonts w:ascii="Times New Roman" w:hAnsi="Times New Roman" w:cs="Times New Roman"/>
          <w:b/>
          <w:noProof/>
          <w:color w:val="000000"/>
          <w:sz w:val="20"/>
        </w:rPr>
        <w:t>achievements, but faces the challenge of streamlining the school network, while improving the quality and efficiency of the system and aligning it to labour market needs.</w:t>
      </w:r>
      <w:r>
        <w:rPr>
          <w:rFonts w:ascii="Times New Roman" w:hAnsi="Times New Roman" w:cs="Times New Roman"/>
          <w:noProof/>
          <w:color w:val="000000"/>
          <w:sz w:val="20"/>
        </w:rPr>
        <w:t xml:space="preserve"> The higher education sector has benefited from a gradual increase in investment and i</w:t>
      </w:r>
      <w:r>
        <w:rPr>
          <w:rFonts w:ascii="Times New Roman" w:hAnsi="Times New Roman" w:cs="Times New Roman"/>
          <w:noProof/>
          <w:color w:val="000000"/>
          <w:sz w:val="20"/>
        </w:rPr>
        <w:t>ncremental changes in quality assurance, but remains fragmented and not sufficiently competitive at international level. Vocational education and training is being modernised, but the share of students in this type of education is below the EU average. The</w:t>
      </w:r>
      <w:r>
        <w:rPr>
          <w:rFonts w:ascii="Times New Roman" w:hAnsi="Times New Roman" w:cs="Times New Roman"/>
          <w:noProof/>
          <w:color w:val="000000"/>
          <w:sz w:val="20"/>
        </w:rPr>
        <w:t xml:space="preserve"> low level of digital skills among the labour force limits the use of digital technologies by businesses and the potential for innovation.</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School education in Latvia produces good results in terms of proficiency in basic skills, while urban schools outperf</w:t>
      </w:r>
      <w:r>
        <w:rPr>
          <w:rFonts w:ascii="Times New Roman" w:hAnsi="Times New Roman" w:cs="Times New Roman"/>
          <w:b/>
          <w:noProof/>
          <w:color w:val="000000"/>
          <w:sz w:val="20"/>
        </w:rPr>
        <w:t>orm rural schools on average.</w:t>
      </w:r>
      <w:r>
        <w:rPr>
          <w:rFonts w:ascii="Times New Roman" w:hAnsi="Times New Roman" w:cs="Times New Roman"/>
          <w:noProof/>
          <w:color w:val="000000"/>
          <w:sz w:val="20"/>
        </w:rPr>
        <w:t xml:space="preserve"> In 2018, Latvian student performance was broadly stable in science but worsened in reading compared to 2015, although it remains above the level observed in 2000, while performance in maths increased (OECD PISA, 2019d). Overal</w:t>
      </w:r>
      <w:r>
        <w:rPr>
          <w:rFonts w:ascii="Times New Roman" w:hAnsi="Times New Roman" w:cs="Times New Roman"/>
          <w:noProof/>
          <w:color w:val="000000"/>
          <w:sz w:val="20"/>
        </w:rPr>
        <w:t>l, the proportion of low achievers in all three domains is lower than the EU average (9.2% vs 12.6%). Female students outperform males in reading (by 33 score points) and to a lesser extent in science (8 points), but are outperformed by boys in maths by 7 </w:t>
      </w:r>
      <w:r>
        <w:rPr>
          <w:rFonts w:ascii="Times New Roman" w:hAnsi="Times New Roman" w:cs="Times New Roman"/>
          <w:noProof/>
          <w:color w:val="000000"/>
          <w:sz w:val="20"/>
        </w:rPr>
        <w:t>points. Urban schools performed better than rural schools, with a difference of 52 score points in reading (roughly equivalent to 1 year of schooling). The system is rather equitable, with a pupil’s socioeconomic background exerting a relatively limited in</w:t>
      </w:r>
      <w:r>
        <w:rPr>
          <w:rFonts w:ascii="Times New Roman" w:hAnsi="Times New Roman" w:cs="Times New Roman"/>
          <w:noProof/>
          <w:color w:val="000000"/>
          <w:sz w:val="20"/>
        </w:rPr>
        <w:t xml:space="preserve">fluence on learning achievement in reading. The difference between the most advantaged and the most disadvantaged students was 65 score points, as compared to the EU average of 95.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As the number of school children decreases, the consolidation of Latvia’s </w:t>
      </w:r>
      <w:r>
        <w:rPr>
          <w:rFonts w:ascii="Times New Roman" w:hAnsi="Times New Roman" w:cs="Times New Roman"/>
          <w:b/>
          <w:noProof/>
          <w:color w:val="000000"/>
          <w:sz w:val="20"/>
        </w:rPr>
        <w:t>large and inefficient school network is a priority for the government.</w:t>
      </w:r>
      <w:r>
        <w:rPr>
          <w:rFonts w:ascii="Times New Roman" w:hAnsi="Times New Roman" w:cs="Times New Roman"/>
          <w:noProof/>
          <w:color w:val="000000"/>
          <w:sz w:val="20"/>
        </w:rPr>
        <w:t xml:space="preserve"> Streamlining of the school network has been planned from 2017 by setting the minimum criteria for the quality and the number of students per class in general upper-secondary education i</w:t>
      </w:r>
      <w:r>
        <w:rPr>
          <w:rFonts w:ascii="Times New Roman" w:hAnsi="Times New Roman" w:cs="Times New Roman"/>
          <w:noProof/>
          <w:color w:val="000000"/>
          <w:sz w:val="20"/>
        </w:rPr>
        <w:t xml:space="preserve">nstitutions. This has also been linked with changes to teachers’ pay and reform of the education content. The minimum criteria is set to be effective from August 2020, however their actual definition is still being discussed (Box 3.4.1).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Low statutory sal</w:t>
      </w:r>
      <w:r>
        <w:rPr>
          <w:rFonts w:ascii="Times New Roman" w:hAnsi="Times New Roman" w:cs="Times New Roman"/>
          <w:b/>
          <w:noProof/>
          <w:color w:val="000000"/>
          <w:sz w:val="20"/>
        </w:rPr>
        <w:t>aries and long working hours contribute to making teaching unattractive and reforms have not yet resulted in the desired improvements.</w:t>
      </w:r>
      <w:r>
        <w:rPr>
          <w:rFonts w:ascii="Times New Roman" w:hAnsi="Times New Roman" w:cs="Times New Roman"/>
          <w:noProof/>
          <w:color w:val="000000"/>
          <w:sz w:val="20"/>
        </w:rPr>
        <w:t xml:space="preserve"> The proportion of Latvian teachers who believe that teaching is a valued profession in society is higher than the EU aver</w:t>
      </w:r>
      <w:r>
        <w:rPr>
          <w:rFonts w:ascii="Times New Roman" w:hAnsi="Times New Roman" w:cs="Times New Roman"/>
          <w:noProof/>
          <w:color w:val="000000"/>
          <w:sz w:val="20"/>
        </w:rPr>
        <w:t>age (23% vs. 18%) (OECD TALIS, 2019e). However, only 65% of teachers say that if they could decide again, they would still choose to become a teacher (78% in the EU on average). Income reliability and job security appear to be strong influencing factors in</w:t>
      </w:r>
      <w:r>
        <w:rPr>
          <w:rFonts w:ascii="Times New Roman" w:hAnsi="Times New Roman" w:cs="Times New Roman"/>
          <w:noProof/>
          <w:color w:val="000000"/>
          <w:sz w:val="20"/>
        </w:rPr>
        <w:t xml:space="preserve"> choosing teaching as a profession. The new teacher remuneration scheme introduced in 2016 has gradually increased the minimum monthly salary rate from EUR 680 on 1 September 2016 to EUR 750 on 1 September 2019. However, this monthly salary rate is still l</w:t>
      </w:r>
      <w:r>
        <w:rPr>
          <w:rFonts w:ascii="Times New Roman" w:hAnsi="Times New Roman" w:cs="Times New Roman"/>
          <w:noProof/>
          <w:color w:val="000000"/>
          <w:sz w:val="20"/>
        </w:rPr>
        <w:t>ess than half of the EU average monthly salary for teachers (European Commission/EACEA/ Eurydice, 2018c).</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Renewing the teaching workforce is a challenge, as young graduates are not attracted to the profession and teacher shortages are becoming apparent, es</w:t>
      </w:r>
      <w:r>
        <w:rPr>
          <w:rFonts w:ascii="Times New Roman" w:hAnsi="Times New Roman" w:cs="Times New Roman"/>
          <w:b/>
          <w:noProof/>
          <w:color w:val="000000"/>
          <w:sz w:val="20"/>
        </w:rPr>
        <w:t>pecially in science and maths.</w:t>
      </w:r>
      <w:r>
        <w:rPr>
          <w:rFonts w:ascii="Times New Roman" w:hAnsi="Times New Roman" w:cs="Times New Roman"/>
          <w:noProof/>
          <w:color w:val="000000"/>
          <w:sz w:val="20"/>
        </w:rPr>
        <w:t xml:space="preserve"> In 2015, less than 1% of 15-year-olds aspired to work as a teacher (only 0.2% among boys) (European Commission, 2018c). According to the Ministry of Education and Science, out of approximately 1 000 education graduates per ye</w:t>
      </w:r>
      <w:r>
        <w:rPr>
          <w:rFonts w:ascii="Times New Roman" w:hAnsi="Times New Roman" w:cs="Times New Roman"/>
          <w:noProof/>
          <w:color w:val="000000"/>
          <w:sz w:val="20"/>
        </w:rPr>
        <w:t>ar, currently only about 350-400 actually start working as teachers. The Ministry has updated regulations on the financing of higher education institutions, to ensure they receive performance-based funding according to how many of their education graduates</w:t>
      </w:r>
      <w:r>
        <w:rPr>
          <w:rFonts w:ascii="Times New Roman" w:hAnsi="Times New Roman" w:cs="Times New Roman"/>
          <w:noProof/>
          <w:color w:val="000000"/>
          <w:sz w:val="20"/>
        </w:rPr>
        <w:t xml:space="preserve"> enter the teaching profession. Teacher shortages are increasingly being reported. In September 2018, a survey of 200 school leaders conducted by the Society for Independent Education found that 65% of schools had a shortage of teachers. In 2018, the plans</w:t>
      </w:r>
      <w:r>
        <w:rPr>
          <w:rFonts w:ascii="Times New Roman" w:hAnsi="Times New Roman" w:cs="Times New Roman"/>
          <w:noProof/>
          <w:color w:val="000000"/>
          <w:sz w:val="20"/>
        </w:rPr>
        <w:t xml:space="preserve"> were set out to redesign teacher study programmes matching the new competency-based learning standards in schools. Along with the changes to the full-time pedagogical study programmes, a one-year work-based study programme for professionals with academic </w:t>
      </w:r>
      <w:r>
        <w:rPr>
          <w:rFonts w:ascii="Times New Roman" w:hAnsi="Times New Roman" w:cs="Times New Roman"/>
          <w:noProof/>
          <w:color w:val="000000"/>
          <w:sz w:val="20"/>
        </w:rPr>
        <w:t xml:space="preserve">degree in other fields has been launched in 2020.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The new standard curriculum for all levels of general education has been adopted and will be phased in over the period 2019-2023. </w:t>
      </w:r>
      <w:r>
        <w:rPr>
          <w:rFonts w:ascii="Times New Roman" w:hAnsi="Times New Roman" w:cs="Times New Roman"/>
          <w:noProof/>
          <w:color w:val="000000"/>
          <w:sz w:val="20"/>
        </w:rPr>
        <w:t>The competence-based learning standards for pre-school and basic education</w:t>
      </w:r>
      <w:r>
        <w:rPr>
          <w:rFonts w:ascii="Times New Roman" w:hAnsi="Times New Roman" w:cs="Times New Roman"/>
          <w:noProof/>
          <w:color w:val="000000"/>
          <w:sz w:val="20"/>
        </w:rPr>
        <w:t xml:space="preserve"> were adopted in 2018 and those for general secondary education were passed in September 2019. The new curriculum in upper secondary education reduces the number of subjects, compared to the previous one, and allows students to dedicate 30% of school time </w:t>
      </w:r>
      <w:r>
        <w:rPr>
          <w:rFonts w:ascii="Times New Roman" w:hAnsi="Times New Roman" w:cs="Times New Roman"/>
          <w:noProof/>
          <w:color w:val="000000"/>
          <w:sz w:val="20"/>
        </w:rPr>
        <w:t>to specialised in-depth learning of selected subjects. The implementation of the new curriculum will be gradual starting with pre-school level in 2019/2020 and ending with upper grades in 2022/2023.</w:t>
      </w:r>
      <w:r>
        <w:rPr>
          <w:rFonts w:ascii="Times New Roman" w:hAnsi="Times New Roman" w:cs="Times New Roman"/>
          <w:b/>
          <w:noProof/>
          <w:color w:val="000000"/>
          <w:sz w:val="20"/>
        </w:rPr>
        <w:t>The share of young adults with tertiary education decrease</w:t>
      </w:r>
      <w:r>
        <w:rPr>
          <w:rFonts w:ascii="Times New Roman" w:hAnsi="Times New Roman" w:cs="Times New Roman"/>
          <w:b/>
          <w:noProof/>
          <w:color w:val="000000"/>
          <w:sz w:val="20"/>
        </w:rPr>
        <w:t>d in 2018 compared to the previous year, but remains above the EU average.</w:t>
      </w:r>
      <w:r>
        <w:rPr>
          <w:rFonts w:ascii="Times New Roman" w:hAnsi="Times New Roman" w:cs="Times New Roman"/>
          <w:noProof/>
          <w:color w:val="000000"/>
          <w:sz w:val="20"/>
        </w:rPr>
        <w:t xml:space="preserve"> 42.7% of 30-34 year-olds had a tertiary qualification in 2018, down from 43.8% in 2017. The decrease was more pronounced for men (from 32% to 30.6%), further widening an already sig</w:t>
      </w:r>
      <w:r>
        <w:rPr>
          <w:rFonts w:ascii="Times New Roman" w:hAnsi="Times New Roman" w:cs="Times New Roman"/>
          <w:noProof/>
          <w:color w:val="000000"/>
          <w:sz w:val="20"/>
        </w:rPr>
        <w:t>nificant gender gap (24.6 pp). Graduates in science, technology, engineering and mathematics represented 21% of all graduates in 2017, well below the EU average of 26%. In addition, the proportion of graduates in natural sciences, mathematics and statistic</w:t>
      </w:r>
      <w:r>
        <w:rPr>
          <w:rFonts w:ascii="Times New Roman" w:hAnsi="Times New Roman" w:cs="Times New Roman"/>
          <w:noProof/>
          <w:color w:val="000000"/>
          <w:sz w:val="20"/>
        </w:rPr>
        <w:t>s was the lowest in the EU (3.1% against an EU average of 7.6% in 2016). On a positive note, the employment rate for graduates in the 20-34 age group rose sharply in 2018 (84.1%, up from 78% in 2017) and now exceeds the EU average of 81.6%. Graduate tracki</w:t>
      </w:r>
      <w:r>
        <w:rPr>
          <w:rFonts w:ascii="Times New Roman" w:hAnsi="Times New Roman" w:cs="Times New Roman"/>
          <w:noProof/>
          <w:color w:val="000000"/>
          <w:sz w:val="20"/>
        </w:rPr>
        <w:t>ng is being implemented, with the first data from the Register of Students and Graduates expected at the end of 2019.</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New measures to reduce fragmentation of the higher education system and to develop higher quality study programmes are being planned, with</w:t>
      </w:r>
      <w:r>
        <w:rPr>
          <w:rFonts w:ascii="Times New Roman" w:hAnsi="Times New Roman" w:cs="Times New Roman"/>
          <w:b/>
          <w:noProof/>
          <w:color w:val="000000"/>
          <w:sz w:val="20"/>
        </w:rPr>
        <w:t xml:space="preserve"> support from EU funds.</w:t>
      </w:r>
      <w:r>
        <w:rPr>
          <w:rFonts w:ascii="Times New Roman" w:hAnsi="Times New Roman" w:cs="Times New Roman"/>
          <w:noProof/>
          <w:color w:val="000000"/>
          <w:sz w:val="20"/>
        </w:rPr>
        <w:t xml:space="preserve"> While this is a step in the right direction, it remains to be seen whether Latvia’s higher education institutions can be motivated to reduce the scope and number of programmes as they compete for students. Overall, available researc</w:t>
      </w:r>
      <w:r>
        <w:rPr>
          <w:rFonts w:ascii="Times New Roman" w:hAnsi="Times New Roman" w:cs="Times New Roman"/>
          <w:noProof/>
          <w:color w:val="000000"/>
          <w:sz w:val="20"/>
        </w:rPr>
        <w:t>h funding in the country is still low, and the amount of performance-based funding for higher education institutions is limited. The success of these measures will largely depend on more resources for academic research being made available, on better gover</w:t>
      </w:r>
      <w:r>
        <w:rPr>
          <w:rFonts w:ascii="Times New Roman" w:hAnsi="Times New Roman" w:cs="Times New Roman"/>
          <w:noProof/>
          <w:color w:val="000000"/>
          <w:sz w:val="20"/>
        </w:rPr>
        <w:t>nance of higher education institutions and on the ability of the government agency responsible for quality assurance and accreditation of study programmes to conduct a rigorous evaluation of the quality offered by higher education institutions. Several fac</w:t>
      </w:r>
      <w:r>
        <w:rPr>
          <w:rFonts w:ascii="Times New Roman" w:hAnsi="Times New Roman" w:cs="Times New Roman"/>
          <w:noProof/>
          <w:color w:val="000000"/>
          <w:sz w:val="20"/>
        </w:rPr>
        <w:t xml:space="preserve">tors will play a key role, including the quality of the new higher education programmes to be developed and the availability of qualified academic staff.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Despite the ongoing reform efforts, participation in vocational education and training (VET) remains </w:t>
      </w:r>
      <w:r>
        <w:rPr>
          <w:rFonts w:ascii="Times New Roman" w:hAnsi="Times New Roman" w:cs="Times New Roman"/>
          <w:b/>
          <w:noProof/>
          <w:color w:val="000000"/>
          <w:sz w:val="20"/>
        </w:rPr>
        <w:t>low.</w:t>
      </w:r>
      <w:r>
        <w:rPr>
          <w:rFonts w:ascii="Times New Roman" w:hAnsi="Times New Roman" w:cs="Times New Roman"/>
          <w:noProof/>
          <w:color w:val="000000"/>
          <w:sz w:val="20"/>
        </w:rPr>
        <w:t xml:space="preserve"> Latvia has undertaken several reforms to strengthen the VET system, such as curriculum reform, development of education standards and qualifications, modular programmes, teacher training and closer co-operation with employers. Labour market outcomes f</w:t>
      </w:r>
      <w:r>
        <w:rPr>
          <w:rFonts w:ascii="Times New Roman" w:hAnsi="Times New Roman" w:cs="Times New Roman"/>
          <w:noProof/>
          <w:color w:val="000000"/>
          <w:sz w:val="20"/>
        </w:rPr>
        <w:t>or VET students have improved, but the employment rate of recent VET graduates remains below the EU average (75.8% vs. 79.5% in the EU in 2018). Despite these efforts, the participation in VET remains stagnant with less than 40% students opting for this fo</w:t>
      </w:r>
      <w:r>
        <w:rPr>
          <w:rFonts w:ascii="Times New Roman" w:hAnsi="Times New Roman" w:cs="Times New Roman"/>
          <w:noProof/>
          <w:color w:val="000000"/>
          <w:sz w:val="20"/>
        </w:rPr>
        <w:t>rm (48% in the EU in 2018). Measures supported by the European Social Fund to reduce the high drop-out rate of students in vocational education and training (19% in upper secondary vocational education in 2017/2018) are in place. Graduate tracking is organ</w:t>
      </w:r>
      <w:r>
        <w:rPr>
          <w:rFonts w:ascii="Times New Roman" w:hAnsi="Times New Roman" w:cs="Times New Roman"/>
          <w:noProof/>
          <w:color w:val="000000"/>
          <w:sz w:val="20"/>
        </w:rPr>
        <w:t xml:space="preserve">ised only at school level and the development of a centralised approach should be finalised by the end of 2020.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During 2019, Latvia continued to support implementation of work-based learning via a number of projects.</w:t>
      </w:r>
      <w:r>
        <w:rPr>
          <w:rFonts w:ascii="Times New Roman" w:hAnsi="Times New Roman" w:cs="Times New Roman"/>
          <w:noProof/>
          <w:color w:val="000000"/>
          <w:sz w:val="20"/>
        </w:rPr>
        <w:t xml:space="preserve"> These projects included cross-border m</w:t>
      </w:r>
      <w:r>
        <w:rPr>
          <w:rFonts w:ascii="Times New Roman" w:hAnsi="Times New Roman" w:cs="Times New Roman"/>
          <w:noProof/>
          <w:color w:val="000000"/>
          <w:sz w:val="20"/>
        </w:rPr>
        <w:t>obility for VET students, continuous professional development for teachers of vocational education and training and in-company trainers, and support to businesses in implementing work-based learning and practices. With the Employers’ Confederation in the l</w:t>
      </w:r>
      <w:r>
        <w:rPr>
          <w:rFonts w:ascii="Times New Roman" w:hAnsi="Times New Roman" w:cs="Times New Roman"/>
          <w:noProof/>
          <w:color w:val="000000"/>
          <w:sz w:val="20"/>
        </w:rPr>
        <w:t>ead, the work-based learning approach is being introduced. By October 2019, 29 out of 38 vocational education and training schools and 469 companies were implementing at least one work-based learning programme with 2 011 students participating. There is sc</w:t>
      </w:r>
      <w:r>
        <w:rPr>
          <w:rFonts w:ascii="Times New Roman" w:hAnsi="Times New Roman" w:cs="Times New Roman"/>
          <w:noProof/>
          <w:color w:val="000000"/>
          <w:sz w:val="20"/>
        </w:rPr>
        <w:t>ope to further strengthen the implementation of work-based learning and increase the participation of schools and employers, as well as better align the work-based learning offer with labour market needs.</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level of adult participation in learning remain</w:t>
      </w:r>
      <w:r>
        <w:rPr>
          <w:rFonts w:ascii="Times New Roman" w:hAnsi="Times New Roman" w:cs="Times New Roman"/>
          <w:b/>
          <w:noProof/>
          <w:color w:val="000000"/>
          <w:sz w:val="20"/>
        </w:rPr>
        <w:t>s relatively low and further steps to raise awareness and reduce barriers are planned</w:t>
      </w:r>
      <w:r>
        <w:rPr>
          <w:rFonts w:ascii="Times New Roman" w:hAnsi="Times New Roman" w:cs="Times New Roman"/>
          <w:noProof/>
          <w:color w:val="000000"/>
          <w:sz w:val="20"/>
        </w:rPr>
        <w:t>. In 2018, 6.7% of adults participated in learning, which is below the EU average of 11% and the national target of 15%. The adult learning participation rate for the low-</w:t>
      </w:r>
      <w:r>
        <w:rPr>
          <w:rFonts w:ascii="Times New Roman" w:hAnsi="Times New Roman" w:cs="Times New Roman"/>
          <w:noProof/>
          <w:color w:val="000000"/>
          <w:sz w:val="20"/>
        </w:rPr>
        <w:t>skilled in 2018 was even lower at only 2.5% (4.3% in the EU on average). This is partially explained by the low awareness and barriers in access — in 2016 more than 35% of adults neither participated nor wanted to participate in adult learning. The main ba</w:t>
      </w:r>
      <w:r>
        <w:rPr>
          <w:rFonts w:ascii="Times New Roman" w:hAnsi="Times New Roman" w:cs="Times New Roman"/>
          <w:noProof/>
          <w:color w:val="000000"/>
          <w:sz w:val="20"/>
        </w:rPr>
        <w:t>rriers to participation were reported to be the costs, conflict with working schedule or family responsibilities (CSB, 2018). Insufficient non-financial and financial incentives for employers to invest and support adult learning for their employees also li</w:t>
      </w:r>
      <w:r>
        <w:rPr>
          <w:rFonts w:ascii="Times New Roman" w:hAnsi="Times New Roman" w:cs="Times New Roman"/>
          <w:noProof/>
          <w:color w:val="000000"/>
          <w:sz w:val="20"/>
        </w:rPr>
        <w:t>mit the provision of the adult learning (OECD, 2019a).</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Latvians are lacking digital skills at all levels, from basic to advanced, and the low share of ICT specialists in the workforce hampers digitisation and productivity</w:t>
      </w:r>
      <w:r>
        <w:rPr>
          <w:rFonts w:ascii="Times New Roman" w:hAnsi="Times New Roman" w:cs="Times New Roman"/>
          <w:noProof/>
          <w:color w:val="000000"/>
          <w:sz w:val="20"/>
        </w:rPr>
        <w:t xml:space="preserve">. No significant progress has been </w:t>
      </w:r>
      <w:r>
        <w:rPr>
          <w:rFonts w:ascii="Times New Roman" w:hAnsi="Times New Roman" w:cs="Times New Roman"/>
          <w:noProof/>
          <w:color w:val="000000"/>
          <w:sz w:val="20"/>
        </w:rPr>
        <w:t>made to improve the level of digital skills that are below the EU average (see Box </w:t>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QUOTE "3.3.1"</w:instrText>
      </w:r>
      <w:r>
        <w:rPr>
          <w:rFonts w:ascii="Times New Roman" w:hAnsi="Times New Roman" w:cs="Times New Roman"/>
          <w:noProof/>
          <w:color w:val="000000"/>
          <w:sz w:val="20"/>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AHIAZwAvADIAMAAwADEALwBYAE0ATABTAGMAaABlAG0AYQAiAD4ADQAKACAAIAA8AEkAZAA+ADgA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</w:fldData>
        </w:fldChar>
      </w:r>
      <w:r>
        <w:rPr>
          <w:rFonts w:ascii="Times New Roman" w:hAnsi="Times New Roman" w:cs="Times New Roman"/>
          <w:noProof/>
          <w:color w:val="000000"/>
          <w:sz w:val="20"/>
        </w:rPr>
        <w:instrText xml:space="preserve"> ADDIN </w:instrText>
      </w:r>
      <w:r>
        <w:rPr>
          <w:rFonts w:ascii="Times New Roman" w:hAnsi="Times New Roman" w:cs="Times New Roman"/>
          <w:noProof/>
          <w:color w:val="000000"/>
          <w:sz w:val="20"/>
        </w:rPr>
      </w:r>
      <w:r>
        <w:rPr>
          <w:rFonts w:ascii="Times New Roman" w:hAnsi="Times New Roman" w:cs="Times New Roman"/>
          <w:noProof/>
          <w:color w:val="000000"/>
          <w:sz w:val="20"/>
        </w:rPr>
        <w:fldChar w:fldCharType="end"/>
      </w:r>
      <w:r>
        <w:rPr>
          <w:rFonts w:ascii="Times New Roman" w:hAnsi="Times New Roman" w:cs="Times New Roman"/>
          <w:noProof/>
          <w:color w:val="000000"/>
          <w:sz w:val="20"/>
        </w:rPr>
        <w:instrText xml:space="preserve"> </w:instrText>
      </w:r>
      <w:r>
        <w:rPr>
          <w:rFonts w:ascii="Times New Roman" w:hAnsi="Times New Roman" w:cs="Times New Roman"/>
          <w:noProof/>
          <w:color w:val="000000"/>
          <w:sz w:val="20"/>
        </w:rPr>
        <w:fldChar w:fldCharType="separate"/>
      </w:r>
      <w:r>
        <w:rPr>
          <w:rFonts w:ascii="Times New Roman" w:hAnsi="Times New Roman" w:cs="Times New Roman"/>
          <w:noProof/>
          <w:color w:val="000000"/>
          <w:sz w:val="20"/>
        </w:rPr>
        <w:t>3.3.1</w:t>
      </w:r>
      <w:r>
        <w:rPr>
          <w:rFonts w:ascii="Times New Roman" w:hAnsi="Times New Roman" w:cs="Times New Roman"/>
          <w:noProof/>
          <w:color w:val="000000"/>
          <w:sz w:val="20"/>
        </w:rPr>
        <w:fldChar w:fldCharType="end"/>
      </w:r>
      <w:r>
        <w:rPr>
          <w:rFonts w:ascii="Times New Roman" w:hAnsi="Times New Roman" w:cs="Times New Roman"/>
          <w:noProof/>
          <w:color w:val="000000"/>
          <w:sz w:val="20"/>
        </w:rPr>
        <w:t xml:space="preserve">). </w:t>
      </w:r>
      <w:r>
        <w:rPr>
          <w:rFonts w:ascii="Times New Roman" w:hAnsi="Times New Roman" w:cs="Times New Roman"/>
          <w:noProof/>
          <w:color w:val="000000"/>
          <w:sz w:val="20"/>
        </w:rPr>
        <w:t>Only 43% of Latvians between 16 and 74 years old have basic digital skills (58% in the EU as a whole), an indicator recorded as ‘critical’ on the Social Scoreboard (Box </w:t>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QUOTE "3.3.1"</w:instrText>
      </w:r>
      <w:r>
        <w:rPr>
          <w:rFonts w:ascii="Times New Roman" w:hAnsi="Times New Roman" w:cs="Times New Roman"/>
          <w:noProof/>
          <w:color w:val="000000"/>
          <w:sz w:val="20"/>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AHIAZwAvADIAMAAwADEALwBYAE0ATABTAGMAaABlAG0AYQAiAD4ADQAKACAAIAA8AEkAZAA+ADgA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</w:fldData>
        </w:fldChar>
      </w:r>
      <w:r>
        <w:rPr>
          <w:rFonts w:ascii="Times New Roman" w:hAnsi="Times New Roman" w:cs="Times New Roman"/>
          <w:noProof/>
          <w:color w:val="000000"/>
          <w:sz w:val="20"/>
        </w:rPr>
        <w:instrText xml:space="preserve"> ADDIN </w:instrText>
      </w:r>
      <w:r>
        <w:rPr>
          <w:rFonts w:ascii="Times New Roman" w:hAnsi="Times New Roman" w:cs="Times New Roman"/>
          <w:noProof/>
          <w:color w:val="000000"/>
          <w:sz w:val="20"/>
        </w:rPr>
      </w:r>
      <w:r>
        <w:rPr>
          <w:rFonts w:ascii="Times New Roman" w:hAnsi="Times New Roman" w:cs="Times New Roman"/>
          <w:noProof/>
          <w:color w:val="000000"/>
          <w:sz w:val="20"/>
        </w:rPr>
        <w:fldChar w:fldCharType="end"/>
      </w:r>
      <w:r>
        <w:rPr>
          <w:rFonts w:ascii="Times New Roman" w:hAnsi="Times New Roman" w:cs="Times New Roman"/>
          <w:noProof/>
          <w:color w:val="000000"/>
          <w:sz w:val="20"/>
        </w:rPr>
        <w:instrText xml:space="preserve"> </w:instrText>
      </w:r>
      <w:r>
        <w:rPr>
          <w:rFonts w:ascii="Times New Roman" w:hAnsi="Times New Roman" w:cs="Times New Roman"/>
          <w:noProof/>
          <w:color w:val="000000"/>
          <w:sz w:val="20"/>
        </w:rPr>
        <w:fldChar w:fldCharType="separate"/>
      </w:r>
      <w:r>
        <w:rPr>
          <w:rFonts w:ascii="Times New Roman" w:hAnsi="Times New Roman" w:cs="Times New Roman"/>
          <w:noProof/>
          <w:color w:val="000000"/>
          <w:sz w:val="20"/>
        </w:rPr>
        <w:t>3.3.1</w:t>
      </w:r>
      <w:r>
        <w:rPr>
          <w:rFonts w:ascii="Times New Roman" w:hAnsi="Times New Roman" w:cs="Times New Roman"/>
          <w:noProof/>
          <w:color w:val="000000"/>
          <w:sz w:val="20"/>
        </w:rPr>
        <w:fldChar w:fldCharType="end"/>
      </w:r>
      <w:r>
        <w:rPr>
          <w:rFonts w:ascii="Times New Roman" w:hAnsi="Times New Roman" w:cs="Times New Roman"/>
          <w:noProof/>
          <w:color w:val="000000"/>
          <w:sz w:val="20"/>
        </w:rPr>
        <w:t>), and ICT specialists represent a low share of the workforce (1.7% compared to 3.9% in the EU). Bridging the gender gap in digital is an important element, since women ICT spe</w:t>
      </w:r>
      <w:r>
        <w:rPr>
          <w:rFonts w:ascii="Times New Roman" w:hAnsi="Times New Roman" w:cs="Times New Roman"/>
          <w:noProof/>
          <w:color w:val="000000"/>
          <w:sz w:val="20"/>
        </w:rPr>
        <w:t>cialists account for a mere 0.5% of women’s employment, below the EU average of 1.4%. However, Latvia is successful in producing ICT graduates: there has been a constant increase, well above the EU average (to 5% of all graduates, compared to 3.6% in the E</w:t>
      </w:r>
      <w:r>
        <w:rPr>
          <w:rFonts w:ascii="Times New Roman" w:hAnsi="Times New Roman" w:cs="Times New Roman"/>
          <w:noProof/>
          <w:color w:val="000000"/>
          <w:sz w:val="20"/>
        </w:rPr>
        <w:t>U).</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Measures to improve access to adult learning are being supported with EU funds and there are plans for state-financed adult learning after 2022.</w:t>
      </w:r>
      <w:r>
        <w:rPr>
          <w:rFonts w:ascii="Times New Roman" w:hAnsi="Times New Roman" w:cs="Times New Roman"/>
          <w:noProof/>
          <w:color w:val="000000"/>
          <w:sz w:val="20"/>
        </w:rPr>
        <w:t xml:space="preserve"> Latvia lacks a clear framework or agreement on how to sustainably share the costs of funding lifelong learn</w:t>
      </w:r>
      <w:r>
        <w:rPr>
          <w:rFonts w:ascii="Times New Roman" w:hAnsi="Times New Roman" w:cs="Times New Roman"/>
          <w:noProof/>
          <w:color w:val="000000"/>
          <w:sz w:val="20"/>
        </w:rPr>
        <w:t xml:space="preserve">ing between government, employers and individuals (OECD, 2019a). State funding of adult learning has been postponed until 2022 and currently mainly EU funds are being used to improve access to adult learning. So far 16 800 adult employees, including 3 481 </w:t>
      </w:r>
      <w:r>
        <w:rPr>
          <w:rFonts w:ascii="Times New Roman" w:hAnsi="Times New Roman" w:cs="Times New Roman"/>
          <w:noProof/>
          <w:color w:val="000000"/>
          <w:sz w:val="20"/>
        </w:rPr>
        <w:t>employed with a low level of education, were involved in adult learning. Work is planned to develop a regulatory framework for state funding for adult learning that is to enter into force by the end of 2022. The National Skills Strategy project, which is r</w:t>
      </w:r>
      <w:r>
        <w:rPr>
          <w:rFonts w:ascii="Times New Roman" w:hAnsi="Times New Roman" w:cs="Times New Roman"/>
          <w:noProof/>
          <w:color w:val="000000"/>
          <w:sz w:val="20"/>
        </w:rPr>
        <w:t xml:space="preserve">eceiving OECD support, is in its action phase, and it is during this phase that Latvia’s national strategy for education and skills for 2021-2027 will be developed and approved. </w:t>
      </w:r>
    </w:p>
    <w:bookmarkEnd w:id="38"/>
    <w:p w:rsidR="00A8765D" w:rsidRDefault="00A8765D">
      <w:pPr>
        <w:spacing w:after="240" w:line="240" w:lineRule="atLeast"/>
        <w:jc w:val="both"/>
        <w:rPr>
          <w:rFonts w:ascii="Times New Roman" w:hAnsi="Times New Roman" w:cs="Times New Roman"/>
          <w:noProof/>
          <w:color w:val="000000"/>
          <w:sz w:val="20"/>
        </w:rPr>
        <w:sectPr w:rsidR="00A8765D">
          <w:headerReference w:type="even" r:id="rId73"/>
          <w:headerReference w:type="default" r:id="rId74"/>
          <w:footerReference w:type="even" r:id="rId75"/>
          <w:footerReference w:type="default" r:id="rId76"/>
          <w:headerReference w:type="first" r:id="rId77"/>
          <w:footerReference w:type="first" r:id="rId78"/>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bookmarkStart w:id="45" w:name="GUID254345CECA114410BC80F2E65A93F7D7"/>
    <w:p w:rsidR="00A8765D" w:rsidRDefault="006C09F5">
      <w:pPr>
        <w:spacing w:after="240" w:line="240" w:lineRule="atLeast"/>
        <w:jc w:val="both"/>
        <w:rPr>
          <w:rFonts w:ascii="Times New Roman" w:hAnsi="Times New Roman" w:cs="Times New Roman"/>
          <w:noProof/>
          <w:vanish/>
          <w:color w:val="000000"/>
          <w:sz w:val="20"/>
        </w:rPr>
      </w:pPr>
      <w:r>
        <w:rPr>
          <w:rFonts w:ascii="Times New Roman" w:hAnsi="Times New Roman" w:cs="Times New Roman"/>
          <w:noProof/>
          <w:vanish/>
          <w:color w:val="000000"/>
          <w:sz w:val="20"/>
        </w:rPr>
        <w:fldChar w:fldCharType="begin"/>
      </w:r>
      <w:r>
        <w:rPr>
          <w:rFonts w:ascii="Times New Roman" w:hAnsi="Times New Roman" w:cs="Times New Roman"/>
          <w:noProof/>
          <w:color w:val="000000"/>
          <w:sz w:val="20"/>
        </w:rPr>
        <w:instrText xml:space="preserve"> TC "</w:instrText>
      </w:r>
      <w:bookmarkStart w:id="46" w:name="_Toc33020600"/>
      <w:r>
        <w:rPr>
          <w:rFonts w:ascii="Times New Roman" w:hAnsi="Times New Roman" w:cs="Times New Roman"/>
          <w:noProof/>
          <w:color w:val="000000"/>
          <w:sz w:val="20"/>
        </w:rPr>
        <w:instrText>3.4.</w:instrText>
      </w:r>
      <w:r>
        <w:rPr>
          <w:rFonts w:ascii="Times New Roman" w:hAnsi="Times New Roman" w:cs="Times New Roman"/>
          <w:noProof/>
          <w:color w:val="000000"/>
          <w:sz w:val="20"/>
        </w:rPr>
        <w:tab/>
        <w:instrText>Competitiveness reforms and investment</w:instrText>
      </w:r>
      <w:bookmarkEnd w:id="46"/>
      <w:r>
        <w:rPr>
          <w:rFonts w:ascii="Times New Roman" w:hAnsi="Times New Roman" w:cs="Times New Roman"/>
          <w:noProof/>
          <w:color w:val="000000"/>
          <w:sz w:val="20"/>
        </w:rPr>
        <w:instrText xml:space="preserve">" \f \l 3 </w:instrText>
      </w:r>
      <w:r>
        <w:rPr>
          <w:rFonts w:ascii="Times New Roman" w:hAnsi="Times New Roman" w:cs="Times New Roman"/>
          <w:noProof/>
          <w:vanish/>
          <w:color w:val="000000"/>
          <w:sz w:val="20"/>
        </w:rPr>
        <w:fldChar w:fldCharType="end"/>
      </w:r>
    </w:p>
    <w:p w:rsidR="00A8765D" w:rsidRDefault="006C09F5">
      <w:pPr>
        <w:keepNext/>
        <w:tabs>
          <w:tab w:val="left" w:pos="567"/>
        </w:tabs>
        <w:spacing w:before="240" w:after="240" w:line="240" w:lineRule="atLeast"/>
        <w:ind w:left="567" w:hanging="567"/>
        <w:outlineLvl w:val="2"/>
        <w:rPr>
          <w:rFonts w:ascii="Century Gothic" w:hAnsi="Century Gothic" w:cs="Times New Roman"/>
          <w:b/>
          <w:caps/>
          <w:noProof/>
          <w:color w:val="333399"/>
          <w:sz w:val="18"/>
        </w:rPr>
      </w:pPr>
      <w:r>
        <w:rPr>
          <w:rFonts w:ascii="Century Gothic" w:hAnsi="Century Gothic" w:cs="Times New Roman"/>
          <w:b/>
          <w:caps/>
          <w:noProof/>
          <w:color w:val="333399"/>
          <w:sz w:val="18"/>
        </w:rPr>
        <w:t>3.4.1.</w:t>
      </w:r>
      <w:r>
        <w:rPr>
          <w:rFonts w:ascii="Century Gothic" w:hAnsi="Century Gothic" w:cs="Times New Roman"/>
          <w:b/>
          <w:caps/>
          <w:noProof/>
          <w:color w:val="333399"/>
          <w:sz w:val="18"/>
        </w:rPr>
        <w:tab/>
        <w:t xml:space="preserve">investment and productivity </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Labour productivity and unit labour costs</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Labour productivity growth more than halved in Latvia in 2018 compared to 2017, but remains well above the EU average.</w:t>
      </w:r>
      <w:r>
        <w:rPr>
          <w:rFonts w:ascii="Times New Roman" w:hAnsi="Times New Roman" w:cs="Times New Roman"/>
          <w:noProof/>
          <w:color w:val="000000"/>
          <w:sz w:val="20"/>
        </w:rPr>
        <w:t xml:space="preserve"> In 2018, hourly labour productivity growth slowed to 2.3%, compared with 4.7% the previous year. Despite the slowdown, it still grows sub</w:t>
      </w:r>
      <w:r>
        <w:rPr>
          <w:rFonts w:ascii="Times New Roman" w:hAnsi="Times New Roman" w:cs="Times New Roman"/>
          <w:noProof/>
          <w:color w:val="000000"/>
          <w:sz w:val="20"/>
        </w:rPr>
        <w:t>stantially above the EU average – over the past five years Latvia’s average productivity growth was 3.1%, while EU’s average growth was only 1.0%. Over the medium term, however, the appreciation of unit labour costs may hurt Latvia’s export competitiveness</w:t>
      </w:r>
      <w:r>
        <w:rPr>
          <w:rFonts w:ascii="Times New Roman" w:hAnsi="Times New Roman" w:cs="Times New Roman"/>
          <w:noProof/>
          <w:color w:val="000000"/>
          <w:sz w:val="20"/>
        </w:rPr>
        <w:t xml:space="preserve"> and therefore hurt its productivity growth. Moreover, the declining population is set to continue putting strain on the efficiency of Latvia’s infrastructure thus potentially being a drag on the overall productivity growth. Following the 2016 Council Reco</w:t>
      </w:r>
      <w:r>
        <w:rPr>
          <w:rFonts w:ascii="Times New Roman" w:hAnsi="Times New Roman" w:cs="Times New Roman"/>
          <w:noProof/>
          <w:color w:val="000000"/>
          <w:sz w:val="20"/>
        </w:rPr>
        <w:t>mmendation, Latvia has appointed the University of Latvia think tank LV PEAK as National Productivity Board in October 2019. Measures to ensure continued convergence with the EU average would contribute to advancing towards SDGs 8 and 9.</w:t>
      </w: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Graph 3.4.1:</w:t>
            </w:r>
            <w:r>
              <w:rPr>
                <w:rFonts w:ascii="Century Gothic" w:hAnsi="Century Gothic" w:cs="Times New Roman"/>
                <w:b/>
                <w:noProof/>
                <w:color w:val="333399"/>
                <w:sz w:val="14"/>
              </w:rPr>
              <w:tab/>
              <w:t>Labou</w:t>
            </w:r>
            <w:r>
              <w:rPr>
                <w:rFonts w:ascii="Century Gothic" w:hAnsi="Century Gothic" w:cs="Times New Roman"/>
                <w:b/>
                <w:noProof/>
                <w:color w:val="333399"/>
                <w:sz w:val="14"/>
              </w:rPr>
              <w:t>r productivity growth, annual % change</w:t>
            </w:r>
          </w:p>
        </w:tc>
      </w:tr>
      <w:tr w:rsidR="00A8765D">
        <w:trPr>
          <w:cantSplit/>
        </w:trPr>
        <w:tc>
          <w:tcPr>
            <w:tcW w:w="4111"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47" w:name="_Toc33020661"/>
            <w:r>
              <w:rPr>
                <w:rFonts w:ascii="Times New Roman" w:hAnsi="Times New Roman" w:cs="Times New Roman"/>
                <w:noProof/>
                <w:color w:val="000000"/>
                <w:sz w:val="20"/>
              </w:rPr>
              <w:instrText>3.4.1.</w:instrText>
            </w:r>
            <w:r>
              <w:rPr>
                <w:rFonts w:ascii="Times New Roman" w:hAnsi="Times New Roman" w:cs="Times New Roman"/>
                <w:noProof/>
                <w:color w:val="000000"/>
                <w:sz w:val="20"/>
              </w:rPr>
              <w:tab/>
              <w:instrText>Labour productivity growth, annual % change</w:instrText>
            </w:r>
            <w:bookmarkEnd w:id="47"/>
            <w:r>
              <w:rPr>
                <w:rFonts w:ascii="Times New Roman" w:hAnsi="Times New Roman" w:cs="Times New Roman"/>
                <w:noProof/>
                <w:color w:val="000000"/>
                <w:sz w:val="20"/>
              </w:rPr>
              <w:instrText xml:space="preserve">" \fgraph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en-GB"/>
              </w:rPr>
              <w:drawing>
                <wp:inline distT="0" distB="0" distL="0" distR="0">
                  <wp:extent cx="2597595" cy="2114219"/>
                  <wp:effectExtent l="0" t="0" r="0" b="635"/>
                  <wp:docPr id="79" name="Picture 79" descr="&lt;nbr&gt;&lt;GETTEXTFROMWORD&gt;&lt;/nbr&gt;&#10;&lt;title&gt;&lt;GETTEXTFROMWORD&gt;&lt;/title&gt;&#10;&lt;id&gt;02ecda91-4cfa-42b7-b302-baa3ef3eef6a&lt;/id&gt;&#10;&lt;srcType&gt;EXCEL&lt;/srcType&gt;&#10;&lt;srcPath&gt;O:\2017 CRs\2020 European semester\LV\LV2020_ graphs\&lt;/srcPath&gt;&#10;&lt;srcName&gt;productivity per hour worked.xlsx&lt;/srcName&gt;&#10;&lt;type&gt;graph&lt;/type&gt;&#10; &lt;srcSheet&gt;Data&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9-11-26T09:27:43&lt;/scrFileTime&gt;&#10;&lt;imageInformation&gt;&#10; &lt;dontScaleUp&gt;no&lt;/dontScaleUp&gt;&#10; &lt;usedpercentageofavailablewidth&gt;100&lt;/usedpercentageofavailablewidth&gt;&#10;&lt;/imageInformation&gt;&#10;&lt;url&gt;Chap0/Chap0-Graph-%SectionNumber%.17.xlsx&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9">
                            <a:extLst>
                              <a:ext uri="{28A0092B-C50C-407E-A947-70E740481C1C}">
                                <a14:useLocalDpi xmlns:a14="http://schemas.microsoft.com/office/drawing/2010/main" val="0"/>
                              </a:ext>
                            </a:extLst>
                          </a:blip>
                          <a:srcRect/>
                          <a:stretch>
                            <a:fillRect/>
                          </a:stretch>
                        </pic:blipFill>
                        <pic:spPr>
                          <a:xfrm>
                            <a:off x="0" y="0"/>
                            <a:ext cx="2597595" cy="2114219"/>
                          </a:xfrm>
                          <a:prstGeom prst="rect">
                            <a:avLst/>
                          </a:prstGeom>
                        </pic:spPr>
                      </pic:pic>
                    </a:graphicData>
                  </a:graphic>
                </wp:inline>
              </w:drawing>
            </w:r>
            <w:r>
              <w:rPr>
                <w:rFonts w:ascii="Times New Roman" w:hAnsi="Times New Roman" w:cs="Times New Roman"/>
                <w:noProof/>
                <w:color w:val="000000"/>
                <w:sz w:val="2"/>
              </w:rPr>
              <w:t xml:space="preserve"> </w:t>
            </w:r>
          </w:p>
        </w:tc>
      </w:tr>
      <w:tr w:rsidR="00A8765D">
        <w:trPr>
          <w:cantSplit/>
        </w:trPr>
        <w:tc>
          <w:tcPr>
            <w:tcW w:w="4111" w:type="dxa"/>
            <w:shd w:val="clear" w:color="auto" w:fill="auto"/>
            <w:tcMar>
              <w:bottom w:w="240" w:type="dxa"/>
            </w:tcMar>
          </w:tcPr>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w:t>
            </w:r>
          </w:p>
        </w:tc>
      </w:tr>
    </w:tbl>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 xml:space="preserve">Productivity growth in manufacturing has been roughly twice as fast as in market services in Latvia. Slow productivity growth in </w:t>
      </w:r>
      <w:r>
        <w:rPr>
          <w:rFonts w:ascii="Times New Roman" w:hAnsi="Times New Roman" w:cs="Times New Roman"/>
          <w:noProof/>
          <w:color w:val="000000"/>
          <w:sz w:val="20"/>
        </w:rPr>
        <w:t>non-tradable services is partly due to Latvia’s small domestic market, which limits economies of scale that can be achieved. Also, the decline in the population has put an additional strain on the productivity of domestically focused sectors. Compared to t</w:t>
      </w:r>
      <w:r>
        <w:rPr>
          <w:rFonts w:ascii="Times New Roman" w:hAnsi="Times New Roman" w:cs="Times New Roman"/>
          <w:noProof/>
          <w:color w:val="000000"/>
          <w:sz w:val="20"/>
        </w:rPr>
        <w:t>he other Baltic States, Latvia’s productivity growth in industry has been the fastest over the past 5 years, but in level terms it remains some 20% below that of Estonia and Lithuania. In market services, Latvia’s productivity growth falls between the othe</w:t>
      </w:r>
      <w:r>
        <w:rPr>
          <w:rFonts w:ascii="Times New Roman" w:hAnsi="Times New Roman" w:cs="Times New Roman"/>
          <w:noProof/>
          <w:color w:val="000000"/>
          <w:sz w:val="20"/>
        </w:rPr>
        <w:t>r Baltics (Graph </w:t>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QUOTE "3.4.2"</w:instrText>
      </w:r>
      <w:r>
        <w:rPr>
          <w:rFonts w:ascii="Times New Roman" w:hAnsi="Times New Roman" w:cs="Times New Roman"/>
          <w:noProof/>
          <w:color w:val="000000"/>
          <w:sz w:val="20"/>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AHIAZwAvADIAMAAwADEALwBYAE0ATABTAGMAaABlAG0AYQAiAD4ADQAKACAAIAA8AEkAZAA+ADcA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</w:fldData>
        </w:fldChar>
      </w:r>
      <w:r>
        <w:rPr>
          <w:rFonts w:ascii="Times New Roman" w:hAnsi="Times New Roman" w:cs="Times New Roman"/>
          <w:noProof/>
          <w:color w:val="000000"/>
          <w:sz w:val="20"/>
        </w:rPr>
        <w:instrText xml:space="preserve"> ADDIN </w:instrText>
      </w:r>
      <w:r>
        <w:rPr>
          <w:rFonts w:ascii="Times New Roman" w:hAnsi="Times New Roman" w:cs="Times New Roman"/>
          <w:noProof/>
          <w:color w:val="000000"/>
          <w:sz w:val="20"/>
        </w:rPr>
      </w:r>
      <w:r>
        <w:rPr>
          <w:rFonts w:ascii="Times New Roman" w:hAnsi="Times New Roman" w:cs="Times New Roman"/>
          <w:noProof/>
          <w:color w:val="000000"/>
          <w:sz w:val="20"/>
        </w:rPr>
        <w:fldChar w:fldCharType="end"/>
      </w:r>
      <w:r>
        <w:rPr>
          <w:rFonts w:ascii="Times New Roman" w:hAnsi="Times New Roman" w:cs="Times New Roman"/>
          <w:noProof/>
          <w:color w:val="000000"/>
          <w:sz w:val="20"/>
        </w:rPr>
        <w:instrText xml:space="preserve"> </w:instrText>
      </w:r>
      <w:r>
        <w:rPr>
          <w:rFonts w:ascii="Times New Roman" w:hAnsi="Times New Roman" w:cs="Times New Roman"/>
          <w:noProof/>
          <w:color w:val="000000"/>
          <w:sz w:val="20"/>
        </w:rPr>
        <w:fldChar w:fldCharType="separate"/>
      </w:r>
      <w:r>
        <w:rPr>
          <w:rFonts w:ascii="Times New Roman" w:hAnsi="Times New Roman" w:cs="Times New Roman"/>
          <w:noProof/>
          <w:color w:val="000000"/>
          <w:sz w:val="20"/>
        </w:rPr>
        <w:t>3.4.2</w:t>
      </w:r>
      <w:r>
        <w:rPr>
          <w:rFonts w:ascii="Times New Roman" w:hAnsi="Times New Roman" w:cs="Times New Roman"/>
          <w:noProof/>
          <w:color w:val="000000"/>
          <w:sz w:val="20"/>
        </w:rPr>
        <w:fldChar w:fldCharType="end"/>
      </w:r>
      <w:r>
        <w:rPr>
          <w:rFonts w:ascii="Times New Roman" w:hAnsi="Times New Roman" w:cs="Times New Roman"/>
          <w:noProof/>
          <w:color w:val="000000"/>
          <w:sz w:val="20"/>
        </w:rPr>
        <w:t>).</w:t>
      </w: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Graph 3.4.2:</w:t>
            </w:r>
            <w:r>
              <w:rPr>
                <w:rFonts w:ascii="Century Gothic" w:hAnsi="Century Gothic" w:cs="Times New Roman"/>
                <w:b/>
                <w:noProof/>
                <w:color w:val="333399"/>
                <w:sz w:val="14"/>
              </w:rPr>
              <w:tab/>
              <w:t>Average productivity growth 2013 - 2018, %</w:t>
            </w:r>
          </w:p>
        </w:tc>
      </w:tr>
      <w:tr w:rsidR="00A8765D">
        <w:trPr>
          <w:cantSplit/>
        </w:trPr>
        <w:tc>
          <w:tcPr>
            <w:tcW w:w="4111"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48" w:name="_Toc33020662"/>
            <w:r>
              <w:rPr>
                <w:rFonts w:ascii="Times New Roman" w:hAnsi="Times New Roman" w:cs="Times New Roman"/>
                <w:noProof/>
                <w:color w:val="000000"/>
                <w:sz w:val="20"/>
              </w:rPr>
              <w:instrText>3.4.2.</w:instrText>
            </w:r>
            <w:r>
              <w:rPr>
                <w:rFonts w:ascii="Times New Roman" w:hAnsi="Times New Roman" w:cs="Times New Roman"/>
                <w:noProof/>
                <w:color w:val="000000"/>
                <w:sz w:val="20"/>
              </w:rPr>
              <w:tab/>
              <w:instrText>Average productivity growth 2013 - 2018, %</w:instrText>
            </w:r>
            <w:bookmarkEnd w:id="48"/>
            <w:r>
              <w:rPr>
                <w:rFonts w:ascii="Times New Roman" w:hAnsi="Times New Roman" w:cs="Times New Roman"/>
                <w:noProof/>
                <w:color w:val="000000"/>
                <w:sz w:val="20"/>
              </w:rPr>
              <w:instrText xml:space="preserve">" \fgraph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en-GB"/>
              </w:rPr>
              <w:drawing>
                <wp:inline distT="0" distB="0" distL="0" distR="0">
                  <wp:extent cx="2597595" cy="2444684"/>
                  <wp:effectExtent l="0" t="0" r="0" b="0"/>
                  <wp:docPr id="80" name="Picture 80" descr="&lt;nbr&gt;&lt;GETTEXTFROMWORD&gt;&lt;/nbr&gt;&#10;&lt;title&gt;&lt;GETTEXTFROMWORD&gt;&lt;/title&gt;&#10;&lt;id&gt;711ba3c3-000f-4e13-9b23-e32ad1ffbf28&lt;/id&gt;&#10;&lt;srcType&gt;EXCEL&lt;/srcType&gt;&#10;&lt;srcPath&gt;O:\2017 CRs\2020 European semester\LV\LV2020_ graphs\&lt;/srcPath&gt;&#10;&lt;srcName&gt;productivity by branch.xlsx&lt;/srcName&gt;&#10;&lt;type&gt;graph&lt;/type&gt;&#10; &lt;srcSheet&gt;1 1 0 0 RVG2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9-11-26T09:42:28&lt;/scrFileTime&gt;&#10;&lt;imageInformation&gt;&#10; &lt;dontScaleUp&gt;no&lt;/dontScaleUp&gt;&#10; &lt;usedpercentageofavailablewidth&gt;100&lt;/usedpercentageofavailablewidth&gt;&#10;&lt;/imageInformation&gt;&#10;&lt;url&gt;Chap0/Chap0-Graph-%SectionNumber%.18.xlsx&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80">
                            <a:extLst>
                              <a:ext uri="{28A0092B-C50C-407E-A947-70E740481C1C}">
                                <a14:useLocalDpi xmlns:a14="http://schemas.microsoft.com/office/drawing/2010/main" val="0"/>
                              </a:ext>
                            </a:extLst>
                          </a:blip>
                          <a:srcRect/>
                          <a:stretch>
                            <a:fillRect/>
                          </a:stretch>
                        </pic:blipFill>
                        <pic:spPr>
                          <a:xfrm>
                            <a:off x="0" y="0"/>
                            <a:ext cx="2597595" cy="2444684"/>
                          </a:xfrm>
                          <a:prstGeom prst="rect">
                            <a:avLst/>
                          </a:prstGeom>
                        </pic:spPr>
                      </pic:pic>
                    </a:graphicData>
                  </a:graphic>
                </wp:inline>
              </w:drawing>
            </w:r>
            <w:r>
              <w:rPr>
                <w:rFonts w:ascii="Times New Roman" w:hAnsi="Times New Roman" w:cs="Times New Roman"/>
                <w:noProof/>
                <w:color w:val="000000"/>
                <w:sz w:val="2"/>
              </w:rPr>
              <w:t xml:space="preserve"> </w:t>
            </w:r>
          </w:p>
        </w:tc>
      </w:tr>
      <w:tr w:rsidR="00A8765D">
        <w:trPr>
          <w:cantSplit/>
        </w:trPr>
        <w:tc>
          <w:tcPr>
            <w:tcW w:w="4111" w:type="dxa"/>
            <w:shd w:val="clear" w:color="auto" w:fill="auto"/>
            <w:tcMar>
              <w:bottom w:w="240" w:type="dxa"/>
            </w:tcMar>
          </w:tcPr>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European Commission</w:t>
            </w:r>
          </w:p>
        </w:tc>
      </w:tr>
    </w:tbl>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 xml:space="preserve">Cost competitiveness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Unit labour cost growth remains among the highest in the EU, raising concern about Latvia’s cost competitiveness.</w:t>
      </w:r>
      <w:r>
        <w:rPr>
          <w:rFonts w:ascii="Times New Roman" w:hAnsi="Times New Roman" w:cs="Times New Roman"/>
          <w:noProof/>
          <w:color w:val="000000"/>
          <w:sz w:val="20"/>
        </w:rPr>
        <w:t xml:space="preserve"> In 2018, unit labour cost growth accelerated again to 5.3%, bringing the three-year growth rate to 14.7%, considerably above the macroeconomic imbalances scoreboard threshold of 9%. The growth in unit labour costs in Latvia has considerably exceeded the e</w:t>
      </w:r>
      <w:r>
        <w:rPr>
          <w:rFonts w:ascii="Times New Roman" w:hAnsi="Times New Roman" w:cs="Times New Roman"/>
          <w:noProof/>
          <w:color w:val="000000"/>
          <w:sz w:val="20"/>
        </w:rPr>
        <w:t xml:space="preserve">uro-area average and Latvia’s real effective exchange rate based on unit labour costs has appreciated by 7.1% between 2015 and 2018. However, the unit labour cost growth has been slow to pass on to prices as evidenced by the mere 1.3% increase in the real </w:t>
      </w:r>
      <w:r>
        <w:rPr>
          <w:rFonts w:ascii="Times New Roman" w:hAnsi="Times New Roman" w:cs="Times New Roman"/>
          <w:noProof/>
          <w:color w:val="000000"/>
          <w:sz w:val="20"/>
        </w:rPr>
        <w:t xml:space="preserve">effective exchange rate based on the </w:t>
      </w:r>
      <w:r>
        <w:rPr>
          <w:rFonts w:ascii="Times New Roman" w:hAnsi="Times New Roman" w:cs="Times New Roman"/>
          <w:i/>
          <w:noProof/>
          <w:color w:val="000000"/>
          <w:sz w:val="20"/>
        </w:rPr>
        <w:t>harmonised index of consumer prices</w:t>
      </w:r>
      <w:r>
        <w:rPr>
          <w:rFonts w:ascii="Times New Roman" w:hAnsi="Times New Roman" w:cs="Times New Roman"/>
          <w:noProof/>
          <w:color w:val="000000"/>
          <w:sz w:val="20"/>
        </w:rPr>
        <w:t xml:space="preserve"> over the past 3 years. The rise in wage costs relative to Latvia’s trading partners carries the risk of making the country’s exports too expensive to compete in foreign markets. Howev</w:t>
      </w:r>
      <w:r>
        <w:rPr>
          <w:rFonts w:ascii="Times New Roman" w:hAnsi="Times New Roman" w:cs="Times New Roman"/>
          <w:noProof/>
          <w:color w:val="000000"/>
          <w:sz w:val="20"/>
        </w:rPr>
        <w:t>er, the growth of export market share has remained healthy so far — over the past 5 years it has increased by 8.6%. This is notably below other catching-up economies at a similar income level, like Poland or Romania whose market shares have increased by mo</w:t>
      </w:r>
      <w:r>
        <w:rPr>
          <w:rFonts w:ascii="Times New Roman" w:hAnsi="Times New Roman" w:cs="Times New Roman"/>
          <w:noProof/>
          <w:color w:val="000000"/>
          <w:sz w:val="20"/>
        </w:rPr>
        <w:t xml:space="preserve">re than 20% over the past 5 years. However, Latvia’s export market share growth rate is highest among the Baltics — in Lithuania it was below 5%, and in Estonia it barely changed at all.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Wage growth spurred by labour market tightening is the primary drive</w:t>
      </w:r>
      <w:r>
        <w:rPr>
          <w:rFonts w:ascii="Times New Roman" w:hAnsi="Times New Roman" w:cs="Times New Roman"/>
          <w:b/>
          <w:noProof/>
          <w:color w:val="000000"/>
          <w:sz w:val="20"/>
        </w:rPr>
        <w:t>r of unit labour cost growth.</w:t>
      </w:r>
      <w:r>
        <w:rPr>
          <w:rFonts w:ascii="Times New Roman" w:hAnsi="Times New Roman" w:cs="Times New Roman"/>
          <w:noProof/>
          <w:color w:val="000000"/>
          <w:sz w:val="20"/>
        </w:rPr>
        <w:t xml:space="preserve"> The breakdown of the growth in unit labour costs shows that the average productivity growth over the past 3 years has been among the fastest in the EU. However, Latvia’s annual wage growth of around 7.9% in the past 5 years ha</w:t>
      </w:r>
      <w:r>
        <w:rPr>
          <w:rFonts w:ascii="Times New Roman" w:hAnsi="Times New Roman" w:cs="Times New Roman"/>
          <w:noProof/>
          <w:color w:val="000000"/>
          <w:sz w:val="20"/>
        </w:rPr>
        <w:t>s been much higher than the EU average of 1.6%, therefore driving the relative increase in unit labour costs. The driver of the recent fast wage growth is the falling labour supply and an investment-led increase in labour demand. Labour supply is set to co</w:t>
      </w:r>
      <w:r>
        <w:rPr>
          <w:rFonts w:ascii="Times New Roman" w:hAnsi="Times New Roman" w:cs="Times New Roman"/>
          <w:noProof/>
          <w:color w:val="000000"/>
          <w:sz w:val="20"/>
        </w:rPr>
        <w:t>ntinue declining due to the demographic situation. Conversely, rapid wage growth may alleviate the pressure of a falling labour supply if the country manages to stem outward migration. Further relief to the shortage of workers could come from policies faci</w:t>
      </w:r>
      <w:r>
        <w:rPr>
          <w:rFonts w:ascii="Times New Roman" w:hAnsi="Times New Roman" w:cs="Times New Roman"/>
          <w:noProof/>
          <w:color w:val="000000"/>
          <w:sz w:val="20"/>
        </w:rPr>
        <w:t>litating better internal mobility, increasing adult participation in learning, improving the labour market relevance of training of the low-skilled and improving health outcomes.</w:t>
      </w: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Graph 3.4.3:</w:t>
            </w:r>
            <w:r>
              <w:rPr>
                <w:rFonts w:ascii="Century Gothic" w:hAnsi="Century Gothic" w:cs="Times New Roman"/>
                <w:b/>
                <w:noProof/>
                <w:color w:val="333399"/>
                <w:sz w:val="14"/>
              </w:rPr>
              <w:tab/>
              <w:t>Unit labour cost growth and its components, %</w:t>
            </w:r>
          </w:p>
        </w:tc>
      </w:tr>
      <w:tr w:rsidR="00A8765D">
        <w:trPr>
          <w:cantSplit/>
        </w:trPr>
        <w:tc>
          <w:tcPr>
            <w:tcW w:w="4111"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49" w:name="_Toc33020663"/>
            <w:r>
              <w:rPr>
                <w:rFonts w:ascii="Times New Roman" w:hAnsi="Times New Roman" w:cs="Times New Roman"/>
                <w:noProof/>
                <w:color w:val="000000"/>
                <w:sz w:val="20"/>
              </w:rPr>
              <w:instrText>3.4.3.</w:instrText>
            </w:r>
            <w:r>
              <w:rPr>
                <w:rFonts w:ascii="Times New Roman" w:hAnsi="Times New Roman" w:cs="Times New Roman"/>
                <w:noProof/>
                <w:color w:val="000000"/>
                <w:sz w:val="20"/>
              </w:rPr>
              <w:tab/>
              <w:instrText xml:space="preserve">Unit </w:instrText>
            </w:r>
            <w:r>
              <w:rPr>
                <w:rFonts w:ascii="Times New Roman" w:hAnsi="Times New Roman" w:cs="Times New Roman"/>
                <w:noProof/>
                <w:color w:val="000000"/>
                <w:sz w:val="20"/>
              </w:rPr>
              <w:instrText>labour cost growth and its components, %</w:instrText>
            </w:r>
            <w:bookmarkEnd w:id="49"/>
            <w:r>
              <w:rPr>
                <w:rFonts w:ascii="Times New Roman" w:hAnsi="Times New Roman" w:cs="Times New Roman"/>
                <w:noProof/>
                <w:color w:val="000000"/>
                <w:sz w:val="20"/>
              </w:rPr>
              <w:instrText xml:space="preserve">" \fgraph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en-GB"/>
              </w:rPr>
              <w:drawing>
                <wp:inline distT="0" distB="0" distL="0" distR="0">
                  <wp:extent cx="2597595" cy="2429519"/>
                  <wp:effectExtent l="0" t="0" r="0" b="0"/>
                  <wp:docPr id="10" name="Picture 10" descr="&lt;nbr&gt;&lt;GETTEXTFROMWORD&gt;&lt;/nbr&gt;&#10;&lt;title&gt;&lt;GETTEXTFROMWORD&gt;&lt;/title&gt;&#10;&lt;id&gt;4eb4485b-5f5a-4379-95ec-8ec363a80409&lt;/id&gt;&#10;&lt;srcType&gt;EXCEL&lt;/srcType&gt;&#10;&lt;srcPath&gt;O:\2017 CRs\2020 European semester\LV\LV2020_ graphs\&lt;/srcPath&gt;&#10;&lt;srcName&gt;ULC decomposition.xlsx&lt;/srcName&gt;&#10;&lt;type&gt;graph&lt;/type&gt;&#10; &lt;srcSheet&gt;ulc_decomp&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9-11-26T15:30:29&lt;/scrFileTime&gt;&#10;&lt;imageInformation&gt;&#10; &lt;dontScaleUp&gt;no&lt;/dontScaleUp&gt;&#10; &lt;usedpercentageofavailablewidth&gt;100&lt;/usedpercentageofavailablewidth&gt;&#10;&lt;/imageInformation&gt;&#10;&lt;url&gt;Chap0/Chap0-Graph-%SectionNumber%.19.xlsx&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81">
                            <a:extLst>
                              <a:ext uri="{28A0092B-C50C-407E-A947-70E740481C1C}">
                                <a14:useLocalDpi xmlns:a14="http://schemas.microsoft.com/office/drawing/2010/main" val="0"/>
                              </a:ext>
                            </a:extLst>
                          </a:blip>
                          <a:srcRect/>
                          <a:stretch>
                            <a:fillRect/>
                          </a:stretch>
                        </pic:blipFill>
                        <pic:spPr>
                          <a:xfrm>
                            <a:off x="0" y="0"/>
                            <a:ext cx="2597595" cy="2429519"/>
                          </a:xfrm>
                          <a:prstGeom prst="rect">
                            <a:avLst/>
                          </a:prstGeom>
                        </pic:spPr>
                      </pic:pic>
                    </a:graphicData>
                  </a:graphic>
                </wp:inline>
              </w:drawing>
            </w:r>
            <w:r>
              <w:rPr>
                <w:rFonts w:ascii="Times New Roman" w:hAnsi="Times New Roman" w:cs="Times New Roman"/>
                <w:noProof/>
                <w:color w:val="000000"/>
                <w:sz w:val="2"/>
              </w:rPr>
              <w:t xml:space="preserve"> </w:t>
            </w:r>
          </w:p>
        </w:tc>
      </w:tr>
      <w:tr w:rsidR="00A8765D">
        <w:trPr>
          <w:cantSplit/>
        </w:trPr>
        <w:tc>
          <w:tcPr>
            <w:tcW w:w="4111" w:type="dxa"/>
            <w:shd w:val="clear" w:color="auto" w:fill="auto"/>
            <w:tcMar>
              <w:bottom w:w="240" w:type="dxa"/>
            </w:tcMar>
          </w:tcPr>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European Commission</w:t>
            </w:r>
          </w:p>
        </w:tc>
      </w:tr>
    </w:tbl>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 xml:space="preserve">Investment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Despite a recent surge, investment levels remain only somewhat above the EU average.</w:t>
      </w:r>
      <w:r>
        <w:rPr>
          <w:rFonts w:ascii="Times New Roman" w:hAnsi="Times New Roman" w:cs="Times New Roman"/>
          <w:noProof/>
          <w:color w:val="000000"/>
          <w:sz w:val="20"/>
        </w:rPr>
        <w:t xml:space="preserve"> Investment growth slowed in 2019, ending a spurt, which saw real increase in investment of nearly 35% between 2016 and 2019. The spurt was driven primarily by EU-funded public investment, helped also by private sector investments in retail spaces and offi</w:t>
      </w:r>
      <w:r>
        <w:rPr>
          <w:rFonts w:ascii="Times New Roman" w:hAnsi="Times New Roman" w:cs="Times New Roman"/>
          <w:noProof/>
          <w:color w:val="000000"/>
          <w:sz w:val="20"/>
        </w:rPr>
        <w:t>ce buildings to accommodate the rapidly growing business and IT services industry. Over the longer term, however, real investment growth in Latvia has been meagre — over the past 5 years it has increased at roughly the same pace as the EU average. Moreover</w:t>
      </w:r>
      <w:r>
        <w:rPr>
          <w:rFonts w:ascii="Times New Roman" w:hAnsi="Times New Roman" w:cs="Times New Roman"/>
          <w:noProof/>
          <w:color w:val="000000"/>
          <w:sz w:val="20"/>
        </w:rPr>
        <w:t>, it has mostly been driven by non-residential construction and machinery, while the growth in other asset types has been significantly lower than in the other Baltics or the EU average. EU-funded infrastructure projects form a significant part of non-resi</w:t>
      </w:r>
      <w:r>
        <w:rPr>
          <w:rFonts w:ascii="Times New Roman" w:hAnsi="Times New Roman" w:cs="Times New Roman"/>
          <w:noProof/>
          <w:color w:val="000000"/>
          <w:sz w:val="20"/>
        </w:rPr>
        <w:t>dential construction and have therefore been instrumental in carrying Latvia’s investment growth. Lacklustre residential investment growth is linked to a number of factors — relatively high construction costs due to lengthy and cumbersome administrative pr</w:t>
      </w:r>
      <w:r>
        <w:rPr>
          <w:rFonts w:ascii="Times New Roman" w:hAnsi="Times New Roman" w:cs="Times New Roman"/>
          <w:noProof/>
          <w:color w:val="000000"/>
          <w:sz w:val="20"/>
        </w:rPr>
        <w:t xml:space="preserve">ocedures, slow mortgage lending and a declining population. Finally, poor investment in intellectual property is linked to a relatively weak digitalisation drive across economic sectors (see graph </w:t>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QUOTE "3.4.4"</w:instrText>
      </w:r>
      <w:r>
        <w:rPr>
          <w:rFonts w:ascii="Times New Roman" w:hAnsi="Times New Roman" w:cs="Times New Roman"/>
          <w:noProof/>
          <w:color w:val="000000"/>
          <w:sz w:val="20"/>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AHIAZwAvADIAMAAwADEALwBYAE0ATABTAGMAaABlAG0AYQAiAD4ADQAKACAAIAA8AEkAZAA+AGYA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</w:fldData>
        </w:fldChar>
      </w:r>
      <w:r>
        <w:rPr>
          <w:rFonts w:ascii="Times New Roman" w:hAnsi="Times New Roman" w:cs="Times New Roman"/>
          <w:noProof/>
          <w:color w:val="000000"/>
          <w:sz w:val="20"/>
        </w:rPr>
        <w:instrText xml:space="preserve"> ADDIN </w:instrText>
      </w:r>
      <w:r>
        <w:rPr>
          <w:rFonts w:ascii="Times New Roman" w:hAnsi="Times New Roman" w:cs="Times New Roman"/>
          <w:noProof/>
          <w:color w:val="000000"/>
          <w:sz w:val="20"/>
        </w:rPr>
      </w:r>
      <w:r>
        <w:rPr>
          <w:rFonts w:ascii="Times New Roman" w:hAnsi="Times New Roman" w:cs="Times New Roman"/>
          <w:noProof/>
          <w:color w:val="000000"/>
          <w:sz w:val="20"/>
        </w:rPr>
        <w:fldChar w:fldCharType="end"/>
      </w:r>
      <w:r>
        <w:rPr>
          <w:rFonts w:ascii="Times New Roman" w:hAnsi="Times New Roman" w:cs="Times New Roman"/>
          <w:noProof/>
          <w:color w:val="000000"/>
          <w:sz w:val="20"/>
        </w:rPr>
        <w:instrText xml:space="preserve"> </w:instrText>
      </w:r>
      <w:r>
        <w:rPr>
          <w:rFonts w:ascii="Times New Roman" w:hAnsi="Times New Roman" w:cs="Times New Roman"/>
          <w:noProof/>
          <w:color w:val="000000"/>
          <w:sz w:val="20"/>
        </w:rPr>
        <w:fldChar w:fldCharType="separate"/>
      </w:r>
      <w:r>
        <w:rPr>
          <w:rFonts w:ascii="Times New Roman" w:hAnsi="Times New Roman" w:cs="Times New Roman"/>
          <w:noProof/>
          <w:color w:val="000000"/>
          <w:sz w:val="20"/>
        </w:rPr>
        <w:t>3.4.4</w:t>
      </w:r>
      <w:r>
        <w:rPr>
          <w:rFonts w:ascii="Times New Roman" w:hAnsi="Times New Roman" w:cs="Times New Roman"/>
          <w:noProof/>
          <w:color w:val="000000"/>
          <w:sz w:val="20"/>
        </w:rPr>
        <w:fldChar w:fldCharType="end"/>
      </w:r>
      <w:r>
        <w:rPr>
          <w:rFonts w:ascii="Times New Roman" w:hAnsi="Times New Roman" w:cs="Times New Roman"/>
          <w:noProof/>
          <w:color w:val="000000"/>
          <w:sz w:val="20"/>
        </w:rPr>
        <w:t>).</w:t>
      </w: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Graph 3.4.4:</w:t>
            </w:r>
            <w:r>
              <w:rPr>
                <w:rFonts w:ascii="Century Gothic" w:hAnsi="Century Gothic" w:cs="Times New Roman"/>
                <w:b/>
                <w:noProof/>
                <w:color w:val="333399"/>
                <w:sz w:val="14"/>
              </w:rPr>
              <w:tab/>
              <w:t>Average real investment growth 2013 - 2018, %</w:t>
            </w:r>
          </w:p>
        </w:tc>
      </w:tr>
      <w:tr w:rsidR="00A8765D">
        <w:trPr>
          <w:cantSplit/>
        </w:trPr>
        <w:tc>
          <w:tcPr>
            <w:tcW w:w="4111"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50" w:name="_Toc33020664"/>
            <w:r>
              <w:rPr>
                <w:rFonts w:ascii="Times New Roman" w:hAnsi="Times New Roman" w:cs="Times New Roman"/>
                <w:noProof/>
                <w:color w:val="000000"/>
                <w:sz w:val="20"/>
              </w:rPr>
              <w:instrText>3.4.4.</w:instrText>
            </w:r>
            <w:r>
              <w:rPr>
                <w:rFonts w:ascii="Times New Roman" w:hAnsi="Times New Roman" w:cs="Times New Roman"/>
                <w:noProof/>
                <w:color w:val="000000"/>
                <w:sz w:val="20"/>
              </w:rPr>
              <w:tab/>
              <w:instrText>Average real investment growth 2013 - 2018, %</w:instrText>
            </w:r>
            <w:bookmarkEnd w:id="50"/>
            <w:r>
              <w:rPr>
                <w:rFonts w:ascii="Times New Roman" w:hAnsi="Times New Roman" w:cs="Times New Roman"/>
                <w:noProof/>
                <w:color w:val="000000"/>
                <w:sz w:val="20"/>
              </w:rPr>
              <w:instrText xml:space="preserve">" \fgraph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en-GB"/>
              </w:rPr>
              <w:drawing>
                <wp:inline distT="0" distB="0" distL="0" distR="0">
                  <wp:extent cx="2597595" cy="2444684"/>
                  <wp:effectExtent l="0" t="0" r="0" b="0"/>
                  <wp:docPr id="85" name="Picture 85" descr="&lt;nbr&gt;&lt;GETTEXTFROMWORD&gt;&lt;/nbr&gt;&#10;&lt;title&gt;&lt;GETTEXTFROMWORD&gt;&lt;/title&gt;&#10;&lt;id&gt;f3ad0ebc-c1e2-4486-9b95-a80f8caa75fa&lt;/id&gt;&#10;&lt;srcType&gt;EXCEL&lt;/srcType&gt;&#10;&lt;srcPath&gt;O:\2017 CRs\2020 European semester\LV\LV2020_ graphs\&lt;/srcPath&gt;&#10;&lt;srcName&gt;investment by asset.xlsx&lt;/srcName&gt;&#10;&lt;type&gt;graph&lt;/type&gt;&#10; &lt;srcSheet&gt;Data&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9-11-26T10:20:53&lt;/scrFileTime&gt;&#10;&lt;imageInformation&gt;&#10; &lt;dontScaleUp&gt;no&lt;/dontScaleUp&gt;&#10; &lt;usedpercentageofavailablewidth&gt;100&lt;/usedpercentageofavailablewidth&gt;&#10;&lt;/imageInformation&gt;&#10;&lt;url&gt;Chap0/Chap0-Graph-%SectionNumber%.20.xlsx&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2">
                            <a:extLst>
                              <a:ext uri="{28A0092B-C50C-407E-A947-70E740481C1C}">
                                <a14:useLocalDpi xmlns:a14="http://schemas.microsoft.com/office/drawing/2010/main" val="0"/>
                              </a:ext>
                            </a:extLst>
                          </a:blip>
                          <a:srcRect/>
                          <a:stretch>
                            <a:fillRect/>
                          </a:stretch>
                        </pic:blipFill>
                        <pic:spPr>
                          <a:xfrm>
                            <a:off x="0" y="0"/>
                            <a:ext cx="2597595" cy="2444684"/>
                          </a:xfrm>
                          <a:prstGeom prst="rect">
                            <a:avLst/>
                          </a:prstGeom>
                        </pic:spPr>
                      </pic:pic>
                    </a:graphicData>
                  </a:graphic>
                </wp:inline>
              </w:drawing>
            </w:r>
            <w:r>
              <w:rPr>
                <w:rFonts w:ascii="Times New Roman" w:hAnsi="Times New Roman" w:cs="Times New Roman"/>
                <w:noProof/>
                <w:color w:val="000000"/>
                <w:sz w:val="2"/>
              </w:rPr>
              <w:t xml:space="preserve"> </w:t>
            </w:r>
          </w:p>
        </w:tc>
      </w:tr>
      <w:tr w:rsidR="00A8765D">
        <w:trPr>
          <w:cantSplit/>
        </w:trPr>
        <w:tc>
          <w:tcPr>
            <w:tcW w:w="4111" w:type="dxa"/>
            <w:shd w:val="clear" w:color="auto" w:fill="auto"/>
            <w:tcMar>
              <w:bottom w:w="240" w:type="dxa"/>
            </w:tcMar>
          </w:tcPr>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European Commission</w:t>
            </w:r>
          </w:p>
        </w:tc>
      </w:tr>
    </w:tbl>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Firm surveys show that </w:t>
      </w:r>
      <w:r>
        <w:rPr>
          <w:rFonts w:ascii="Times New Roman" w:hAnsi="Times New Roman" w:cs="Times New Roman"/>
          <w:b/>
          <w:noProof/>
          <w:color w:val="000000"/>
          <w:sz w:val="20"/>
        </w:rPr>
        <w:t>uncertainty about demand holds back investment.</w:t>
      </w:r>
      <w:r>
        <w:rPr>
          <w:rFonts w:ascii="Times New Roman" w:hAnsi="Times New Roman" w:cs="Times New Roman"/>
          <w:noProof/>
          <w:color w:val="000000"/>
          <w:sz w:val="20"/>
        </w:rPr>
        <w:t xml:space="preserve"> Private investment remains subdued, largely driven by uncertainty regarding external demand conditions, but to some extent also by structural barriers. One quarter of Latvian firms consider they had invested </w:t>
      </w:r>
      <w:r>
        <w:rPr>
          <w:rFonts w:ascii="Times New Roman" w:hAnsi="Times New Roman" w:cs="Times New Roman"/>
          <w:noProof/>
          <w:color w:val="000000"/>
          <w:sz w:val="20"/>
        </w:rPr>
        <w:t>too little over the last few years, which is among the highest rates in the EU. At the same time, only 29% of firms in Latvia report operating at or above full capacity, which is the lowest value in the EU (EIB Investment Survey 2019). The cost and availab</w:t>
      </w:r>
      <w:r>
        <w:rPr>
          <w:rFonts w:ascii="Times New Roman" w:hAnsi="Times New Roman" w:cs="Times New Roman"/>
          <w:noProof/>
          <w:color w:val="000000"/>
          <w:sz w:val="20"/>
        </w:rPr>
        <w:t>ility of external financing and the stability and complexity of tax legislation are also cited as possible obstacles to investment (Flash Eurobarometer 459 ‘Investment in the EU’).</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Research and innovation</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Investment in research and innovation in Latvia rec</w:t>
      </w:r>
      <w:r>
        <w:rPr>
          <w:rFonts w:ascii="Times New Roman" w:hAnsi="Times New Roman" w:cs="Times New Roman"/>
          <w:b/>
          <w:noProof/>
          <w:color w:val="000000"/>
          <w:sz w:val="20"/>
        </w:rPr>
        <w:t>ently increased, supported by EU funds, but remains low overall.</w:t>
      </w:r>
      <w:r>
        <w:rPr>
          <w:rFonts w:ascii="Times New Roman" w:hAnsi="Times New Roman" w:cs="Times New Roman"/>
          <w:noProof/>
          <w:color w:val="000000"/>
          <w:sz w:val="20"/>
        </w:rPr>
        <w:t xml:space="preserve"> In 2018, research and development expenditure relative to GDP was up 0.64% (0.51% in 2017). More than half of this is public spending. European funds constitute 41.5% of all public investment</w:t>
      </w:r>
      <w:r>
        <w:rPr>
          <w:rFonts w:ascii="Times New Roman" w:hAnsi="Times New Roman" w:cs="Times New Roman"/>
          <w:noProof/>
          <w:color w:val="000000"/>
          <w:sz w:val="20"/>
        </w:rPr>
        <w:t xml:space="preserve"> in research and innovation. Despite the increase in spending, it is insufficient to tackle the significant underfunding of the entire research and innovation system. The share of investment in research and development is considerably below the EU average </w:t>
      </w:r>
      <w:r>
        <w:rPr>
          <w:rFonts w:ascii="Times New Roman" w:hAnsi="Times New Roman" w:cs="Times New Roman"/>
          <w:noProof/>
          <w:color w:val="000000"/>
          <w:sz w:val="20"/>
        </w:rPr>
        <w:t>(2.1% of GDP in 2018) and is also far below Latvia’s target of 1.5% of GDP for 2020. The underfunding hinders the effectiveness of the research and development system, its attractiveness to researchers, especially young researchers, and is limiting its add</w:t>
      </w:r>
      <w:r>
        <w:rPr>
          <w:rFonts w:ascii="Times New Roman" w:hAnsi="Times New Roman" w:cs="Times New Roman"/>
          <w:noProof/>
          <w:color w:val="000000"/>
          <w:sz w:val="20"/>
        </w:rPr>
        <w:t>ed value for the economy. Moreover, the coverage of sustainability-related research and innovation topics is limited. The share of publications in top journals has slightly increased but remains relatively low in international comparison.</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Latvia boasts a v</w:t>
      </w:r>
      <w:r>
        <w:rPr>
          <w:rFonts w:ascii="Times New Roman" w:hAnsi="Times New Roman" w:cs="Times New Roman"/>
          <w:b/>
          <w:noProof/>
          <w:color w:val="000000"/>
          <w:sz w:val="20"/>
        </w:rPr>
        <w:t>ibrant start-up community, but the supply of IT specialists is limited and research-industry links are weak.</w:t>
      </w:r>
      <w:r>
        <w:rPr>
          <w:rFonts w:ascii="Times New Roman" w:hAnsi="Times New Roman" w:cs="Times New Roman"/>
          <w:noProof/>
          <w:color w:val="000000"/>
          <w:sz w:val="20"/>
        </w:rPr>
        <w:t xml:space="preserve"> While the employment share of high growth enterprises is slightly above the EU average, the country performs below the EU average in terms of acces</w:t>
      </w:r>
      <w:r>
        <w:rPr>
          <w:rFonts w:ascii="Times New Roman" w:hAnsi="Times New Roman" w:cs="Times New Roman"/>
          <w:noProof/>
          <w:color w:val="000000"/>
          <w:sz w:val="20"/>
        </w:rPr>
        <w:t xml:space="preserve">s to finance and other framework conditions (e. g. human capital, regulation and innovation), with the notable exception of entrepreneurial skills, reflected in the steadily growing start-up community. The highest share of high-growth enterprises is found </w:t>
      </w:r>
      <w:r>
        <w:rPr>
          <w:rFonts w:ascii="Times New Roman" w:hAnsi="Times New Roman" w:cs="Times New Roman"/>
          <w:noProof/>
          <w:color w:val="000000"/>
          <w:sz w:val="20"/>
        </w:rPr>
        <w:t>in knowledge-intensive and medium-high tech manufacturing industries, particularly in ICT and machinery and equipment, but also in some medium-low tech sectors such as rubber and plastic products. The development of a technology-oriented start-up ecosystem</w:t>
      </w:r>
      <w:r>
        <w:rPr>
          <w:rFonts w:ascii="Times New Roman" w:hAnsi="Times New Roman" w:cs="Times New Roman"/>
          <w:noProof/>
          <w:color w:val="000000"/>
          <w:sz w:val="20"/>
        </w:rPr>
        <w:t xml:space="preserve"> is promising. However, skills shortages and having still relatively few research-industry and intra-industry links remain key challenges (European Commission, High Growth Enterprises Factsheet Latvia). Latvian start-ups and SMEs also lag in innovation cap</w:t>
      </w:r>
      <w:r>
        <w:rPr>
          <w:rFonts w:ascii="Times New Roman" w:hAnsi="Times New Roman" w:cs="Times New Roman"/>
          <w:noProof/>
          <w:color w:val="000000"/>
          <w:sz w:val="20"/>
        </w:rPr>
        <w:t>acity compared to other EU Member States. To address this, in 2018 Latvia’s technology transfer programme was amended to improve innovation voucher support for the innovation activities of SMEs.</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Human capital imbalances are holding back the development of </w:t>
      </w:r>
      <w:r>
        <w:rPr>
          <w:rFonts w:ascii="Times New Roman" w:hAnsi="Times New Roman" w:cs="Times New Roman"/>
          <w:b/>
          <w:noProof/>
          <w:color w:val="000000"/>
          <w:sz w:val="20"/>
        </w:rPr>
        <w:t>the Latvian research and innovation system.</w:t>
      </w:r>
      <w:r>
        <w:rPr>
          <w:rFonts w:ascii="Times New Roman" w:hAnsi="Times New Roman" w:cs="Times New Roman"/>
          <w:noProof/>
          <w:color w:val="000000"/>
          <w:sz w:val="20"/>
        </w:rPr>
        <w:t xml:space="preserve"> Demographic trends and underfunding make it difficult for Latvia to keep up with the EU average in terms of numbers of researchers, PhD students and graduates in science, technology, engineering and mathematics. </w:t>
      </w:r>
      <w:r>
        <w:rPr>
          <w:rFonts w:ascii="Times New Roman" w:hAnsi="Times New Roman" w:cs="Times New Roman"/>
          <w:noProof/>
          <w:color w:val="000000"/>
          <w:sz w:val="20"/>
        </w:rPr>
        <w:t>Even if the situation is advancing, there is still ample scope for further improvement, e.g. for reaching the national goal of 7 000 researchers in 2020. Several changes are underway, including changes to the academic career system, study programmes, and h</w:t>
      </w:r>
      <w:r>
        <w:rPr>
          <w:rFonts w:ascii="Times New Roman" w:hAnsi="Times New Roman" w:cs="Times New Roman"/>
          <w:noProof/>
          <w:color w:val="000000"/>
          <w:sz w:val="20"/>
        </w:rPr>
        <w:t>igher education governance. In cooperation with the European Commission, a Horizon 2020 Policy Support Facility activity is aiming to develop recommendations on policies for attracting and retaining talents in scientific and technological careers as well a</w:t>
      </w:r>
      <w:r>
        <w:rPr>
          <w:rFonts w:ascii="Times New Roman" w:hAnsi="Times New Roman" w:cs="Times New Roman"/>
          <w:noProof/>
          <w:color w:val="000000"/>
          <w:sz w:val="20"/>
        </w:rPr>
        <w:t>s in the business sector.</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fragmentation of the governance of the research &amp; innovation system still represents a challenge for Latvia but is being addressed.</w:t>
      </w:r>
      <w:r>
        <w:rPr>
          <w:rFonts w:ascii="Times New Roman" w:hAnsi="Times New Roman" w:cs="Times New Roman"/>
          <w:noProof/>
          <w:color w:val="000000"/>
          <w:sz w:val="20"/>
        </w:rPr>
        <w:t xml:space="preserve"> Following the recommendations from the European Commission’s Horizon 2020 Policy Support Facil</w:t>
      </w:r>
      <w:r>
        <w:rPr>
          <w:rFonts w:ascii="Times New Roman" w:hAnsi="Times New Roman" w:cs="Times New Roman"/>
          <w:noProof/>
          <w:color w:val="000000"/>
          <w:sz w:val="20"/>
        </w:rPr>
        <w:t>ity activity (</w:t>
      </w:r>
      <w:r>
        <w:rPr>
          <w:rFonts w:ascii="Times New Roman" w:hAnsi="Times New Roman" w:cs="Times New Roman"/>
          <w:noProof/>
          <w:color w:val="000000"/>
          <w:sz w:val="20"/>
          <w:vertAlign w:val="superscript"/>
        </w:rPr>
        <w:footnoteReference w:id="15"/>
      </w:r>
      <w:r>
        <w:rPr>
          <w:rFonts w:ascii="Times New Roman" w:hAnsi="Times New Roman" w:cs="Times New Roman"/>
          <w:noProof/>
          <w:color w:val="000000"/>
          <w:sz w:val="20"/>
        </w:rPr>
        <w:t>), in 2019 the government approved a new strategy for the institutional consolidation of the Latvian science policy system. A unified science policy enforcement body in Latvia should start its activities in 2020. This reform has the potentia</w:t>
      </w:r>
      <w:r>
        <w:rPr>
          <w:rFonts w:ascii="Times New Roman" w:hAnsi="Times New Roman" w:cs="Times New Roman"/>
          <w:noProof/>
          <w:color w:val="000000"/>
          <w:sz w:val="20"/>
        </w:rPr>
        <w:t>l of reinforcing the research and innovation system and increasing administrative capacity.</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Digitalisation</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Latvia has made substantial improvements in digital public services and is well above the EU average in this area.</w:t>
      </w:r>
      <w:r>
        <w:rPr>
          <w:rFonts w:ascii="Times New Roman" w:hAnsi="Times New Roman" w:cs="Times New Roman"/>
          <w:noProof/>
          <w:color w:val="000000"/>
          <w:sz w:val="20"/>
        </w:rPr>
        <w:t xml:space="preserve"> Progress has been driven by the us</w:t>
      </w:r>
      <w:r>
        <w:rPr>
          <w:rFonts w:ascii="Times New Roman" w:hAnsi="Times New Roman" w:cs="Times New Roman"/>
          <w:noProof/>
          <w:color w:val="000000"/>
          <w:sz w:val="20"/>
        </w:rPr>
        <w:t xml:space="preserve">e of e-government, the availability of pre-filled forms and the availability of open data further to the launch of the national data portal, making it possible to access public administration data sets and metadata directly and to link to other data sets. </w:t>
      </w:r>
      <w:r>
        <w:rPr>
          <w:rFonts w:ascii="Times New Roman" w:hAnsi="Times New Roman" w:cs="Times New Roman"/>
          <w:noProof/>
          <w:color w:val="000000"/>
          <w:sz w:val="20"/>
        </w:rPr>
        <w:t>The country is slightly less advanced in e-government services for business. Further efforts are being made to increase the effectiveness of public administration through the efficient use of cloud computing services in order to reduce administrative burde</w:t>
      </w:r>
      <w:r>
        <w:rPr>
          <w:rFonts w:ascii="Times New Roman" w:hAnsi="Times New Roman" w:cs="Times New Roman"/>
          <w:noProof/>
          <w:color w:val="000000"/>
          <w:sz w:val="20"/>
        </w:rPr>
        <w:t xml:space="preserve">n and create a more favourable business environment for entrepreneurs and SMEs.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Latvia continues to invest in getting more people to use e-government services.</w:t>
      </w:r>
      <w:r>
        <w:rPr>
          <w:rFonts w:ascii="Times New Roman" w:hAnsi="Times New Roman" w:cs="Times New Roman"/>
          <w:noProof/>
          <w:color w:val="000000"/>
          <w:sz w:val="20"/>
        </w:rPr>
        <w:t xml:space="preserve"> 83% of internet users (compared to 67% in the EU) used e-government services. Results have been</w:t>
      </w:r>
      <w:r>
        <w:rPr>
          <w:rFonts w:ascii="Times New Roman" w:hAnsi="Times New Roman" w:cs="Times New Roman"/>
          <w:noProof/>
          <w:color w:val="000000"/>
          <w:sz w:val="20"/>
        </w:rPr>
        <w:t xml:space="preserve"> achieved thanks to an extensive communication and training programme called — ‘My Latvija.lv! Do it digitally!’ that involves training for at least 6,000 national and local government officials, teachers, librarians and journalists, to improve their knowl</w:t>
      </w:r>
      <w:r>
        <w:rPr>
          <w:rFonts w:ascii="Times New Roman" w:hAnsi="Times New Roman" w:cs="Times New Roman"/>
          <w:noProof/>
          <w:color w:val="000000"/>
          <w:sz w:val="20"/>
        </w:rPr>
        <w:t>edge of digital solutions, so they can help people make the transition from on-site services to digital services. The programme provides information and video tutorials of more than 500 e-services and brings together over 30 government institutions in a co</w:t>
      </w:r>
      <w:r>
        <w:rPr>
          <w:rFonts w:ascii="Times New Roman" w:hAnsi="Times New Roman" w:cs="Times New Roman"/>
          <w:noProof/>
          <w:color w:val="000000"/>
          <w:sz w:val="20"/>
        </w:rPr>
        <w:t>operative effort.</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Latvian business does not fully exploit its digitisation potential.</w:t>
      </w:r>
      <w:r>
        <w:rPr>
          <w:rFonts w:ascii="Times New Roman" w:hAnsi="Times New Roman" w:cs="Times New Roman"/>
          <w:noProof/>
          <w:color w:val="000000"/>
          <w:sz w:val="20"/>
        </w:rPr>
        <w:t xml:space="preserve"> Latvia is lagging behind the EU average and has not made any significant progress in integrating digital technologies. Latvian enterprises continue to underexploit the po</w:t>
      </w:r>
      <w:r>
        <w:rPr>
          <w:rFonts w:ascii="Times New Roman" w:hAnsi="Times New Roman" w:cs="Times New Roman"/>
          <w:noProof/>
          <w:color w:val="000000"/>
          <w:sz w:val="20"/>
        </w:rPr>
        <w:t>tential of online selling of goods and services, remaining considerably below the EU average in e-commerce among SMEs and related levels of turnover. Only 11% of SMEs sell online, below the EU average of 17.5%. The percentage of SMEs selling cross border r</w:t>
      </w:r>
      <w:r>
        <w:rPr>
          <w:rFonts w:ascii="Times New Roman" w:hAnsi="Times New Roman" w:cs="Times New Roman"/>
          <w:noProof/>
          <w:color w:val="000000"/>
          <w:sz w:val="20"/>
        </w:rPr>
        <w:t>emains below the EU average (only 6.6% of total SMEs, against 8.4% in the EU as a whole) and only an average of 5.3% of SME turnover comes from the online segment. Businesses make only limited use of electronic information sharing, e-cloud services and soc</w:t>
      </w:r>
      <w:r>
        <w:rPr>
          <w:rFonts w:ascii="Times New Roman" w:hAnsi="Times New Roman" w:cs="Times New Roman"/>
          <w:noProof/>
          <w:color w:val="000000"/>
          <w:sz w:val="20"/>
        </w:rPr>
        <w:t xml:space="preserve">ial media and only 7.7% of companies use big data.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Improvements in the integration of digital services by businesses is limited by the shortage of high-skilled professionals.</w:t>
      </w:r>
      <w:r>
        <w:rPr>
          <w:rFonts w:ascii="Times New Roman" w:hAnsi="Times New Roman" w:cs="Times New Roman"/>
          <w:noProof/>
          <w:color w:val="000000"/>
          <w:sz w:val="20"/>
        </w:rPr>
        <w:t xml:space="preserve"> Almost half of all Latvian enterprises that want to recruit ICT specialists repo</w:t>
      </w:r>
      <w:r>
        <w:rPr>
          <w:rFonts w:ascii="Times New Roman" w:hAnsi="Times New Roman" w:cs="Times New Roman"/>
          <w:noProof/>
          <w:color w:val="000000"/>
          <w:sz w:val="20"/>
        </w:rPr>
        <w:t>rt difficulties in filling their vacancies. Additionally, 17.7% of enterprises provide staff with training to develop and upgrade their ICT skills, a figure that is significantly below the EU average of 23.9%. The shortage of ICT specialists is also eviden</w:t>
      </w:r>
      <w:r>
        <w:rPr>
          <w:rFonts w:ascii="Times New Roman" w:hAnsi="Times New Roman" w:cs="Times New Roman"/>
          <w:noProof/>
          <w:color w:val="000000"/>
          <w:sz w:val="20"/>
        </w:rPr>
        <w:t>t in employment figures, as their share of total employment is significantly below the EU average — 1.7% compared with 3.9% (see Section 3.3). This is potentially an obstacle to investment and innovation and might also limit the spread of productivity-enha</w:t>
      </w:r>
      <w:r>
        <w:rPr>
          <w:rFonts w:ascii="Times New Roman" w:hAnsi="Times New Roman" w:cs="Times New Roman"/>
          <w:noProof/>
          <w:color w:val="000000"/>
          <w:sz w:val="20"/>
        </w:rPr>
        <w:t xml:space="preserve">ncing digital solutions among businesses. The shortage is likely to become worse in the future due to rapidly growing demand.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Several initiatives aim to boost digital innovations and promote the use of digital technologies</w:t>
      </w:r>
      <w:r>
        <w:rPr>
          <w:rFonts w:ascii="Times New Roman" w:hAnsi="Times New Roman" w:cs="Times New Roman"/>
          <w:noProof/>
          <w:color w:val="000000"/>
          <w:sz w:val="20"/>
        </w:rPr>
        <w:t>. Eight Competence Centres, set u</w:t>
      </w:r>
      <w:r>
        <w:rPr>
          <w:rFonts w:ascii="Times New Roman" w:hAnsi="Times New Roman" w:cs="Times New Roman"/>
          <w:noProof/>
          <w:color w:val="000000"/>
          <w:sz w:val="20"/>
        </w:rPr>
        <w:t>p in the areas of Latvia’s smart specialisation strategy for an overall investment of €67 million, cover 175 projects and 138 enterprises and are EU-funded. They promote innovation in Latvia through the joint development of products and processes by compan</w:t>
      </w:r>
      <w:r>
        <w:rPr>
          <w:rFonts w:ascii="Times New Roman" w:hAnsi="Times New Roman" w:cs="Times New Roman"/>
          <w:noProof/>
          <w:color w:val="000000"/>
          <w:sz w:val="20"/>
        </w:rPr>
        <w:t>ies and scientific institutions. Latvia also set a Single Technology Transfer Centre, as part of the Investment and Development Agency of Latvia, to foster industry-science cooperation and the commercialisation of public research.</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 xml:space="preserve">Business environment and </w:t>
      </w:r>
      <w:r>
        <w:rPr>
          <w:rFonts w:ascii="Century Gothic" w:hAnsi="Century Gothic" w:cs="Times New Roman"/>
          <w:b/>
          <w:noProof/>
          <w:color w:val="333399"/>
          <w:sz w:val="18"/>
        </w:rPr>
        <w:t>entrepreneurship</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Latvia has a favourable business environment, but the shadow economy remains a challenge.</w:t>
      </w:r>
      <w:r>
        <w:rPr>
          <w:rFonts w:ascii="Times New Roman" w:hAnsi="Times New Roman" w:cs="Times New Roman"/>
          <w:noProof/>
          <w:color w:val="000000"/>
          <w:sz w:val="20"/>
        </w:rPr>
        <w:t xml:space="preserve"> Latvia ranked 19th out of 190 in the 2019 World Bank Doing Business Review, unchanged compared to the previous year. Latvia ranks high in most of the sub-indicators, except for getting electricity, which is still a relatively lengthy and costly process. I</w:t>
      </w:r>
      <w:r>
        <w:rPr>
          <w:rFonts w:ascii="Times New Roman" w:hAnsi="Times New Roman" w:cs="Times New Roman"/>
          <w:noProof/>
          <w:color w:val="000000"/>
          <w:sz w:val="20"/>
        </w:rPr>
        <w:t>nsolvency cases and dealing with construction permits also score low. According to the European Commission’s SME Policy Review, the biggest challenge for Latvia in creating a favourable environment for entrepreneurship is the lack of skills and innovation.</w:t>
      </w:r>
      <w:r>
        <w:rPr>
          <w:rFonts w:ascii="Times New Roman" w:hAnsi="Times New Roman" w:cs="Times New Roman"/>
          <w:noProof/>
          <w:color w:val="000000"/>
          <w:sz w:val="20"/>
        </w:rPr>
        <w:t xml:space="preserve"> In addition, while Latvia is among the leaders in the EU in terms of the time needed to start a business (1 day) and greatly reducing the related costs, the bureaucracy and payments related to closing a company create a burden that may discourage entrepre</w:t>
      </w:r>
      <w:r>
        <w:rPr>
          <w:rFonts w:ascii="Times New Roman" w:hAnsi="Times New Roman" w:cs="Times New Roman"/>
          <w:noProof/>
          <w:color w:val="000000"/>
          <w:sz w:val="20"/>
        </w:rPr>
        <w:t xml:space="preserve">neurs from starting another business in the future. Moreover, the shadow economy remains a structural constraint, but several measures are being implemented to improve tax compliance (see Section 3.1).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Latvia’s start-up environment is dynamic and rapidly </w:t>
      </w:r>
      <w:r>
        <w:rPr>
          <w:rFonts w:ascii="Times New Roman" w:hAnsi="Times New Roman" w:cs="Times New Roman"/>
          <w:b/>
          <w:noProof/>
          <w:color w:val="000000"/>
          <w:sz w:val="20"/>
        </w:rPr>
        <w:t>growing.</w:t>
      </w:r>
      <w:r>
        <w:rPr>
          <w:rFonts w:ascii="Times New Roman" w:hAnsi="Times New Roman" w:cs="Times New Roman"/>
          <w:noProof/>
          <w:color w:val="000000"/>
          <w:sz w:val="20"/>
        </w:rPr>
        <w:t xml:space="preserve"> Latvia’s start-up ecosystem consists of more than 400 registered start-ups, a pool of institutional investors and business angels, a diverse range of modern co-working spaces, dozens of business incubators funded by the government, academia and pr</w:t>
      </w:r>
      <w:r>
        <w:rPr>
          <w:rFonts w:ascii="Times New Roman" w:hAnsi="Times New Roman" w:cs="Times New Roman"/>
          <w:noProof/>
          <w:color w:val="000000"/>
          <w:sz w:val="20"/>
        </w:rPr>
        <w:t>ivate individuals, as well as numerous events. The capital city Riga hosts important conferences, such as The Digital Freedom Festival, iNovuss, Deep Tech Atelier and TechChill. A unique Start-up Law and a Start-up Visa (‘temporary residence permit’) aim t</w:t>
      </w:r>
      <w:r>
        <w:rPr>
          <w:rFonts w:ascii="Times New Roman" w:hAnsi="Times New Roman" w:cs="Times New Roman"/>
          <w:noProof/>
          <w:color w:val="000000"/>
          <w:sz w:val="20"/>
        </w:rPr>
        <w:t>o provide targeted support to help start-ups face their main initial challenges, namely employee wages and taxes. The criteria for support under the Start-up Law were further simplified in 2019 to make it easier for start-ups to apply and reduce the time i</w:t>
      </w:r>
      <w:r>
        <w:rPr>
          <w:rFonts w:ascii="Times New Roman" w:hAnsi="Times New Roman" w:cs="Times New Roman"/>
          <w:noProof/>
          <w:color w:val="000000"/>
          <w:sz w:val="20"/>
        </w:rPr>
        <w:t>t takes to receive support to develop their business.</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Public procurement</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Transparency and competition in procurement procedures remain problematic.</w:t>
      </w:r>
      <w:r>
        <w:rPr>
          <w:rFonts w:ascii="Times New Roman" w:hAnsi="Times New Roman" w:cs="Times New Roman"/>
          <w:noProof/>
          <w:color w:val="000000"/>
          <w:sz w:val="20"/>
        </w:rPr>
        <w:t xml:space="preserve"> According to the 2019 Flash Eurobarometer, 71% of Latvia’s businesses believe that competition-excluding spe</w:t>
      </w:r>
      <w:r>
        <w:rPr>
          <w:rFonts w:ascii="Times New Roman" w:hAnsi="Times New Roman" w:cs="Times New Roman"/>
          <w:noProof/>
          <w:color w:val="000000"/>
          <w:sz w:val="20"/>
        </w:rPr>
        <w:t>cifications is a widespread practice in their country (compared to the EU average of 58%) and 80% believe that favouritism and corruption hamper business competition (compared to the EU average of 71%). The share of single-bidder contracts remains high (ar</w:t>
      </w:r>
      <w:r>
        <w:rPr>
          <w:rFonts w:ascii="Times New Roman" w:hAnsi="Times New Roman" w:cs="Times New Roman"/>
          <w:noProof/>
          <w:color w:val="000000"/>
          <w:sz w:val="20"/>
        </w:rPr>
        <w:t>ound 30% in 2018, EU average of 24%), with most of these contracts being in the healthcare area, due to limitations of the market and restrictions imposed by manufacturers. Moreover, the percentage of directly negotiated procedures was 12% in 2018 (EU aver</w:t>
      </w:r>
      <w:r>
        <w:rPr>
          <w:rFonts w:ascii="Times New Roman" w:hAnsi="Times New Roman" w:cs="Times New Roman"/>
          <w:noProof/>
          <w:color w:val="000000"/>
          <w:sz w:val="20"/>
        </w:rPr>
        <w:t>age 4%). The Procurement Supervision Bureau intends to increase transparency by publishing information on low-value procurement, as well as on the real value of the contracts (versus the initial ones) in their electronic procurement system. To professional</w:t>
      </w:r>
      <w:r>
        <w:rPr>
          <w:rFonts w:ascii="Times New Roman" w:hAnsi="Times New Roman" w:cs="Times New Roman"/>
          <w:noProof/>
          <w:color w:val="000000"/>
          <w:sz w:val="20"/>
        </w:rPr>
        <w:t>ise the staff involved in procurement, more than 500 persons have been trained in various topics, including fraud and corruption. The bureau carries out preliminary controls to check the quality of tendering documentation and investigations based on a risk</w:t>
      </w:r>
      <w:r>
        <w:rPr>
          <w:rFonts w:ascii="Times New Roman" w:hAnsi="Times New Roman" w:cs="Times New Roman"/>
          <w:noProof/>
          <w:color w:val="000000"/>
          <w:sz w:val="20"/>
        </w:rPr>
        <w:t xml:space="preserve"> matrix. Information received from whistleblowers or complainants constitute an important source of information for the bureau.</w:t>
      </w:r>
    </w:p>
    <w:p w:rsidR="00A8765D" w:rsidRDefault="006C09F5">
      <w:pPr>
        <w:keepNext/>
        <w:tabs>
          <w:tab w:val="left" w:pos="567"/>
        </w:tabs>
        <w:spacing w:before="240" w:after="240" w:line="240" w:lineRule="atLeast"/>
        <w:ind w:left="567" w:hanging="567"/>
        <w:outlineLvl w:val="2"/>
        <w:rPr>
          <w:rFonts w:ascii="Century Gothic" w:hAnsi="Century Gothic" w:cs="Times New Roman"/>
          <w:b/>
          <w:caps/>
          <w:noProof/>
          <w:color w:val="333399"/>
          <w:sz w:val="18"/>
        </w:rPr>
      </w:pPr>
      <w:r>
        <w:rPr>
          <w:rFonts w:ascii="Century Gothic" w:hAnsi="Century Gothic" w:cs="Times New Roman"/>
          <w:b/>
          <w:caps/>
          <w:noProof/>
          <w:color w:val="333399"/>
          <w:sz w:val="18"/>
        </w:rPr>
        <w:t>3.4.2.</w:t>
      </w:r>
      <w:r>
        <w:rPr>
          <w:rFonts w:ascii="Century Gothic" w:hAnsi="Century Gothic" w:cs="Times New Roman"/>
          <w:b/>
          <w:caps/>
          <w:noProof/>
          <w:color w:val="333399"/>
          <w:sz w:val="18"/>
        </w:rPr>
        <w:tab/>
        <w:t>single market integration</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Single market for goods and services</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Latvia is a very open economy and well integrated in EU </w:t>
      </w:r>
      <w:r>
        <w:rPr>
          <w:rFonts w:ascii="Times New Roman" w:hAnsi="Times New Roman" w:cs="Times New Roman"/>
          <w:b/>
          <w:noProof/>
          <w:color w:val="000000"/>
          <w:sz w:val="20"/>
        </w:rPr>
        <w:t>markets.</w:t>
      </w:r>
      <w:r>
        <w:rPr>
          <w:rFonts w:ascii="Times New Roman" w:hAnsi="Times New Roman" w:cs="Times New Roman"/>
          <w:noProof/>
          <w:color w:val="000000"/>
          <w:sz w:val="20"/>
        </w:rPr>
        <w:t xml:space="preserve"> Overall Latvia scores well in the Single Market Scoreboard. With goods trade comprising 94.5% of GDP and services trade comprising 28.3% of GDP, Latvia’s trade integration is above the EU average. About two thirds of exports of goods are going to </w:t>
      </w:r>
      <w:r>
        <w:rPr>
          <w:rFonts w:ascii="Times New Roman" w:hAnsi="Times New Roman" w:cs="Times New Roman"/>
          <w:noProof/>
          <w:color w:val="000000"/>
          <w:sz w:val="20"/>
        </w:rPr>
        <w:t>other EU Member States. Latvia’s main export markets are Lithuania, Estonia, Germany and Sweden. Regulatory restrictions in the services sector are overall lower than the EU average. Latvia has an efficient customs system and is among the best EU performer</w:t>
      </w:r>
      <w:r>
        <w:rPr>
          <w:rFonts w:ascii="Times New Roman" w:hAnsi="Times New Roman" w:cs="Times New Roman"/>
          <w:noProof/>
          <w:color w:val="000000"/>
          <w:sz w:val="20"/>
        </w:rPr>
        <w:t>s for information availability and advanced rulings on customs (European Commission, 2019e). The use of e-commerce and e-business is increasing, but there still seems to be further scope for improvement. The percentage of SMEs intra-EU online exporters rem</w:t>
      </w:r>
      <w:r>
        <w:rPr>
          <w:rFonts w:ascii="Times New Roman" w:hAnsi="Times New Roman" w:cs="Times New Roman"/>
          <w:noProof/>
          <w:color w:val="000000"/>
          <w:sz w:val="20"/>
        </w:rPr>
        <w:t>ains well below the average with only 4.7%. Most Latvian producers (65%) are still concentrated in low-technology industries, such as basic wood and metal processing. A higher number of notifications of draft technical regulations under the Single Market T</w:t>
      </w:r>
      <w:r>
        <w:rPr>
          <w:rFonts w:ascii="Times New Roman" w:hAnsi="Times New Roman" w:cs="Times New Roman"/>
          <w:noProof/>
          <w:color w:val="000000"/>
          <w:sz w:val="20"/>
        </w:rPr>
        <w:t>ransparency Directive could help prevent potential barriers in the internal market for goods and information society services.</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Digital single market</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Most urban areas in Latvia have excellent digital infrastructure, and lack of fixed broadband access in rur</w:t>
      </w:r>
      <w:r>
        <w:rPr>
          <w:rFonts w:ascii="Times New Roman" w:hAnsi="Times New Roman" w:cs="Times New Roman"/>
          <w:b/>
          <w:noProof/>
          <w:color w:val="000000"/>
          <w:sz w:val="20"/>
        </w:rPr>
        <w:t>al areas is compensated by mobile broadband.</w:t>
      </w:r>
      <w:r>
        <w:rPr>
          <w:rFonts w:ascii="Times New Roman" w:hAnsi="Times New Roman" w:cs="Times New Roman"/>
          <w:noProof/>
          <w:color w:val="000000"/>
          <w:sz w:val="20"/>
        </w:rPr>
        <w:t xml:space="preserve"> The country’s main strengths are the broad coverage of fast and ultra-fast broadband (with 93% and 88% of households covered, respectively), both of which are among the best in the EU. Also, the take-up of fast </w:t>
      </w:r>
      <w:r>
        <w:rPr>
          <w:rFonts w:ascii="Times New Roman" w:hAnsi="Times New Roman" w:cs="Times New Roman"/>
          <w:noProof/>
          <w:color w:val="000000"/>
          <w:sz w:val="20"/>
        </w:rPr>
        <w:t>internet subscriptions is above the EU average and growing rapidly (44% and 38% of homes subscribe to fast and ultrafast broadband respectively). However, the overall subscription to fixed broadband services is stagnating at 60% and remains below the EU av</w:t>
      </w:r>
      <w:r>
        <w:rPr>
          <w:rFonts w:ascii="Times New Roman" w:hAnsi="Times New Roman" w:cs="Times New Roman"/>
          <w:noProof/>
          <w:color w:val="000000"/>
          <w:sz w:val="20"/>
        </w:rPr>
        <w:t>erage. This is largely due to low fixed broadband coverage in rural areas. Although, extensive EU-funded investments in extending fixed broadband to rural areas have been made, investments in last-mile connections have not followed due to lack of commercia</w:t>
      </w:r>
      <w:r>
        <w:rPr>
          <w:rFonts w:ascii="Times New Roman" w:hAnsi="Times New Roman" w:cs="Times New Roman"/>
          <w:noProof/>
          <w:color w:val="000000"/>
          <w:sz w:val="20"/>
        </w:rPr>
        <w:t>l viability. However, the missing progress in fixed broadband coverage is partially compensated by a rapid increase in mobile broadband, thanks to data bundles being widely available at affordable prices and high 4G coverage. Latvia is prepared for early 5</w:t>
      </w:r>
      <w:r>
        <w:rPr>
          <w:rFonts w:ascii="Times New Roman" w:hAnsi="Times New Roman" w:cs="Times New Roman"/>
          <w:noProof/>
          <w:color w:val="000000"/>
          <w:sz w:val="20"/>
        </w:rPr>
        <w:t>G deployment in the 3.4-3.8 GHz band. However, in the medium to long term, access to and the renting of property in order to install the many base stations required for 5G might hinder 5G deployment.</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Transport</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Rail Baltica project is crucial to integra</w:t>
      </w:r>
      <w:r>
        <w:rPr>
          <w:rFonts w:ascii="Times New Roman" w:hAnsi="Times New Roman" w:cs="Times New Roman"/>
          <w:b/>
          <w:noProof/>
          <w:color w:val="000000"/>
          <w:sz w:val="20"/>
        </w:rPr>
        <w:t>ting the Baltics with the core European rail network.</w:t>
      </w:r>
      <w:r>
        <w:rPr>
          <w:rFonts w:ascii="Times New Roman" w:hAnsi="Times New Roman" w:cs="Times New Roman"/>
          <w:noProof/>
          <w:color w:val="000000"/>
          <w:sz w:val="20"/>
        </w:rPr>
        <w:t xml:space="preserve"> Currently, Latvia is well connected with its eastern neighbours via wide gauge rail, but it does not have any standard gauge rail lines, limiting it international accessibility from the rest of the EU. </w:t>
      </w:r>
      <w:r>
        <w:rPr>
          <w:rFonts w:ascii="Times New Roman" w:hAnsi="Times New Roman" w:cs="Times New Roman"/>
          <w:noProof/>
          <w:color w:val="000000"/>
          <w:sz w:val="20"/>
        </w:rPr>
        <w:t xml:space="preserve">. The construction of the Rail Baltica project, linking the three Baltic countries to Poland and therefore the rest of the European rail network, is crucial to address that shortcoming. The project is not progressing as planned. The State Audit Offices of </w:t>
      </w:r>
      <w:r>
        <w:rPr>
          <w:rFonts w:ascii="Times New Roman" w:hAnsi="Times New Roman" w:cs="Times New Roman"/>
          <w:noProof/>
          <w:color w:val="000000"/>
          <w:sz w:val="20"/>
        </w:rPr>
        <w:t>the Baltic countries have estimated Rail Baltica is experiencing delays of more than 2 years. This is due to the fact that an agreement on technical specifications for interoperability between the participating EU Member States has been delayed, the projec</w:t>
      </w:r>
      <w:r>
        <w:rPr>
          <w:rFonts w:ascii="Times New Roman" w:hAnsi="Times New Roman" w:cs="Times New Roman"/>
          <w:noProof/>
          <w:color w:val="000000"/>
          <w:sz w:val="20"/>
        </w:rPr>
        <w:t>t is facing management challenges, and in Latvia due to the fact that the scope of works has increased, higher- than-planned costs may occur. Going forward, the outcome of the decision-making process on the future model of infrastructure management will be</w:t>
      </w:r>
      <w:r>
        <w:rPr>
          <w:rFonts w:ascii="Times New Roman" w:hAnsi="Times New Roman" w:cs="Times New Roman"/>
          <w:noProof/>
          <w:color w:val="000000"/>
          <w:sz w:val="20"/>
        </w:rPr>
        <w:t xml:space="preserve"> decisive for realising the full market potential of Rail Baltica.</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Improving transport infrastructure within and around Riga would both facilitate labour mobility and help curb growing energy consumption from passenger cars.</w:t>
      </w:r>
      <w:r>
        <w:rPr>
          <w:rFonts w:ascii="Times New Roman" w:hAnsi="Times New Roman" w:cs="Times New Roman"/>
          <w:noProof/>
          <w:color w:val="000000"/>
          <w:sz w:val="20"/>
        </w:rPr>
        <w:t xml:space="preserve"> As the main generator of GDP, R</w:t>
      </w:r>
      <w:r>
        <w:rPr>
          <w:rFonts w:ascii="Times New Roman" w:hAnsi="Times New Roman" w:cs="Times New Roman"/>
          <w:noProof/>
          <w:color w:val="000000"/>
          <w:sz w:val="20"/>
        </w:rPr>
        <w:t>iga is a crucial transport hub for both passengers and cargo. Enhancing mobility presumes an integrated approach to transport. Improving regional rail connections and transit points would facilitate more environmentally friendly commutes. The growing use o</w:t>
      </w:r>
      <w:r>
        <w:rPr>
          <w:rFonts w:ascii="Times New Roman" w:hAnsi="Times New Roman" w:cs="Times New Roman"/>
          <w:noProof/>
          <w:color w:val="000000"/>
          <w:sz w:val="20"/>
        </w:rPr>
        <w:t xml:space="preserve">f passenger cars is among the chief reasons for growing carbon emissions in the transport sector (see Section 3.5). Therefore, switching commuters from cars to public transport is an essential part of the effort to curb energy consumption and emissions in </w:t>
      </w:r>
      <w:r>
        <w:rPr>
          <w:rFonts w:ascii="Times New Roman" w:hAnsi="Times New Roman" w:cs="Times New Roman"/>
          <w:noProof/>
          <w:color w:val="000000"/>
          <w:sz w:val="20"/>
        </w:rPr>
        <w:t>the transport sector. Two major investment projects are expected to help this cause. Firstly, a major EU-funded rail electrification project is planned to begin in 2020. In its first phase, which is planned to be completed by 2023, 314 km of track would be</w:t>
      </w:r>
      <w:r>
        <w:rPr>
          <w:rFonts w:ascii="Times New Roman" w:hAnsi="Times New Roman" w:cs="Times New Roman"/>
          <w:noProof/>
          <w:color w:val="000000"/>
          <w:sz w:val="20"/>
        </w:rPr>
        <w:t xml:space="preserve"> electrified, increasing the share of electrified track from 14% to 30%. Secondly, Latvia is investing in new trains, which will increase the attractiveness of rail commutes and therefore help increase the share of public transport usage for commuting. Mor</w:t>
      </w:r>
      <w:r>
        <w:rPr>
          <w:rFonts w:ascii="Times New Roman" w:hAnsi="Times New Roman" w:cs="Times New Roman"/>
          <w:noProof/>
          <w:color w:val="000000"/>
          <w:sz w:val="20"/>
        </w:rPr>
        <w:t>eover, Latvia is currently developing a new transport model that it hopes will help direct public investments where they can have the most impact. Finally, Rail Baltica is also expected to support the modal shift to rail from more carbon intensive modes of</w:t>
      </w:r>
      <w:r>
        <w:rPr>
          <w:rFonts w:ascii="Times New Roman" w:hAnsi="Times New Roman" w:cs="Times New Roman"/>
          <w:noProof/>
          <w:color w:val="000000"/>
          <w:sz w:val="20"/>
        </w:rPr>
        <w:t xml:space="preserve"> transport.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Despite recent improvements, the quality of the road infrastructure remains well below the EU average.</w:t>
      </w:r>
      <w:r>
        <w:rPr>
          <w:rFonts w:ascii="Times New Roman" w:hAnsi="Times New Roman" w:cs="Times New Roman"/>
          <w:noProof/>
          <w:color w:val="000000"/>
          <w:sz w:val="20"/>
        </w:rPr>
        <w:t xml:space="preserve"> Road transport performance, measured as a ratio between accessibility and distance (Dijkstra et al, 2019) is below the EU average in all reg</w:t>
      </w:r>
      <w:r>
        <w:rPr>
          <w:rFonts w:ascii="Times New Roman" w:hAnsi="Times New Roman" w:cs="Times New Roman"/>
          <w:noProof/>
          <w:color w:val="000000"/>
          <w:sz w:val="20"/>
        </w:rPr>
        <w:t>ions except Riga, where it is close to the EU average (80.4 versus 81.9). Moreover, Latvia is among the few EU countries without motorways. Lack of suitable ring-roads has led to heavy lorry traffic passing through major inhabited areas, adding to congesti</w:t>
      </w:r>
      <w:r>
        <w:rPr>
          <w:rFonts w:ascii="Times New Roman" w:hAnsi="Times New Roman" w:cs="Times New Roman"/>
          <w:noProof/>
          <w:color w:val="000000"/>
          <w:sz w:val="20"/>
        </w:rPr>
        <w:t xml:space="preserve">on and air pollution. To address that, Latvia has launched its first </w:t>
      </w:r>
      <w:r>
        <w:rPr>
          <w:rFonts w:ascii="Times New Roman" w:hAnsi="Times New Roman" w:cs="Times New Roman"/>
          <w:i/>
          <w:noProof/>
          <w:color w:val="000000"/>
          <w:sz w:val="20"/>
        </w:rPr>
        <w:t>public-private partnership</w:t>
      </w:r>
      <w:r>
        <w:rPr>
          <w:rFonts w:ascii="Times New Roman" w:hAnsi="Times New Roman" w:cs="Times New Roman"/>
          <w:noProof/>
          <w:color w:val="000000"/>
          <w:sz w:val="20"/>
        </w:rPr>
        <w:t xml:space="preserve"> project to design and construct the Kekava bypass on the European Route E67. This project is expected to move lorry traffic away from residential areas and incr</w:t>
      </w:r>
      <w:r>
        <w:rPr>
          <w:rFonts w:ascii="Times New Roman" w:hAnsi="Times New Roman" w:cs="Times New Roman"/>
          <w:noProof/>
          <w:color w:val="000000"/>
          <w:sz w:val="20"/>
        </w:rPr>
        <w:t xml:space="preserve">ease traffic flow. </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Energy</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Latvia, together with the other Baltic countries, is progressing well towards synchronisation with continental Europe’s electricity grids, a key priority for the coming years.</w:t>
      </w:r>
      <w:r>
        <w:rPr>
          <w:rFonts w:ascii="Times New Roman" w:hAnsi="Times New Roman" w:cs="Times New Roman"/>
          <w:noProof/>
          <w:color w:val="000000"/>
          <w:sz w:val="20"/>
        </w:rPr>
        <w:t xml:space="preserve"> The ongoing Baltic Synchronisation Project, scheduled</w:t>
      </w:r>
      <w:r>
        <w:rPr>
          <w:rFonts w:ascii="Times New Roman" w:hAnsi="Times New Roman" w:cs="Times New Roman"/>
          <w:noProof/>
          <w:color w:val="000000"/>
          <w:sz w:val="20"/>
        </w:rPr>
        <w:t xml:space="preserve"> for completion by the end of 2025, is key to ensuring security of supply of the whole Baltic region. The June 2019 implementation roadmap includes the following milestones — building the necessary infrastructure to reinforce the internal grids of the thre</w:t>
      </w:r>
      <w:r>
        <w:rPr>
          <w:rFonts w:ascii="Times New Roman" w:hAnsi="Times New Roman" w:cs="Times New Roman"/>
          <w:noProof/>
          <w:color w:val="000000"/>
          <w:sz w:val="20"/>
        </w:rPr>
        <w:t>e Baltic states, establishing a high-voltage direct current line between Lithuania and Poland, and carrying out optimisation measures. All of the above actions will require significant investments in the coming years.</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Latvia continues to implement the key </w:t>
      </w:r>
      <w:r>
        <w:rPr>
          <w:rFonts w:ascii="Times New Roman" w:hAnsi="Times New Roman" w:cs="Times New Roman"/>
          <w:b/>
          <w:noProof/>
          <w:color w:val="000000"/>
          <w:sz w:val="20"/>
        </w:rPr>
        <w:t>electricity infrastructure projects that form part of the implementation of the Baltic energy market interconnection plan.</w:t>
      </w:r>
      <w:r>
        <w:rPr>
          <w:rFonts w:ascii="Times New Roman" w:hAnsi="Times New Roman" w:cs="Times New Roman"/>
          <w:noProof/>
          <w:color w:val="000000"/>
          <w:sz w:val="20"/>
        </w:rPr>
        <w:t xml:space="preserve"> In September 2019, the third and last phase of the ‘Kurzeme ring’ was commissioned, strengthening the western part of Latvia’s grid a</w:t>
      </w:r>
      <w:r>
        <w:rPr>
          <w:rFonts w:ascii="Times New Roman" w:hAnsi="Times New Roman" w:cs="Times New Roman"/>
          <w:noProof/>
          <w:color w:val="000000"/>
          <w:sz w:val="20"/>
        </w:rPr>
        <w:t>nd allowing for a further integration of renewables and robustness of the grid in view of synchronisation. Key projects, such as the construction of an internal 330 kV power-line ‘Riga TEC-2 — Riga HES’ and the third interconnector between Latvia and Eston</w:t>
      </w:r>
      <w:r>
        <w:rPr>
          <w:rFonts w:ascii="Times New Roman" w:hAnsi="Times New Roman" w:cs="Times New Roman"/>
          <w:noProof/>
          <w:color w:val="000000"/>
          <w:sz w:val="20"/>
        </w:rPr>
        <w:t>ia, are expected to be finalised by 2020 and alleviate congestion at the border between these two Member States.</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Work on developing the common gas market is complete and it is operational since 1 January 2020. It is the first bidding area in Europe to enco</w:t>
      </w:r>
      <w:r>
        <w:rPr>
          <w:rFonts w:ascii="Times New Roman" w:hAnsi="Times New Roman" w:cs="Times New Roman"/>
          <w:b/>
          <w:noProof/>
          <w:color w:val="000000"/>
          <w:sz w:val="20"/>
        </w:rPr>
        <w:t xml:space="preserve">mpass three countries. </w:t>
      </w:r>
      <w:r>
        <w:rPr>
          <w:rFonts w:ascii="Times New Roman" w:hAnsi="Times New Roman" w:cs="Times New Roman"/>
          <w:noProof/>
          <w:color w:val="000000"/>
          <w:sz w:val="20"/>
        </w:rPr>
        <w:t>Gas transmission system operators from Latvia, Estonia and Finland signed a memorandum of understanding on 12 October 2018 to pave the way towards integrating the natural gas markets of the three countries in 2020. On 14 February 201</w:t>
      </w:r>
      <w:r>
        <w:rPr>
          <w:rFonts w:ascii="Times New Roman" w:hAnsi="Times New Roman" w:cs="Times New Roman"/>
          <w:noProof/>
          <w:color w:val="000000"/>
          <w:sz w:val="20"/>
        </w:rPr>
        <w:t>9, all three gas transmission system operators signed the inter-transmission system operator compensation agreement which sets the rules for the common market area between the three countries as of January 2020. In practice, the agreement removes gas trans</w:t>
      </w:r>
      <w:r>
        <w:rPr>
          <w:rFonts w:ascii="Times New Roman" w:hAnsi="Times New Roman" w:cs="Times New Roman"/>
          <w:noProof/>
          <w:color w:val="000000"/>
          <w:sz w:val="20"/>
        </w:rPr>
        <w:t xml:space="preserve">mission tariffs on the borders between Finland, Estonia and Latvia and imposes an equal entry fee on all the import points. Discussions are ongoing to enlarge the regional gas market to include Lithuania as well.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Latvia is expected to achieve full unbundl</w:t>
      </w:r>
      <w:r>
        <w:rPr>
          <w:rFonts w:ascii="Times New Roman" w:hAnsi="Times New Roman" w:cs="Times New Roman"/>
          <w:b/>
          <w:noProof/>
          <w:color w:val="000000"/>
          <w:sz w:val="20"/>
        </w:rPr>
        <w:t>ing of its domestic gas market by early 2020.</w:t>
      </w:r>
      <w:r>
        <w:rPr>
          <w:rFonts w:ascii="Times New Roman" w:hAnsi="Times New Roman" w:cs="Times New Roman"/>
          <w:noProof/>
          <w:color w:val="000000"/>
          <w:sz w:val="20"/>
        </w:rPr>
        <w:t xml:space="preserve"> Following the opening of the gas market in April 2017, Latvia still needs to finalise the unbundling of its transmission system operator Conexus. Certification of the transmission system operator was conditiona</w:t>
      </w:r>
      <w:r>
        <w:rPr>
          <w:rFonts w:ascii="Times New Roman" w:hAnsi="Times New Roman" w:cs="Times New Roman"/>
          <w:noProof/>
          <w:color w:val="000000"/>
          <w:sz w:val="20"/>
        </w:rPr>
        <w:t xml:space="preserve">lly granted by the Regulator (in September 2018), and needs to be accomplished by January 2020. </w:t>
      </w:r>
    </w:p>
    <w:p w:rsidR="00A8765D" w:rsidRDefault="006C09F5">
      <w:pPr>
        <w:keepNext/>
        <w:tabs>
          <w:tab w:val="left" w:pos="567"/>
        </w:tabs>
        <w:spacing w:before="240" w:after="240" w:line="240" w:lineRule="atLeast"/>
        <w:ind w:left="567" w:hanging="567"/>
        <w:outlineLvl w:val="2"/>
        <w:rPr>
          <w:rFonts w:ascii="Century Gothic" w:hAnsi="Century Gothic" w:cs="Times New Roman"/>
          <w:b/>
          <w:caps/>
          <w:noProof/>
          <w:color w:val="333399"/>
          <w:sz w:val="18"/>
        </w:rPr>
      </w:pPr>
      <w:r>
        <w:rPr>
          <w:rFonts w:ascii="Century Gothic" w:hAnsi="Century Gothic" w:cs="Times New Roman"/>
          <w:b/>
          <w:caps/>
          <w:noProof/>
          <w:color w:val="333399"/>
          <w:sz w:val="18"/>
        </w:rPr>
        <w:t>3.4.3.</w:t>
      </w:r>
      <w:r>
        <w:rPr>
          <w:rFonts w:ascii="Century Gothic" w:hAnsi="Century Gothic" w:cs="Times New Roman"/>
          <w:b/>
          <w:caps/>
          <w:noProof/>
          <w:color w:val="333399"/>
          <w:sz w:val="18"/>
        </w:rPr>
        <w:tab/>
        <w:t>REGIONAL DISPARITIES</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Important economic and social differences persist in the country, mainly between the capital region and the rest.</w:t>
      </w:r>
      <w:r>
        <w:rPr>
          <w:rFonts w:ascii="Times New Roman" w:hAnsi="Times New Roman" w:cs="Times New Roman"/>
          <w:noProof/>
          <w:color w:val="000000"/>
          <w:sz w:val="20"/>
        </w:rPr>
        <w:t xml:space="preserve"> Disparities betwe</w:t>
      </w:r>
      <w:r>
        <w:rPr>
          <w:rFonts w:ascii="Times New Roman" w:hAnsi="Times New Roman" w:cs="Times New Roman"/>
          <w:noProof/>
          <w:color w:val="000000"/>
          <w:sz w:val="20"/>
        </w:rPr>
        <w:t>en the capital and the other regions remain among the highest in EU. While the capital region of Riga has a GDP per head higher than the EU average (</w:t>
      </w:r>
      <w:r>
        <w:rPr>
          <w:rFonts w:ascii="Times New Roman" w:hAnsi="Times New Roman" w:cs="Times New Roman"/>
          <w:noProof/>
          <w:color w:val="000000"/>
          <w:sz w:val="20"/>
          <w:vertAlign w:val="superscript"/>
        </w:rPr>
        <w:footnoteReference w:id="16"/>
      </w:r>
      <w:r>
        <w:rPr>
          <w:rFonts w:ascii="Times New Roman" w:hAnsi="Times New Roman" w:cs="Times New Roman"/>
          <w:noProof/>
          <w:color w:val="000000"/>
          <w:sz w:val="20"/>
        </w:rPr>
        <w:t>), rising from 60% in 2000 to 106% in 2016, the growth in the regions has been much more modest. For examp</w:t>
      </w:r>
      <w:r>
        <w:rPr>
          <w:rFonts w:ascii="Times New Roman" w:hAnsi="Times New Roman" w:cs="Times New Roman"/>
          <w:noProof/>
          <w:color w:val="000000"/>
          <w:sz w:val="20"/>
        </w:rPr>
        <w:t>le, GDP per head in the Latgale region rose only 13%, from 20% in 2000 to 33% in the same period. In terms of wages, Latgale region has the lowest average gross salary of €701 per month, while the average monthly salary in Riga was €1,129. The pay gap betw</w:t>
      </w:r>
      <w:r>
        <w:rPr>
          <w:rFonts w:ascii="Times New Roman" w:hAnsi="Times New Roman" w:cs="Times New Roman"/>
          <w:noProof/>
          <w:color w:val="000000"/>
          <w:sz w:val="20"/>
        </w:rPr>
        <w:t xml:space="preserve">een the capital region and the rest is around 1.6 times. Finally, the poorest regions have also experienced more rapid depopulation — while the population in Riga and its suburbs has increased, the population in Latgale has declined by 29% since 2001.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w:t>
      </w:r>
      <w:r>
        <w:rPr>
          <w:rFonts w:ascii="Times New Roman" w:hAnsi="Times New Roman" w:cs="Times New Roman"/>
          <w:b/>
          <w:noProof/>
          <w:color w:val="000000"/>
          <w:sz w:val="20"/>
        </w:rPr>
        <w:t xml:space="preserve"> competitiveness of other regions than Riga is low (</w:t>
      </w:r>
      <w:r>
        <w:rPr>
          <w:rFonts w:ascii="Times New Roman" w:hAnsi="Times New Roman" w:cs="Times New Roman"/>
          <w:noProof/>
          <w:color w:val="000000"/>
          <w:sz w:val="20"/>
          <w:vertAlign w:val="superscript"/>
        </w:rPr>
        <w:footnoteReference w:id="17"/>
      </w:r>
      <w:r>
        <w:rPr>
          <w:rFonts w:ascii="Times New Roman" w:hAnsi="Times New Roman" w:cs="Times New Roman"/>
          <w:b/>
          <w:noProof/>
          <w:color w:val="000000"/>
          <w:sz w:val="20"/>
        </w:rPr>
        <w:t>)</w:t>
      </w:r>
      <w:r>
        <w:rPr>
          <w:rFonts w:ascii="Times New Roman" w:hAnsi="Times New Roman" w:cs="Times New Roman"/>
          <w:noProof/>
          <w:color w:val="000000"/>
          <w:sz w:val="20"/>
        </w:rPr>
        <w:t>. There are almost 93 entities (</w:t>
      </w:r>
      <w:r>
        <w:rPr>
          <w:rFonts w:ascii="Times New Roman" w:hAnsi="Times New Roman" w:cs="Times New Roman"/>
          <w:noProof/>
          <w:color w:val="000000"/>
          <w:sz w:val="20"/>
          <w:vertAlign w:val="superscript"/>
        </w:rPr>
        <w:footnoteReference w:id="18"/>
      </w:r>
      <w:r>
        <w:rPr>
          <w:rFonts w:ascii="Times New Roman" w:hAnsi="Times New Roman" w:cs="Times New Roman"/>
          <w:noProof/>
          <w:color w:val="000000"/>
          <w:sz w:val="20"/>
        </w:rPr>
        <w:t xml:space="preserve">) registered per 1,000 persons in Riga while only 61 in Latgale. Riga region is also increasingly more engaged in business services where added value per employee tends </w:t>
      </w:r>
      <w:r>
        <w:rPr>
          <w:rFonts w:ascii="Times New Roman" w:hAnsi="Times New Roman" w:cs="Times New Roman"/>
          <w:noProof/>
          <w:color w:val="000000"/>
          <w:sz w:val="20"/>
        </w:rPr>
        <w:t xml:space="preserve">to be higher, while manufacturing remains much more significant in the regions. These differences are mainly linked to the ability to attract investments. The capital region has a better economic performance. Therefore it can offer higher wages and better </w:t>
      </w:r>
      <w:r>
        <w:rPr>
          <w:rFonts w:ascii="Times New Roman" w:hAnsi="Times New Roman" w:cs="Times New Roman"/>
          <w:noProof/>
          <w:color w:val="000000"/>
          <w:sz w:val="20"/>
        </w:rPr>
        <w:t xml:space="preserve">employment and career opportunities, while the other regions are not able to provide sufficiently well paid and attractive jobs. The share of the employed population to total population was 68% in Riga while only 56% in Latgale in 2018, with corresponding </w:t>
      </w:r>
      <w:r>
        <w:rPr>
          <w:rFonts w:ascii="Times New Roman" w:hAnsi="Times New Roman" w:cs="Times New Roman"/>
          <w:noProof/>
          <w:color w:val="000000"/>
          <w:sz w:val="20"/>
        </w:rPr>
        <w:t>differences also in other areas such as levels of unemployment and poverty.</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A balanced development of all regions is essential for the sustainable growth and social cohesion of Latvia</w:t>
      </w:r>
      <w:r>
        <w:rPr>
          <w:rFonts w:ascii="Times New Roman" w:hAnsi="Times New Roman" w:cs="Times New Roman"/>
          <w:noProof/>
          <w:color w:val="000000"/>
          <w:sz w:val="20"/>
        </w:rPr>
        <w:t xml:space="preserve">. However, the continuing negative trend of depopulation will have major </w:t>
      </w:r>
      <w:r>
        <w:rPr>
          <w:rFonts w:ascii="Times New Roman" w:hAnsi="Times New Roman" w:cs="Times New Roman"/>
          <w:noProof/>
          <w:color w:val="000000"/>
          <w:sz w:val="20"/>
        </w:rPr>
        <w:t xml:space="preserve">consequences for the long-term sustainability and quality of public services to the population in the more rural, more sparsely populated areas in Latvia. The average size of a municipality in 2018 was 8,460, in 2040 it is expected to be 7,200 (-15%). The </w:t>
      </w:r>
      <w:r>
        <w:rPr>
          <w:rFonts w:ascii="Times New Roman" w:hAnsi="Times New Roman" w:cs="Times New Roman"/>
          <w:noProof/>
          <w:color w:val="000000"/>
          <w:sz w:val="20"/>
        </w:rPr>
        <w:t>per capita cost of public services like education, social services, and administration are higher in small municipalities than in large ones (Bank of Latvia, 2019). Their small size also limits their capacity to attract investments and manage large-scale p</w:t>
      </w:r>
      <w:r>
        <w:rPr>
          <w:rFonts w:ascii="Times New Roman" w:hAnsi="Times New Roman" w:cs="Times New Roman"/>
          <w:noProof/>
          <w:color w:val="000000"/>
          <w:sz w:val="20"/>
        </w:rPr>
        <w:t>rojects due to lack of available specialists.</w:t>
      </w:r>
      <w:r>
        <w:rPr>
          <w:rFonts w:ascii="Times New Roman" w:hAnsi="Times New Roman" w:cs="Times New Roman"/>
          <w:noProof/>
          <w:color w:val="000000"/>
          <w:sz w:val="20"/>
        </w:rPr>
        <w:br w:type="page"/>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51" w:name="_Toc33440675"/>
      <w:bookmarkStart w:id="52" w:name="_Toc33531604"/>
      <w:r>
        <w:rPr>
          <w:rFonts w:ascii="Times New Roman" w:hAnsi="Times New Roman" w:cs="Times New Roman"/>
          <w:noProof/>
          <w:color w:val="000000"/>
          <w:sz w:val="20"/>
        </w:rPr>
        <w:instrText>3.4.1.</w:instrText>
      </w:r>
      <w:r>
        <w:rPr>
          <w:rFonts w:ascii="Times New Roman" w:hAnsi="Times New Roman" w:cs="Times New Roman"/>
          <w:noProof/>
          <w:color w:val="000000"/>
          <w:sz w:val="20"/>
        </w:rPr>
        <w:tab/>
        <w:instrText>Administrative &amp; territorial reform in Latvia</w:instrText>
      </w:r>
      <w:bookmarkEnd w:id="51"/>
      <w:bookmarkEnd w:id="52"/>
      <w:r>
        <w:rPr>
          <w:rFonts w:ascii="Times New Roman" w:hAnsi="Times New Roman" w:cs="Times New Roman"/>
          <w:noProof/>
          <w:color w:val="000000"/>
          <w:sz w:val="20"/>
        </w:rPr>
        <w:instrText xml:space="preserve">" \fbox \l 5 </w:instrText>
      </w:r>
      <w:r>
        <w:rPr>
          <w:rFonts w:ascii="Times New Roman" w:hAnsi="Times New Roman" w:cs="Times New Roman"/>
          <w:noProof/>
          <w:color w:val="000000"/>
          <w:sz w:val="20"/>
        </w:rPr>
        <w:fldChar w:fldCharType="end"/>
      </w:r>
    </w:p>
    <w:tbl>
      <w:tblPr>
        <w:tblpPr w:bottomFromText="240" w:horzAnchor="margin" w:tblpYSpec="top"/>
        <w:tblOverlap w:val="never"/>
        <w:tblW w:w="8505" w:type="dxa"/>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A8765D">
        <w:trPr>
          <w:cantSplit/>
          <w:trHeight w:val="20"/>
        </w:trPr>
        <w:tc>
          <w:tcPr>
            <w:tcW w:w="8505" w:type="dxa"/>
            <w:shd w:val="clear" w:color="auto" w:fill="F7FCFF"/>
          </w:tcPr>
          <w:p w:rsidR="00A8765D" w:rsidRDefault="00A8765D">
            <w:pPr>
              <w:keepNext/>
              <w:spacing w:after="0" w:line="240" w:lineRule="auto"/>
              <w:jc w:val="both"/>
              <w:rPr>
                <w:rFonts w:ascii="Times New Roman" w:hAnsi="Times New Roman" w:cs="Times New Roman"/>
                <w:noProof/>
                <w:color w:val="000000"/>
                <w:sz w:val="2"/>
              </w:rPr>
            </w:pPr>
          </w:p>
        </w:tc>
      </w:tr>
      <w:tr w:rsidR="00A8765D">
        <w:trPr>
          <w:cantSplit/>
          <w:trHeight w:val="20"/>
        </w:trPr>
        <w:tc>
          <w:tcPr>
            <w:tcW w:w="8505" w:type="dxa"/>
            <w:shd w:val="clear" w:color="auto" w:fill="F7FCFF"/>
          </w:tcPr>
          <w:p w:rsidR="00A8765D" w:rsidRDefault="00A8765D">
            <w:pPr>
              <w:keepNext/>
              <w:spacing w:after="0" w:line="240" w:lineRule="auto"/>
              <w:jc w:val="both"/>
              <w:rPr>
                <w:rFonts w:ascii="Times New Roman" w:hAnsi="Times New Roman" w:cs="Times New Roman"/>
                <w:noProof/>
                <w:color w:val="000000"/>
                <w:sz w:val="2"/>
              </w:rPr>
            </w:pPr>
          </w:p>
        </w:tc>
      </w:tr>
      <w:tr w:rsidR="00A8765D">
        <w:trPr>
          <w:cantSplit/>
        </w:trPr>
        <w:tc>
          <w:tcPr>
            <w:tcW w:w="8505" w:type="dxa"/>
            <w:shd w:val="clear" w:color="auto" w:fill="F7FCFF"/>
          </w:tcPr>
          <w:p w:rsidR="00A8765D" w:rsidRDefault="006C09F5">
            <w:pPr>
              <w:keepNext/>
              <w:spacing w:before="120" w:after="120" w:line="240" w:lineRule="atLeast"/>
              <w:jc w:val="center"/>
              <w:rPr>
                <w:rFonts w:ascii="Times New Roman" w:hAnsi="Times New Roman" w:cs="Times New Roman"/>
                <w:noProof/>
                <w:color w:val="000000"/>
                <w:sz w:val="2"/>
              </w:rPr>
            </w:pPr>
            <w:r>
              <w:rPr>
                <w:rFonts w:ascii="Times New Roman" w:hAnsi="Times New Roman" w:cs="Times New Roman"/>
                <w:noProof/>
                <w:color w:val="000000"/>
                <w:sz w:val="2"/>
                <w:lang w:eastAsia="en-GB"/>
              </w:rPr>
              <w:drawing>
                <wp:inline distT="0" distB="0" distL="0" distR="0">
                  <wp:extent cx="5041900" cy="7230745"/>
                  <wp:effectExtent l="0" t="0" r="635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1900" cy="7230745"/>
                          </a:xfrm>
                          <a:prstGeom prst="rect">
                            <a:avLst/>
                          </a:prstGeom>
                          <a:noFill/>
                        </pic:spPr>
                      </pic:pic>
                    </a:graphicData>
                  </a:graphic>
                </wp:inline>
              </w:drawing>
            </w:r>
            <w:r>
              <w:rPr>
                <w:rFonts w:ascii="Times New Roman" w:hAnsi="Times New Roman" w:cs="Times New Roman"/>
                <w:noProof/>
                <w:color w:val="000000"/>
                <w:sz w:val="2"/>
              </w:rPr>
              <w:t xml:space="preserve"> </w:t>
            </w:r>
          </w:p>
        </w:tc>
      </w:tr>
      <w:tr w:rsidR="00A8765D">
        <w:trPr>
          <w:cantSplit/>
          <w:trHeight w:val="20"/>
        </w:trPr>
        <w:tc>
          <w:tcPr>
            <w:tcW w:w="8505" w:type="dxa"/>
            <w:shd w:val="clear" w:color="auto" w:fill="F7FCFF"/>
          </w:tcPr>
          <w:p w:rsidR="00A8765D" w:rsidRDefault="00A8765D">
            <w:pPr>
              <w:keepNext/>
              <w:spacing w:after="0" w:line="240" w:lineRule="auto"/>
              <w:jc w:val="both"/>
              <w:rPr>
                <w:rFonts w:ascii="Times New Roman" w:hAnsi="Times New Roman" w:cs="Times New Roman"/>
                <w:noProof/>
                <w:color w:val="000000"/>
                <w:sz w:val="2"/>
              </w:rPr>
            </w:pPr>
          </w:p>
        </w:tc>
      </w:tr>
      <w:tr w:rsidR="00A8765D">
        <w:trPr>
          <w:cantSplit/>
          <w:trHeight w:val="20"/>
        </w:trPr>
        <w:tc>
          <w:tcPr>
            <w:tcW w:w="8505" w:type="dxa"/>
            <w:shd w:val="clear" w:color="auto" w:fill="F7FCFF"/>
          </w:tcPr>
          <w:p w:rsidR="00A8765D" w:rsidRDefault="00A8765D">
            <w:pPr>
              <w:spacing w:after="0" w:line="240" w:lineRule="auto"/>
              <w:jc w:val="both"/>
              <w:rPr>
                <w:rFonts w:ascii="Times New Roman" w:hAnsi="Times New Roman" w:cs="Times New Roman"/>
                <w:noProof/>
                <w:color w:val="000000"/>
                <w:sz w:val="2"/>
              </w:rPr>
            </w:pPr>
          </w:p>
        </w:tc>
      </w:tr>
    </w:tbl>
    <w:p w:rsidR="00A8765D" w:rsidRDefault="00A8765D">
      <w:pPr>
        <w:keepNext/>
        <w:tabs>
          <w:tab w:val="left" w:pos="567"/>
        </w:tabs>
        <w:spacing w:before="240" w:after="240" w:line="240" w:lineRule="atLeast"/>
        <w:outlineLvl w:val="2"/>
        <w:rPr>
          <w:rFonts w:ascii="Century Gothic" w:hAnsi="Century Gothic" w:cs="Times New Roman"/>
          <w:b/>
          <w:caps/>
          <w:noProof/>
          <w:color w:val="333399"/>
          <w:sz w:val="18"/>
        </w:rPr>
      </w:pPr>
    </w:p>
    <w:p w:rsidR="00A8765D" w:rsidRDefault="006C09F5">
      <w:pPr>
        <w:rPr>
          <w:rFonts w:ascii="Century Gothic" w:hAnsi="Century Gothic" w:cs="Times New Roman"/>
          <w:b/>
          <w:caps/>
          <w:noProof/>
          <w:color w:val="333399"/>
          <w:sz w:val="18"/>
        </w:rPr>
      </w:pPr>
      <w:r>
        <w:rPr>
          <w:rFonts w:ascii="Century Gothic" w:hAnsi="Century Gothic" w:cs="Times New Roman"/>
          <w:b/>
          <w:caps/>
          <w:noProof/>
          <w:color w:val="333399"/>
          <w:sz w:val="18"/>
        </w:rPr>
        <w:br w:type="page"/>
      </w:r>
    </w:p>
    <w:p w:rsidR="00A8765D" w:rsidRDefault="006C09F5">
      <w:pPr>
        <w:keepNext/>
        <w:tabs>
          <w:tab w:val="left" w:pos="567"/>
        </w:tabs>
        <w:spacing w:before="240" w:after="240" w:line="240" w:lineRule="atLeast"/>
        <w:outlineLvl w:val="2"/>
        <w:rPr>
          <w:rFonts w:ascii="Century Gothic" w:hAnsi="Century Gothic" w:cs="Times New Roman"/>
          <w:b/>
          <w:caps/>
          <w:noProof/>
          <w:color w:val="333399"/>
          <w:sz w:val="18"/>
        </w:rPr>
      </w:pPr>
      <w:r>
        <w:rPr>
          <w:rFonts w:ascii="Century Gothic" w:hAnsi="Century Gothic" w:cs="Times New Roman"/>
          <w:b/>
          <w:caps/>
          <w:noProof/>
          <w:color w:val="333399"/>
          <w:sz w:val="18"/>
        </w:rPr>
        <w:t>3.4.4.</w:t>
      </w:r>
      <w:r>
        <w:rPr>
          <w:rFonts w:ascii="Century Gothic" w:hAnsi="Century Gothic" w:cs="Times New Roman"/>
          <w:b/>
          <w:caps/>
          <w:noProof/>
          <w:color w:val="333399"/>
          <w:sz w:val="18"/>
        </w:rPr>
        <w:tab/>
        <w:t>QUALITY OF GOVERNANCE</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State-owned enterprises</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Latvia is taking steps to improve the governance of </w:t>
      </w:r>
      <w:r>
        <w:rPr>
          <w:rFonts w:ascii="Times New Roman" w:hAnsi="Times New Roman" w:cs="Times New Roman"/>
          <w:b/>
          <w:noProof/>
          <w:color w:val="000000"/>
          <w:sz w:val="20"/>
        </w:rPr>
        <w:t>municipality-owned enterprises.</w:t>
      </w:r>
      <w:r>
        <w:rPr>
          <w:rFonts w:ascii="Times New Roman" w:hAnsi="Times New Roman" w:cs="Times New Roman"/>
          <w:noProof/>
          <w:color w:val="000000"/>
          <w:sz w:val="20"/>
        </w:rPr>
        <w:t xml:space="preserve"> While common corporate governance principles have applied to state-owned enterprises since 2014, municipality enterprises had so far been exempt from these requirements. However, as of 2020, the municipality enterprises will</w:t>
      </w:r>
      <w:r>
        <w:rPr>
          <w:rFonts w:ascii="Times New Roman" w:hAnsi="Times New Roman" w:cs="Times New Roman"/>
          <w:noProof/>
          <w:color w:val="000000"/>
          <w:sz w:val="20"/>
        </w:rPr>
        <w:t xml:space="preserve"> have their management separated from the elected officials of municipalities and they will be required to establish supervisory boards comprised of independent members. Moreover, enhanced transparency and reporting standards will apply. This is expected t</w:t>
      </w:r>
      <w:r>
        <w:rPr>
          <w:rFonts w:ascii="Times New Roman" w:hAnsi="Times New Roman" w:cs="Times New Roman"/>
          <w:noProof/>
          <w:color w:val="000000"/>
          <w:sz w:val="20"/>
        </w:rPr>
        <w:t xml:space="preserve">o improve the enterprises’ economic performance and accountability. </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Justice system</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quality and independence of the justice system are being further strengthened.</w:t>
      </w:r>
      <w:r>
        <w:rPr>
          <w:rFonts w:ascii="Times New Roman" w:hAnsi="Times New Roman" w:cs="Times New Roman"/>
          <w:noProof/>
          <w:color w:val="000000"/>
          <w:sz w:val="20"/>
        </w:rPr>
        <w:t xml:space="preserve"> In order to improve the quality of the justice system, all complaints concerning the just</w:t>
      </w:r>
      <w:r>
        <w:rPr>
          <w:rFonts w:ascii="Times New Roman" w:hAnsi="Times New Roman" w:cs="Times New Roman"/>
          <w:noProof/>
          <w:color w:val="000000"/>
          <w:sz w:val="20"/>
        </w:rPr>
        <w:t>ice system received through different channels have been grouped together under a new unified portal under the control of the judiciary (Judicial Qualification Board). This portal provides information on the examination of the complaints and their follow-u</w:t>
      </w:r>
      <w:r>
        <w:rPr>
          <w:rFonts w:ascii="Times New Roman" w:hAnsi="Times New Roman" w:cs="Times New Roman"/>
          <w:noProof/>
          <w:color w:val="000000"/>
          <w:sz w:val="20"/>
        </w:rPr>
        <w:t>p. Moreover, Latvia’s Council for the Judiciary is discussing a new framework for selecting candidate judges, with the objective of strengthening the independence of the appointment process. The new framework would increase the profession’s role in selecti</w:t>
      </w:r>
      <w:r>
        <w:rPr>
          <w:rFonts w:ascii="Times New Roman" w:hAnsi="Times New Roman" w:cs="Times New Roman"/>
          <w:noProof/>
          <w:color w:val="000000"/>
          <w:sz w:val="20"/>
        </w:rPr>
        <w:t>ng new judges. It would also reduce the influence of individual assessors by making use of commissions composed of several judges. While the perception of judicial independence increased among businesses, it decreased among judges (2020 EU Justice Scoreboa</w:t>
      </w:r>
      <w:r>
        <w:rPr>
          <w:rFonts w:ascii="Times New Roman" w:hAnsi="Times New Roman" w:cs="Times New Roman"/>
          <w:noProof/>
          <w:color w:val="000000"/>
          <w:sz w:val="20"/>
        </w:rPr>
        <w:t xml:space="preserve">rd, forthcoming). However, the Council for the Judiciary faces capacity constraints in its efforts to improve the quality of the justice system, while the Court Administration, with almost one hundred employees, remains under the authority of the Ministry </w:t>
      </w:r>
      <w:r>
        <w:rPr>
          <w:rFonts w:ascii="Times New Roman" w:hAnsi="Times New Roman" w:cs="Times New Roman"/>
          <w:noProof/>
          <w:color w:val="000000"/>
          <w:sz w:val="20"/>
        </w:rPr>
        <w:t xml:space="preserve">of Justice. The Council issued an opinion that the draft law on the remuneration of judges does not adequately implement the relevant Constitutional Court decision.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Discussions are ongoing on the appropriate ways to increase the quality and efficiency of </w:t>
      </w:r>
      <w:r>
        <w:rPr>
          <w:rFonts w:ascii="Times New Roman" w:hAnsi="Times New Roman" w:cs="Times New Roman"/>
          <w:b/>
          <w:noProof/>
          <w:color w:val="000000"/>
          <w:sz w:val="20"/>
        </w:rPr>
        <w:t>handling financial crime cases.</w:t>
      </w:r>
      <w:r>
        <w:rPr>
          <w:rFonts w:ascii="Times New Roman" w:hAnsi="Times New Roman" w:cs="Times New Roman"/>
          <w:noProof/>
          <w:color w:val="000000"/>
          <w:sz w:val="20"/>
        </w:rPr>
        <w:t xml:space="preserve"> The Ministry of Justice has proposed creating a special court for economic crimes. However, the Council for the Judiciary issued two opinions against establishing a separate ‘economic court’, stating lack of evidence it woul</w:t>
      </w:r>
      <w:r>
        <w:rPr>
          <w:rFonts w:ascii="Times New Roman" w:hAnsi="Times New Roman" w:cs="Times New Roman"/>
          <w:noProof/>
          <w:color w:val="000000"/>
          <w:sz w:val="20"/>
        </w:rPr>
        <w:t xml:space="preserve">d bring improvements in quality and efficiency, and calling for criminal procedure reform instead, among other things. State Control has launched an audit of the factors affecting the effective investigation and adjudication of criminal cases for economic </w:t>
      </w:r>
      <w:r>
        <w:rPr>
          <w:rFonts w:ascii="Times New Roman" w:hAnsi="Times New Roman" w:cs="Times New Roman"/>
          <w:noProof/>
          <w:color w:val="000000"/>
          <w:sz w:val="20"/>
        </w:rPr>
        <w:t>and financial offences and it will cover a two-year period. An examination of the data in different courts is envisaged, with the objective of finding solutions to even out the workload and reduce the need for transfers of cases. The Insolvency Control Ser</w:t>
      </w:r>
      <w:r>
        <w:rPr>
          <w:rFonts w:ascii="Times New Roman" w:hAnsi="Times New Roman" w:cs="Times New Roman"/>
          <w:noProof/>
          <w:color w:val="000000"/>
          <w:sz w:val="20"/>
        </w:rPr>
        <w:t>vice is continuously supervising insolvency administrators, including through appropriate sanctions. It reported a number of irregularities, such as the failure to observe auction procedures, the delay of payments to creditors, the racking up of unreasonab</w:t>
      </w:r>
      <w:r>
        <w:rPr>
          <w:rFonts w:ascii="Times New Roman" w:hAnsi="Times New Roman" w:cs="Times New Roman"/>
          <w:noProof/>
          <w:color w:val="000000"/>
          <w:sz w:val="20"/>
        </w:rPr>
        <w:t>le costs, as well as the failure to submit reports.</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Corruption and conflict of interest prevention</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Latvia’s score on corruption control indicators is slowly improving.</w:t>
      </w:r>
      <w:r>
        <w:rPr>
          <w:rFonts w:ascii="Times New Roman" w:hAnsi="Times New Roman" w:cs="Times New Roman"/>
          <w:noProof/>
          <w:color w:val="000000"/>
          <w:sz w:val="20"/>
        </w:rPr>
        <w:t xml:space="preserve"> In the 2019 Worldwide Governance indicator for control of corruption, Latvia ranks 20</w:t>
      </w:r>
      <w:r>
        <w:rPr>
          <w:rFonts w:ascii="Times New Roman" w:hAnsi="Times New Roman" w:cs="Times New Roman"/>
          <w:noProof/>
          <w:color w:val="000000"/>
          <w:sz w:val="20"/>
          <w:vertAlign w:val="superscript"/>
        </w:rPr>
        <w:t>th</w:t>
      </w:r>
      <w:r>
        <w:rPr>
          <w:rFonts w:ascii="Times New Roman" w:hAnsi="Times New Roman" w:cs="Times New Roman"/>
          <w:noProof/>
          <w:color w:val="000000"/>
          <w:sz w:val="20"/>
        </w:rPr>
        <w:t xml:space="preserve"> </w:t>
      </w:r>
      <w:r>
        <w:rPr>
          <w:rFonts w:ascii="Times New Roman" w:hAnsi="Times New Roman" w:cs="Times New Roman"/>
          <w:noProof/>
          <w:color w:val="000000"/>
          <w:sz w:val="20"/>
        </w:rPr>
        <w:t>among EU countries (Latvia ranked 21</w:t>
      </w:r>
      <w:r>
        <w:rPr>
          <w:rFonts w:ascii="Times New Roman" w:hAnsi="Times New Roman" w:cs="Times New Roman"/>
          <w:noProof/>
          <w:color w:val="000000"/>
          <w:sz w:val="20"/>
          <w:vertAlign w:val="superscript"/>
        </w:rPr>
        <w:t>st</w:t>
      </w:r>
      <w:r>
        <w:rPr>
          <w:rFonts w:ascii="Times New Roman" w:hAnsi="Times New Roman" w:cs="Times New Roman"/>
          <w:noProof/>
          <w:color w:val="000000"/>
          <w:sz w:val="20"/>
        </w:rPr>
        <w:t xml:space="preserve"> in 2018). However, Latvia’s score has tended to slowly improve over time (see Graph </w:t>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QUOTE "3.4.5"</w:instrText>
      </w:r>
      <w:r>
        <w:rPr>
          <w:rFonts w:ascii="Times New Roman" w:hAnsi="Times New Roman" w:cs="Times New Roman"/>
          <w:noProof/>
          <w:color w:val="000000"/>
          <w:sz w:val="20"/>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AHIAZwAvADIAMAAwADEALwBYAE0ATABTAGMAaABlAG0AYQAiAD4ADQAKACAAIAA8AEkAZAA+AGEA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</w:fldData>
        </w:fldChar>
      </w:r>
      <w:r>
        <w:rPr>
          <w:rFonts w:ascii="Times New Roman" w:hAnsi="Times New Roman" w:cs="Times New Roman"/>
          <w:noProof/>
          <w:color w:val="000000"/>
          <w:sz w:val="20"/>
        </w:rPr>
        <w:instrText xml:space="preserve"> ADDIN </w:instrText>
      </w:r>
      <w:r>
        <w:rPr>
          <w:rFonts w:ascii="Times New Roman" w:hAnsi="Times New Roman" w:cs="Times New Roman"/>
          <w:noProof/>
          <w:color w:val="000000"/>
          <w:sz w:val="20"/>
        </w:rPr>
      </w:r>
      <w:r>
        <w:rPr>
          <w:rFonts w:ascii="Times New Roman" w:hAnsi="Times New Roman" w:cs="Times New Roman"/>
          <w:noProof/>
          <w:color w:val="000000"/>
          <w:sz w:val="20"/>
        </w:rPr>
        <w:fldChar w:fldCharType="end"/>
      </w:r>
      <w:r>
        <w:rPr>
          <w:rFonts w:ascii="Times New Roman" w:hAnsi="Times New Roman" w:cs="Times New Roman"/>
          <w:noProof/>
          <w:color w:val="000000"/>
          <w:sz w:val="20"/>
        </w:rPr>
        <w:instrText xml:space="preserve"> </w:instrText>
      </w:r>
      <w:r>
        <w:rPr>
          <w:rFonts w:ascii="Times New Roman" w:hAnsi="Times New Roman" w:cs="Times New Roman"/>
          <w:noProof/>
          <w:color w:val="000000"/>
          <w:sz w:val="20"/>
        </w:rPr>
        <w:fldChar w:fldCharType="separate"/>
      </w:r>
      <w:r>
        <w:rPr>
          <w:rFonts w:ascii="Times New Roman" w:hAnsi="Times New Roman" w:cs="Times New Roman"/>
          <w:noProof/>
          <w:color w:val="000000"/>
          <w:sz w:val="20"/>
        </w:rPr>
        <w:t>3.4.5</w:t>
      </w:r>
      <w:r>
        <w:rPr>
          <w:rFonts w:ascii="Times New Roman" w:hAnsi="Times New Roman" w:cs="Times New Roman"/>
          <w:noProof/>
          <w:color w:val="000000"/>
          <w:sz w:val="20"/>
        </w:rPr>
        <w:fldChar w:fldCharType="end"/>
      </w:r>
      <w:r>
        <w:rPr>
          <w:rFonts w:ascii="Times New Roman" w:hAnsi="Times New Roman" w:cs="Times New Roman"/>
          <w:noProof/>
          <w:color w:val="000000"/>
          <w:sz w:val="20"/>
        </w:rPr>
        <w:t>). According to the 2019 Flash</w:t>
      </w:r>
      <w:r>
        <w:rPr>
          <w:rFonts w:ascii="Times New Roman" w:hAnsi="Times New Roman" w:cs="Times New Roman"/>
          <w:noProof/>
          <w:color w:val="000000"/>
          <w:sz w:val="20"/>
        </w:rPr>
        <w:t xml:space="preserve"> Eurobarometer, 77% of businesses in Latvia believe that corruption is widespread in their country (14% more than the EU average, but 9% less than in 2017). However, only 19% consider corruption to be a problem when doing business (compared to the 37% EU a</w:t>
      </w:r>
      <w:r>
        <w:rPr>
          <w:rFonts w:ascii="Times New Roman" w:hAnsi="Times New Roman" w:cs="Times New Roman"/>
          <w:noProof/>
          <w:color w:val="000000"/>
          <w:sz w:val="20"/>
        </w:rPr>
        <w:t>verage, the same as last year).</w:t>
      </w:r>
    </w:p>
    <w:p w:rsidR="00A8765D" w:rsidRDefault="00A8765D">
      <w:pPr>
        <w:spacing w:after="240" w:line="240" w:lineRule="atLeast"/>
        <w:jc w:val="both"/>
        <w:rPr>
          <w:rFonts w:ascii="Times New Roman" w:hAnsi="Times New Roman" w:cs="Times New Roman"/>
          <w:noProof/>
          <w:color w:val="000000"/>
          <w:sz w:val="20"/>
        </w:rPr>
      </w:pP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Graph 3.4.5:</w:t>
            </w:r>
            <w:r>
              <w:rPr>
                <w:rFonts w:ascii="Century Gothic" w:hAnsi="Century Gothic" w:cs="Times New Roman"/>
                <w:b/>
                <w:noProof/>
                <w:color w:val="333399"/>
                <w:sz w:val="14"/>
              </w:rPr>
              <w:tab/>
              <w:t>Control of Corruption indicator</w:t>
            </w:r>
          </w:p>
        </w:tc>
      </w:tr>
      <w:tr w:rsidR="00A8765D">
        <w:trPr>
          <w:cantSplit/>
        </w:trPr>
        <w:tc>
          <w:tcPr>
            <w:tcW w:w="4111"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53" w:name="_Toc33020665"/>
            <w:r>
              <w:rPr>
                <w:rFonts w:ascii="Times New Roman" w:hAnsi="Times New Roman" w:cs="Times New Roman"/>
                <w:noProof/>
                <w:color w:val="000000"/>
                <w:sz w:val="20"/>
              </w:rPr>
              <w:instrText>3.4.5.</w:instrText>
            </w:r>
            <w:r>
              <w:rPr>
                <w:rFonts w:ascii="Times New Roman" w:hAnsi="Times New Roman" w:cs="Times New Roman"/>
                <w:noProof/>
                <w:color w:val="000000"/>
                <w:sz w:val="20"/>
              </w:rPr>
              <w:tab/>
              <w:instrText>Control of Corruption indicator</w:instrText>
            </w:r>
            <w:bookmarkEnd w:id="53"/>
            <w:r>
              <w:rPr>
                <w:rFonts w:ascii="Times New Roman" w:hAnsi="Times New Roman" w:cs="Times New Roman"/>
                <w:noProof/>
                <w:color w:val="000000"/>
                <w:sz w:val="20"/>
              </w:rPr>
              <w:instrText xml:space="preserve">" \fgraph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en-GB"/>
              </w:rPr>
              <w:drawing>
                <wp:inline distT="0" distB="0" distL="0" distR="0">
                  <wp:extent cx="2597595" cy="2437101"/>
                  <wp:effectExtent l="0" t="0" r="0" b="0"/>
                  <wp:docPr id="87" name="Picture 87" descr="&lt;nbr&gt;&lt;GETTEXTFROMWORD&gt;&lt;/nbr&gt;&#10;&lt;title&gt;&lt;GETTEXTFROMWORD&gt;&lt;/title&gt;&#10;&lt;id&gt;a2b9baf4-41f5-4f7a-b234-3d6a2f9f8b2a&lt;/id&gt;&#10;&lt;srcType&gt;EXCEL&lt;/srcType&gt;&#10;&lt;srcPath&gt;O:\2017 CRs\2020 European semester\LV\LV2020_ graphs\&lt;/srcPath&gt;&#10;&lt;srcName&gt;control of corruption.xlsx&lt;/srcName&gt;&#10;&lt;type&gt;graph&lt;/type&gt;&#10; &lt;srcSheet&gt;Control of corruption&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9-12-20T16:53:07&lt;/scrFileTime&gt;&#10;&lt;imageInformation&gt;&#10; &lt;dontScaleUp&gt;no&lt;/dontScaleUp&gt;&#10; &lt;usedpercentageofavailablewidth&gt;100&lt;/usedpercentageofavailablewidth&gt;&#10;&lt;/imageInformation&gt;&#10;&lt;url&gt;Chap0/Chap0-Graph-%SectionNumber%.21.xlsx&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4">
                            <a:extLst>
                              <a:ext uri="{28A0092B-C50C-407E-A947-70E740481C1C}">
                                <a14:useLocalDpi xmlns:a14="http://schemas.microsoft.com/office/drawing/2010/main" val="0"/>
                              </a:ext>
                            </a:extLst>
                          </a:blip>
                          <a:srcRect/>
                          <a:stretch>
                            <a:fillRect/>
                          </a:stretch>
                        </pic:blipFill>
                        <pic:spPr>
                          <a:xfrm>
                            <a:off x="0" y="0"/>
                            <a:ext cx="2597595" cy="2437101"/>
                          </a:xfrm>
                          <a:prstGeom prst="rect">
                            <a:avLst/>
                          </a:prstGeom>
                        </pic:spPr>
                      </pic:pic>
                    </a:graphicData>
                  </a:graphic>
                </wp:inline>
              </w:drawing>
            </w:r>
            <w:r>
              <w:rPr>
                <w:rFonts w:ascii="Times New Roman" w:hAnsi="Times New Roman" w:cs="Times New Roman"/>
                <w:noProof/>
                <w:color w:val="000000"/>
                <w:sz w:val="2"/>
              </w:rPr>
              <w:t xml:space="preserve"> </w:t>
            </w:r>
          </w:p>
        </w:tc>
      </w:tr>
      <w:tr w:rsidR="00A8765D">
        <w:trPr>
          <w:cantSplit/>
        </w:trPr>
        <w:tc>
          <w:tcPr>
            <w:tcW w:w="4111" w:type="dxa"/>
            <w:shd w:val="clear" w:color="auto" w:fill="auto"/>
            <w:tcMar>
              <w:bottom w:w="240" w:type="dxa"/>
            </w:tcMar>
          </w:tcPr>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noProof/>
                <w:color w:val="000000"/>
                <w:sz w:val="14"/>
              </w:rPr>
              <w:t>(1) The indicator is a composite of different indicators from various sources. Worldwide mean is set at zero with</w:t>
            </w:r>
            <w:r>
              <w:rPr>
                <w:rFonts w:ascii="Century Gothic" w:hAnsi="Century Gothic" w:cs="Times New Roman"/>
                <w:noProof/>
                <w:color w:val="000000"/>
                <w:sz w:val="14"/>
              </w:rPr>
              <w:t xml:space="preserve"> higher score meaning better control of corruption.</w:t>
            </w:r>
          </w:p>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World Bank</w:t>
            </w:r>
          </w:p>
        </w:tc>
      </w:tr>
    </w:tbl>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Corruption Prevention and Combatting Bureau (KNAB) has been effective in opening up investigations.</w:t>
      </w:r>
      <w:r>
        <w:rPr>
          <w:rFonts w:ascii="Times New Roman" w:hAnsi="Times New Roman" w:cs="Times New Roman"/>
          <w:noProof/>
          <w:color w:val="000000"/>
          <w:sz w:val="20"/>
        </w:rPr>
        <w:t xml:space="preserve"> KNAB’s effectiveness has increased since its current head was appointed in 2017. As of 31 December 2019, the Bureau operates at near its full capacity, with 135 out of 150 posts filled. Its reorganisation led to an improved cooperation between the departm</w:t>
      </w:r>
      <w:r>
        <w:rPr>
          <w:rFonts w:ascii="Times New Roman" w:hAnsi="Times New Roman" w:cs="Times New Roman"/>
          <w:noProof/>
          <w:color w:val="000000"/>
          <w:sz w:val="20"/>
        </w:rPr>
        <w:t>ents in charge of prevention and repression of corruption. Forty-seven new criminal proceedings were started in 2019, with several high-profile investigations in vulnerable sectors such as procurement at municipal level or cartels in the construction indus</w:t>
      </w:r>
      <w:r>
        <w:rPr>
          <w:rFonts w:ascii="Times New Roman" w:hAnsi="Times New Roman" w:cs="Times New Roman"/>
          <w:noProof/>
          <w:color w:val="000000"/>
          <w:sz w:val="20"/>
        </w:rPr>
        <w:t>try. However, court proceedings remain lengthy, in many cases pending in court for several years. The implementation of certain measures in the anti-corruption plan has been delayed. Gaps are more frequent at local and municipal level, where KNAB’s prevent</w:t>
      </w:r>
      <w:r>
        <w:rPr>
          <w:rFonts w:ascii="Times New Roman" w:hAnsi="Times New Roman" w:cs="Times New Roman"/>
          <w:noProof/>
          <w:color w:val="000000"/>
          <w:sz w:val="20"/>
        </w:rPr>
        <w:t>ion efforts need to be stepped up. Moreover, KNAB’s monitoring on the implementation of the anti-corruption action plan needs to be strengthened.</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The law on the prevention of conflict of interest has been strengthened over the past years, but certain </w:t>
      </w:r>
      <w:r>
        <w:rPr>
          <w:rFonts w:ascii="Times New Roman" w:hAnsi="Times New Roman" w:cs="Times New Roman"/>
          <w:b/>
          <w:noProof/>
          <w:color w:val="000000"/>
          <w:sz w:val="20"/>
        </w:rPr>
        <w:t>categories of officials remain exempted.</w:t>
      </w:r>
      <w:r>
        <w:rPr>
          <w:rFonts w:ascii="Times New Roman" w:hAnsi="Times New Roman" w:cs="Times New Roman"/>
          <w:noProof/>
          <w:color w:val="000000"/>
          <w:sz w:val="20"/>
        </w:rPr>
        <w:t xml:space="preserve"> The amendments proposed last year, which would have exempted approximately 14,000 civil servants with control and supervision functions from declaring their assets have been currently put on hold in Parliament. </w:t>
      </w:r>
      <w:r>
        <w:rPr>
          <w:rFonts w:ascii="Times New Roman" w:hAnsi="Times New Roman" w:cs="Times New Roman"/>
          <w:noProof/>
          <w:color w:val="000000"/>
          <w:sz w:val="20"/>
          <w:szCs w:val="20"/>
        </w:rPr>
        <w:t>Howe</w:t>
      </w:r>
      <w:r>
        <w:rPr>
          <w:rFonts w:ascii="Times New Roman" w:hAnsi="Times New Roman" w:cs="Times New Roman"/>
          <w:noProof/>
          <w:color w:val="000000"/>
          <w:sz w:val="20"/>
          <w:szCs w:val="20"/>
        </w:rPr>
        <w:t xml:space="preserve">ver, </w:t>
      </w:r>
      <w:r>
        <w:rPr>
          <w:rFonts w:ascii="Times New Roman" w:hAnsi="Times New Roman" w:cs="Times New Roman"/>
          <w:noProof/>
          <w:sz w:val="20"/>
          <w:szCs w:val="20"/>
        </w:rPr>
        <w:t xml:space="preserve">in November 2019, the </w:t>
      </w:r>
      <w:r>
        <w:rPr>
          <w:rFonts w:ascii="Times New Roman" w:hAnsi="Times New Roman" w:cs="Times New Roman"/>
          <w:noProof/>
          <w:color w:val="000000"/>
          <w:sz w:val="20"/>
          <w:szCs w:val="20"/>
        </w:rPr>
        <w:t>Parliament approved another set of amendments allowing certain categories of public servants to combine their functions with outside activities as long as they are not remunerated. These amendments may complicate the implementati</w:t>
      </w:r>
      <w:r>
        <w:rPr>
          <w:rFonts w:ascii="Times New Roman" w:hAnsi="Times New Roman" w:cs="Times New Roman"/>
          <w:noProof/>
          <w:color w:val="000000"/>
          <w:sz w:val="20"/>
          <w:szCs w:val="20"/>
        </w:rPr>
        <w:t xml:space="preserve">on of the law. Special attention should be given to political advisors (both paid and non-paid), whose statute is uncertain, an issue which has also been flagged up by the Council of Europe’s Group of States against Corruption.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verification of asset d</w:t>
      </w:r>
      <w:r>
        <w:rPr>
          <w:rFonts w:ascii="Times New Roman" w:hAnsi="Times New Roman" w:cs="Times New Roman"/>
          <w:b/>
          <w:noProof/>
          <w:color w:val="000000"/>
          <w:sz w:val="20"/>
        </w:rPr>
        <w:t>eclarations still present some shortcomings.</w:t>
      </w:r>
      <w:r>
        <w:rPr>
          <w:rFonts w:ascii="Times New Roman" w:hAnsi="Times New Roman" w:cs="Times New Roman"/>
          <w:noProof/>
          <w:color w:val="000000"/>
          <w:sz w:val="20"/>
        </w:rPr>
        <w:t xml:space="preserve"> Approximately 68,000 asset and interest declarations are submitted annually by all public officials in Latvia. Their verification is carried out by KNAB and the State Revenue Service, based on a risk-based appro</w:t>
      </w:r>
      <w:r>
        <w:rPr>
          <w:rFonts w:ascii="Times New Roman" w:hAnsi="Times New Roman" w:cs="Times New Roman"/>
          <w:noProof/>
          <w:color w:val="000000"/>
          <w:sz w:val="20"/>
        </w:rPr>
        <w:t>ach. In 2018 KNAB has found irregularities in more than one third of the verified declarations (783 declarations inspected out of 878 assessed), which is a relatively high percentage. According to civil society representatives, administrative fines for irr</w:t>
      </w:r>
      <w:r>
        <w:rPr>
          <w:rFonts w:ascii="Times New Roman" w:hAnsi="Times New Roman" w:cs="Times New Roman"/>
          <w:noProof/>
          <w:color w:val="000000"/>
          <w:sz w:val="20"/>
        </w:rPr>
        <w:t>egularities in the declarations are quite low, which may not be dissuasive enough to prevent further misstatements. Declarations are not published in open data format, which may hinder the control exercised by civil society and the media, and assets of spo</w:t>
      </w:r>
      <w:r>
        <w:rPr>
          <w:rFonts w:ascii="Times New Roman" w:hAnsi="Times New Roman" w:cs="Times New Roman"/>
          <w:noProof/>
          <w:color w:val="000000"/>
          <w:sz w:val="20"/>
        </w:rPr>
        <w:t xml:space="preserve">uses are not declared.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anti-corruption legal framework has been strengthened, but a law regulating lobbying activities is still missing.</w:t>
      </w:r>
      <w:r>
        <w:rPr>
          <w:rFonts w:ascii="Times New Roman" w:hAnsi="Times New Roman" w:cs="Times New Roman"/>
          <w:noProof/>
          <w:color w:val="000000"/>
          <w:sz w:val="20"/>
        </w:rPr>
        <w:t xml:space="preserve"> The Whistleblowing Law entered into force in May 2019. According to the State Chancellery, public bodies are in th</w:t>
      </w:r>
      <w:r>
        <w:rPr>
          <w:rFonts w:ascii="Times New Roman" w:hAnsi="Times New Roman" w:cs="Times New Roman"/>
          <w:noProof/>
          <w:color w:val="000000"/>
          <w:sz w:val="20"/>
        </w:rPr>
        <w:t>e process of setting up internal reporting mechanisms for whistleblowers. Moreover, a website providing all relevant information and form for submitting complaints has been set up. In the space of only a few months, the Chancellery, the State Revenue Servi</w:t>
      </w:r>
      <w:r>
        <w:rPr>
          <w:rFonts w:ascii="Times New Roman" w:hAnsi="Times New Roman" w:cs="Times New Roman"/>
          <w:noProof/>
          <w:color w:val="000000"/>
          <w:sz w:val="20"/>
        </w:rPr>
        <w:t>ce and KNAB each have received more than 40 complaints. A working group has been set up by a parliamentary committee to issue provisions regulating the lobbying activities of members of Parliament. A code of ethics for politically appointed persons is stil</w:t>
      </w:r>
      <w:r>
        <w:rPr>
          <w:rFonts w:ascii="Times New Roman" w:hAnsi="Times New Roman" w:cs="Times New Roman"/>
          <w:noProof/>
          <w:color w:val="000000"/>
          <w:sz w:val="20"/>
        </w:rPr>
        <w:t>l missing, this has also been flagged up by the Group of States against Corruption.</w:t>
      </w: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A8765D">
        <w:trPr>
          <w:cantSplit/>
          <w:trHeight w:val="20"/>
        </w:trPr>
        <w:tc>
          <w:tcPr>
            <w:tcW w:w="8505" w:type="dxa"/>
            <w:shd w:val="clear" w:color="auto" w:fill="F7FCFF"/>
          </w:tcPr>
          <w:p w:rsidR="00A8765D" w:rsidRDefault="006C09F5">
            <w:pPr>
              <w:keepNext/>
              <w:spacing w:after="0" w:line="240" w:lineRule="auto"/>
              <w:jc w:val="both"/>
              <w:rPr>
                <w:rFonts w:ascii="Times New Roman" w:hAnsi="Times New Roman" w:cs="Times New Roman"/>
                <w:noProof/>
                <w:color w:val="000000"/>
                <w:sz w:val="2"/>
              </w:rPr>
            </w:pPr>
            <w:r>
              <w:rPr>
                <w:rFonts w:ascii="Times New Roman" w:hAnsi="Times New Roman" w:cs="Times New Roman"/>
                <w:noProof/>
                <w:color w:val="000000"/>
                <w:sz w:val="2"/>
              </w:rPr>
              <w:fldChar w:fldCharType="begin"/>
            </w:r>
            <w:r>
              <w:rPr>
                <w:rFonts w:ascii="Times New Roman" w:hAnsi="Times New Roman" w:cs="Times New Roman"/>
                <w:noProof/>
                <w:color w:val="000000"/>
                <w:sz w:val="2"/>
              </w:rPr>
              <w:instrText xml:space="preserve"> TC "</w:instrText>
            </w:r>
            <w:bookmarkStart w:id="54" w:name="_Toc33440676"/>
            <w:bookmarkStart w:id="55" w:name="_Toc33531605"/>
            <w:r>
              <w:rPr>
                <w:rFonts w:ascii="Times New Roman" w:hAnsi="Times New Roman" w:cs="Times New Roman"/>
                <w:noProof/>
                <w:color w:val="000000"/>
                <w:sz w:val="2"/>
              </w:rPr>
              <w:instrText>3.4.2.</w:instrText>
            </w:r>
            <w:r>
              <w:rPr>
                <w:rFonts w:ascii="Times New Roman" w:hAnsi="Times New Roman" w:cs="Times New Roman"/>
                <w:noProof/>
                <w:color w:val="000000"/>
                <w:sz w:val="2"/>
              </w:rPr>
              <w:tab/>
              <w:instrText>Investment challenges and reforms in Latvia</w:instrText>
            </w:r>
            <w:bookmarkEnd w:id="54"/>
            <w:bookmarkEnd w:id="55"/>
            <w:r>
              <w:rPr>
                <w:rFonts w:ascii="Times New Roman" w:hAnsi="Times New Roman" w:cs="Times New Roman"/>
                <w:noProof/>
                <w:color w:val="000000"/>
                <w:sz w:val="2"/>
              </w:rPr>
              <w:instrText xml:space="preserve">" \fbox \l 5 </w:instrText>
            </w:r>
            <w:r>
              <w:rPr>
                <w:rFonts w:ascii="Times New Roman" w:hAnsi="Times New Roman" w:cs="Times New Roman"/>
                <w:noProof/>
                <w:color w:val="000000"/>
                <w:sz w:val="2"/>
              </w:rPr>
              <w:fldChar w:fldCharType="end"/>
            </w:r>
          </w:p>
        </w:tc>
      </w:tr>
      <w:tr w:rsidR="00A8765D">
        <w:trPr>
          <w:cantSplit/>
          <w:trHeight w:val="20"/>
        </w:trPr>
        <w:tc>
          <w:tcPr>
            <w:tcW w:w="8505" w:type="dxa"/>
            <w:shd w:val="clear" w:color="auto" w:fill="F7FCFF"/>
          </w:tcPr>
          <w:p w:rsidR="00A8765D" w:rsidRDefault="00A8765D">
            <w:pPr>
              <w:keepNext/>
              <w:spacing w:after="0" w:line="240" w:lineRule="auto"/>
              <w:jc w:val="both"/>
              <w:rPr>
                <w:rFonts w:ascii="Times New Roman" w:hAnsi="Times New Roman" w:cs="Times New Roman"/>
                <w:noProof/>
                <w:color w:val="000000"/>
                <w:sz w:val="2"/>
              </w:rPr>
            </w:pPr>
          </w:p>
        </w:tc>
      </w:tr>
      <w:tr w:rsidR="00A8765D">
        <w:trPr>
          <w:cantSplit/>
        </w:trPr>
        <w:tc>
          <w:tcPr>
            <w:tcW w:w="8505" w:type="dxa"/>
            <w:shd w:val="clear" w:color="auto" w:fill="F7FCFF"/>
          </w:tcPr>
          <w:p w:rsidR="00A8765D" w:rsidRDefault="006C09F5">
            <w:pPr>
              <w:keepNext/>
              <w:spacing w:before="120" w:after="120" w:line="240" w:lineRule="atLeast"/>
              <w:jc w:val="center"/>
              <w:rPr>
                <w:rFonts w:ascii="Times New Roman" w:hAnsi="Times New Roman" w:cs="Times New Roman"/>
                <w:noProof/>
                <w:color w:val="000000"/>
                <w:sz w:val="2"/>
              </w:rPr>
            </w:pPr>
            <w:r>
              <w:rPr>
                <w:rFonts w:ascii="Times New Roman" w:hAnsi="Times New Roman" w:cs="Times New Roman"/>
                <w:noProof/>
                <w:color w:val="000000"/>
                <w:sz w:val="2"/>
                <w:lang w:eastAsia="en-GB"/>
              </w:rPr>
              <w:drawing>
                <wp:inline distT="0" distB="0" distL="0" distR="0">
                  <wp:extent cx="5040929" cy="7430432"/>
                  <wp:effectExtent l="0" t="0" r="7620" b="0"/>
                  <wp:docPr id="88" name="Picture 88" descr="&lt;nbr&gt;3.4.2&lt;/nbr&gt;&#10;&lt;title&gt;Investment challenges and reforms in Latvia&lt;/title&gt;&#10;&lt;id&gt;6cd8b9d3-eab9-422b-9617-a38f2baf241c&lt;/id&gt;&#10;&lt;srcType&gt;WORD&lt;/srcType&gt;&#10;&lt;srcPath&gt;O:\2017 CRs\2020 European semester\LV\Staff Working Document - COUNTRY\Boxes\&lt;/srcPath&gt;&#10;&lt;srcName&gt;Investment Box.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20-01-24T18:00:13&lt;/scrFileTime&gt;&#10;&lt;imageInformation&gt;&#10; &lt;dontScaleUp&gt;no&lt;/dontScaleUp&gt;&#10; &lt;usedpercentageofavailablewidth&gt;100&lt;/usedpercentageofavailablewidth&gt;&#10;&lt;/imageInformation&gt;&#10;&lt;url&gt;Chap0/Chap0-Box-3.4.2.doc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85" cstate="print">
                            <a:extLst>
                              <a:ext uri="{28A0092B-C50C-407E-A947-70E740481C1C}">
                                <a14:useLocalDpi xmlns:a14="http://schemas.microsoft.com/office/drawing/2010/main" val="0"/>
                              </a:ext>
                            </a:extLst>
                          </a:blip>
                          <a:srcRect l="6246" t="4385" r="6246" b="5066"/>
                          <a:stretch>
                            <a:fillRect/>
                          </a:stretch>
                        </pic:blipFill>
                        <pic:spPr>
                          <a:xfrm>
                            <a:off x="0" y="0"/>
                            <a:ext cx="5040929" cy="7430432"/>
                          </a:xfrm>
                          <a:prstGeom prst="rect">
                            <a:avLst/>
                          </a:prstGeom>
                        </pic:spPr>
                      </pic:pic>
                    </a:graphicData>
                  </a:graphic>
                </wp:inline>
              </w:drawing>
            </w:r>
            <w:r>
              <w:rPr>
                <w:rFonts w:ascii="Times New Roman" w:hAnsi="Times New Roman" w:cs="Times New Roman"/>
                <w:noProof/>
                <w:color w:val="000000"/>
                <w:sz w:val="2"/>
              </w:rPr>
              <w:t xml:space="preserve"> </w:t>
            </w:r>
          </w:p>
        </w:tc>
      </w:tr>
      <w:tr w:rsidR="00A8765D">
        <w:trPr>
          <w:cantSplit/>
          <w:trHeight w:val="20"/>
        </w:trPr>
        <w:tc>
          <w:tcPr>
            <w:tcW w:w="8505" w:type="dxa"/>
            <w:shd w:val="clear" w:color="auto" w:fill="F7FCFF"/>
          </w:tcPr>
          <w:p w:rsidR="00A8765D" w:rsidRDefault="00A8765D">
            <w:pPr>
              <w:keepNext/>
              <w:spacing w:after="0" w:line="240" w:lineRule="auto"/>
              <w:jc w:val="both"/>
              <w:rPr>
                <w:rFonts w:ascii="Times New Roman" w:hAnsi="Times New Roman" w:cs="Times New Roman"/>
                <w:noProof/>
                <w:color w:val="000000"/>
                <w:sz w:val="2"/>
              </w:rPr>
            </w:pPr>
          </w:p>
        </w:tc>
      </w:tr>
      <w:tr w:rsidR="00A8765D">
        <w:trPr>
          <w:cantSplit/>
          <w:trHeight w:val="20"/>
        </w:trPr>
        <w:tc>
          <w:tcPr>
            <w:tcW w:w="8505" w:type="dxa"/>
            <w:shd w:val="clear" w:color="auto" w:fill="F7FCFF"/>
          </w:tcPr>
          <w:p w:rsidR="00A8765D" w:rsidRDefault="00A8765D">
            <w:pPr>
              <w:spacing w:after="0" w:line="240" w:lineRule="auto"/>
              <w:jc w:val="both"/>
              <w:rPr>
                <w:rFonts w:ascii="Times New Roman" w:hAnsi="Times New Roman" w:cs="Times New Roman"/>
                <w:noProof/>
                <w:color w:val="000000"/>
                <w:sz w:val="2"/>
              </w:rPr>
            </w:pPr>
          </w:p>
        </w:tc>
      </w:tr>
      <w:bookmarkEnd w:id="45"/>
    </w:tbl>
    <w:p w:rsidR="00A8765D" w:rsidRDefault="00A8765D">
      <w:pPr>
        <w:spacing w:after="240" w:line="240" w:lineRule="atLeast"/>
        <w:jc w:val="both"/>
        <w:rPr>
          <w:rFonts w:ascii="Times New Roman" w:hAnsi="Times New Roman" w:cs="Times New Roman"/>
          <w:noProof/>
          <w:color w:val="000000"/>
          <w:sz w:val="20"/>
        </w:rPr>
        <w:sectPr w:rsidR="00A8765D">
          <w:headerReference w:type="even" r:id="rId86"/>
          <w:headerReference w:type="default" r:id="rId87"/>
          <w:footerReference w:type="even" r:id="rId88"/>
          <w:footerReference w:type="default" r:id="rId89"/>
          <w:headerReference w:type="first" r:id="rId90"/>
          <w:footerReference w:type="first" r:id="rId91"/>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bookmarkStart w:id="56" w:name="GUIDF67D3EC33A5A4F67BDBC998BCB879DCA"/>
    <w:p w:rsidR="00A8765D" w:rsidRDefault="006C09F5">
      <w:pPr>
        <w:spacing w:after="240" w:line="240" w:lineRule="atLeast"/>
        <w:jc w:val="both"/>
        <w:rPr>
          <w:rFonts w:ascii="Times New Roman" w:hAnsi="Times New Roman" w:cs="Times New Roman"/>
          <w:noProof/>
          <w:vanish/>
          <w:color w:val="000000"/>
          <w:sz w:val="20"/>
        </w:rPr>
      </w:pPr>
      <w:r>
        <w:rPr>
          <w:rFonts w:ascii="Times New Roman" w:hAnsi="Times New Roman" w:cs="Times New Roman"/>
          <w:noProof/>
          <w:vanish/>
          <w:color w:val="000000"/>
          <w:sz w:val="20"/>
        </w:rPr>
        <w:fldChar w:fldCharType="begin"/>
      </w:r>
      <w:r>
        <w:rPr>
          <w:rFonts w:ascii="Times New Roman" w:hAnsi="Times New Roman" w:cs="Times New Roman"/>
          <w:noProof/>
          <w:color w:val="000000"/>
          <w:sz w:val="20"/>
        </w:rPr>
        <w:instrText xml:space="preserve"> TC "</w:instrText>
      </w:r>
      <w:bookmarkStart w:id="57" w:name="_Toc33020601"/>
      <w:r>
        <w:rPr>
          <w:rFonts w:ascii="Times New Roman" w:hAnsi="Times New Roman" w:cs="Times New Roman"/>
          <w:noProof/>
          <w:color w:val="000000"/>
          <w:sz w:val="20"/>
        </w:rPr>
        <w:instrText>3.5.</w:instrText>
      </w:r>
      <w:r>
        <w:rPr>
          <w:rFonts w:ascii="Times New Roman" w:hAnsi="Times New Roman" w:cs="Times New Roman"/>
          <w:noProof/>
          <w:color w:val="000000"/>
          <w:sz w:val="20"/>
        </w:rPr>
        <w:tab/>
        <w:instrText>Environmental sustainability</w:instrText>
      </w:r>
      <w:bookmarkEnd w:id="57"/>
      <w:r>
        <w:rPr>
          <w:rFonts w:ascii="Times New Roman" w:hAnsi="Times New Roman" w:cs="Times New Roman"/>
          <w:noProof/>
          <w:color w:val="000000"/>
          <w:sz w:val="20"/>
        </w:rPr>
        <w:instrText xml:space="preserve">" \f \l 3 </w:instrText>
      </w:r>
      <w:r>
        <w:rPr>
          <w:rFonts w:ascii="Times New Roman" w:hAnsi="Times New Roman" w:cs="Times New Roman"/>
          <w:noProof/>
          <w:vanish/>
          <w:color w:val="000000"/>
          <w:sz w:val="20"/>
        </w:rPr>
        <w:fldChar w:fldCharType="end"/>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 xml:space="preserve">Key climate and environmental challenges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Latvia is among EU’s top performers in renewable energy but more </w:t>
      </w:r>
      <w:r>
        <w:rPr>
          <w:rFonts w:ascii="Times New Roman" w:hAnsi="Times New Roman" w:cs="Times New Roman"/>
          <w:b/>
          <w:noProof/>
          <w:color w:val="000000"/>
          <w:sz w:val="20"/>
        </w:rPr>
        <w:t xml:space="preserve">effort is needed to improve its energy efficiency. </w:t>
      </w:r>
      <w:r>
        <w:rPr>
          <w:rFonts w:ascii="Times New Roman" w:hAnsi="Times New Roman" w:cs="Times New Roman"/>
          <w:noProof/>
          <w:color w:val="000000"/>
          <w:sz w:val="20"/>
        </w:rPr>
        <w:t>Latvia’s share of renewable energy is among the highest in the EU, contributing to some of the lowest greenhouse gas emissions per capita in the Union. However, Latvia’s energy consumption continues to inc</w:t>
      </w:r>
      <w:r>
        <w:rPr>
          <w:rFonts w:ascii="Times New Roman" w:hAnsi="Times New Roman" w:cs="Times New Roman"/>
          <w:noProof/>
          <w:color w:val="000000"/>
          <w:sz w:val="20"/>
        </w:rPr>
        <w:t>rease driven primarily by the transport and residential sectors. While around half of energy consumption in the residential sector comes from renewable sources, the share of renewables in transport is still low. Therefore, investment in public transport, e</w:t>
      </w:r>
      <w:r>
        <w:rPr>
          <w:rFonts w:ascii="Times New Roman" w:hAnsi="Times New Roman" w:cs="Times New Roman"/>
          <w:noProof/>
          <w:color w:val="000000"/>
          <w:sz w:val="20"/>
        </w:rPr>
        <w:t>nergy efficiency of buildings and infrastructure for electric cars could help alleviate Latvia’s growing emissions. Furthermore, Latvia’s share of recycled waste is low and stagnating leading to high landfilling rates. To address this, investment in sortin</w:t>
      </w:r>
      <w:r>
        <w:rPr>
          <w:rFonts w:ascii="Times New Roman" w:hAnsi="Times New Roman" w:cs="Times New Roman"/>
          <w:noProof/>
          <w:color w:val="000000"/>
          <w:sz w:val="20"/>
        </w:rPr>
        <w:t>g facilities and a better alignment of incentives of stakeholders are needed.</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European climate action</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Under the Paris Climate Agreement, the EU and its Member States have committed to a significant reduction in greenhouse gas emissions (</w:t>
      </w:r>
      <w:r>
        <w:rPr>
          <w:rFonts w:ascii="Times New Roman" w:hAnsi="Times New Roman" w:cs="Times New Roman"/>
          <w:noProof/>
          <w:color w:val="000000"/>
          <w:sz w:val="20"/>
          <w:vertAlign w:val="superscript"/>
        </w:rPr>
        <w:footnoteReference w:id="19"/>
      </w:r>
      <w:r>
        <w:rPr>
          <w:rFonts w:ascii="Times New Roman" w:hAnsi="Times New Roman" w:cs="Times New Roman"/>
          <w:b/>
          <w:noProof/>
          <w:color w:val="000000"/>
          <w:sz w:val="20"/>
        </w:rPr>
        <w:t>)</w:t>
      </w:r>
      <w:r>
        <w:rPr>
          <w:rFonts w:ascii="Times New Roman" w:hAnsi="Times New Roman" w:cs="Times New Roman"/>
          <w:noProof/>
          <w:color w:val="000000"/>
          <w:sz w:val="20"/>
        </w:rPr>
        <w:t>. The strategy to</w:t>
      </w:r>
      <w:r>
        <w:rPr>
          <w:rFonts w:ascii="Times New Roman" w:hAnsi="Times New Roman" w:cs="Times New Roman"/>
          <w:noProof/>
          <w:color w:val="000000"/>
          <w:sz w:val="20"/>
        </w:rPr>
        <w:t xml:space="preserve"> achieve those goals relies on two main instruments - European-wide carbon pricing through Emissions Trading System (EU-ETS) (</w:t>
      </w:r>
      <w:r>
        <w:rPr>
          <w:rFonts w:ascii="Times New Roman" w:hAnsi="Times New Roman" w:cs="Times New Roman"/>
          <w:noProof/>
          <w:color w:val="000000"/>
          <w:sz w:val="20"/>
          <w:vertAlign w:val="superscript"/>
        </w:rPr>
        <w:footnoteReference w:id="20"/>
      </w:r>
      <w:r>
        <w:rPr>
          <w:rFonts w:ascii="Times New Roman" w:hAnsi="Times New Roman" w:cs="Times New Roman"/>
          <w:noProof/>
          <w:color w:val="000000"/>
          <w:sz w:val="20"/>
        </w:rPr>
        <w:t xml:space="preserve">) and binding targets for individual Member States. In the EU-ETS sectors, a limited and declining amount of emission allowances </w:t>
      </w:r>
      <w:r>
        <w:rPr>
          <w:rFonts w:ascii="Times New Roman" w:hAnsi="Times New Roman" w:cs="Times New Roman"/>
          <w:noProof/>
          <w:color w:val="000000"/>
          <w:sz w:val="20"/>
        </w:rPr>
        <w:t>ensure that the emissions reduction is driven by market forces. Meanwhile, emissions reduction in the remaining greenhouse gas-emitting sectors (buildings, transport, agriculture and waste) falls under the responsibility of individual Member States who hav</w:t>
      </w:r>
      <w:r>
        <w:rPr>
          <w:rFonts w:ascii="Times New Roman" w:hAnsi="Times New Roman" w:cs="Times New Roman"/>
          <w:noProof/>
          <w:color w:val="000000"/>
          <w:sz w:val="20"/>
        </w:rPr>
        <w:t>e committed themselves to binding targets. In 2010, Latvia committed to not let its greenhouse gas emissions from non-ETS sectors increase by more than 17% by 2020 compared to their 2005 level. For 2030, Latvia has agreed to reduce greenhouse gas emissions</w:t>
      </w:r>
      <w:r>
        <w:rPr>
          <w:rFonts w:ascii="Times New Roman" w:hAnsi="Times New Roman" w:cs="Times New Roman"/>
          <w:noProof/>
          <w:color w:val="000000"/>
          <w:sz w:val="20"/>
        </w:rPr>
        <w:t xml:space="preserve"> from non-ETS sector by 6% compared to their 2005 level. </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Greenhouse gas emissions</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Latvia is about to achieve its 2020 emission reduction target but additional measures will be necessary to achieve its 2030 target.</w:t>
      </w:r>
      <w:r>
        <w:rPr>
          <w:rFonts w:ascii="Times New Roman" w:hAnsi="Times New Roman" w:cs="Times New Roman"/>
          <w:noProof/>
          <w:color w:val="000000"/>
          <w:sz w:val="20"/>
        </w:rPr>
        <w:t xml:space="preserve"> In 2018, overall emissions have more than</w:t>
      </w:r>
      <w:r>
        <w:rPr>
          <w:rFonts w:ascii="Times New Roman" w:hAnsi="Times New Roman" w:cs="Times New Roman"/>
          <w:noProof/>
          <w:color w:val="000000"/>
          <w:sz w:val="20"/>
        </w:rPr>
        <w:t xml:space="preserve"> halved compared with their 1990 levels and remained about the same compared with 2005. However, the decline since 1990 has come mainly from the ETS sectors, notably energy production. Meanwhile, greenhouse gas emissions in non-ETS sectors has increased by</w:t>
      </w:r>
      <w:r>
        <w:rPr>
          <w:rFonts w:ascii="Times New Roman" w:hAnsi="Times New Roman" w:cs="Times New Roman"/>
          <w:noProof/>
          <w:color w:val="000000"/>
          <w:sz w:val="20"/>
        </w:rPr>
        <w:t xml:space="preserve"> 7.5% compared with their 2005 level. Therefore, Latvia will very likely meet its 2020 target, however, to reach its 2030 target Latvia will have to break the current trend of increasing emissions (see graph </w:t>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QUOTE "3.5.1"</w:instrText>
      </w:r>
      <w:r>
        <w:rPr>
          <w:rFonts w:ascii="Times New Roman" w:hAnsi="Times New Roman" w:cs="Times New Roman"/>
          <w:noProof/>
          <w:color w:val="000000"/>
          <w:sz w:val="20"/>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AHIAZwAvADIAMAAwADEALwBYAE0ATABTAGMAaABlAG0AYQAiAD4ADQAKACAAIAA8AEkAZAA+AGIA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</w:fldData>
        </w:fldChar>
      </w:r>
      <w:r>
        <w:rPr>
          <w:rFonts w:ascii="Times New Roman" w:hAnsi="Times New Roman" w:cs="Times New Roman"/>
          <w:noProof/>
          <w:color w:val="000000"/>
          <w:sz w:val="20"/>
        </w:rPr>
        <w:instrText xml:space="preserve"> ADDIN </w:instrText>
      </w:r>
      <w:r>
        <w:rPr>
          <w:rFonts w:ascii="Times New Roman" w:hAnsi="Times New Roman" w:cs="Times New Roman"/>
          <w:noProof/>
          <w:color w:val="000000"/>
          <w:sz w:val="20"/>
        </w:rPr>
      </w:r>
      <w:r>
        <w:rPr>
          <w:rFonts w:ascii="Times New Roman" w:hAnsi="Times New Roman" w:cs="Times New Roman"/>
          <w:noProof/>
          <w:color w:val="000000"/>
          <w:sz w:val="20"/>
        </w:rPr>
        <w:fldChar w:fldCharType="end"/>
      </w:r>
      <w:r>
        <w:rPr>
          <w:rFonts w:ascii="Times New Roman" w:hAnsi="Times New Roman" w:cs="Times New Roman"/>
          <w:noProof/>
          <w:color w:val="000000"/>
          <w:sz w:val="20"/>
        </w:rPr>
        <w:instrText xml:space="preserve"> </w:instrText>
      </w:r>
      <w:r>
        <w:rPr>
          <w:rFonts w:ascii="Times New Roman" w:hAnsi="Times New Roman" w:cs="Times New Roman"/>
          <w:noProof/>
          <w:color w:val="000000"/>
          <w:sz w:val="20"/>
        </w:rPr>
        <w:fldChar w:fldCharType="separate"/>
      </w:r>
      <w:r>
        <w:rPr>
          <w:rFonts w:ascii="Times New Roman" w:hAnsi="Times New Roman" w:cs="Times New Roman"/>
          <w:noProof/>
          <w:color w:val="000000"/>
          <w:sz w:val="20"/>
        </w:rPr>
        <w:t>3.5.1</w:t>
      </w:r>
      <w:r>
        <w:rPr>
          <w:rFonts w:ascii="Times New Roman" w:hAnsi="Times New Roman" w:cs="Times New Roman"/>
          <w:noProof/>
          <w:color w:val="000000"/>
          <w:sz w:val="20"/>
        </w:rPr>
        <w:fldChar w:fldCharType="end"/>
      </w:r>
      <w:r>
        <w:rPr>
          <w:rFonts w:ascii="Times New Roman" w:hAnsi="Times New Roman" w:cs="Times New Roman"/>
          <w:noProof/>
          <w:color w:val="000000"/>
          <w:sz w:val="20"/>
        </w:rPr>
        <w:t xml:space="preserve">). Latvia's target for emissions reduction of 6% is considerably below the EU's target of 30% reduction. However, this is because Latvia's emissions per capita were less than half of the EU </w:t>
      </w:r>
      <w:r>
        <w:rPr>
          <w:rFonts w:ascii="Times New Roman" w:hAnsi="Times New Roman" w:cs="Times New Roman"/>
          <w:noProof/>
          <w:color w:val="000000"/>
          <w:sz w:val="20"/>
        </w:rPr>
        <w:t>average (</w:t>
      </w:r>
      <w:r>
        <w:rPr>
          <w:rFonts w:ascii="Times New Roman" w:hAnsi="Times New Roman" w:cs="Times New Roman"/>
          <w:noProof/>
          <w:color w:val="000000"/>
          <w:sz w:val="20"/>
          <w:vertAlign w:val="superscript"/>
        </w:rPr>
        <w:footnoteReference w:id="21"/>
      </w:r>
      <w:r>
        <w:rPr>
          <w:rFonts w:ascii="Times New Roman" w:hAnsi="Times New Roman" w:cs="Times New Roman"/>
          <w:noProof/>
          <w:color w:val="000000"/>
          <w:sz w:val="20"/>
        </w:rPr>
        <w:t xml:space="preserve">), to begin with. </w:t>
      </w: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Graph 3.5.1:</w:t>
            </w:r>
            <w:r>
              <w:rPr>
                <w:rFonts w:ascii="Century Gothic" w:hAnsi="Century Gothic" w:cs="Times New Roman"/>
                <w:b/>
                <w:noProof/>
                <w:color w:val="333399"/>
                <w:sz w:val="14"/>
              </w:rPr>
              <w:tab/>
              <w:t>Greenhouse gas emissions, index, 1990=100</w:t>
            </w:r>
          </w:p>
        </w:tc>
      </w:tr>
      <w:tr w:rsidR="00A8765D">
        <w:trPr>
          <w:cantSplit/>
        </w:trPr>
        <w:tc>
          <w:tcPr>
            <w:tcW w:w="4111"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58" w:name="_Toc33020666"/>
            <w:r>
              <w:rPr>
                <w:rFonts w:ascii="Times New Roman" w:hAnsi="Times New Roman" w:cs="Times New Roman"/>
                <w:noProof/>
                <w:color w:val="000000"/>
                <w:sz w:val="20"/>
              </w:rPr>
              <w:instrText>3.5.1.</w:instrText>
            </w:r>
            <w:r>
              <w:rPr>
                <w:rFonts w:ascii="Times New Roman" w:hAnsi="Times New Roman" w:cs="Times New Roman"/>
                <w:noProof/>
                <w:color w:val="000000"/>
                <w:sz w:val="20"/>
              </w:rPr>
              <w:tab/>
              <w:instrText>Greenhouse gas emissions, index, 1990=100</w:instrText>
            </w:r>
            <w:bookmarkEnd w:id="58"/>
            <w:r>
              <w:rPr>
                <w:rFonts w:ascii="Times New Roman" w:hAnsi="Times New Roman" w:cs="Times New Roman"/>
                <w:noProof/>
                <w:color w:val="000000"/>
                <w:sz w:val="20"/>
              </w:rPr>
              <w:instrText xml:space="preserve">" \fgraph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en-GB"/>
              </w:rPr>
              <w:drawing>
                <wp:inline distT="0" distB="0" distL="0" distR="0">
                  <wp:extent cx="2597595" cy="2444684"/>
                  <wp:effectExtent l="0" t="0" r="0" b="0"/>
                  <wp:docPr id="5" name="Picture 5" descr="&lt;nbr&gt;&lt;GETTEXTFROMWORD&gt;&lt;/nbr&gt;&#10;&lt;title&gt;&lt;GETTEXTFROMWORD&gt;&lt;/title&gt;&#10;&lt;id&gt;b07fb2d1-7dc7-4686-981b-51cc750ac5ca&lt;/id&gt;&#10;&lt;srcType&gt;EXCEL&lt;/srcType&gt;&#10;&lt;srcPath&gt;O:\2017 CRs\2020 European semester\LV\LV2020_ graphs\&lt;/srcPath&gt;&#10;&lt;srcName&gt;GHG emissions.xlsx&lt;/srcName&gt;&#10;&lt;type&gt;graph&lt;/type&gt;&#10; &lt;srcSheet&gt;Data&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9-12-12T10:00:28&lt;/scrFileTime&gt;&#10;&lt;imageInformation&gt;&#10; &lt;dontScaleUp&gt;no&lt;/dontScaleUp&gt;&#10; &lt;usedpercentageofavailablewidth&gt;100&lt;/usedpercentageofavailablewidth&gt;&#10;&lt;/imageInformation&gt;&#10;&lt;url&gt;Chap0/Chap0-Graph-%SectionNumber%.22.xlsx&lt;/url&gt;&#10;&lt;basedocguid&gt;{F67D3EC3-3A5A-4F67-BDBC-998BCB879DCA}&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2">
                            <a:extLst>
                              <a:ext uri="{28A0092B-C50C-407E-A947-70E740481C1C}">
                                <a14:useLocalDpi xmlns:a14="http://schemas.microsoft.com/office/drawing/2010/main" val="0"/>
                              </a:ext>
                            </a:extLst>
                          </a:blip>
                          <a:srcRect/>
                          <a:stretch>
                            <a:fillRect/>
                          </a:stretch>
                        </pic:blipFill>
                        <pic:spPr>
                          <a:xfrm>
                            <a:off x="0" y="0"/>
                            <a:ext cx="2597595" cy="2444684"/>
                          </a:xfrm>
                          <a:prstGeom prst="rect">
                            <a:avLst/>
                          </a:prstGeom>
                        </pic:spPr>
                      </pic:pic>
                    </a:graphicData>
                  </a:graphic>
                </wp:inline>
              </w:drawing>
            </w:r>
            <w:r>
              <w:rPr>
                <w:rFonts w:ascii="Times New Roman" w:hAnsi="Times New Roman" w:cs="Times New Roman"/>
                <w:noProof/>
                <w:color w:val="000000"/>
                <w:sz w:val="2"/>
              </w:rPr>
              <w:t xml:space="preserve"> </w:t>
            </w:r>
          </w:p>
        </w:tc>
      </w:tr>
      <w:tr w:rsidR="00A8765D">
        <w:trPr>
          <w:cantSplit/>
        </w:trPr>
        <w:tc>
          <w:tcPr>
            <w:tcW w:w="4111" w:type="dxa"/>
            <w:shd w:val="clear" w:color="auto" w:fill="auto"/>
            <w:tcMar>
              <w:bottom w:w="240" w:type="dxa"/>
            </w:tcMar>
          </w:tcPr>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European Commission</w:t>
            </w:r>
          </w:p>
        </w:tc>
      </w:tr>
    </w:tbl>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The increase in greenhouse gas emissions in non-ETS sectors is </w:t>
      </w:r>
      <w:r>
        <w:rPr>
          <w:rFonts w:ascii="Times New Roman" w:hAnsi="Times New Roman" w:cs="Times New Roman"/>
          <w:b/>
          <w:noProof/>
          <w:color w:val="000000"/>
          <w:sz w:val="20"/>
        </w:rPr>
        <w:t>driven mainly by increasing use of passenger cars.</w:t>
      </w:r>
      <w:r>
        <w:rPr>
          <w:rFonts w:ascii="Times New Roman" w:hAnsi="Times New Roman" w:cs="Times New Roman"/>
          <w:noProof/>
          <w:color w:val="000000"/>
          <w:sz w:val="20"/>
        </w:rPr>
        <w:t xml:space="preserve"> According to estimates of Latvia’s Ministry of Economics (2019b) estimates, in 2017, emissions from non-ETS sectors accounted for roughly 4/5 of all greenhouse emissions. Among those, transport and agricul</w:t>
      </w:r>
      <w:r>
        <w:rPr>
          <w:rFonts w:ascii="Times New Roman" w:hAnsi="Times New Roman" w:cs="Times New Roman"/>
          <w:noProof/>
          <w:color w:val="000000"/>
          <w:sz w:val="20"/>
        </w:rPr>
        <w:t>ture were the largest contributors to total greenhouse gas (GHG) emissions and, responsible for 30% and 25% of all emissions, respectively. Moreover, over the past 5 years the transport sector has seen the fastest increase in energy consumption. Given that</w:t>
      </w:r>
      <w:r>
        <w:rPr>
          <w:rFonts w:ascii="Times New Roman" w:hAnsi="Times New Roman" w:cs="Times New Roman"/>
          <w:noProof/>
          <w:color w:val="000000"/>
          <w:sz w:val="20"/>
        </w:rPr>
        <w:t xml:space="preserve"> it relies almost exclusively on fossil energy, its contributions to the increase of GHG emission is broadly proportional to its increase in energy consumption. Conversely, improving transport sector’s energy efficiency has the largest potential to reduce </w:t>
      </w:r>
      <w:r>
        <w:rPr>
          <w:rFonts w:ascii="Times New Roman" w:hAnsi="Times New Roman" w:cs="Times New Roman"/>
          <w:noProof/>
          <w:color w:val="000000"/>
          <w:sz w:val="20"/>
        </w:rPr>
        <w:t>greenhouse gas emissions among all sectors. In the agricultural sector, investing in drainage systems and emissions capture for animal farming as well as improving the efficiency of fertiliser usage offer the best rewards for reducing the emissions. Improv</w:t>
      </w:r>
      <w:r>
        <w:rPr>
          <w:rFonts w:ascii="Times New Roman" w:hAnsi="Times New Roman" w:cs="Times New Roman"/>
          <w:noProof/>
          <w:color w:val="000000"/>
          <w:sz w:val="20"/>
        </w:rPr>
        <w:t xml:space="preserve">ing the energy efficiency of heating also offers potentially significant cuts in greenhouse gas emissions. Finally, while Latvia landfills most of its waste, waste sector’s contribution to greenhouse gas emissions is only about 5% (see graph </w:t>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QUOTE "3.5.2"</w:instrText>
      </w:r>
      <w:r>
        <w:rPr>
          <w:rFonts w:ascii="Times New Roman" w:hAnsi="Times New Roman" w:cs="Times New Roman"/>
          <w:noProof/>
          <w:color w:val="000000"/>
          <w:sz w:val="20"/>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AHIAZwAvADIAMAAwADEALwBYAE0ATABTAGMAaABlAG0AYQAiAD4ADQAKACAAIAA8AEkAZAA+AGQA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</w:fldData>
        </w:fldChar>
      </w:r>
      <w:r>
        <w:rPr>
          <w:rFonts w:ascii="Times New Roman" w:hAnsi="Times New Roman" w:cs="Times New Roman"/>
          <w:noProof/>
          <w:color w:val="000000"/>
          <w:sz w:val="20"/>
        </w:rPr>
        <w:instrText xml:space="preserve"> ADDIN </w:instrText>
      </w:r>
      <w:r>
        <w:rPr>
          <w:rFonts w:ascii="Times New Roman" w:hAnsi="Times New Roman" w:cs="Times New Roman"/>
          <w:noProof/>
          <w:color w:val="000000"/>
          <w:sz w:val="20"/>
        </w:rPr>
      </w:r>
      <w:r>
        <w:rPr>
          <w:rFonts w:ascii="Times New Roman" w:hAnsi="Times New Roman" w:cs="Times New Roman"/>
          <w:noProof/>
          <w:color w:val="000000"/>
          <w:sz w:val="20"/>
        </w:rPr>
        <w:fldChar w:fldCharType="end"/>
      </w:r>
      <w:r>
        <w:rPr>
          <w:rFonts w:ascii="Times New Roman" w:hAnsi="Times New Roman" w:cs="Times New Roman"/>
          <w:noProof/>
          <w:color w:val="000000"/>
          <w:sz w:val="20"/>
        </w:rPr>
        <w:instrText xml:space="preserve"> </w:instrText>
      </w:r>
      <w:r>
        <w:rPr>
          <w:rFonts w:ascii="Times New Roman" w:hAnsi="Times New Roman" w:cs="Times New Roman"/>
          <w:noProof/>
          <w:color w:val="000000"/>
          <w:sz w:val="20"/>
        </w:rPr>
        <w:fldChar w:fldCharType="separate"/>
      </w:r>
      <w:r>
        <w:rPr>
          <w:rFonts w:ascii="Times New Roman" w:hAnsi="Times New Roman" w:cs="Times New Roman"/>
          <w:noProof/>
          <w:color w:val="000000"/>
          <w:sz w:val="20"/>
        </w:rPr>
        <w:t>3.5.2</w:t>
      </w:r>
      <w:r>
        <w:rPr>
          <w:rFonts w:ascii="Times New Roman" w:hAnsi="Times New Roman" w:cs="Times New Roman"/>
          <w:noProof/>
          <w:color w:val="000000"/>
          <w:sz w:val="20"/>
        </w:rPr>
        <w:fldChar w:fldCharType="end"/>
      </w:r>
      <w:r>
        <w:rPr>
          <w:rFonts w:ascii="Times New Roman" w:hAnsi="Times New Roman" w:cs="Times New Roman"/>
          <w:noProof/>
          <w:color w:val="000000"/>
          <w:sz w:val="20"/>
        </w:rPr>
        <w:t>). However, improvements in recycling rates would contribute to other important environmental sustainability objectives.</w:t>
      </w: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Graph 3.5.</w:t>
            </w:r>
            <w:r>
              <w:rPr>
                <w:rFonts w:ascii="Century Gothic" w:hAnsi="Century Gothic" w:cs="Times New Roman"/>
                <w:noProof/>
                <w:color w:val="333399"/>
                <w:sz w:val="14"/>
              </w:rPr>
              <w:t>2:</w:t>
            </w:r>
            <w:r>
              <w:rPr>
                <w:rFonts w:ascii="Century Gothic" w:hAnsi="Century Gothic" w:cs="Times New Roman"/>
                <w:b/>
                <w:noProof/>
                <w:color w:val="333399"/>
                <w:sz w:val="14"/>
              </w:rPr>
              <w:tab/>
              <w:t>Greenhouse gas emissions by sector, million tonnes of CO2 equivalent</w:t>
            </w:r>
          </w:p>
        </w:tc>
      </w:tr>
      <w:tr w:rsidR="00A8765D">
        <w:trPr>
          <w:cantSplit/>
        </w:trPr>
        <w:tc>
          <w:tcPr>
            <w:tcW w:w="4111"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59" w:name="_Toc33020667"/>
            <w:r>
              <w:rPr>
                <w:rFonts w:ascii="Times New Roman" w:hAnsi="Times New Roman" w:cs="Times New Roman"/>
                <w:noProof/>
                <w:color w:val="000000"/>
                <w:sz w:val="20"/>
              </w:rPr>
              <w:instrText>3.5.2.</w:instrText>
            </w:r>
            <w:r>
              <w:rPr>
                <w:rFonts w:ascii="Times New Roman" w:hAnsi="Times New Roman" w:cs="Times New Roman"/>
                <w:noProof/>
                <w:color w:val="000000"/>
                <w:sz w:val="20"/>
              </w:rPr>
              <w:tab/>
              <w:instrText>Greenhouse gas emissions by sector, million tonnes of CO2 equivalent</w:instrText>
            </w:r>
            <w:bookmarkEnd w:id="59"/>
            <w:r>
              <w:rPr>
                <w:rFonts w:ascii="Times New Roman" w:hAnsi="Times New Roman" w:cs="Times New Roman"/>
                <w:noProof/>
                <w:color w:val="000000"/>
                <w:sz w:val="20"/>
              </w:rPr>
              <w:instrText xml:space="preserve">" \fgraph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en-GB"/>
              </w:rPr>
              <w:drawing>
                <wp:inline distT="0" distB="0" distL="0" distR="0">
                  <wp:extent cx="2597595" cy="2435838"/>
                  <wp:effectExtent l="0" t="0" r="0" b="0"/>
                  <wp:docPr id="91" name="Picture 91" descr="&lt;nbr&gt;&lt;GETTEXTFROMWORD&gt;&lt;/nbr&gt;&#10;&lt;title&gt;&lt;GETTEXTFROMWORD&gt;&lt;/title&gt;&#10;&lt;id&gt;d385d572-50e8-435d-8aa0-2759db3f5073&lt;/id&gt;&#10;&lt;srcType&gt;EXCEL&lt;/srcType&gt;&#10;&lt;srcPath&gt;O:\2017 CRs\2020 European semester\LV\LV2020_ graphs\&lt;/srcPath&gt;&#10;&lt;srcName&gt;ghg by sector.xlsx&lt;/srcName&gt;&#10;&lt;type&gt;graph&lt;/type&gt;&#10; &lt;srcSheet&gt;Data&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20T09:02:54&lt;/scrFileTime&gt;&#10;&lt;imageInformation&gt;&#10; &lt;dontScaleUp&gt;no&lt;/dontScaleUp&gt;&#10; &lt;usedpercentageofavailablewidth&gt;100&lt;/usedpercentageofavailablewidth&gt;&#10;&lt;/imageInformation&gt;&#10;&lt;url&gt;Chap0/Chap0-Graph-%SectionNumber%.23.xlsx&lt;/url&gt;&#10;&lt;basedocguid&gt;{F67D3EC3-3A5A-4F67-BDBC-998BCB879DCA}&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rcRect/>
                          <a:stretch>
                            <a:fillRect/>
                          </a:stretch>
                        </pic:blipFill>
                        <pic:spPr>
                          <a:xfrm>
                            <a:off x="0" y="0"/>
                            <a:ext cx="2597595" cy="2435838"/>
                          </a:xfrm>
                          <a:prstGeom prst="rect">
                            <a:avLst/>
                          </a:prstGeom>
                        </pic:spPr>
                      </pic:pic>
                    </a:graphicData>
                  </a:graphic>
                </wp:inline>
              </w:drawing>
            </w:r>
            <w:r>
              <w:rPr>
                <w:rFonts w:ascii="Times New Roman" w:hAnsi="Times New Roman" w:cs="Times New Roman"/>
                <w:noProof/>
                <w:color w:val="000000"/>
                <w:sz w:val="2"/>
              </w:rPr>
              <w:t xml:space="preserve"> </w:t>
            </w:r>
          </w:p>
        </w:tc>
      </w:tr>
      <w:tr w:rsidR="00A8765D">
        <w:trPr>
          <w:cantSplit/>
        </w:trPr>
        <w:tc>
          <w:tcPr>
            <w:tcW w:w="4111" w:type="dxa"/>
            <w:shd w:val="clear" w:color="auto" w:fill="auto"/>
            <w:tcMar>
              <w:bottom w:w="240" w:type="dxa"/>
            </w:tcMar>
          </w:tcPr>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European Commission</w:t>
            </w:r>
          </w:p>
        </w:tc>
      </w:tr>
    </w:tbl>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Renewable energy</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Latvia boasts among the highest </w:t>
      </w:r>
      <w:r>
        <w:rPr>
          <w:rFonts w:ascii="Times New Roman" w:hAnsi="Times New Roman" w:cs="Times New Roman"/>
          <w:b/>
          <w:noProof/>
          <w:color w:val="000000"/>
          <w:sz w:val="20"/>
        </w:rPr>
        <w:t>shares of renewables in the EU and is on track to achieve its renewable energy target of 40% for 2020.</w:t>
      </w:r>
      <w:r>
        <w:rPr>
          <w:rFonts w:ascii="Times New Roman" w:hAnsi="Times New Roman" w:cs="Times New Roman"/>
          <w:noProof/>
          <w:color w:val="000000"/>
          <w:sz w:val="20"/>
        </w:rPr>
        <w:t xml:space="preserve"> In 2017, the share of renewable energy in Latvia’s final energy consumption was 39%. Latvia has achieved good progress in electricity and heating sectors</w:t>
      </w:r>
      <w:r>
        <w:rPr>
          <w:rFonts w:ascii="Times New Roman" w:hAnsi="Times New Roman" w:cs="Times New Roman"/>
          <w:noProof/>
          <w:color w:val="000000"/>
          <w:sz w:val="20"/>
        </w:rPr>
        <w:t>, with a share of renewables close to 55%, some of the highest in Europe. At the same time, the share of renewables in transport is low at 2.5% Overall, Latvia is on track to achieve its 2020 renewable energy objective of 40%. However, the existing support</w:t>
      </w:r>
      <w:r>
        <w:rPr>
          <w:rFonts w:ascii="Times New Roman" w:hAnsi="Times New Roman" w:cs="Times New Roman"/>
          <w:noProof/>
          <w:color w:val="000000"/>
          <w:sz w:val="20"/>
        </w:rPr>
        <w:t xml:space="preserve"> scheme for renewable energy has proved to be expensive (European Commission, 2018d). The government is working on modernising the scheme to ensure that Latvia achieves its 2030 renewable energy target of 50% in a sustainable and cost-effective manner (Eur</w:t>
      </w:r>
      <w:r>
        <w:rPr>
          <w:rFonts w:ascii="Times New Roman" w:hAnsi="Times New Roman" w:cs="Times New Roman"/>
          <w:noProof/>
          <w:color w:val="000000"/>
          <w:sz w:val="20"/>
        </w:rPr>
        <w:t xml:space="preserve">opean Commission, 2019a). Latvia aims to boost its renewable energy production in energy by tapping the potential of both on-shore and off-shore wind energy and solar energy. In heating, it plans to increase the use of biomass and solar energy and further </w:t>
      </w:r>
      <w:r>
        <w:rPr>
          <w:rFonts w:ascii="Times New Roman" w:hAnsi="Times New Roman" w:cs="Times New Roman"/>
          <w:noProof/>
          <w:color w:val="000000"/>
          <w:sz w:val="20"/>
        </w:rPr>
        <w:t>modernise district heating. In the transport sector, it is set to focus on boosting the use of advanced biofuels and electric mobility. These investments are expected to increase Latvia’s share of renewables to 50% by 2030.</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Energy efficiency</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Latvia is on t</w:t>
      </w:r>
      <w:r>
        <w:rPr>
          <w:rFonts w:ascii="Times New Roman" w:hAnsi="Times New Roman" w:cs="Times New Roman"/>
          <w:b/>
          <w:noProof/>
          <w:color w:val="000000"/>
          <w:sz w:val="20"/>
        </w:rPr>
        <w:t>rack to achieve its 2020 energy efficiency target, however, its energy consumption is on the rise, driven by the transport and residential sectors.</w:t>
      </w:r>
      <w:r>
        <w:rPr>
          <w:rFonts w:ascii="Times New Roman" w:hAnsi="Times New Roman" w:cs="Times New Roman"/>
          <w:noProof/>
          <w:color w:val="000000"/>
          <w:sz w:val="20"/>
        </w:rPr>
        <w:t xml:space="preserve"> Latvia has put in place a number of energy efficiency measures, but they have mainly focused on the resident</w:t>
      </w:r>
      <w:r>
        <w:rPr>
          <w:rFonts w:ascii="Times New Roman" w:hAnsi="Times New Roman" w:cs="Times New Roman"/>
          <w:noProof/>
          <w:color w:val="000000"/>
          <w:sz w:val="20"/>
        </w:rPr>
        <w:t xml:space="preserve">ial sector, while there have been few initiatives to reduce energy consumption in the transport sector. As a result, energy consumption is on the rise, driven by the transport sector (see graph </w:t>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QUOTE "3.5.3"</w:instrText>
      </w:r>
      <w:r>
        <w:rPr>
          <w:rFonts w:ascii="Times New Roman" w:hAnsi="Times New Roman" w:cs="Times New Roman"/>
          <w:noProof/>
          <w:color w:val="000000"/>
          <w:sz w:val="20"/>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AHIAZwAvADIAMAAwADEALwBYAE0ATABTAGMAaABlAG0AYQAiAD4ADQAKACAAIAA8AEkAZAA+ADUA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</w:fldData>
        </w:fldChar>
      </w:r>
      <w:r>
        <w:rPr>
          <w:rFonts w:ascii="Times New Roman" w:hAnsi="Times New Roman" w:cs="Times New Roman"/>
          <w:noProof/>
          <w:color w:val="000000"/>
          <w:sz w:val="20"/>
        </w:rPr>
        <w:instrText xml:space="preserve"> ADDIN </w:instrText>
      </w:r>
      <w:r>
        <w:rPr>
          <w:rFonts w:ascii="Times New Roman" w:hAnsi="Times New Roman" w:cs="Times New Roman"/>
          <w:noProof/>
          <w:color w:val="000000"/>
          <w:sz w:val="20"/>
        </w:rPr>
      </w:r>
      <w:r>
        <w:rPr>
          <w:rFonts w:ascii="Times New Roman" w:hAnsi="Times New Roman" w:cs="Times New Roman"/>
          <w:noProof/>
          <w:color w:val="000000"/>
          <w:sz w:val="20"/>
        </w:rPr>
        <w:fldChar w:fldCharType="end"/>
      </w:r>
      <w:r>
        <w:rPr>
          <w:rFonts w:ascii="Times New Roman" w:hAnsi="Times New Roman" w:cs="Times New Roman"/>
          <w:noProof/>
          <w:color w:val="000000"/>
          <w:sz w:val="20"/>
        </w:rPr>
        <w:instrText xml:space="preserve"> </w:instrText>
      </w:r>
      <w:r>
        <w:rPr>
          <w:rFonts w:ascii="Times New Roman" w:hAnsi="Times New Roman" w:cs="Times New Roman"/>
          <w:noProof/>
          <w:color w:val="000000"/>
          <w:sz w:val="20"/>
        </w:rPr>
        <w:fldChar w:fldCharType="separate"/>
      </w:r>
      <w:r>
        <w:rPr>
          <w:rFonts w:ascii="Times New Roman" w:hAnsi="Times New Roman" w:cs="Times New Roman"/>
          <w:noProof/>
          <w:color w:val="000000"/>
          <w:sz w:val="20"/>
        </w:rPr>
        <w:t>3.5.3</w:t>
      </w:r>
      <w:r>
        <w:rPr>
          <w:rFonts w:ascii="Times New Roman" w:hAnsi="Times New Roman" w:cs="Times New Roman"/>
          <w:noProof/>
          <w:color w:val="000000"/>
          <w:sz w:val="20"/>
        </w:rPr>
        <w:fldChar w:fldCharType="end"/>
      </w:r>
      <w:r>
        <w:rPr>
          <w:rFonts w:ascii="Times New Roman" w:hAnsi="Times New Roman" w:cs="Times New Roman"/>
          <w:noProof/>
          <w:color w:val="000000"/>
          <w:sz w:val="20"/>
        </w:rPr>
        <w:t>) Currently, the investment in energy efficiency measures mainly comes from European Structural and Investment fund-financed programmes, with private investment opportuni</w:t>
      </w:r>
      <w:r>
        <w:rPr>
          <w:rFonts w:ascii="Times New Roman" w:hAnsi="Times New Roman" w:cs="Times New Roman"/>
          <w:noProof/>
          <w:color w:val="000000"/>
          <w:sz w:val="20"/>
        </w:rPr>
        <w:t>ties being underdeveloped. The government plans to renovate 2000 apartment buildings by 2030, which is too low to achieve the ambitious energy saving objective. Additional financial instruments  would be needed to attract private investments in addition to</w:t>
      </w:r>
      <w:r>
        <w:rPr>
          <w:rFonts w:ascii="Times New Roman" w:hAnsi="Times New Roman" w:cs="Times New Roman"/>
          <w:noProof/>
          <w:color w:val="000000"/>
          <w:sz w:val="20"/>
        </w:rPr>
        <w:t xml:space="preserve"> public funding. Latvia’ Long Term Renovation Strategy, which is due by March 2020, will set out the strategy to improve the energy performance of its building stock.</w:t>
      </w:r>
    </w:p>
    <w:tbl>
      <w:tblPr>
        <w:tblW w:w="0" w:type="auto"/>
        <w:tblLayout w:type="fixed"/>
        <w:tblCellMar>
          <w:left w:w="0" w:type="dxa"/>
          <w:right w:w="0" w:type="dxa"/>
        </w:tblCellMar>
        <w:tblLook w:val="0000" w:firstRow="0" w:lastRow="0" w:firstColumn="0" w:lastColumn="0" w:noHBand="0" w:noVBand="0"/>
      </w:tblPr>
      <w:tblGrid>
        <w:gridCol w:w="4111"/>
      </w:tblGrid>
      <w:tr w:rsidR="00A8765D">
        <w:trPr>
          <w:cantSplit/>
        </w:trPr>
        <w:tc>
          <w:tcPr>
            <w:tcW w:w="4111"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Graph 3.5.3:</w:t>
            </w:r>
            <w:r>
              <w:rPr>
                <w:rFonts w:ascii="Century Gothic" w:hAnsi="Century Gothic" w:cs="Times New Roman"/>
                <w:b/>
                <w:noProof/>
                <w:color w:val="333399"/>
                <w:sz w:val="14"/>
              </w:rPr>
              <w:tab/>
              <w:t>Energy consumption by sector, million tonnes of oil equivalent</w:t>
            </w:r>
          </w:p>
        </w:tc>
      </w:tr>
      <w:tr w:rsidR="00A8765D">
        <w:trPr>
          <w:cantSplit/>
        </w:trPr>
        <w:tc>
          <w:tcPr>
            <w:tcW w:w="4111"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60" w:name="_Toc33020668"/>
            <w:r>
              <w:rPr>
                <w:rFonts w:ascii="Times New Roman" w:hAnsi="Times New Roman" w:cs="Times New Roman"/>
                <w:noProof/>
                <w:color w:val="000000"/>
                <w:sz w:val="20"/>
              </w:rPr>
              <w:instrText>3.5.3.</w:instrText>
            </w:r>
            <w:r>
              <w:rPr>
                <w:rFonts w:ascii="Times New Roman" w:hAnsi="Times New Roman" w:cs="Times New Roman"/>
                <w:noProof/>
                <w:color w:val="000000"/>
                <w:sz w:val="20"/>
              </w:rPr>
              <w:tab/>
            </w:r>
            <w:r>
              <w:rPr>
                <w:rFonts w:ascii="Times New Roman" w:hAnsi="Times New Roman" w:cs="Times New Roman"/>
                <w:noProof/>
                <w:color w:val="000000"/>
                <w:sz w:val="20"/>
              </w:rPr>
              <w:instrText>Energy consumption by sector, million tonnes of oil equivalent</w:instrText>
            </w:r>
            <w:bookmarkEnd w:id="60"/>
            <w:r>
              <w:rPr>
                <w:rFonts w:ascii="Times New Roman" w:hAnsi="Times New Roman" w:cs="Times New Roman"/>
                <w:noProof/>
                <w:color w:val="000000"/>
                <w:sz w:val="20"/>
              </w:rPr>
              <w:instrText xml:space="preserve">" \fgraph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0"/>
                <w:lang w:eastAsia="en-GB"/>
              </w:rPr>
              <w:drawing>
                <wp:inline distT="0" distB="0" distL="0" distR="0">
                  <wp:extent cx="2578127" cy="24240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85360" cy="2430882"/>
                          </a:xfrm>
                          <a:prstGeom prst="rect">
                            <a:avLst/>
                          </a:prstGeom>
                          <a:noFill/>
                        </pic:spPr>
                      </pic:pic>
                    </a:graphicData>
                  </a:graphic>
                </wp:inline>
              </w:drawing>
            </w:r>
            <w:r>
              <w:rPr>
                <w:rFonts w:ascii="Times New Roman" w:hAnsi="Times New Roman" w:cs="Times New Roman"/>
                <w:noProof/>
                <w:color w:val="000000"/>
                <w:sz w:val="2"/>
              </w:rPr>
              <w:t xml:space="preserve"> </w:t>
            </w:r>
          </w:p>
        </w:tc>
      </w:tr>
      <w:tr w:rsidR="00A8765D">
        <w:trPr>
          <w:cantSplit/>
        </w:trPr>
        <w:tc>
          <w:tcPr>
            <w:tcW w:w="4111" w:type="dxa"/>
            <w:shd w:val="clear" w:color="auto" w:fill="auto"/>
            <w:tcMar>
              <w:bottom w:w="240" w:type="dxa"/>
            </w:tcMar>
          </w:tcPr>
          <w:p w:rsidR="00A8765D" w:rsidRDefault="006C09F5">
            <w:pPr>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European Commission</w:t>
            </w:r>
          </w:p>
        </w:tc>
      </w:tr>
    </w:tbl>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Energy poverty in Latvia has decreased overall, but remains a challenge for vulnerable groups.</w:t>
      </w:r>
      <w:r>
        <w:rPr>
          <w:rFonts w:ascii="Times New Roman" w:hAnsi="Times New Roman" w:cs="Times New Roman"/>
          <w:noProof/>
          <w:color w:val="000000"/>
          <w:sz w:val="20"/>
        </w:rPr>
        <w:t xml:space="preserve"> The overall share of people who found it difficul</w:t>
      </w:r>
      <w:r>
        <w:rPr>
          <w:rFonts w:ascii="Times New Roman" w:hAnsi="Times New Roman" w:cs="Times New Roman"/>
          <w:noProof/>
          <w:color w:val="000000"/>
          <w:sz w:val="20"/>
        </w:rPr>
        <w:t>t to keep their homes warm decreased to 7.5% (2018), below the EU average. However, as recently as 2016, 22.7% of households at risk of poverty could not afford to keep their homes warm. Moreover, 11.6% of the population in Latvia had outstanding debts and</w:t>
      </w:r>
      <w:r>
        <w:rPr>
          <w:rFonts w:ascii="Times New Roman" w:hAnsi="Times New Roman" w:cs="Times New Roman"/>
          <w:noProof/>
          <w:color w:val="000000"/>
          <w:sz w:val="20"/>
        </w:rPr>
        <w:t xml:space="preserve"> delayed payments for their utility bills, which are typically paid as monthly instalments. Targeted measures such as introduction of lower electricity tariffs for most vulnerable groups have had a positive impact on increasing indirect income for these gr</w:t>
      </w:r>
      <w:r>
        <w:rPr>
          <w:rFonts w:ascii="Times New Roman" w:hAnsi="Times New Roman" w:cs="Times New Roman"/>
          <w:noProof/>
          <w:color w:val="000000"/>
          <w:sz w:val="20"/>
        </w:rPr>
        <w:t xml:space="preserve">oups (Baltic Institute of Social Sciences (BISS), 2019). Still, other measures could be considered to alleviate the financial burden for vulnerable groups. While the state has defined the income level for granting a poor family status (€128 per person per </w:t>
      </w:r>
      <w:r>
        <w:rPr>
          <w:rFonts w:ascii="Times New Roman" w:hAnsi="Times New Roman" w:cs="Times New Roman"/>
          <w:noProof/>
          <w:color w:val="000000"/>
          <w:sz w:val="20"/>
        </w:rPr>
        <w:t>month), the income level for granting a low-income status varies among municipalities. These differences create an unequal access to the support measures, such as lower tariffs for electricity and housing benefits. Furthermore, housing conditions for low-i</w:t>
      </w:r>
      <w:r>
        <w:rPr>
          <w:rFonts w:ascii="Times New Roman" w:hAnsi="Times New Roman" w:cs="Times New Roman"/>
          <w:noProof/>
          <w:color w:val="000000"/>
          <w:sz w:val="20"/>
        </w:rPr>
        <w:t xml:space="preserve">ncome households are poor (Section 3.3.2.). Measures targeting renovation of multi-apartment buildings can also help alleviating energy poverty. </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br w:type="column"/>
        <w:t>Transport</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The transport sector is the largest consumer of energy in Latvia with 30% in 2017 and accounts for </w:t>
      </w:r>
      <w:r>
        <w:rPr>
          <w:rFonts w:ascii="Times New Roman" w:hAnsi="Times New Roman" w:cs="Times New Roman"/>
          <w:b/>
          <w:noProof/>
          <w:color w:val="000000"/>
          <w:sz w:val="20"/>
        </w:rPr>
        <w:t>the biggest contribution of greenhouse gas emissions from non-ETS sectors with 36.3% in 2017.</w:t>
      </w:r>
      <w:r>
        <w:rPr>
          <w:rFonts w:ascii="Times New Roman" w:hAnsi="Times New Roman" w:cs="Times New Roman"/>
          <w:noProof/>
          <w:color w:val="000000"/>
          <w:sz w:val="20"/>
        </w:rPr>
        <w:t xml:space="preserve"> Further measures and policies are needed to reduce emissions from transport (European Commission, 2019f). In order to act on the transport area, the Latvian gover</w:t>
      </w:r>
      <w:r>
        <w:rPr>
          <w:rFonts w:ascii="Times New Roman" w:hAnsi="Times New Roman" w:cs="Times New Roman"/>
          <w:noProof/>
          <w:color w:val="000000"/>
          <w:sz w:val="20"/>
        </w:rPr>
        <w:t>nment is drafting a new law – Transport Energy Law. It will include regulatory measures to ensure that Latvia achieves the 2020 target of 10% renewable energy share in the transport sector. Electric mobility is picking up slowly as the development of charg</w:t>
      </w:r>
      <w:r>
        <w:rPr>
          <w:rFonts w:ascii="Times New Roman" w:hAnsi="Times New Roman" w:cs="Times New Roman"/>
          <w:noProof/>
          <w:color w:val="000000"/>
          <w:sz w:val="20"/>
        </w:rPr>
        <w:t xml:space="preserve">ing infrastructure picks up pace.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growing use of passenger cars is a major driver of increasing energy consumption.</w:t>
      </w:r>
      <w:r>
        <w:rPr>
          <w:rFonts w:ascii="Times New Roman" w:hAnsi="Times New Roman" w:cs="Times New Roman"/>
          <w:noProof/>
          <w:color w:val="000000"/>
          <w:sz w:val="20"/>
        </w:rPr>
        <w:t xml:space="preserve"> At about 80% of all trips made, the share of passenger car usage for transport is among the highest in Europe. Over the past four years</w:t>
      </w:r>
      <w:r>
        <w:rPr>
          <w:rFonts w:ascii="Times New Roman" w:hAnsi="Times New Roman" w:cs="Times New Roman"/>
          <w:noProof/>
          <w:color w:val="000000"/>
          <w:sz w:val="20"/>
        </w:rPr>
        <w:t xml:space="preserve"> the car-kilometres driven by passenger cars have increased by nearly 30%. At the same time, the number of cars per inhabitant and car kilometres per capita remain relatively low. The share of renewable energy used in road transport is only 3.5% and even l</w:t>
      </w:r>
      <w:r>
        <w:rPr>
          <w:rFonts w:ascii="Times New Roman" w:hAnsi="Times New Roman" w:cs="Times New Roman"/>
          <w:noProof/>
          <w:color w:val="000000"/>
          <w:sz w:val="20"/>
        </w:rPr>
        <w:t xml:space="preserve">ower among passenger cars. The number of electric cars is negligible. </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Agriculture</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The agriculture sector accounts for almost a quarter of greenhouse gas emission in Latvia. </w:t>
      </w:r>
      <w:r>
        <w:rPr>
          <w:rFonts w:ascii="Times New Roman" w:hAnsi="Times New Roman" w:cs="Times New Roman"/>
          <w:noProof/>
          <w:color w:val="000000"/>
          <w:sz w:val="20"/>
        </w:rPr>
        <w:t>In 2017, emissions from agriculture accounted for 24.6% of total greenhouse gas em</w:t>
      </w:r>
      <w:r>
        <w:rPr>
          <w:rFonts w:ascii="Times New Roman" w:hAnsi="Times New Roman" w:cs="Times New Roman"/>
          <w:noProof/>
          <w:color w:val="000000"/>
          <w:sz w:val="20"/>
        </w:rPr>
        <w:t>issions with 60% of emissions coming from agricultural soils (Ministry of Economics, 2019b). Emissions related to livestock account for the remaining 40% of emissions. With only 7% of utilised agricultural area managed by high-intensity farms, Latvia is am</w:t>
      </w:r>
      <w:r>
        <w:rPr>
          <w:rFonts w:ascii="Times New Roman" w:hAnsi="Times New Roman" w:cs="Times New Roman"/>
          <w:noProof/>
          <w:color w:val="000000"/>
          <w:sz w:val="20"/>
        </w:rPr>
        <w:t>ong the EU countries with the least fertiliser-intensive agricultural practices in the EU. Moreover, the share of agricultural area used for organic farming is among the highest in the EU (</w:t>
      </w:r>
      <w:r>
        <w:rPr>
          <w:rFonts w:ascii="Times New Roman" w:hAnsi="Times New Roman" w:cs="Times New Roman"/>
          <w:noProof/>
          <w:color w:val="000000"/>
          <w:sz w:val="20"/>
          <w:vertAlign w:val="superscript"/>
        </w:rPr>
        <w:footnoteReference w:id="22"/>
      </w:r>
      <w:r>
        <w:rPr>
          <w:rFonts w:ascii="Times New Roman" w:hAnsi="Times New Roman" w:cs="Times New Roman"/>
          <w:noProof/>
          <w:color w:val="000000"/>
          <w:sz w:val="20"/>
        </w:rPr>
        <w:t>). However, the low share of drained farmlands contributes to lowe</w:t>
      </w:r>
      <w:r>
        <w:rPr>
          <w:rFonts w:ascii="Times New Roman" w:hAnsi="Times New Roman" w:cs="Times New Roman"/>
          <w:noProof/>
          <w:color w:val="000000"/>
          <w:sz w:val="20"/>
        </w:rPr>
        <w:t>r crop yields and higher emission gas leakage. Latvia’s National Energy and Climate Plan</w:t>
      </w:r>
      <w:r>
        <w:rPr>
          <w:rStyle w:val="FootnoteReference"/>
          <w:rFonts w:ascii="Times New Roman" w:hAnsi="Times New Roman" w:cs="Times New Roman"/>
          <w:noProof/>
          <w:color w:val="000000"/>
          <w:sz w:val="20"/>
        </w:rPr>
        <w:footnoteReference w:id="23"/>
      </w:r>
      <w:r>
        <w:rPr>
          <w:rFonts w:ascii="Times New Roman" w:hAnsi="Times New Roman" w:cs="Times New Roman"/>
          <w:noProof/>
          <w:color w:val="000000"/>
          <w:sz w:val="20"/>
        </w:rPr>
        <w:t xml:space="preserve"> foresees improving the fertilising efficiency, investment in drainage systems, and better animal feed as chief means of reducing the greenhouse gas emissions in the a</w:t>
      </w:r>
      <w:r>
        <w:rPr>
          <w:rFonts w:ascii="Times New Roman" w:hAnsi="Times New Roman" w:cs="Times New Roman"/>
          <w:noProof/>
          <w:color w:val="000000"/>
          <w:sz w:val="20"/>
        </w:rPr>
        <w:t>griculture sector.</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Land use and forestry</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Emission absorption from forestry is declining due to forests’ increasing age.</w:t>
      </w:r>
      <w:r>
        <w:rPr>
          <w:rFonts w:ascii="Times New Roman" w:hAnsi="Times New Roman" w:cs="Times New Roman"/>
          <w:noProof/>
          <w:color w:val="000000"/>
          <w:sz w:val="20"/>
        </w:rPr>
        <w:t xml:space="preserve"> In 2017, changes in land use subtracted around 15% from Latvia’s emissions balance, the sector’s contribution has been highly volatile (see graph </w:t>
      </w: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QUOTE "3.5.2"</w:instrText>
      </w:r>
      <w:r>
        <w:rPr>
          <w:rFonts w:ascii="Times New Roman" w:hAnsi="Times New Roman" w:cs="Times New Roman"/>
          <w:noProof/>
          <w:color w:val="000000"/>
          <w:sz w:val="20"/>
        </w:rP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AHIAZwAvADIAMAAwADEALwBYAE0ATABTAGMAaABlAG0AYQAiAD4ADQAKACAAIAA8AEkAZAA+AGQA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</w:fldData>
        </w:fldChar>
      </w:r>
      <w:r>
        <w:rPr>
          <w:rFonts w:ascii="Times New Roman" w:hAnsi="Times New Roman" w:cs="Times New Roman"/>
          <w:noProof/>
          <w:color w:val="000000"/>
          <w:sz w:val="20"/>
        </w:rPr>
        <w:instrText xml:space="preserve"> ADDIN </w:instrText>
      </w:r>
      <w:r>
        <w:rPr>
          <w:rFonts w:ascii="Times New Roman" w:hAnsi="Times New Roman" w:cs="Times New Roman"/>
          <w:noProof/>
          <w:color w:val="000000"/>
          <w:sz w:val="20"/>
        </w:rPr>
      </w:r>
      <w:r>
        <w:rPr>
          <w:rFonts w:ascii="Times New Roman" w:hAnsi="Times New Roman" w:cs="Times New Roman"/>
          <w:noProof/>
          <w:color w:val="000000"/>
          <w:sz w:val="20"/>
        </w:rPr>
        <w:fldChar w:fldCharType="end"/>
      </w:r>
      <w:r>
        <w:rPr>
          <w:rFonts w:ascii="Times New Roman" w:hAnsi="Times New Roman" w:cs="Times New Roman"/>
          <w:noProof/>
          <w:color w:val="000000"/>
          <w:sz w:val="20"/>
        </w:rPr>
        <w:instrText xml:space="preserve"> </w:instrText>
      </w:r>
      <w:r>
        <w:rPr>
          <w:rFonts w:ascii="Times New Roman" w:hAnsi="Times New Roman" w:cs="Times New Roman"/>
          <w:noProof/>
          <w:color w:val="000000"/>
          <w:sz w:val="20"/>
        </w:rPr>
        <w:fldChar w:fldCharType="separate"/>
      </w:r>
      <w:r>
        <w:rPr>
          <w:rFonts w:ascii="Times New Roman" w:hAnsi="Times New Roman" w:cs="Times New Roman"/>
          <w:noProof/>
          <w:color w:val="000000"/>
          <w:sz w:val="20"/>
        </w:rPr>
        <w:t>3.5.2</w:t>
      </w:r>
      <w:r>
        <w:rPr>
          <w:rFonts w:ascii="Times New Roman" w:hAnsi="Times New Roman" w:cs="Times New Roman"/>
          <w:noProof/>
          <w:color w:val="000000"/>
          <w:sz w:val="20"/>
        </w:rPr>
        <w:fldChar w:fldCharType="end"/>
      </w:r>
      <w:r>
        <w:rPr>
          <w:rFonts w:ascii="Times New Roman" w:hAnsi="Times New Roman" w:cs="Times New Roman"/>
          <w:noProof/>
          <w:color w:val="000000"/>
          <w:sz w:val="20"/>
        </w:rPr>
        <w:t>). Over the long term, however, the sector’s negative contributions to Latvian emissions have declined primarily due to the doubling of the logging volumes. The ageing of the forests is the primary driver of the rapid growth in</w:t>
      </w:r>
      <w:r>
        <w:rPr>
          <w:rFonts w:ascii="Times New Roman" w:hAnsi="Times New Roman" w:cs="Times New Roman"/>
          <w:noProof/>
          <w:color w:val="000000"/>
          <w:sz w:val="20"/>
        </w:rPr>
        <w:t xml:space="preserve"> logging volumes. To a lesser extent, deforestation has also contributed to the decline in sectors’ declining negative emissions contribution. Latvia’s National Energy and Climate Plan foresees investment in drainage systems and improving the forest qualit</w:t>
      </w:r>
      <w:r>
        <w:rPr>
          <w:rFonts w:ascii="Times New Roman" w:hAnsi="Times New Roman" w:cs="Times New Roman"/>
          <w:noProof/>
          <w:color w:val="000000"/>
          <w:sz w:val="20"/>
        </w:rPr>
        <w:t xml:space="preserve">y as the main means to improve their productivity and therefore increase their emissions absorptive capacity. </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Circular economy</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Latvia falls significantly behind its re-use and recycling targets as the lack of incentives for municipalities holds back inves</w:t>
      </w:r>
      <w:r>
        <w:rPr>
          <w:rFonts w:ascii="Times New Roman" w:hAnsi="Times New Roman" w:cs="Times New Roman"/>
          <w:b/>
          <w:noProof/>
          <w:color w:val="000000"/>
          <w:sz w:val="20"/>
        </w:rPr>
        <w:t>tment in separate collection.</w:t>
      </w:r>
      <w:r>
        <w:rPr>
          <w:rFonts w:ascii="Times New Roman" w:hAnsi="Times New Roman" w:cs="Times New Roman"/>
          <w:noProof/>
          <w:color w:val="000000"/>
          <w:sz w:val="20"/>
        </w:rPr>
        <w:t xml:space="preserve"> In 2018, the rate of Latvia’s municipal waste recycling (including composting) reported to Eurostat was only 25%, while its landfilling rate was 59%. Latvia will miss the 2020 recycling target of 50 %. Substantial stepping up in effort will be necessary t</w:t>
      </w:r>
      <w:r>
        <w:rPr>
          <w:rFonts w:ascii="Times New Roman" w:hAnsi="Times New Roman" w:cs="Times New Roman"/>
          <w:noProof/>
          <w:color w:val="000000"/>
          <w:sz w:val="20"/>
        </w:rPr>
        <w:t xml:space="preserve">o meet the 55% recycling target for 2025. Investment in sorting and recycling, as well as, in waste prevention is needed to increase the recycling rate substantially. However, while the landfill tax has been rising steadily, it has not ensured  investment </w:t>
      </w:r>
      <w:r>
        <w:rPr>
          <w:rFonts w:ascii="Times New Roman" w:hAnsi="Times New Roman" w:cs="Times New Roman"/>
          <w:noProof/>
          <w:color w:val="000000"/>
          <w:sz w:val="20"/>
        </w:rPr>
        <w:t>in separate collection infrastructure by the municipalities.  This is largely due to the fact that municipalities  are not in charge of reaching national recycling targets. Infrastructure for separate collection is particularly poor in the capital Riga, wh</w:t>
      </w:r>
      <w:r>
        <w:rPr>
          <w:rFonts w:ascii="Times New Roman" w:hAnsi="Times New Roman" w:cs="Times New Roman"/>
          <w:noProof/>
          <w:color w:val="000000"/>
          <w:sz w:val="20"/>
        </w:rPr>
        <w:t>ere around half of country’s waste is generated. Therefore,  it could be especially worthwhile to align municipalities’ incentives with national targets. The planned administrative and territorial reform is an opportunity to draw municipalities more closel</w:t>
      </w:r>
      <w:r>
        <w:rPr>
          <w:rFonts w:ascii="Times New Roman" w:hAnsi="Times New Roman" w:cs="Times New Roman"/>
          <w:noProof/>
          <w:color w:val="000000"/>
          <w:sz w:val="20"/>
        </w:rPr>
        <w:t>y into sound waste administration. Furthermore, the waste data quality could be improved.</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adoption of the circular economy strategy and action plan could help Latvia bring about the necessary systemic change.</w:t>
      </w:r>
      <w:r>
        <w:rPr>
          <w:rFonts w:ascii="Times New Roman" w:hAnsi="Times New Roman" w:cs="Times New Roman"/>
          <w:noProof/>
          <w:color w:val="000000"/>
          <w:sz w:val="20"/>
        </w:rPr>
        <w:t xml:space="preserve"> Latvia is currently discussing a circular e</w:t>
      </w:r>
      <w:r>
        <w:rPr>
          <w:rFonts w:ascii="Times New Roman" w:hAnsi="Times New Roman" w:cs="Times New Roman"/>
          <w:noProof/>
          <w:color w:val="000000"/>
          <w:sz w:val="20"/>
        </w:rPr>
        <w:t>conomy strategy with its adoption planned later in 2020. An overarching circular economy strategy will help Latvia bring about the necessary systemic change and identify specific needs for strategic investments on circular economy in the country. Green Pub</w:t>
      </w:r>
      <w:r>
        <w:rPr>
          <w:rFonts w:ascii="Times New Roman" w:hAnsi="Times New Roman" w:cs="Times New Roman"/>
          <w:noProof/>
          <w:color w:val="000000"/>
          <w:sz w:val="20"/>
        </w:rPr>
        <w:t xml:space="preserve">lic Procurement has a key role in delivering circular economy objectives. In 2018, Green public procurement in financial terms reached 18.3 % from all public procurements in Latvia, up from 12 % in 2017. However, the proportion of Green public procurement </w:t>
      </w:r>
      <w:r>
        <w:rPr>
          <w:rFonts w:ascii="Times New Roman" w:hAnsi="Times New Roman" w:cs="Times New Roman"/>
          <w:noProof/>
          <w:color w:val="000000"/>
          <w:sz w:val="20"/>
        </w:rPr>
        <w:t>is highly dependent on projects financed by EU funds. Furthermore, many public procurers still hesitate to introduce green requirements in their tender specifications due to perceived complexity and higher costs. Although Latvia is one of the countries wit</w:t>
      </w:r>
      <w:r>
        <w:rPr>
          <w:rFonts w:ascii="Times New Roman" w:hAnsi="Times New Roman" w:cs="Times New Roman"/>
          <w:noProof/>
          <w:color w:val="000000"/>
          <w:sz w:val="20"/>
        </w:rPr>
        <w:t xml:space="preserve">h most complete national action plans on Green public procurement, the practical implementation of green aspects in public procurement can be further improved. </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Biodiversity</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Latvia could benefit from a comprehensive approach to ecosystem services to better</w:t>
      </w:r>
      <w:r>
        <w:rPr>
          <w:rFonts w:ascii="Times New Roman" w:hAnsi="Times New Roman" w:cs="Times New Roman"/>
          <w:b/>
          <w:noProof/>
          <w:color w:val="000000"/>
          <w:sz w:val="20"/>
        </w:rPr>
        <w:t xml:space="preserve"> preserve its natural habitats.</w:t>
      </w:r>
      <w:r>
        <w:rPr>
          <w:rFonts w:ascii="Times New Roman" w:hAnsi="Times New Roman" w:cs="Times New Roman"/>
          <w:noProof/>
          <w:color w:val="000000"/>
          <w:sz w:val="20"/>
        </w:rPr>
        <w:t xml:space="preserve"> According to the report recently submitted by Latvia on the conservation status of habitats and species covered by the Habitats Directive for the period 2013-2018 (EEA, 2020), the share of habitats in good conservation statu</w:t>
      </w:r>
      <w:r>
        <w:rPr>
          <w:rFonts w:ascii="Times New Roman" w:hAnsi="Times New Roman" w:cs="Times New Roman"/>
          <w:noProof/>
          <w:color w:val="000000"/>
          <w:sz w:val="20"/>
        </w:rPr>
        <w:t>s in 2018 was only of 10% and  it has decreased compared to the previous reporting period (2007-2012). According to this report, 5 out of 12 forest habitats of EU importance have bad conservation status. As indicated by Latvia, the main pressures are agric</w:t>
      </w:r>
      <w:r>
        <w:rPr>
          <w:rFonts w:ascii="Times New Roman" w:hAnsi="Times New Roman" w:cs="Times New Roman"/>
          <w:noProof/>
          <w:color w:val="000000"/>
          <w:sz w:val="20"/>
        </w:rPr>
        <w:t xml:space="preserve">ultural, industrial and urban pollution and changes in land use. In addition, the intensified urban sprawl reduces the extent of natural areas and causes landscape fragmentation. Latvia would benefit from the mainstreaming of biodiversity conservation and </w:t>
      </w:r>
      <w:r>
        <w:rPr>
          <w:rFonts w:ascii="Times New Roman" w:hAnsi="Times New Roman" w:cs="Times New Roman"/>
          <w:noProof/>
          <w:color w:val="000000"/>
          <w:sz w:val="20"/>
        </w:rPr>
        <w:t>sustainable use in other areas, notably forestry, agriculture, fishery and tourism.</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Climate investment needs</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green transition in Latvia would require investments in transport, buildings, renewable energy, and related education and skills.</w:t>
      </w:r>
      <w:r>
        <w:rPr>
          <w:rFonts w:ascii="Times New Roman" w:hAnsi="Times New Roman" w:cs="Times New Roman"/>
          <w:noProof/>
          <w:color w:val="000000"/>
          <w:sz w:val="20"/>
        </w:rPr>
        <w:t xml:space="preserve"> Latvia’s has </w:t>
      </w:r>
      <w:r>
        <w:rPr>
          <w:rFonts w:ascii="Times New Roman" w:hAnsi="Times New Roman" w:cs="Times New Roman"/>
          <w:noProof/>
          <w:color w:val="000000"/>
          <w:sz w:val="20"/>
        </w:rPr>
        <w:t>high potential for wind energy deployment, especially off-shore wind energy, providing a cost-efficient path to further increase its share of renewable energy. In order to curb the rapid growth of fossil energy consumption in the transport sector, investme</w:t>
      </w:r>
      <w:r>
        <w:rPr>
          <w:rFonts w:ascii="Times New Roman" w:hAnsi="Times New Roman" w:cs="Times New Roman"/>
          <w:noProof/>
          <w:color w:val="000000"/>
          <w:sz w:val="20"/>
        </w:rPr>
        <w:t xml:space="preserve">nts in public transit systems and infrastructure for electric vehicles would be required. Further efforts to increase the energy efficiency of buildings and district heating systems are needed to address the growing energy consumption in heating. Finally, </w:t>
      </w:r>
      <w:r>
        <w:rPr>
          <w:rFonts w:ascii="Times New Roman" w:hAnsi="Times New Roman" w:cs="Times New Roman"/>
          <w:noProof/>
          <w:color w:val="000000"/>
          <w:sz w:val="20"/>
        </w:rPr>
        <w:t>investments in research and innovation would be important to support the clean transition in Latvia. In its National Energy and Climate Plan Latvia estimates that the total investment needs up to 2030 amount to EUR 550 million for energy efficiency and ren</w:t>
      </w:r>
      <w:r>
        <w:rPr>
          <w:rFonts w:ascii="Times New Roman" w:hAnsi="Times New Roman" w:cs="Times New Roman"/>
          <w:noProof/>
          <w:color w:val="000000"/>
          <w:sz w:val="20"/>
        </w:rPr>
        <w:t>ewable energy measures in heating, around EUR 1.7 billion for renovation of buildings, EUR 1 billion to decarbonise the transport sector, and EUR 130 million to bio methane (Ministry of Economy, 2019). Overall, investments needed to reach the emission redu</w:t>
      </w:r>
      <w:r>
        <w:rPr>
          <w:rFonts w:ascii="Times New Roman" w:hAnsi="Times New Roman" w:cs="Times New Roman"/>
          <w:noProof/>
          <w:color w:val="000000"/>
          <w:sz w:val="20"/>
        </w:rPr>
        <w:t xml:space="preserve">ction targets in Latvia correspond to about 2% of GDP (European Commission, 2019d). </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Labour market and skills</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Going forward, the transition to a climate neutral economy will create further need for investment in skills.</w:t>
      </w:r>
      <w:r>
        <w:rPr>
          <w:rFonts w:ascii="Times New Roman" w:hAnsi="Times New Roman" w:cs="Times New Roman"/>
          <w:noProof/>
          <w:color w:val="000000"/>
          <w:sz w:val="20"/>
        </w:rPr>
        <w:t xml:space="preserve"> In Latvia, climate action is expecte</w:t>
      </w:r>
      <w:r>
        <w:rPr>
          <w:rFonts w:ascii="Times New Roman" w:hAnsi="Times New Roman" w:cs="Times New Roman"/>
          <w:noProof/>
          <w:color w:val="000000"/>
          <w:sz w:val="20"/>
        </w:rPr>
        <w:t>d to support mid- and high-skilled job creation, indicating future needs for reskilling and upskilling. Supply of jobs related to installation of clean technologies, industrial production, different infrastructure aspects and energy production services wil</w:t>
      </w:r>
      <w:r>
        <w:rPr>
          <w:rFonts w:ascii="Times New Roman" w:hAnsi="Times New Roman" w:cs="Times New Roman"/>
          <w:noProof/>
          <w:color w:val="000000"/>
          <w:sz w:val="20"/>
        </w:rPr>
        <w:t>l increase. Therefore, education and adult learning policies may need to be adapted. In particular, the workforce for the building sector needs appropriate training to ensure they have the necessary skills to perform these new jobs (European Commission, 20</w:t>
      </w:r>
      <w:r>
        <w:rPr>
          <w:rFonts w:ascii="Times New Roman" w:hAnsi="Times New Roman" w:cs="Times New Roman"/>
          <w:noProof/>
          <w:color w:val="000000"/>
          <w:sz w:val="20"/>
        </w:rPr>
        <w:t>19c). A special focus on the gender dimension of a just transition might be needed to ensure that women equally benefit from arising opportunities. Since new green jobs are expected in sectors with traditionally limited female representation (see Section 3</w:t>
      </w:r>
      <w:r>
        <w:rPr>
          <w:rFonts w:ascii="Times New Roman" w:hAnsi="Times New Roman" w:cs="Times New Roman"/>
          <w:noProof/>
          <w:color w:val="000000"/>
          <w:sz w:val="20"/>
        </w:rPr>
        <w:t>.3.1), education and skills need to be strengthened to mitigate pre-existing gender inequalities. Social partners can have a key role through all forms of social dialogue, including collective bargaining, in ensuring decent work and in forecasting skills n</w:t>
      </w:r>
      <w:r>
        <w:rPr>
          <w:rFonts w:ascii="Times New Roman" w:hAnsi="Times New Roman" w:cs="Times New Roman"/>
          <w:noProof/>
          <w:color w:val="000000"/>
          <w:sz w:val="20"/>
        </w:rPr>
        <w:t>eeds and employment challenges, and in designing adequate and continuous training, among others.</w:t>
      </w:r>
    </w:p>
    <w:p w:rsidR="00A8765D" w:rsidRDefault="006C09F5">
      <w:pPr>
        <w:keepNext/>
        <w:spacing w:before="120" w:after="120" w:line="240" w:lineRule="atLeast"/>
        <w:jc w:val="both"/>
        <w:rPr>
          <w:rFonts w:ascii="Century Gothic" w:hAnsi="Century Gothic" w:cs="Times New Roman"/>
          <w:b/>
          <w:noProof/>
          <w:color w:val="333399"/>
          <w:sz w:val="18"/>
        </w:rPr>
      </w:pPr>
      <w:r>
        <w:rPr>
          <w:rFonts w:ascii="Century Gothic" w:hAnsi="Century Gothic" w:cs="Times New Roman"/>
          <w:b/>
          <w:noProof/>
          <w:color w:val="333399"/>
          <w:sz w:val="18"/>
        </w:rPr>
        <w:t>Just transition analysis</w:t>
      </w:r>
    </w:p>
    <w:p w:rsidR="00A8765D" w:rsidRDefault="006C09F5">
      <w:pPr>
        <w:spacing w:after="240" w:line="240" w:lineRule="atLeast"/>
        <w:jc w:val="both"/>
        <w:rPr>
          <w:rFonts w:ascii="Times New Roman" w:hAnsi="Times New Roman" w:cs="Times New Roman"/>
          <w:b/>
          <w:noProof/>
          <w:color w:val="000000"/>
          <w:sz w:val="20"/>
        </w:rPr>
      </w:pPr>
      <w:r>
        <w:rPr>
          <w:rFonts w:ascii="Times New Roman" w:hAnsi="Times New Roman" w:cs="Times New Roman"/>
          <w:b/>
          <w:noProof/>
          <w:color w:val="000000"/>
          <w:sz w:val="20"/>
        </w:rPr>
        <w:t xml:space="preserve">Greenhouse gas emissions from wetlands and peat extraction constitute 14.5% of total greenhouse gas emissions (LEGM, 2019). </w:t>
      </w:r>
      <w:r>
        <w:rPr>
          <w:rFonts w:ascii="Times New Roman" w:hAnsi="Times New Roman" w:cs="Times New Roman"/>
          <w:noProof/>
          <w:color w:val="000000"/>
          <w:sz w:val="20"/>
        </w:rPr>
        <w:t xml:space="preserve">Bog areas </w:t>
      </w:r>
      <w:r>
        <w:rPr>
          <w:rFonts w:ascii="Times New Roman" w:hAnsi="Times New Roman" w:cs="Times New Roman"/>
          <w:noProof/>
          <w:color w:val="000000"/>
          <w:sz w:val="20"/>
        </w:rPr>
        <w:t>cover 645 100 ha or 10% of Latvia's territory. Peat extraction takes place in 4% of the total bog area</w:t>
      </w:r>
      <w:r>
        <w:rPr>
          <w:rFonts w:ascii="Times New Roman" w:hAnsi="Times New Roman" w:cs="Times New Roman"/>
          <w:b/>
          <w:noProof/>
          <w:color w:val="000000"/>
          <w:sz w:val="20"/>
        </w:rPr>
        <w:t>.</w:t>
      </w:r>
      <w:r>
        <w:rPr>
          <w:rFonts w:ascii="Times New Roman" w:hAnsi="Times New Roman" w:cs="Times New Roman"/>
          <w:noProof/>
          <w:color w:val="000000"/>
          <w:sz w:val="20"/>
        </w:rPr>
        <w:t xml:space="preserve"> On average, 1800 workers are employed in peat extraction, increasing to 2500 during the season. The transition to a climate neutral economy could impact</w:t>
      </w:r>
      <w:r>
        <w:rPr>
          <w:rFonts w:ascii="Times New Roman" w:hAnsi="Times New Roman" w:cs="Times New Roman"/>
          <w:noProof/>
          <w:color w:val="000000"/>
          <w:sz w:val="20"/>
        </w:rPr>
        <w:t xml:space="preserve"> two regions the most – Vidzeme, where most peat extraction takes place, and Latgale due to the region’s disadvantaged socio-economic situation (see section 3.4.3). Approximately 50 000 hectares of land in Latvia can be identified as peatlands that have be</w:t>
      </w:r>
      <w:r>
        <w:rPr>
          <w:rFonts w:ascii="Times New Roman" w:hAnsi="Times New Roman" w:cs="Times New Roman"/>
          <w:noProof/>
          <w:color w:val="000000"/>
          <w:sz w:val="20"/>
        </w:rPr>
        <w:t xml:space="preserve">en degraded by peat extraction. Ensuring the sustainable production of peat, innovative ways of using and restoring wetlands would reduce the overall greenhouse gas emissions of Latvia, as they are efficient carbon storage systems. </w:t>
      </w:r>
    </w:p>
    <w:p w:rsidR="00A8765D" w:rsidRDefault="006C09F5">
      <w:pPr>
        <w:spacing w:after="240" w:line="240" w:lineRule="atLeast"/>
        <w:jc w:val="both"/>
        <w:rPr>
          <w:rFonts w:ascii="Times New Roman" w:hAnsi="Times New Roman" w:cs="Times New Roman"/>
          <w:b/>
          <w:noProof/>
          <w:color w:val="000000"/>
          <w:sz w:val="20"/>
        </w:rPr>
      </w:pPr>
      <w:r>
        <w:rPr>
          <w:rFonts w:ascii="Times New Roman" w:hAnsi="Times New Roman" w:cs="Times New Roman"/>
          <w:b/>
          <w:noProof/>
          <w:color w:val="000000"/>
          <w:sz w:val="20"/>
        </w:rPr>
        <w:t>Adapting the peat indus</w:t>
      </w:r>
      <w:r>
        <w:rPr>
          <w:rFonts w:ascii="Times New Roman" w:hAnsi="Times New Roman" w:cs="Times New Roman"/>
          <w:b/>
          <w:noProof/>
          <w:color w:val="000000"/>
          <w:sz w:val="20"/>
        </w:rPr>
        <w:t>try to a climate friendly and carbon neutral economy would require investments in SMEs, innovation and human capital.</w:t>
      </w:r>
      <w:r>
        <w:rPr>
          <w:rFonts w:ascii="Times New Roman" w:hAnsi="Times New Roman" w:cs="Times New Roman"/>
          <w:noProof/>
          <w:color w:val="000000"/>
          <w:sz w:val="20"/>
        </w:rPr>
        <w:t xml:space="preserve"> For sustainable land use and management, testing and implementing innovative approaches will be necessary. Diversifying regional economic </w:t>
      </w:r>
      <w:r>
        <w:rPr>
          <w:rFonts w:ascii="Times New Roman" w:hAnsi="Times New Roman" w:cs="Times New Roman"/>
          <w:noProof/>
          <w:color w:val="000000"/>
          <w:sz w:val="20"/>
        </w:rPr>
        <w:t>activities and creating new business opportunities within the framework of a smart specialisation strategy will be essential for making the shift towards a more diversified, competitive and green economy. This transition would also lead to changing employm</w:t>
      </w:r>
      <w:r>
        <w:rPr>
          <w:rFonts w:ascii="Times New Roman" w:hAnsi="Times New Roman" w:cs="Times New Roman"/>
          <w:noProof/>
          <w:color w:val="000000"/>
          <w:sz w:val="20"/>
        </w:rPr>
        <w:t xml:space="preserve">ent patterns, inducing needs for re- and upskilling.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The Just Transition Fund</w:t>
      </w:r>
      <w:r>
        <w:rPr>
          <w:rFonts w:ascii="Times New Roman" w:hAnsi="Times New Roman" w:cs="Times New Roman"/>
          <w:noProof/>
          <w:color w:val="000000"/>
          <w:sz w:val="20"/>
        </w:rPr>
        <w:t>, as proposed by the European Commission, could contribute to the development of new and innovative solutions for the reclamation of peatlands and wetlands, the reskilling of emp</w:t>
      </w:r>
      <w:r>
        <w:rPr>
          <w:rFonts w:ascii="Times New Roman" w:hAnsi="Times New Roman" w:cs="Times New Roman"/>
          <w:noProof/>
          <w:color w:val="000000"/>
          <w:sz w:val="20"/>
        </w:rPr>
        <w:t>loyees, etc., thus limiting the potential impact of energy transition on local communities. Dedicated investment guidance for the Fund is in Annex D. </w:t>
      </w:r>
    </w:p>
    <w:p w:rsidR="00A8765D" w:rsidRDefault="00A8765D">
      <w:pPr>
        <w:spacing w:after="240" w:line="240" w:lineRule="atLeast"/>
        <w:jc w:val="both"/>
        <w:rPr>
          <w:rFonts w:ascii="Times New Roman" w:hAnsi="Times New Roman" w:cs="Times New Roman"/>
          <w:noProof/>
          <w:color w:val="000000"/>
          <w:sz w:val="20"/>
        </w:rPr>
      </w:pPr>
    </w:p>
    <w:bookmarkEnd w:id="56"/>
    <w:p w:rsidR="00A8765D" w:rsidRDefault="00A8765D">
      <w:pPr>
        <w:spacing w:after="240" w:line="240" w:lineRule="atLeast"/>
        <w:jc w:val="both"/>
        <w:rPr>
          <w:rFonts w:ascii="Times New Roman" w:hAnsi="Times New Roman" w:cs="Times New Roman"/>
          <w:noProof/>
          <w:color w:val="000000"/>
          <w:sz w:val="20"/>
        </w:rPr>
        <w:sectPr w:rsidR="00A8765D">
          <w:headerReference w:type="even" r:id="rId95"/>
          <w:headerReference w:type="default" r:id="rId96"/>
          <w:footerReference w:type="even" r:id="rId97"/>
          <w:footerReference w:type="default" r:id="rId98"/>
          <w:headerReference w:type="first" r:id="rId99"/>
          <w:footerReference w:type="first" r:id="rId100"/>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3969"/>
      </w:tblGrid>
      <w:tr w:rsidR="00A8765D">
        <w:tc>
          <w:tcPr>
            <w:tcW w:w="4536" w:type="dxa"/>
            <w:tcBorders>
              <w:top w:val="single" w:sz="4" w:space="0" w:color="auto"/>
              <w:left w:val="single" w:sz="4" w:space="0" w:color="auto"/>
              <w:bottom w:val="single" w:sz="4" w:space="0" w:color="auto"/>
              <w:right w:val="nil"/>
            </w:tcBorders>
            <w:shd w:val="clear" w:color="auto" w:fill="auto"/>
          </w:tcPr>
          <w:bookmarkStart w:id="61" w:name="GUID21218EDE7D4B4B88954BE06FB12D976F"/>
          <w:p w:rsidR="00A8765D" w:rsidRDefault="006C09F5">
            <w:pPr>
              <w:spacing w:after="240" w:line="240" w:lineRule="atLeast"/>
              <w:jc w:val="both"/>
              <w:rPr>
                <w:rFonts w:ascii="Times New Roman" w:hAnsi="Times New Roman" w:cs="Times New Roman"/>
                <w:b/>
                <w:noProof/>
                <w:color w:val="000000"/>
                <w:sz w:val="20"/>
              </w:rPr>
            </w:pPr>
            <w:r>
              <w:rPr>
                <w:rFonts w:ascii="Times New Roman" w:hAnsi="Times New Roman" w:cs="Times New Roman"/>
                <w:b/>
                <w:noProof/>
                <w:color w:val="000000"/>
                <w:sz w:val="20"/>
              </w:rPr>
              <w:fldChar w:fldCharType="begin"/>
            </w:r>
            <w:r>
              <w:rPr>
                <w:rFonts w:ascii="Times New Roman" w:hAnsi="Times New Roman" w:cs="Times New Roman"/>
                <w:b/>
                <w:noProof/>
                <w:color w:val="000000"/>
                <w:sz w:val="20"/>
              </w:rPr>
              <w:instrText xml:space="preserve"> TC "</w:instrText>
            </w:r>
            <w:bookmarkStart w:id="62" w:name="_Toc33020602"/>
            <w:r>
              <w:rPr>
                <w:rFonts w:ascii="Times New Roman" w:hAnsi="Times New Roman" w:cs="Times New Roman"/>
                <w:b/>
                <w:noProof/>
                <w:color w:val="000000"/>
                <w:sz w:val="20"/>
              </w:rPr>
              <w:instrText>A.</w:instrText>
            </w:r>
            <w:r>
              <w:rPr>
                <w:rFonts w:ascii="Times New Roman" w:hAnsi="Times New Roman" w:cs="Times New Roman"/>
                <w:b/>
                <w:noProof/>
                <w:color w:val="000000"/>
                <w:sz w:val="20"/>
              </w:rPr>
              <w:tab/>
              <w:instrText>Overview Table</w:instrText>
            </w:r>
            <w:bookmarkEnd w:id="62"/>
            <w:r>
              <w:rPr>
                <w:rFonts w:ascii="Times New Roman" w:hAnsi="Times New Roman" w:cs="Times New Roman"/>
                <w:b/>
                <w:noProof/>
                <w:color w:val="000000"/>
                <w:sz w:val="20"/>
              </w:rPr>
              <w:instrText xml:space="preserve">" \f \l 2 </w:instrText>
            </w:r>
            <w:r>
              <w:rPr>
                <w:rFonts w:ascii="Times New Roman" w:hAnsi="Times New Roman" w:cs="Times New Roman"/>
                <w:b/>
                <w:noProof/>
                <w:color w:val="000000"/>
                <w:sz w:val="20"/>
              </w:rPr>
              <w:fldChar w:fldCharType="end"/>
            </w:r>
            <w:r>
              <w:rPr>
                <w:rFonts w:ascii="Times New Roman" w:hAnsi="Times New Roman" w:cs="Times New Roman"/>
                <w:b/>
                <w:noProof/>
                <w:color w:val="000000"/>
                <w:sz w:val="20"/>
              </w:rPr>
              <w:t>Commitments</w:t>
            </w:r>
          </w:p>
        </w:tc>
        <w:tc>
          <w:tcPr>
            <w:tcW w:w="3969" w:type="dxa"/>
            <w:tcBorders>
              <w:top w:val="single" w:sz="4" w:space="0" w:color="auto"/>
              <w:left w:val="nil"/>
              <w:bottom w:val="single" w:sz="4" w:space="0" w:color="auto"/>
            </w:tcBorders>
            <w:shd w:val="clear" w:color="auto" w:fill="auto"/>
          </w:tcPr>
          <w:p w:rsidR="00A8765D" w:rsidRDefault="006C09F5">
            <w:pPr>
              <w:spacing w:after="240" w:line="240" w:lineRule="atLeast"/>
              <w:jc w:val="both"/>
              <w:rPr>
                <w:rFonts w:ascii="Times New Roman" w:hAnsi="Times New Roman" w:cs="Times New Roman"/>
                <w:b/>
                <w:noProof/>
                <w:color w:val="000000"/>
                <w:sz w:val="20"/>
              </w:rPr>
            </w:pPr>
            <w:r>
              <w:rPr>
                <w:rFonts w:ascii="Times New Roman" w:hAnsi="Times New Roman" w:cs="Times New Roman"/>
                <w:b/>
                <w:noProof/>
                <w:color w:val="000000"/>
                <w:sz w:val="20"/>
              </w:rPr>
              <w:t>Summary assessment (</w:t>
            </w:r>
            <w:r>
              <w:rPr>
                <w:rFonts w:ascii="Times New Roman" w:hAnsi="Times New Roman" w:cs="Times New Roman"/>
                <w:noProof/>
                <w:color w:val="000000"/>
                <w:sz w:val="20"/>
                <w:vertAlign w:val="superscript"/>
              </w:rPr>
              <w:footnoteReference w:id="24"/>
            </w:r>
            <w:r>
              <w:rPr>
                <w:rFonts w:ascii="Times New Roman" w:hAnsi="Times New Roman" w:cs="Times New Roman"/>
                <w:b/>
                <w:noProof/>
                <w:color w:val="000000"/>
                <w:sz w:val="20"/>
              </w:rPr>
              <w:t>)</w:t>
            </w:r>
          </w:p>
        </w:tc>
      </w:tr>
      <w:tr w:rsidR="00A8765D">
        <w:tc>
          <w:tcPr>
            <w:tcW w:w="8505" w:type="dxa"/>
            <w:gridSpan w:val="2"/>
            <w:tcBorders>
              <w:top w:val="single" w:sz="4" w:space="0" w:color="auto"/>
              <w:left w:val="single" w:sz="4" w:space="0" w:color="auto"/>
              <w:bottom w:val="dashed" w:sz="4" w:space="0" w:color="auto"/>
            </w:tcBorders>
            <w:shd w:val="clear" w:color="auto" w:fill="auto"/>
          </w:tcPr>
          <w:p w:rsidR="00A8765D" w:rsidRDefault="006C09F5">
            <w:pPr>
              <w:spacing w:after="240" w:line="240" w:lineRule="atLeast"/>
              <w:jc w:val="both"/>
              <w:rPr>
                <w:rFonts w:ascii="Times New Roman" w:hAnsi="Times New Roman" w:cs="Times New Roman"/>
                <w:b/>
                <w:noProof/>
                <w:color w:val="000000"/>
                <w:sz w:val="20"/>
              </w:rPr>
            </w:pPr>
            <w:r>
              <w:rPr>
                <w:rFonts w:ascii="Times New Roman" w:hAnsi="Times New Roman" w:cs="Times New Roman"/>
                <w:b/>
                <w:noProof/>
                <w:color w:val="000000"/>
                <w:sz w:val="20"/>
              </w:rPr>
              <w:t>2019 country-specific recommendations (CSRs)</w:t>
            </w:r>
          </w:p>
        </w:tc>
      </w:tr>
      <w:tr w:rsidR="00A8765D">
        <w:tc>
          <w:tcPr>
            <w:tcW w:w="4536" w:type="dxa"/>
            <w:tcBorders>
              <w:top w:val="single" w:sz="4" w:space="0" w:color="auto"/>
              <w:left w:val="single" w:sz="4" w:space="0" w:color="auto"/>
              <w:bottom w:val="dashed" w:sz="4" w:space="0" w:color="auto"/>
            </w:tcBorders>
            <w:shd w:val="clear" w:color="auto" w:fill="auto"/>
          </w:tcPr>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CSR 1:</w:t>
            </w:r>
            <w:r>
              <w:rPr>
                <w:rFonts w:ascii="Times New Roman" w:hAnsi="Times New Roman" w:cs="Times New Roman"/>
                <w:noProof/>
                <w:color w:val="000000"/>
                <w:sz w:val="20"/>
              </w:rPr>
              <w:t xml:space="preserve"> Ensure that the nominal growth rate of net primary government expenditure does not exceed 3.5% in 2020, corresponding to an annual structural adjustment of 0.5% of GDP. Reduce taxation for low-income earners by shifting it to other sources, particularly c</w:t>
            </w:r>
            <w:r>
              <w:rPr>
                <w:rFonts w:ascii="Times New Roman" w:hAnsi="Times New Roman" w:cs="Times New Roman"/>
                <w:noProof/>
                <w:color w:val="000000"/>
                <w:sz w:val="20"/>
              </w:rPr>
              <w:t>apital and property, and by improving tax compliance. Ensure effective supervision and the enforcement of the anti-money laundering framework.</w:t>
            </w:r>
          </w:p>
        </w:tc>
        <w:tc>
          <w:tcPr>
            <w:tcW w:w="3969" w:type="dxa"/>
            <w:tcBorders>
              <w:top w:val="single" w:sz="4" w:space="0" w:color="auto"/>
              <w:bottom w:val="dashed" w:sz="4" w:space="0" w:color="auto"/>
            </w:tcBorders>
            <w:shd w:val="clear" w:color="auto" w:fill="auto"/>
          </w:tcPr>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 xml:space="preserve">Latvia has made </w:t>
            </w:r>
            <w:r>
              <w:rPr>
                <w:rFonts w:ascii="Times New Roman" w:hAnsi="Times New Roman" w:cs="Times New Roman"/>
                <w:b/>
                <w:noProof/>
                <w:color w:val="000000"/>
                <w:sz w:val="20"/>
              </w:rPr>
              <w:t>some progress</w:t>
            </w:r>
            <w:r>
              <w:rPr>
                <w:rFonts w:ascii="Times New Roman" w:hAnsi="Times New Roman" w:cs="Times New Roman"/>
                <w:noProof/>
                <w:color w:val="000000"/>
                <w:sz w:val="20"/>
              </w:rPr>
              <w:t xml:space="preserve"> in addressing CSR 1:</w:t>
            </w:r>
          </w:p>
        </w:tc>
      </w:tr>
      <w:tr w:rsidR="00A8765D">
        <w:tc>
          <w:tcPr>
            <w:tcW w:w="4536" w:type="dxa"/>
            <w:tcBorders>
              <w:top w:val="single" w:sz="4" w:space="0" w:color="auto"/>
              <w:left w:val="single" w:sz="4" w:space="0" w:color="auto"/>
              <w:bottom w:val="dashed" w:sz="4" w:space="0" w:color="auto"/>
            </w:tcBorders>
            <w:shd w:val="clear" w:color="auto" w:fill="auto"/>
          </w:tcPr>
          <w:p w:rsidR="00A8765D" w:rsidRDefault="006C09F5">
            <w:pPr>
              <w:tabs>
                <w:tab w:val="num" w:pos="283"/>
              </w:tabs>
              <w:spacing w:after="240" w:line="240" w:lineRule="atLeast"/>
              <w:ind w:left="283" w:hanging="283"/>
              <w:jc w:val="both"/>
              <w:rPr>
                <w:rFonts w:ascii="Times New Roman" w:hAnsi="Times New Roman" w:cs="Times New Roman"/>
                <w:noProof/>
                <w:color w:val="000000"/>
                <w:sz w:val="20"/>
              </w:rPr>
            </w:pPr>
            <w:r>
              <w:rPr>
                <w:rFonts w:ascii="Times New Roman" w:hAnsi="Times New Roman" w:cs="Times New Roman"/>
                <w:noProof/>
                <w:color w:val="000000"/>
                <w:sz w:val="20"/>
              </w:rPr>
              <w:t>Ensure that the nominal growth rate of net primary government</w:t>
            </w:r>
            <w:r>
              <w:rPr>
                <w:rFonts w:ascii="Times New Roman" w:hAnsi="Times New Roman" w:cs="Times New Roman"/>
                <w:noProof/>
                <w:color w:val="000000"/>
                <w:sz w:val="20"/>
              </w:rPr>
              <w:t xml:space="preserve"> expenditure does not exceed 3.5% in 2020, corresponding to an annual structural adjustment of 0.5% of GDP.</w:t>
            </w:r>
          </w:p>
        </w:tc>
        <w:tc>
          <w:tcPr>
            <w:tcW w:w="3969" w:type="dxa"/>
            <w:tcBorders>
              <w:top w:val="single" w:sz="4" w:space="0" w:color="auto"/>
              <w:bottom w:val="dashed" w:sz="4" w:space="0" w:color="auto"/>
            </w:tcBorders>
            <w:shd w:val="clear" w:color="auto" w:fill="auto"/>
          </w:tcPr>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The assessment of compliance with the Stability and Growth Pact will be included in the spring when final data for 2019 will be available.</w:t>
            </w:r>
          </w:p>
        </w:tc>
      </w:tr>
      <w:tr w:rsidR="00A8765D">
        <w:tc>
          <w:tcPr>
            <w:tcW w:w="4536" w:type="dxa"/>
            <w:tcBorders>
              <w:top w:val="single" w:sz="4" w:space="0" w:color="auto"/>
              <w:left w:val="single" w:sz="4" w:space="0" w:color="auto"/>
              <w:bottom w:val="dashed" w:sz="4" w:space="0" w:color="auto"/>
            </w:tcBorders>
            <w:shd w:val="clear" w:color="auto" w:fill="auto"/>
          </w:tcPr>
          <w:p w:rsidR="00A8765D" w:rsidRDefault="006C09F5">
            <w:pPr>
              <w:tabs>
                <w:tab w:val="num" w:pos="283"/>
              </w:tabs>
              <w:spacing w:after="240" w:line="240" w:lineRule="atLeast"/>
              <w:ind w:left="283" w:hanging="283"/>
              <w:jc w:val="both"/>
              <w:rPr>
                <w:rFonts w:ascii="Times New Roman" w:hAnsi="Times New Roman" w:cs="Times New Roman"/>
                <w:noProof/>
                <w:color w:val="000000"/>
                <w:sz w:val="20"/>
              </w:rPr>
            </w:pPr>
            <w:r>
              <w:rPr>
                <w:rFonts w:ascii="Times New Roman" w:hAnsi="Times New Roman" w:cs="Times New Roman"/>
                <w:noProof/>
                <w:color w:val="000000"/>
                <w:sz w:val="20"/>
              </w:rPr>
              <w:t>Reduce t</w:t>
            </w:r>
            <w:r>
              <w:rPr>
                <w:rFonts w:ascii="Times New Roman" w:hAnsi="Times New Roman" w:cs="Times New Roman"/>
                <w:noProof/>
                <w:color w:val="000000"/>
                <w:sz w:val="20"/>
              </w:rPr>
              <w:t>axation for low-income earners by shifting it to other sources, particularly capital and property, and by improving tax compliance.</w:t>
            </w:r>
          </w:p>
        </w:tc>
        <w:tc>
          <w:tcPr>
            <w:tcW w:w="3969" w:type="dxa"/>
            <w:tcBorders>
              <w:top w:val="single" w:sz="4" w:space="0" w:color="auto"/>
              <w:bottom w:val="dashed" w:sz="4" w:space="0" w:color="auto"/>
            </w:tcBorders>
            <w:shd w:val="clear" w:color="auto" w:fill="auto"/>
          </w:tcPr>
          <w:p w:rsidR="00A8765D" w:rsidRDefault="006C09F5">
            <w:pPr>
              <w:tabs>
                <w:tab w:val="num" w:pos="283"/>
              </w:tabs>
              <w:spacing w:after="240" w:line="240" w:lineRule="atLeast"/>
              <w:ind w:left="283" w:hanging="283"/>
              <w:jc w:val="both"/>
              <w:rPr>
                <w:rFonts w:ascii="Times New Roman" w:hAnsi="Times New Roman" w:cs="Times New Roman"/>
                <w:noProof/>
                <w:color w:val="000000"/>
                <w:sz w:val="20"/>
              </w:rPr>
            </w:pPr>
            <w:r>
              <w:rPr>
                <w:rFonts w:ascii="Times New Roman" w:hAnsi="Times New Roman" w:cs="Times New Roman"/>
                <w:b/>
                <w:noProof/>
                <w:color w:val="000000"/>
                <w:sz w:val="20"/>
              </w:rPr>
              <w:t>Some progress:</w:t>
            </w:r>
            <w:r>
              <w:rPr>
                <w:rFonts w:ascii="Times New Roman" w:hAnsi="Times New Roman" w:cs="Times New Roman"/>
                <w:noProof/>
                <w:color w:val="000000"/>
                <w:sz w:val="20"/>
              </w:rPr>
              <w:t xml:space="preserve"> The tax wedge for low wages in 2020 is estimated to have been reduced in line with the benchmark against othe</w:t>
            </w:r>
            <w:r>
              <w:rPr>
                <w:rFonts w:ascii="Times New Roman" w:hAnsi="Times New Roman" w:cs="Times New Roman"/>
                <w:noProof/>
                <w:color w:val="000000"/>
                <w:sz w:val="20"/>
              </w:rPr>
              <w:t>r Member States. However, this reduction is not offset by other tax revenue sources, in particular capital and property. Tax compliance is improving in some areas, but policy and compliance gaps remain high.</w:t>
            </w:r>
          </w:p>
        </w:tc>
      </w:tr>
      <w:tr w:rsidR="00A8765D">
        <w:tc>
          <w:tcPr>
            <w:tcW w:w="4536" w:type="dxa"/>
            <w:tcBorders>
              <w:top w:val="single" w:sz="4" w:space="0" w:color="auto"/>
              <w:left w:val="single" w:sz="4" w:space="0" w:color="auto"/>
              <w:bottom w:val="dashed" w:sz="4" w:space="0" w:color="auto"/>
            </w:tcBorders>
            <w:shd w:val="clear" w:color="auto" w:fill="auto"/>
          </w:tcPr>
          <w:p w:rsidR="00A8765D" w:rsidRDefault="006C09F5">
            <w:pPr>
              <w:tabs>
                <w:tab w:val="num" w:pos="283"/>
              </w:tabs>
              <w:spacing w:after="240" w:line="240" w:lineRule="atLeast"/>
              <w:ind w:left="283" w:hanging="283"/>
              <w:jc w:val="both"/>
              <w:rPr>
                <w:rFonts w:ascii="Times New Roman" w:hAnsi="Times New Roman" w:cs="Times New Roman"/>
                <w:noProof/>
                <w:color w:val="000000"/>
                <w:sz w:val="20"/>
              </w:rPr>
            </w:pPr>
            <w:r>
              <w:rPr>
                <w:rFonts w:ascii="Times New Roman" w:hAnsi="Times New Roman" w:cs="Times New Roman"/>
                <w:noProof/>
                <w:color w:val="000000"/>
                <w:sz w:val="20"/>
              </w:rPr>
              <w:t>Ensure effective supervision and the enforcemen</w:t>
            </w:r>
            <w:r>
              <w:rPr>
                <w:rFonts w:ascii="Times New Roman" w:hAnsi="Times New Roman" w:cs="Times New Roman"/>
                <w:noProof/>
                <w:color w:val="000000"/>
                <w:sz w:val="20"/>
              </w:rPr>
              <w:t>t of the anti-money laundering framework.</w:t>
            </w:r>
          </w:p>
        </w:tc>
        <w:tc>
          <w:tcPr>
            <w:tcW w:w="3969" w:type="dxa"/>
            <w:tcBorders>
              <w:top w:val="single" w:sz="4" w:space="0" w:color="auto"/>
              <w:bottom w:val="dashed" w:sz="4" w:space="0" w:color="auto"/>
            </w:tcBorders>
            <w:shd w:val="clear" w:color="auto" w:fill="auto"/>
          </w:tcPr>
          <w:p w:rsidR="00A8765D" w:rsidRDefault="006C09F5">
            <w:pPr>
              <w:tabs>
                <w:tab w:val="num" w:pos="283"/>
              </w:tabs>
              <w:spacing w:after="240" w:line="240" w:lineRule="atLeast"/>
              <w:ind w:left="283" w:hanging="283"/>
              <w:jc w:val="both"/>
              <w:rPr>
                <w:rFonts w:ascii="Times New Roman" w:hAnsi="Times New Roman" w:cs="Times New Roman"/>
                <w:noProof/>
                <w:color w:val="000000"/>
                <w:sz w:val="20"/>
              </w:rPr>
            </w:pPr>
            <w:r>
              <w:rPr>
                <w:rFonts w:ascii="Times New Roman" w:hAnsi="Times New Roman" w:cs="Times New Roman"/>
                <w:b/>
                <w:noProof/>
                <w:color w:val="000000"/>
                <w:sz w:val="20"/>
              </w:rPr>
              <w:t>Substantial progress:</w:t>
            </w:r>
            <w:r>
              <w:rPr>
                <w:rFonts w:ascii="Times New Roman" w:hAnsi="Times New Roman" w:cs="Times New Roman"/>
                <w:noProof/>
                <w:color w:val="000000"/>
                <w:sz w:val="20"/>
              </w:rPr>
              <w:t xml:space="preserve"> Latvia has strengthened its anti-money laundering system and the flow of risky money through the country has been reduced. Latvia has increased the capability of supervisory and law enforcemen</w:t>
            </w:r>
            <w:r>
              <w:rPr>
                <w:rFonts w:ascii="Times New Roman" w:hAnsi="Times New Roman" w:cs="Times New Roman"/>
                <w:noProof/>
                <w:color w:val="000000"/>
                <w:sz w:val="20"/>
              </w:rPr>
              <w:t>t institutions and has established information sharing and a cooperation group involving competent authorities. A number of sanctions have been applied in 2019. The number of investigations and amount of funds frozen increased in 2019, but a large amount o</w:t>
            </w:r>
            <w:r>
              <w:rPr>
                <w:rFonts w:ascii="Times New Roman" w:hAnsi="Times New Roman" w:cs="Times New Roman"/>
                <w:noProof/>
                <w:color w:val="000000"/>
                <w:sz w:val="20"/>
              </w:rPr>
              <w:t xml:space="preserve">f deposits in ABLV bank still needs to be scrutinised during its liquidation. Latvia should continue its efforts to ensure effective supervision and enforcement of its anti-money laundering framework. </w:t>
            </w:r>
          </w:p>
        </w:tc>
      </w:tr>
      <w:tr w:rsidR="00A8765D">
        <w:tc>
          <w:tcPr>
            <w:tcW w:w="4536" w:type="dxa"/>
            <w:tcBorders>
              <w:top w:val="dashed" w:sz="4" w:space="0" w:color="auto"/>
              <w:left w:val="single" w:sz="4" w:space="0" w:color="auto"/>
              <w:bottom w:val="dashed" w:sz="4" w:space="0" w:color="auto"/>
            </w:tcBorders>
            <w:shd w:val="clear" w:color="auto" w:fill="auto"/>
          </w:tcPr>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 xml:space="preserve">CSR 2: </w:t>
            </w:r>
            <w:r>
              <w:rPr>
                <w:rFonts w:ascii="Times New Roman" w:hAnsi="Times New Roman" w:cs="Times New Roman"/>
                <w:noProof/>
                <w:color w:val="000000"/>
                <w:sz w:val="20"/>
              </w:rPr>
              <w:t xml:space="preserve">Address social exclusion notably by improving </w:t>
            </w:r>
            <w:r>
              <w:rPr>
                <w:rFonts w:ascii="Times New Roman" w:hAnsi="Times New Roman" w:cs="Times New Roman"/>
                <w:noProof/>
                <w:color w:val="000000"/>
                <w:sz w:val="20"/>
              </w:rPr>
              <w:t>the adequacy of minimum income benefits, minimum old-age pensions and income support for people with disabilities. Increase the quality and efficiency of education and training in particular of low-skilled workers and jobseekers, including by strengthening</w:t>
            </w:r>
            <w:r>
              <w:rPr>
                <w:rFonts w:ascii="Times New Roman" w:hAnsi="Times New Roman" w:cs="Times New Roman"/>
                <w:noProof/>
                <w:color w:val="000000"/>
                <w:sz w:val="20"/>
              </w:rPr>
              <w:t xml:space="preserve"> the participation in vocational education and training and adult learning. Increase the accessibility, quality and cost-effectiveness of the healthcare system.</w:t>
            </w:r>
          </w:p>
        </w:tc>
        <w:tc>
          <w:tcPr>
            <w:tcW w:w="3969" w:type="dxa"/>
            <w:tcBorders>
              <w:top w:val="dashed" w:sz="4" w:space="0" w:color="auto"/>
              <w:bottom w:val="dashed" w:sz="4" w:space="0" w:color="auto"/>
            </w:tcBorders>
            <w:shd w:val="clear" w:color="auto" w:fill="auto"/>
          </w:tcPr>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 xml:space="preserve">Latvia has made </w:t>
            </w:r>
            <w:r>
              <w:rPr>
                <w:rFonts w:ascii="Times New Roman" w:hAnsi="Times New Roman" w:cs="Times New Roman"/>
                <w:b/>
                <w:noProof/>
                <w:color w:val="000000"/>
                <w:sz w:val="20"/>
              </w:rPr>
              <w:t>some progress</w:t>
            </w:r>
            <w:r>
              <w:rPr>
                <w:rFonts w:ascii="Times New Roman" w:hAnsi="Times New Roman" w:cs="Times New Roman"/>
                <w:noProof/>
                <w:color w:val="000000"/>
                <w:sz w:val="20"/>
              </w:rPr>
              <w:t xml:space="preserve"> in addressing CSR 2:</w:t>
            </w:r>
          </w:p>
        </w:tc>
      </w:tr>
      <w:tr w:rsidR="00A8765D">
        <w:tc>
          <w:tcPr>
            <w:tcW w:w="4536" w:type="dxa"/>
            <w:tcBorders>
              <w:top w:val="dashed" w:sz="4" w:space="0" w:color="auto"/>
              <w:left w:val="single" w:sz="4" w:space="0" w:color="auto"/>
              <w:bottom w:val="dashed" w:sz="4" w:space="0" w:color="auto"/>
            </w:tcBorders>
            <w:shd w:val="clear" w:color="auto" w:fill="auto"/>
          </w:tcPr>
          <w:p w:rsidR="00A8765D" w:rsidRDefault="006C09F5">
            <w:pPr>
              <w:tabs>
                <w:tab w:val="num" w:pos="283"/>
              </w:tabs>
              <w:spacing w:after="240" w:line="240" w:lineRule="atLeast"/>
              <w:ind w:left="283" w:hanging="283"/>
              <w:jc w:val="both"/>
              <w:rPr>
                <w:rFonts w:ascii="Times New Roman" w:hAnsi="Times New Roman" w:cs="Times New Roman"/>
                <w:noProof/>
                <w:color w:val="000000"/>
                <w:sz w:val="20"/>
              </w:rPr>
            </w:pPr>
            <w:r>
              <w:rPr>
                <w:rFonts w:ascii="Times New Roman" w:hAnsi="Times New Roman" w:cs="Times New Roman"/>
                <w:noProof/>
                <w:color w:val="000000"/>
                <w:sz w:val="20"/>
              </w:rPr>
              <w:t xml:space="preserve">Address social exclusion notably by </w:t>
            </w:r>
            <w:r>
              <w:rPr>
                <w:rFonts w:ascii="Times New Roman" w:hAnsi="Times New Roman" w:cs="Times New Roman"/>
                <w:noProof/>
                <w:color w:val="000000"/>
                <w:sz w:val="20"/>
              </w:rPr>
              <w:t>improving the adequacy of minimum income benefits, minimum old-age pensions and income support for people with disabilities.</w:t>
            </w:r>
          </w:p>
        </w:tc>
        <w:tc>
          <w:tcPr>
            <w:tcW w:w="3969" w:type="dxa"/>
            <w:tcBorders>
              <w:top w:val="dashed" w:sz="4" w:space="0" w:color="auto"/>
              <w:bottom w:val="dashed" w:sz="4" w:space="0" w:color="auto"/>
            </w:tcBorders>
            <w:shd w:val="clear" w:color="auto" w:fill="auto"/>
          </w:tcPr>
          <w:p w:rsidR="00A8765D" w:rsidRDefault="006C09F5">
            <w:pPr>
              <w:tabs>
                <w:tab w:val="num" w:pos="283"/>
              </w:tabs>
              <w:spacing w:after="240" w:line="240" w:lineRule="atLeast"/>
              <w:ind w:left="283" w:hanging="283"/>
              <w:jc w:val="both"/>
              <w:rPr>
                <w:rFonts w:ascii="Times New Roman" w:hAnsi="Times New Roman" w:cs="Times New Roman"/>
                <w:noProof/>
                <w:color w:val="000000"/>
                <w:sz w:val="20"/>
              </w:rPr>
            </w:pPr>
            <w:r>
              <w:rPr>
                <w:rFonts w:ascii="Times New Roman" w:hAnsi="Times New Roman" w:cs="Times New Roman"/>
                <w:b/>
                <w:noProof/>
                <w:color w:val="000000"/>
                <w:sz w:val="20"/>
              </w:rPr>
              <w:t>Some progress:</w:t>
            </w:r>
            <w:r>
              <w:rPr>
                <w:rFonts w:ascii="Times New Roman" w:hAnsi="Times New Roman" w:cs="Times New Roman"/>
                <w:noProof/>
                <w:color w:val="000000"/>
                <w:sz w:val="20"/>
              </w:rPr>
              <w:t xml:space="preserve"> Minimum social benefits have been increased for 2020, except for those who have worked less than 15 years. The incre</w:t>
            </w:r>
            <w:r>
              <w:rPr>
                <w:rFonts w:ascii="Times New Roman" w:hAnsi="Times New Roman" w:cs="Times New Roman"/>
                <w:noProof/>
                <w:color w:val="000000"/>
                <w:sz w:val="20"/>
              </w:rPr>
              <w:t>ases are lower than planned, leading to partial implementation, and the adequacy of benefits remains low. Further action would be required to address the high risk of poverty or social exclusion as well as income inequality.</w:t>
            </w:r>
          </w:p>
        </w:tc>
      </w:tr>
      <w:tr w:rsidR="00A8765D">
        <w:tc>
          <w:tcPr>
            <w:tcW w:w="4536" w:type="dxa"/>
            <w:tcBorders>
              <w:top w:val="dashed" w:sz="4" w:space="0" w:color="auto"/>
              <w:left w:val="single" w:sz="4" w:space="0" w:color="auto"/>
              <w:bottom w:val="dashed" w:sz="4" w:space="0" w:color="auto"/>
            </w:tcBorders>
            <w:shd w:val="clear" w:color="auto" w:fill="auto"/>
          </w:tcPr>
          <w:p w:rsidR="00A8765D" w:rsidRDefault="006C09F5">
            <w:pPr>
              <w:tabs>
                <w:tab w:val="num" w:pos="283"/>
              </w:tabs>
              <w:spacing w:after="240" w:line="240" w:lineRule="atLeast"/>
              <w:ind w:left="283" w:hanging="283"/>
              <w:jc w:val="both"/>
              <w:rPr>
                <w:rFonts w:ascii="Times New Roman" w:hAnsi="Times New Roman" w:cs="Times New Roman"/>
                <w:noProof/>
                <w:color w:val="000000"/>
                <w:sz w:val="20"/>
              </w:rPr>
            </w:pPr>
            <w:r>
              <w:rPr>
                <w:rFonts w:ascii="Times New Roman" w:hAnsi="Times New Roman" w:cs="Times New Roman"/>
                <w:noProof/>
                <w:color w:val="000000"/>
                <w:sz w:val="20"/>
              </w:rPr>
              <w:t>Increase the quality and effic</w:t>
            </w:r>
            <w:r>
              <w:rPr>
                <w:rFonts w:ascii="Times New Roman" w:hAnsi="Times New Roman" w:cs="Times New Roman"/>
                <w:noProof/>
                <w:color w:val="000000"/>
                <w:sz w:val="20"/>
              </w:rPr>
              <w:t>iency of education and training in particular of low-skilled workers and jobseekers, including by strengthening the participation in vocational education and training and adult learning.</w:t>
            </w:r>
          </w:p>
        </w:tc>
        <w:tc>
          <w:tcPr>
            <w:tcW w:w="3969" w:type="dxa"/>
            <w:tcBorders>
              <w:top w:val="dashed" w:sz="4" w:space="0" w:color="auto"/>
              <w:bottom w:val="dashed" w:sz="4" w:space="0" w:color="auto"/>
            </w:tcBorders>
            <w:shd w:val="clear" w:color="auto" w:fill="auto"/>
          </w:tcPr>
          <w:p w:rsidR="00A8765D" w:rsidRDefault="006C09F5">
            <w:pPr>
              <w:tabs>
                <w:tab w:val="num" w:pos="283"/>
              </w:tabs>
              <w:spacing w:after="240" w:line="240" w:lineRule="atLeast"/>
              <w:ind w:left="283" w:hanging="283"/>
              <w:jc w:val="both"/>
              <w:rPr>
                <w:rFonts w:ascii="Times New Roman" w:hAnsi="Times New Roman" w:cs="Times New Roman"/>
                <w:noProof/>
                <w:color w:val="000000"/>
                <w:sz w:val="20"/>
              </w:rPr>
            </w:pPr>
            <w:r>
              <w:rPr>
                <w:rFonts w:ascii="Times New Roman" w:hAnsi="Times New Roman" w:cs="Times New Roman"/>
                <w:b/>
                <w:noProof/>
                <w:color w:val="000000"/>
                <w:sz w:val="20"/>
              </w:rPr>
              <w:t>Some progress:</w:t>
            </w:r>
            <w:r>
              <w:rPr>
                <w:rFonts w:ascii="Times New Roman" w:hAnsi="Times New Roman" w:cs="Times New Roman"/>
                <w:noProof/>
                <w:color w:val="000000"/>
                <w:sz w:val="20"/>
              </w:rPr>
              <w:t xml:space="preserve"> While improving quality and efficiency, measures to consolidate resources, including the large school network, have been delayed. At the same time, reforms to improve vocational education and training are ongoing and are planned to be finalised by the end</w:t>
            </w:r>
            <w:r>
              <w:rPr>
                <w:rFonts w:ascii="Times New Roman" w:hAnsi="Times New Roman" w:cs="Times New Roman"/>
                <w:noProof/>
                <w:color w:val="000000"/>
                <w:sz w:val="20"/>
              </w:rPr>
              <w:t xml:space="preserve"> of 2021, but the share of students in vocational education and training remains low. An EU-funded adult learning project is ongoing, but overall participation in adult learning remains low, especially for the low-skilled, and measures to increase uptake h</w:t>
            </w:r>
            <w:r>
              <w:rPr>
                <w:rFonts w:ascii="Times New Roman" w:hAnsi="Times New Roman" w:cs="Times New Roman"/>
                <w:noProof/>
                <w:color w:val="000000"/>
                <w:sz w:val="20"/>
              </w:rPr>
              <w:t>ave been adopted. Work on a national skills agenda with support from the OECD is ongoing and in 2020 Latvia’s national strategy for education and skills for 2021-2027 will be developed and approved.</w:t>
            </w:r>
          </w:p>
        </w:tc>
      </w:tr>
      <w:tr w:rsidR="00A8765D">
        <w:tc>
          <w:tcPr>
            <w:tcW w:w="4536" w:type="dxa"/>
            <w:tcBorders>
              <w:top w:val="dashed" w:sz="4" w:space="0" w:color="auto"/>
              <w:left w:val="single" w:sz="4" w:space="0" w:color="auto"/>
              <w:bottom w:val="dashed" w:sz="4" w:space="0" w:color="auto"/>
            </w:tcBorders>
            <w:shd w:val="clear" w:color="auto" w:fill="auto"/>
          </w:tcPr>
          <w:p w:rsidR="00A8765D" w:rsidRDefault="006C09F5">
            <w:pPr>
              <w:tabs>
                <w:tab w:val="num" w:pos="283"/>
              </w:tabs>
              <w:spacing w:after="240" w:line="240" w:lineRule="atLeast"/>
              <w:ind w:left="283" w:hanging="283"/>
              <w:jc w:val="both"/>
              <w:rPr>
                <w:rFonts w:ascii="Times New Roman" w:hAnsi="Times New Roman" w:cs="Times New Roman"/>
                <w:noProof/>
                <w:color w:val="000000"/>
                <w:sz w:val="20"/>
              </w:rPr>
            </w:pPr>
            <w:r>
              <w:rPr>
                <w:rFonts w:ascii="Times New Roman" w:hAnsi="Times New Roman" w:cs="Times New Roman"/>
                <w:noProof/>
                <w:color w:val="000000"/>
                <w:sz w:val="20"/>
              </w:rPr>
              <w:t>Increase the accessibility, quality and cost-effectivene</w:t>
            </w:r>
            <w:r>
              <w:rPr>
                <w:rFonts w:ascii="Times New Roman" w:hAnsi="Times New Roman" w:cs="Times New Roman"/>
                <w:noProof/>
                <w:color w:val="000000"/>
                <w:sz w:val="20"/>
              </w:rPr>
              <w:t>ss of the healthcare system.</w:t>
            </w:r>
          </w:p>
        </w:tc>
        <w:tc>
          <w:tcPr>
            <w:tcW w:w="3969" w:type="dxa"/>
            <w:tcBorders>
              <w:top w:val="dashed" w:sz="4" w:space="0" w:color="auto"/>
              <w:bottom w:val="dashed" w:sz="4" w:space="0" w:color="auto"/>
            </w:tcBorders>
            <w:shd w:val="clear" w:color="auto" w:fill="auto"/>
          </w:tcPr>
          <w:p w:rsidR="00A8765D" w:rsidRDefault="006C09F5">
            <w:pPr>
              <w:tabs>
                <w:tab w:val="num" w:pos="283"/>
              </w:tabs>
              <w:spacing w:after="240" w:line="240" w:lineRule="atLeast"/>
              <w:ind w:left="283" w:hanging="283"/>
              <w:jc w:val="both"/>
              <w:rPr>
                <w:rFonts w:ascii="Times New Roman" w:hAnsi="Times New Roman" w:cs="Times New Roman"/>
                <w:noProof/>
                <w:color w:val="000000"/>
                <w:sz w:val="20"/>
              </w:rPr>
            </w:pPr>
            <w:r>
              <w:rPr>
                <w:rFonts w:ascii="Times New Roman" w:hAnsi="Times New Roman" w:cs="Times New Roman"/>
                <w:b/>
                <w:noProof/>
                <w:color w:val="000000"/>
                <w:sz w:val="20"/>
              </w:rPr>
              <w:t>Some progress:</w:t>
            </w:r>
            <w:r>
              <w:rPr>
                <w:rFonts w:ascii="Times New Roman" w:hAnsi="Times New Roman" w:cs="Times New Roman"/>
                <w:noProof/>
                <w:color w:val="000000"/>
                <w:sz w:val="20"/>
              </w:rPr>
              <w:t xml:space="preserve"> Public spending for healthcare is set to decline as a share of GDP in 2020. The level of unmet needs for medical care and the level of out-of-pocket payments remain high. The introduction of the two-basket health</w:t>
            </w:r>
            <w:r>
              <w:rPr>
                <w:rFonts w:ascii="Times New Roman" w:hAnsi="Times New Roman" w:cs="Times New Roman"/>
                <w:noProof/>
                <w:color w:val="000000"/>
                <w:sz w:val="20"/>
              </w:rPr>
              <w:t xml:space="preserve"> insurance system, which posed risks for access to healthcare, has been postponed. Healthcare network reforms initiated in previous years continue, but are still at an early stage. In particular, the pilots of the multi-disciplinary health centres for the </w:t>
            </w:r>
            <w:r>
              <w:rPr>
                <w:rFonts w:ascii="Times New Roman" w:hAnsi="Times New Roman" w:cs="Times New Roman"/>
                <w:noProof/>
                <w:color w:val="000000"/>
                <w:sz w:val="20"/>
              </w:rPr>
              <w:t>primary care reform have not been launched yet. Efforts have been made to combat anti- microbial resistance, to improve mental healthcare and to support the nursing profession. However, workforce shortages persist and access to affordable healthcare remain</w:t>
            </w:r>
            <w:r>
              <w:rPr>
                <w:rFonts w:ascii="Times New Roman" w:hAnsi="Times New Roman" w:cs="Times New Roman"/>
                <w:noProof/>
                <w:color w:val="000000"/>
                <w:sz w:val="20"/>
              </w:rPr>
              <w:t>s a challenge for parts of the population.</w:t>
            </w:r>
          </w:p>
        </w:tc>
      </w:tr>
      <w:tr w:rsidR="00A8765D">
        <w:tc>
          <w:tcPr>
            <w:tcW w:w="4536" w:type="dxa"/>
            <w:tcBorders>
              <w:top w:val="dashed" w:sz="4" w:space="0" w:color="auto"/>
              <w:left w:val="single" w:sz="4" w:space="0" w:color="auto"/>
              <w:bottom w:val="dashed" w:sz="4" w:space="0" w:color="auto"/>
            </w:tcBorders>
            <w:shd w:val="clear" w:color="auto" w:fill="auto"/>
          </w:tcPr>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CSR 3:</w:t>
            </w:r>
            <w:r>
              <w:rPr>
                <w:rFonts w:ascii="Times New Roman" w:hAnsi="Times New Roman" w:cs="Times New Roman"/>
                <w:noProof/>
                <w:color w:val="000000"/>
                <w:sz w:val="20"/>
              </w:rPr>
              <w:t xml:space="preserve"> Focus investment-related economic policy on innovation, the provision of affordable housing, transport, in particular on its sustainability, resource efficiency and energy efficiency, energy interconnectio</w:t>
            </w:r>
            <w:r>
              <w:rPr>
                <w:rFonts w:ascii="Times New Roman" w:hAnsi="Times New Roman" w:cs="Times New Roman"/>
                <w:noProof/>
                <w:color w:val="000000"/>
                <w:sz w:val="20"/>
              </w:rPr>
              <w:t>ns and digital infrastructure, taking into account regional disparities.</w:t>
            </w:r>
          </w:p>
        </w:tc>
        <w:tc>
          <w:tcPr>
            <w:tcW w:w="3969" w:type="dxa"/>
            <w:tcBorders>
              <w:top w:val="dashed" w:sz="4" w:space="0" w:color="auto"/>
              <w:bottom w:val="dashed" w:sz="4" w:space="0" w:color="auto"/>
            </w:tcBorders>
            <w:shd w:val="clear" w:color="auto" w:fill="auto"/>
          </w:tcPr>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 xml:space="preserve">Latvia has made </w:t>
            </w:r>
            <w:r>
              <w:rPr>
                <w:rFonts w:ascii="Times New Roman" w:hAnsi="Times New Roman" w:cs="Times New Roman"/>
                <w:b/>
                <w:noProof/>
                <w:color w:val="000000"/>
                <w:sz w:val="20"/>
              </w:rPr>
              <w:t>some progress</w:t>
            </w:r>
            <w:r>
              <w:rPr>
                <w:rFonts w:ascii="Times New Roman" w:hAnsi="Times New Roman" w:cs="Times New Roman"/>
                <w:noProof/>
                <w:color w:val="000000"/>
                <w:sz w:val="20"/>
              </w:rPr>
              <w:t xml:space="preserve"> in addressing CSR 3:</w:t>
            </w:r>
          </w:p>
        </w:tc>
      </w:tr>
      <w:tr w:rsidR="00A8765D">
        <w:tc>
          <w:tcPr>
            <w:tcW w:w="4536" w:type="dxa"/>
            <w:tcBorders>
              <w:top w:val="dashed" w:sz="4" w:space="0" w:color="auto"/>
              <w:left w:val="single" w:sz="4" w:space="0" w:color="auto"/>
              <w:bottom w:val="dashed" w:sz="4" w:space="0" w:color="auto"/>
            </w:tcBorders>
            <w:shd w:val="clear" w:color="auto" w:fill="auto"/>
          </w:tcPr>
          <w:p w:rsidR="00A8765D" w:rsidRDefault="006C09F5">
            <w:pPr>
              <w:tabs>
                <w:tab w:val="num" w:pos="283"/>
              </w:tabs>
              <w:spacing w:after="240" w:line="240" w:lineRule="atLeast"/>
              <w:ind w:left="283" w:hanging="283"/>
              <w:jc w:val="both"/>
              <w:rPr>
                <w:rFonts w:ascii="Times New Roman" w:hAnsi="Times New Roman" w:cs="Times New Roman"/>
                <w:noProof/>
                <w:color w:val="000000"/>
                <w:sz w:val="20"/>
              </w:rPr>
            </w:pPr>
            <w:r>
              <w:rPr>
                <w:rFonts w:ascii="Times New Roman" w:hAnsi="Times New Roman" w:cs="Times New Roman"/>
                <w:noProof/>
                <w:color w:val="000000"/>
                <w:sz w:val="20"/>
              </w:rPr>
              <w:t>Focus investment-related economic policy on innovation.</w:t>
            </w:r>
          </w:p>
        </w:tc>
        <w:tc>
          <w:tcPr>
            <w:tcW w:w="3969" w:type="dxa"/>
            <w:tcBorders>
              <w:top w:val="dashed" w:sz="4" w:space="0" w:color="auto"/>
              <w:bottom w:val="dashed" w:sz="4" w:space="0" w:color="auto"/>
            </w:tcBorders>
            <w:shd w:val="clear" w:color="auto" w:fill="auto"/>
          </w:tcPr>
          <w:p w:rsidR="00A8765D" w:rsidRDefault="006C09F5">
            <w:pPr>
              <w:tabs>
                <w:tab w:val="num" w:pos="283"/>
              </w:tabs>
              <w:spacing w:after="240" w:line="240" w:lineRule="atLeast"/>
              <w:ind w:left="283" w:hanging="283"/>
              <w:jc w:val="both"/>
              <w:rPr>
                <w:rFonts w:ascii="Times New Roman" w:hAnsi="Times New Roman" w:cs="Times New Roman"/>
                <w:noProof/>
                <w:color w:val="000000"/>
                <w:sz w:val="20"/>
              </w:rPr>
            </w:pPr>
            <w:r>
              <w:rPr>
                <w:rFonts w:ascii="Times New Roman" w:hAnsi="Times New Roman" w:cs="Times New Roman"/>
                <w:b/>
                <w:noProof/>
                <w:color w:val="000000"/>
                <w:sz w:val="20"/>
              </w:rPr>
              <w:t>Some progress.</w:t>
            </w:r>
            <w:r>
              <w:rPr>
                <w:rFonts w:ascii="Times New Roman" w:hAnsi="Times New Roman" w:cs="Times New Roman"/>
                <w:noProof/>
                <w:color w:val="000000"/>
                <w:sz w:val="20"/>
              </w:rPr>
              <w:t xml:space="preserve"> Latvia will not meet its national target for investments in R&amp;D by 2020, as national financing has not been increased as initially planned. Latvia relies on the support from the Horizon 2020 Policy Support Facility and has advanced in creating a unified c</w:t>
            </w:r>
            <w:r>
              <w:rPr>
                <w:rFonts w:ascii="Times New Roman" w:hAnsi="Times New Roman" w:cs="Times New Roman"/>
                <w:noProof/>
                <w:color w:val="000000"/>
                <w:sz w:val="20"/>
              </w:rPr>
              <w:t>oordination body in 2020 to tackle currently fragmented governance.</w:t>
            </w:r>
          </w:p>
        </w:tc>
      </w:tr>
      <w:tr w:rsidR="00A8765D">
        <w:tc>
          <w:tcPr>
            <w:tcW w:w="4536" w:type="dxa"/>
            <w:tcBorders>
              <w:top w:val="dashed" w:sz="4" w:space="0" w:color="auto"/>
              <w:left w:val="single" w:sz="4" w:space="0" w:color="auto"/>
              <w:bottom w:val="dashed" w:sz="4" w:space="0" w:color="auto"/>
            </w:tcBorders>
            <w:shd w:val="clear" w:color="auto" w:fill="auto"/>
          </w:tcPr>
          <w:p w:rsidR="00A8765D" w:rsidRDefault="006C09F5">
            <w:pPr>
              <w:tabs>
                <w:tab w:val="num" w:pos="283"/>
              </w:tabs>
              <w:spacing w:after="240" w:line="240" w:lineRule="atLeast"/>
              <w:ind w:left="283" w:hanging="283"/>
              <w:jc w:val="both"/>
              <w:rPr>
                <w:rFonts w:ascii="Times New Roman" w:hAnsi="Times New Roman" w:cs="Times New Roman"/>
                <w:noProof/>
                <w:color w:val="000000"/>
                <w:sz w:val="20"/>
              </w:rPr>
            </w:pPr>
            <w:r>
              <w:rPr>
                <w:rFonts w:ascii="Times New Roman" w:hAnsi="Times New Roman" w:cs="Times New Roman"/>
                <w:noProof/>
                <w:color w:val="000000"/>
                <w:sz w:val="20"/>
              </w:rPr>
              <w:t>the provision of affordable housing.</w:t>
            </w:r>
          </w:p>
        </w:tc>
        <w:tc>
          <w:tcPr>
            <w:tcW w:w="3969" w:type="dxa"/>
            <w:tcBorders>
              <w:top w:val="dashed" w:sz="4" w:space="0" w:color="auto"/>
              <w:bottom w:val="dashed" w:sz="4" w:space="0" w:color="auto"/>
            </w:tcBorders>
            <w:shd w:val="clear" w:color="auto" w:fill="auto"/>
          </w:tcPr>
          <w:p w:rsidR="00A8765D" w:rsidRDefault="006C09F5">
            <w:pPr>
              <w:tabs>
                <w:tab w:val="num" w:pos="283"/>
              </w:tabs>
              <w:spacing w:after="240" w:line="240" w:lineRule="atLeast"/>
              <w:ind w:left="283" w:hanging="283"/>
              <w:jc w:val="both"/>
              <w:rPr>
                <w:rFonts w:ascii="Times New Roman" w:hAnsi="Times New Roman" w:cs="Times New Roman"/>
                <w:noProof/>
                <w:color w:val="000000"/>
                <w:sz w:val="20"/>
              </w:rPr>
            </w:pPr>
            <w:r>
              <w:rPr>
                <w:rFonts w:ascii="Times New Roman" w:hAnsi="Times New Roman" w:cs="Times New Roman"/>
                <w:b/>
                <w:noProof/>
                <w:color w:val="000000"/>
                <w:sz w:val="20"/>
              </w:rPr>
              <w:t>Limited progress:</w:t>
            </w:r>
            <w:r>
              <w:rPr>
                <w:rFonts w:ascii="Times New Roman" w:hAnsi="Times New Roman" w:cs="Times New Roman"/>
                <w:noProof/>
                <w:color w:val="000000"/>
                <w:sz w:val="20"/>
              </w:rPr>
              <w:t xml:space="preserve"> Affordable housing in the centres of economic activity is a bottleneck for labour mobility and economic growth. Lengthy and cumberso</w:t>
            </w:r>
            <w:r>
              <w:rPr>
                <w:rFonts w:ascii="Times New Roman" w:hAnsi="Times New Roman" w:cs="Times New Roman"/>
                <w:noProof/>
                <w:color w:val="000000"/>
                <w:sz w:val="20"/>
              </w:rPr>
              <w:t xml:space="preserve">me processes for obtaining planning and building permits are hampering new housing construction. The weak protection of landlords discourages more investment into rental housing. The draft rental law has not made any progress in the Parliament since 2018. </w:t>
            </w:r>
            <w:r>
              <w:rPr>
                <w:rFonts w:ascii="Times New Roman" w:hAnsi="Times New Roman" w:cs="Times New Roman"/>
                <w:noProof/>
                <w:color w:val="000000"/>
                <w:sz w:val="20"/>
              </w:rPr>
              <w:t>The plans for energy-efficiency renovation of apartment buildings are unambitious.</w:t>
            </w:r>
          </w:p>
        </w:tc>
      </w:tr>
      <w:tr w:rsidR="00A8765D">
        <w:tc>
          <w:tcPr>
            <w:tcW w:w="4536" w:type="dxa"/>
            <w:tcBorders>
              <w:top w:val="dashed" w:sz="4" w:space="0" w:color="auto"/>
              <w:left w:val="single" w:sz="4" w:space="0" w:color="auto"/>
              <w:bottom w:val="dashed" w:sz="4" w:space="0" w:color="auto"/>
            </w:tcBorders>
            <w:shd w:val="clear" w:color="auto" w:fill="auto"/>
          </w:tcPr>
          <w:p w:rsidR="00A8765D" w:rsidRDefault="006C09F5">
            <w:pPr>
              <w:tabs>
                <w:tab w:val="num" w:pos="283"/>
              </w:tabs>
              <w:spacing w:after="240" w:line="240" w:lineRule="atLeast"/>
              <w:ind w:left="283" w:hanging="283"/>
              <w:jc w:val="both"/>
              <w:rPr>
                <w:rFonts w:ascii="Times New Roman" w:hAnsi="Times New Roman" w:cs="Times New Roman"/>
                <w:noProof/>
                <w:color w:val="000000"/>
                <w:sz w:val="20"/>
              </w:rPr>
            </w:pPr>
            <w:r>
              <w:rPr>
                <w:rFonts w:ascii="Times New Roman" w:hAnsi="Times New Roman" w:cs="Times New Roman"/>
                <w:noProof/>
                <w:color w:val="000000"/>
                <w:sz w:val="20"/>
              </w:rPr>
              <w:t>transport, in particular on its sustainability.</w:t>
            </w:r>
          </w:p>
        </w:tc>
        <w:tc>
          <w:tcPr>
            <w:tcW w:w="3969" w:type="dxa"/>
            <w:tcBorders>
              <w:top w:val="dashed" w:sz="4" w:space="0" w:color="auto"/>
              <w:bottom w:val="dashed" w:sz="4" w:space="0" w:color="auto"/>
            </w:tcBorders>
            <w:shd w:val="clear" w:color="auto" w:fill="auto"/>
          </w:tcPr>
          <w:p w:rsidR="00A8765D" w:rsidRDefault="006C09F5">
            <w:pPr>
              <w:tabs>
                <w:tab w:val="num" w:pos="283"/>
              </w:tabs>
              <w:spacing w:after="240" w:line="240" w:lineRule="atLeast"/>
              <w:ind w:left="283" w:hanging="283"/>
              <w:jc w:val="both"/>
              <w:rPr>
                <w:rFonts w:ascii="Times New Roman" w:hAnsi="Times New Roman" w:cs="Times New Roman"/>
                <w:noProof/>
                <w:color w:val="000000"/>
                <w:sz w:val="20"/>
              </w:rPr>
            </w:pPr>
            <w:r>
              <w:rPr>
                <w:rFonts w:ascii="Times New Roman" w:hAnsi="Times New Roman" w:cs="Times New Roman"/>
                <w:b/>
                <w:noProof/>
                <w:color w:val="000000"/>
                <w:sz w:val="20"/>
              </w:rPr>
              <w:t>Some progress:</w:t>
            </w:r>
            <w:r>
              <w:rPr>
                <w:rFonts w:ascii="Times New Roman" w:hAnsi="Times New Roman" w:cs="Times New Roman"/>
                <w:noProof/>
                <w:color w:val="000000"/>
                <w:sz w:val="20"/>
              </w:rPr>
              <w:t xml:space="preserve"> Transit and major transport connections are the authorities’ first priority, while a large share of local roa</w:t>
            </w:r>
            <w:r>
              <w:rPr>
                <w:rFonts w:ascii="Times New Roman" w:hAnsi="Times New Roman" w:cs="Times New Roman"/>
                <w:noProof/>
                <w:color w:val="000000"/>
                <w:sz w:val="20"/>
              </w:rPr>
              <w:t>ds are of poor quality. The use of passenger cars is growing, while the share of passenger transport by bus or train is declining. The transport sector is a major source of greenhouse gas emissions, while renewable energy use in road transport is low. Regu</w:t>
            </w:r>
            <w:r>
              <w:rPr>
                <w:rFonts w:ascii="Times New Roman" w:hAnsi="Times New Roman" w:cs="Times New Roman"/>
                <w:noProof/>
                <w:color w:val="000000"/>
                <w:sz w:val="20"/>
              </w:rPr>
              <w:t>latory changes and a better organisation of public transport to improve environmental sustainability are at an early stage. However, the development of Rail Baltica should support the shift to less carbon intensive rail transport once finished.</w:t>
            </w:r>
          </w:p>
        </w:tc>
      </w:tr>
      <w:tr w:rsidR="00A8765D">
        <w:tc>
          <w:tcPr>
            <w:tcW w:w="4536" w:type="dxa"/>
            <w:tcBorders>
              <w:top w:val="dashed" w:sz="4" w:space="0" w:color="auto"/>
              <w:left w:val="single" w:sz="4" w:space="0" w:color="auto"/>
              <w:bottom w:val="dashed" w:sz="4" w:space="0" w:color="auto"/>
            </w:tcBorders>
            <w:shd w:val="clear" w:color="auto" w:fill="auto"/>
          </w:tcPr>
          <w:p w:rsidR="00A8765D" w:rsidRDefault="006C09F5">
            <w:pPr>
              <w:tabs>
                <w:tab w:val="num" w:pos="283"/>
              </w:tabs>
              <w:spacing w:after="240" w:line="240" w:lineRule="atLeast"/>
              <w:ind w:left="283" w:hanging="283"/>
              <w:jc w:val="both"/>
              <w:rPr>
                <w:rFonts w:ascii="Times New Roman" w:hAnsi="Times New Roman" w:cs="Times New Roman"/>
                <w:noProof/>
                <w:color w:val="000000"/>
                <w:sz w:val="20"/>
              </w:rPr>
            </w:pPr>
            <w:r>
              <w:rPr>
                <w:rFonts w:ascii="Times New Roman" w:hAnsi="Times New Roman" w:cs="Times New Roman"/>
                <w:noProof/>
                <w:color w:val="000000"/>
                <w:sz w:val="20"/>
              </w:rPr>
              <w:t>resource e</w:t>
            </w:r>
            <w:r>
              <w:rPr>
                <w:rFonts w:ascii="Times New Roman" w:hAnsi="Times New Roman" w:cs="Times New Roman"/>
                <w:noProof/>
                <w:color w:val="000000"/>
                <w:sz w:val="20"/>
              </w:rPr>
              <w:t>fficiency and energy efficiency, energy interconnections</w:t>
            </w:r>
          </w:p>
        </w:tc>
        <w:tc>
          <w:tcPr>
            <w:tcW w:w="3969" w:type="dxa"/>
            <w:tcBorders>
              <w:top w:val="dashed" w:sz="4" w:space="0" w:color="auto"/>
              <w:bottom w:val="dashed" w:sz="4" w:space="0" w:color="auto"/>
            </w:tcBorders>
            <w:shd w:val="clear" w:color="auto" w:fill="auto"/>
          </w:tcPr>
          <w:p w:rsidR="00A8765D" w:rsidRDefault="006C09F5">
            <w:pPr>
              <w:tabs>
                <w:tab w:val="num" w:pos="283"/>
              </w:tabs>
              <w:spacing w:after="240" w:line="240" w:lineRule="atLeast"/>
              <w:ind w:left="283" w:hanging="283"/>
              <w:jc w:val="both"/>
              <w:rPr>
                <w:rFonts w:ascii="Times New Roman" w:hAnsi="Times New Roman" w:cs="Times New Roman"/>
                <w:noProof/>
                <w:color w:val="000000"/>
                <w:sz w:val="20"/>
              </w:rPr>
            </w:pPr>
            <w:r>
              <w:rPr>
                <w:rFonts w:ascii="Times New Roman" w:hAnsi="Times New Roman" w:cs="Times New Roman"/>
                <w:b/>
                <w:noProof/>
                <w:color w:val="000000"/>
                <w:sz w:val="20"/>
              </w:rPr>
              <w:t>Some progress:</w:t>
            </w:r>
            <w:r>
              <w:rPr>
                <w:rFonts w:ascii="Times New Roman" w:hAnsi="Times New Roman" w:cs="Times New Roman"/>
                <w:noProof/>
                <w:color w:val="000000"/>
                <w:sz w:val="20"/>
              </w:rPr>
              <w:t xml:space="preserve"> Regional gas market with Finland and Estonia became operational on 1 January 2020. The Baltic grid synchronisation project, the internal electricity grid reinforcement project and cons</w:t>
            </w:r>
            <w:r>
              <w:rPr>
                <w:rFonts w:ascii="Times New Roman" w:hAnsi="Times New Roman" w:cs="Times New Roman"/>
                <w:noProof/>
                <w:color w:val="000000"/>
                <w:sz w:val="20"/>
              </w:rPr>
              <w:t>truction of the third interconnector with Estonia are all well on track. However, the final National Energy and Climate Plan detailing the investment plan aimed at increasing the resource and energy efficiency is still to be submitted by Latvia. The govern</w:t>
            </w:r>
            <w:r>
              <w:rPr>
                <w:rFonts w:ascii="Times New Roman" w:hAnsi="Times New Roman" w:cs="Times New Roman"/>
                <w:noProof/>
                <w:color w:val="000000"/>
                <w:sz w:val="20"/>
              </w:rPr>
              <w:t>ment has adopted its 2030 Strategy on Latvia’s adaptation to Climate Change with a view to develop infrastructure and buildings, taking into consideration the potential climate risks. The Strategy for the Low-Carbon Development until 2050 is expected to be</w:t>
            </w:r>
            <w:r>
              <w:rPr>
                <w:rFonts w:ascii="Times New Roman" w:hAnsi="Times New Roman" w:cs="Times New Roman"/>
                <w:noProof/>
                <w:color w:val="000000"/>
                <w:sz w:val="20"/>
              </w:rPr>
              <w:t xml:space="preserve"> approved in 2020. </w:t>
            </w:r>
          </w:p>
        </w:tc>
      </w:tr>
      <w:tr w:rsidR="00A8765D">
        <w:tc>
          <w:tcPr>
            <w:tcW w:w="4536" w:type="dxa"/>
            <w:tcBorders>
              <w:top w:val="dashed" w:sz="4" w:space="0" w:color="auto"/>
              <w:left w:val="single" w:sz="4" w:space="0" w:color="auto"/>
              <w:bottom w:val="dashed" w:sz="4" w:space="0" w:color="auto"/>
            </w:tcBorders>
            <w:shd w:val="clear" w:color="auto" w:fill="auto"/>
          </w:tcPr>
          <w:p w:rsidR="00A8765D" w:rsidRDefault="006C09F5">
            <w:pPr>
              <w:tabs>
                <w:tab w:val="num" w:pos="283"/>
              </w:tabs>
              <w:spacing w:after="240" w:line="240" w:lineRule="atLeast"/>
              <w:ind w:left="283" w:hanging="283"/>
              <w:jc w:val="both"/>
              <w:rPr>
                <w:rFonts w:ascii="Times New Roman" w:hAnsi="Times New Roman" w:cs="Times New Roman"/>
                <w:noProof/>
                <w:color w:val="000000"/>
                <w:sz w:val="20"/>
              </w:rPr>
            </w:pPr>
            <w:r>
              <w:rPr>
                <w:rFonts w:ascii="Times New Roman" w:hAnsi="Times New Roman" w:cs="Times New Roman"/>
                <w:noProof/>
                <w:color w:val="000000"/>
                <w:sz w:val="20"/>
              </w:rPr>
              <w:t>and digital infrastructure, taking into account regional disparities.</w:t>
            </w:r>
          </w:p>
        </w:tc>
        <w:tc>
          <w:tcPr>
            <w:tcW w:w="3969" w:type="dxa"/>
            <w:tcBorders>
              <w:top w:val="dashed" w:sz="4" w:space="0" w:color="auto"/>
              <w:bottom w:val="dashed" w:sz="4" w:space="0" w:color="auto"/>
            </w:tcBorders>
            <w:shd w:val="clear" w:color="auto" w:fill="auto"/>
          </w:tcPr>
          <w:p w:rsidR="00A8765D" w:rsidRDefault="006C09F5">
            <w:pPr>
              <w:tabs>
                <w:tab w:val="num" w:pos="283"/>
              </w:tabs>
              <w:spacing w:after="240" w:line="240" w:lineRule="atLeast"/>
              <w:ind w:left="283" w:hanging="283"/>
              <w:jc w:val="both"/>
              <w:rPr>
                <w:rFonts w:ascii="Times New Roman" w:hAnsi="Times New Roman" w:cs="Times New Roman"/>
                <w:noProof/>
                <w:color w:val="000000"/>
                <w:sz w:val="20"/>
              </w:rPr>
            </w:pPr>
            <w:r>
              <w:rPr>
                <w:rFonts w:ascii="Times New Roman" w:hAnsi="Times New Roman" w:cs="Times New Roman"/>
                <w:b/>
                <w:noProof/>
                <w:color w:val="000000"/>
                <w:sz w:val="20"/>
              </w:rPr>
              <w:t>Some progress:</w:t>
            </w:r>
            <w:r>
              <w:rPr>
                <w:rFonts w:ascii="Times New Roman" w:hAnsi="Times New Roman" w:cs="Times New Roman"/>
                <w:noProof/>
                <w:color w:val="000000"/>
                <w:sz w:val="20"/>
              </w:rPr>
              <w:t xml:space="preserve"> Latvia is among the EU’s front-runners for the deployment of very high-speed internet infrastructure. However, last mile connections are an issue in r</w:t>
            </w:r>
            <w:r>
              <w:rPr>
                <w:rFonts w:ascii="Times New Roman" w:hAnsi="Times New Roman" w:cs="Times New Roman"/>
                <w:noProof/>
                <w:color w:val="000000"/>
                <w:sz w:val="20"/>
              </w:rPr>
              <w:t>ural areas.</w:t>
            </w:r>
          </w:p>
        </w:tc>
      </w:tr>
      <w:tr w:rsidR="00A8765D">
        <w:tc>
          <w:tcPr>
            <w:tcW w:w="4536" w:type="dxa"/>
            <w:tcBorders>
              <w:top w:val="dashed" w:sz="4" w:space="0" w:color="auto"/>
              <w:left w:val="single" w:sz="4" w:space="0" w:color="auto"/>
              <w:bottom w:val="dashed" w:sz="4" w:space="0" w:color="auto"/>
            </w:tcBorders>
            <w:shd w:val="clear" w:color="auto" w:fill="auto"/>
          </w:tcPr>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b/>
                <w:noProof/>
                <w:color w:val="000000"/>
                <w:sz w:val="20"/>
              </w:rPr>
              <w:t>CSR 4:</w:t>
            </w:r>
            <w:r>
              <w:rPr>
                <w:rFonts w:ascii="Times New Roman" w:hAnsi="Times New Roman" w:cs="Times New Roman"/>
                <w:noProof/>
                <w:color w:val="000000"/>
                <w:sz w:val="20"/>
              </w:rPr>
              <w:t xml:space="preserve"> Strengthen the accountability and efficiency of the public sector, in particular with regard to local authorities and State-owned and municipal enterprises and the conflict of interest regime.</w:t>
            </w:r>
          </w:p>
        </w:tc>
        <w:tc>
          <w:tcPr>
            <w:tcW w:w="3969" w:type="dxa"/>
            <w:tcBorders>
              <w:top w:val="dashed" w:sz="4" w:space="0" w:color="auto"/>
              <w:bottom w:val="dashed" w:sz="4" w:space="0" w:color="auto"/>
            </w:tcBorders>
            <w:shd w:val="clear" w:color="auto" w:fill="auto"/>
          </w:tcPr>
          <w:p w:rsidR="00A8765D" w:rsidRDefault="006C09F5">
            <w:pPr>
              <w:tabs>
                <w:tab w:val="num" w:pos="283"/>
              </w:tabs>
              <w:spacing w:after="240" w:line="240" w:lineRule="atLeast"/>
              <w:ind w:left="283" w:hanging="283"/>
              <w:jc w:val="both"/>
              <w:rPr>
                <w:rFonts w:ascii="Times New Roman" w:hAnsi="Times New Roman" w:cs="Times New Roman"/>
                <w:noProof/>
                <w:color w:val="000000"/>
                <w:sz w:val="20"/>
              </w:rPr>
            </w:pPr>
            <w:r>
              <w:rPr>
                <w:rFonts w:ascii="Times New Roman" w:hAnsi="Times New Roman" w:cs="Times New Roman"/>
                <w:noProof/>
                <w:color w:val="000000"/>
                <w:sz w:val="20"/>
              </w:rPr>
              <w:t>Latvia has made s</w:t>
            </w:r>
            <w:r>
              <w:rPr>
                <w:rFonts w:ascii="Times New Roman" w:hAnsi="Times New Roman" w:cs="Times New Roman"/>
                <w:b/>
                <w:noProof/>
                <w:color w:val="000000"/>
                <w:sz w:val="20"/>
              </w:rPr>
              <w:t>ome progress</w:t>
            </w:r>
            <w:r>
              <w:rPr>
                <w:rFonts w:ascii="Times New Roman" w:hAnsi="Times New Roman" w:cs="Times New Roman"/>
                <w:noProof/>
                <w:color w:val="000000"/>
                <w:sz w:val="20"/>
              </w:rPr>
              <w:t xml:space="preserve"> in addressing CSR 4: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Public administration reform for the central government is being implemented. Administrative-territorial reform for consolidating local authorities and improving their services was presented in 2019 and is expected to be adopted in m</w:t>
            </w:r>
            <w:r>
              <w:rPr>
                <w:rFonts w:ascii="Times New Roman" w:hAnsi="Times New Roman" w:cs="Times New Roman"/>
                <w:noProof/>
                <w:color w:val="000000"/>
                <w:sz w:val="20"/>
              </w:rPr>
              <w:t xml:space="preserve">id-2020. Corporate governance of state and municipal companies has been improved by requiring disclosure of company reports to the same extent as for listed companies. Moreover, the uncompetitive behaviour of municipal companies and entities is prohibited </w:t>
            </w:r>
            <w:r>
              <w:rPr>
                <w:rFonts w:ascii="Times New Roman" w:hAnsi="Times New Roman" w:cs="Times New Roman"/>
                <w:noProof/>
                <w:color w:val="000000"/>
                <w:sz w:val="20"/>
              </w:rPr>
              <w:t>and the Competition Council is charged with monitoring the situation. The capacity to investigate corruption cases has been strengthened, but shortcomings remain as regards the oversight of implementation of anti-corruption actions, a lack of clarity as re</w:t>
            </w:r>
            <w:r>
              <w:rPr>
                <w:rFonts w:ascii="Times New Roman" w:hAnsi="Times New Roman" w:cs="Times New Roman"/>
                <w:noProof/>
                <w:color w:val="000000"/>
                <w:sz w:val="20"/>
              </w:rPr>
              <w:t>gards the applicable regime on conflicts of interests, the application of sanctions for asset disclosure irregularities and the lack of a legal framework regulating lobbying activities.</w:t>
            </w:r>
          </w:p>
        </w:tc>
      </w:tr>
      <w:tr w:rsidR="00A8765D">
        <w:tc>
          <w:tcPr>
            <w:tcW w:w="8505" w:type="dxa"/>
            <w:gridSpan w:val="2"/>
            <w:tcBorders>
              <w:left w:val="single" w:sz="4" w:space="0" w:color="auto"/>
              <w:bottom w:val="dashSmallGap" w:sz="4" w:space="0" w:color="auto"/>
            </w:tcBorders>
            <w:shd w:val="clear" w:color="auto" w:fill="auto"/>
          </w:tcPr>
          <w:p w:rsidR="00A8765D" w:rsidRDefault="006C09F5">
            <w:pPr>
              <w:spacing w:after="240" w:line="240" w:lineRule="atLeast"/>
              <w:jc w:val="both"/>
              <w:rPr>
                <w:rFonts w:ascii="Times New Roman" w:hAnsi="Times New Roman" w:cs="Times New Roman"/>
                <w:b/>
                <w:noProof/>
                <w:color w:val="000000"/>
                <w:sz w:val="20"/>
              </w:rPr>
            </w:pPr>
            <w:r>
              <w:rPr>
                <w:rFonts w:ascii="Times New Roman" w:hAnsi="Times New Roman" w:cs="Times New Roman"/>
                <w:b/>
                <w:noProof/>
                <w:color w:val="000000"/>
                <w:sz w:val="20"/>
              </w:rPr>
              <w:t>Europe 2020 (national targets and progress)</w:t>
            </w:r>
          </w:p>
        </w:tc>
      </w:tr>
      <w:tr w:rsidR="00A8765D">
        <w:tc>
          <w:tcPr>
            <w:tcW w:w="4536" w:type="dxa"/>
            <w:tcBorders>
              <w:left w:val="single" w:sz="4" w:space="0" w:color="auto"/>
              <w:bottom w:val="dashSmallGap" w:sz="4" w:space="0" w:color="auto"/>
            </w:tcBorders>
            <w:shd w:val="clear" w:color="auto" w:fill="auto"/>
          </w:tcPr>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Employment rate: 73%</w:t>
            </w:r>
          </w:p>
          <w:p w:rsidR="00A8765D" w:rsidRDefault="00A8765D">
            <w:pPr>
              <w:spacing w:after="240" w:line="240" w:lineRule="atLeast"/>
              <w:jc w:val="both"/>
              <w:rPr>
                <w:rFonts w:ascii="Times New Roman" w:hAnsi="Times New Roman" w:cs="Times New Roman"/>
                <w:noProof/>
                <w:color w:val="000000"/>
                <w:sz w:val="20"/>
              </w:rPr>
            </w:pPr>
          </w:p>
        </w:tc>
        <w:tc>
          <w:tcPr>
            <w:tcW w:w="3969" w:type="dxa"/>
            <w:tcBorders>
              <w:bottom w:val="dashSmallGap" w:sz="4" w:space="0" w:color="auto"/>
            </w:tcBorders>
            <w:shd w:val="clear" w:color="auto" w:fill="auto"/>
          </w:tcPr>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 xml:space="preserve">The employment rate (for the 20-64 age group) increased further to 76.8% in 2018 from 74.8% in 2017. </w:t>
            </w:r>
          </w:p>
        </w:tc>
      </w:tr>
      <w:tr w:rsidR="00A8765D">
        <w:tc>
          <w:tcPr>
            <w:tcW w:w="4536" w:type="dxa"/>
            <w:tcBorders>
              <w:top w:val="dashSmallGap" w:sz="4" w:space="0" w:color="auto"/>
              <w:left w:val="single" w:sz="4" w:space="0" w:color="auto"/>
              <w:bottom w:val="dashSmallGap" w:sz="4" w:space="0" w:color="auto"/>
            </w:tcBorders>
            <w:shd w:val="clear" w:color="auto" w:fill="auto"/>
          </w:tcPr>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R&amp;D: 1.5 % of GDP</w:t>
            </w:r>
          </w:p>
          <w:p w:rsidR="00A8765D" w:rsidRDefault="00A8765D">
            <w:pPr>
              <w:spacing w:after="240" w:line="240" w:lineRule="atLeast"/>
              <w:jc w:val="both"/>
              <w:rPr>
                <w:rFonts w:ascii="Times New Roman" w:hAnsi="Times New Roman" w:cs="Times New Roman"/>
                <w:noProof/>
                <w:color w:val="000000"/>
                <w:sz w:val="20"/>
              </w:rPr>
            </w:pPr>
          </w:p>
        </w:tc>
        <w:tc>
          <w:tcPr>
            <w:tcW w:w="3969" w:type="dxa"/>
            <w:tcBorders>
              <w:top w:val="dashSmallGap" w:sz="4" w:space="0" w:color="auto"/>
              <w:bottom w:val="dashSmallGap" w:sz="4" w:space="0" w:color="auto"/>
            </w:tcBorders>
            <w:shd w:val="clear" w:color="auto" w:fill="auto"/>
          </w:tcPr>
          <w:p w:rsidR="00A8765D" w:rsidRDefault="006C09F5">
            <w:pPr>
              <w:spacing w:after="240" w:line="240" w:lineRule="atLeast"/>
              <w:jc w:val="both"/>
              <w:rPr>
                <w:rFonts w:ascii="Times New Roman" w:hAnsi="Times New Roman" w:cs="Times New Roman"/>
                <w:noProof/>
                <w:color w:val="000000"/>
                <w:sz w:val="20"/>
                <w:highlight w:val="yellow"/>
              </w:rPr>
            </w:pPr>
            <w:r>
              <w:rPr>
                <w:rFonts w:ascii="Times New Roman" w:hAnsi="Times New Roman" w:cs="Times New Roman"/>
                <w:noProof/>
                <w:color w:val="000000"/>
                <w:sz w:val="20"/>
              </w:rPr>
              <w:t>R&amp;D expenditure was 0.64% of GDP in 2018, up from 0.51% of GDP in 2017. Latvia is not on track to meet its target.</w:t>
            </w:r>
          </w:p>
        </w:tc>
      </w:tr>
      <w:tr w:rsidR="00A8765D">
        <w:tc>
          <w:tcPr>
            <w:tcW w:w="4536" w:type="dxa"/>
            <w:tcBorders>
              <w:top w:val="dashSmallGap" w:sz="4" w:space="0" w:color="auto"/>
              <w:left w:val="single" w:sz="4" w:space="0" w:color="auto"/>
              <w:bottom w:val="dashSmallGap" w:sz="4" w:space="0" w:color="auto"/>
            </w:tcBorders>
            <w:shd w:val="clear" w:color="auto" w:fill="auto"/>
          </w:tcPr>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 xml:space="preserve">Greenhouse gas </w:t>
            </w:r>
            <w:r>
              <w:rPr>
                <w:rFonts w:ascii="Times New Roman" w:hAnsi="Times New Roman" w:cs="Times New Roman"/>
                <w:noProof/>
                <w:color w:val="000000"/>
                <w:sz w:val="20"/>
              </w:rPr>
              <w:t>emissions: increase by 17% between 2005 and 2020 (in non-ETS sectors)</w:t>
            </w:r>
          </w:p>
        </w:tc>
        <w:tc>
          <w:tcPr>
            <w:tcW w:w="3969" w:type="dxa"/>
            <w:tcBorders>
              <w:top w:val="dashSmallGap" w:sz="4" w:space="0" w:color="auto"/>
              <w:bottom w:val="dashSmallGap" w:sz="4" w:space="0" w:color="auto"/>
            </w:tcBorders>
            <w:shd w:val="clear" w:color="auto" w:fill="auto"/>
          </w:tcPr>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According to the latest national projections and taking into account existing measures, the target is expected to be achieved: 8% in 2020 compared to 2005 (with a margin of 9 pps).</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Furth</w:t>
            </w:r>
            <w:r>
              <w:rPr>
                <w:rFonts w:ascii="Times New Roman" w:hAnsi="Times New Roman" w:cs="Times New Roman"/>
                <w:noProof/>
                <w:color w:val="000000"/>
                <w:sz w:val="20"/>
              </w:rPr>
              <w:t>ermore, while the target for 2016 was an increase of no more than 12% compared to 2005, the preliminary figures show that the non-ETS emissions increased by 4%. The interim target has therefore been achieved.</w:t>
            </w:r>
          </w:p>
        </w:tc>
      </w:tr>
      <w:tr w:rsidR="00A8765D">
        <w:tc>
          <w:tcPr>
            <w:tcW w:w="4536" w:type="dxa"/>
            <w:tcBorders>
              <w:top w:val="dashSmallGap" w:sz="4" w:space="0" w:color="auto"/>
              <w:left w:val="single" w:sz="4" w:space="0" w:color="auto"/>
              <w:bottom w:val="dashSmallGap" w:sz="4" w:space="0" w:color="auto"/>
            </w:tcBorders>
            <w:shd w:val="clear" w:color="auto" w:fill="auto"/>
          </w:tcPr>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Renewable energy target: 40%</w:t>
            </w:r>
          </w:p>
        </w:tc>
        <w:tc>
          <w:tcPr>
            <w:tcW w:w="3969" w:type="dxa"/>
            <w:tcBorders>
              <w:top w:val="dashSmallGap" w:sz="4" w:space="0" w:color="auto"/>
              <w:bottom w:val="dashSmallGap" w:sz="4" w:space="0" w:color="auto"/>
            </w:tcBorders>
            <w:shd w:val="clear" w:color="auto" w:fill="auto"/>
          </w:tcPr>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In 2018, Latvia’s</w:t>
            </w:r>
            <w:r>
              <w:rPr>
                <w:rFonts w:ascii="Times New Roman" w:hAnsi="Times New Roman" w:cs="Times New Roman"/>
                <w:noProof/>
                <w:color w:val="000000"/>
                <w:sz w:val="20"/>
              </w:rPr>
              <w:t xml:space="preserve"> share of renewable energy was 40.3%, thus reaching its 2020 target. However, maintaining the renewables share at this level will remain a challenge.</w:t>
            </w:r>
          </w:p>
        </w:tc>
      </w:tr>
      <w:tr w:rsidR="00A8765D">
        <w:tc>
          <w:tcPr>
            <w:tcW w:w="4536" w:type="dxa"/>
            <w:tcBorders>
              <w:top w:val="dashSmallGap" w:sz="4" w:space="0" w:color="auto"/>
              <w:left w:val="single" w:sz="4" w:space="0" w:color="auto"/>
              <w:bottom w:val="dashSmallGap" w:sz="4" w:space="0" w:color="auto"/>
            </w:tcBorders>
            <w:shd w:val="clear" w:color="auto" w:fill="auto"/>
          </w:tcPr>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Energy efficiency: 5.4 Mtoe expressed in primary energy consumption (4.5 Mtoe expressed in final energy c</w:t>
            </w:r>
            <w:r>
              <w:rPr>
                <w:rFonts w:ascii="Times New Roman" w:hAnsi="Times New Roman" w:cs="Times New Roman"/>
                <w:noProof/>
                <w:color w:val="000000"/>
                <w:sz w:val="20"/>
              </w:rPr>
              <w:t>onsumption)</w:t>
            </w:r>
          </w:p>
        </w:tc>
        <w:tc>
          <w:tcPr>
            <w:tcW w:w="3969" w:type="dxa"/>
            <w:tcBorders>
              <w:top w:val="dashSmallGap" w:sz="4" w:space="0" w:color="auto"/>
              <w:bottom w:val="dashSmallGap" w:sz="4" w:space="0" w:color="auto"/>
            </w:tcBorders>
            <w:shd w:val="clear" w:color="auto" w:fill="auto"/>
          </w:tcPr>
          <w:p w:rsidR="00A8765D" w:rsidRDefault="006C09F5">
            <w:pPr>
              <w:spacing w:after="240" w:line="240" w:lineRule="atLeast"/>
              <w:jc w:val="both"/>
              <w:rPr>
                <w:rFonts w:ascii="Times New Roman" w:hAnsi="Times New Roman" w:cs="Times New Roman"/>
                <w:noProof/>
                <w:color w:val="000000"/>
                <w:sz w:val="20"/>
                <w:highlight w:val="yellow"/>
              </w:rPr>
            </w:pPr>
            <w:r>
              <w:rPr>
                <w:rFonts w:ascii="Times New Roman" w:hAnsi="Times New Roman" w:cs="Times New Roman"/>
                <w:noProof/>
                <w:color w:val="000000"/>
                <w:sz w:val="20"/>
              </w:rPr>
              <w:t>In 2018, Latvia’s primary energy consumption increased to 4.7 from 4.5 Mtoe in 2017. Final energy consumption also increased from 4.0 Mtoe to 4.2 Mtoe. Given the current trend, Latvia is at some risk of missing its 2020 energy efficiency target</w:t>
            </w:r>
            <w:r>
              <w:rPr>
                <w:rFonts w:ascii="Times New Roman" w:hAnsi="Times New Roman" w:cs="Times New Roman"/>
                <w:noProof/>
                <w:color w:val="000000"/>
                <w:sz w:val="20"/>
              </w:rPr>
              <w:t>, particularly for final energy consumption.</w:t>
            </w:r>
          </w:p>
        </w:tc>
      </w:tr>
      <w:tr w:rsidR="00A8765D">
        <w:tc>
          <w:tcPr>
            <w:tcW w:w="4536" w:type="dxa"/>
            <w:tcBorders>
              <w:top w:val="dashSmallGap" w:sz="4" w:space="0" w:color="auto"/>
              <w:left w:val="single" w:sz="4" w:space="0" w:color="auto"/>
              <w:bottom w:val="dashSmallGap" w:sz="4" w:space="0" w:color="auto"/>
            </w:tcBorders>
            <w:shd w:val="clear" w:color="auto" w:fill="auto"/>
          </w:tcPr>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 xml:space="preserve">Early school leaving: 10% </w:t>
            </w:r>
          </w:p>
        </w:tc>
        <w:tc>
          <w:tcPr>
            <w:tcW w:w="3969" w:type="dxa"/>
            <w:tcBorders>
              <w:top w:val="dashSmallGap" w:sz="4" w:space="0" w:color="auto"/>
              <w:bottom w:val="dashSmallGap" w:sz="4" w:space="0" w:color="auto"/>
            </w:tcBorders>
            <w:shd w:val="clear" w:color="auto" w:fill="auto"/>
          </w:tcPr>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The share of early school leavers from education and training decreased from 8.6% in 2017 to 8.3% in 2018.</w:t>
            </w:r>
          </w:p>
        </w:tc>
      </w:tr>
      <w:tr w:rsidR="00A8765D">
        <w:tc>
          <w:tcPr>
            <w:tcW w:w="4536" w:type="dxa"/>
            <w:tcBorders>
              <w:top w:val="dashSmallGap" w:sz="4" w:space="0" w:color="auto"/>
              <w:left w:val="single" w:sz="4" w:space="0" w:color="auto"/>
              <w:bottom w:val="dashSmallGap" w:sz="4" w:space="0" w:color="auto"/>
            </w:tcBorders>
            <w:shd w:val="clear" w:color="auto" w:fill="auto"/>
          </w:tcPr>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Tertiary education: 34% attainment rate for age group 30-34</w:t>
            </w:r>
          </w:p>
        </w:tc>
        <w:tc>
          <w:tcPr>
            <w:tcW w:w="3969" w:type="dxa"/>
            <w:tcBorders>
              <w:top w:val="dashSmallGap" w:sz="4" w:space="0" w:color="auto"/>
              <w:bottom w:val="dashSmallGap" w:sz="4" w:space="0" w:color="auto"/>
            </w:tcBorders>
            <w:shd w:val="clear" w:color="auto" w:fill="auto"/>
          </w:tcPr>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 xml:space="preserve">The already </w:t>
            </w:r>
            <w:r>
              <w:rPr>
                <w:rFonts w:ascii="Times New Roman" w:hAnsi="Times New Roman" w:cs="Times New Roman"/>
                <w:noProof/>
                <w:color w:val="000000"/>
                <w:sz w:val="20"/>
              </w:rPr>
              <w:t>high tertiary attainment rate decreased slightly in 2018 reaching 42.7% from 43.8% in 2017. Gender disparities remain strong, with the tertiary attainment rate at 30.6% for men and 55.2% for women.</w:t>
            </w:r>
          </w:p>
        </w:tc>
      </w:tr>
      <w:tr w:rsidR="00A8765D">
        <w:tc>
          <w:tcPr>
            <w:tcW w:w="4536" w:type="dxa"/>
            <w:tcBorders>
              <w:top w:val="dashSmallGap" w:sz="4" w:space="0" w:color="auto"/>
              <w:left w:val="single" w:sz="4" w:space="0" w:color="auto"/>
              <w:bottom w:val="single" w:sz="4" w:space="0" w:color="auto"/>
            </w:tcBorders>
            <w:shd w:val="clear" w:color="auto" w:fill="auto"/>
          </w:tcPr>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Poverty/social exclusion: reduction of the number of peop</w:t>
            </w:r>
            <w:r>
              <w:rPr>
                <w:rFonts w:ascii="Times New Roman" w:hAnsi="Times New Roman" w:cs="Times New Roman"/>
                <w:noProof/>
                <w:color w:val="000000"/>
                <w:sz w:val="20"/>
              </w:rPr>
              <w:t>le at risk of poverty and/or living in jobless households by 121 000 compared to 2008.</w:t>
            </w:r>
          </w:p>
        </w:tc>
        <w:tc>
          <w:tcPr>
            <w:tcW w:w="3969" w:type="dxa"/>
            <w:tcBorders>
              <w:top w:val="dashSmallGap" w:sz="4" w:space="0" w:color="auto"/>
              <w:bottom w:val="single" w:sz="4" w:space="0" w:color="auto"/>
            </w:tcBorders>
            <w:shd w:val="clear" w:color="auto" w:fill="auto"/>
          </w:tcPr>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After having reached its target in 2017, Latvia has again fallen below it in 2018. The number of people living at risk of poverty and/or living in jobless households rea</w:t>
            </w:r>
            <w:r>
              <w:rPr>
                <w:rFonts w:ascii="Times New Roman" w:hAnsi="Times New Roman" w:cs="Times New Roman"/>
                <w:noProof/>
                <w:color w:val="000000"/>
                <w:sz w:val="20"/>
              </w:rPr>
              <w:t>ched 471 000 in 2018, resulting in a reduction of 104 000 compared to 2008, less than the target.</w:t>
            </w:r>
          </w:p>
        </w:tc>
      </w:tr>
      <w:bookmarkEnd w:id="61"/>
    </w:tbl>
    <w:p w:rsidR="00A8765D" w:rsidRDefault="00A8765D">
      <w:pPr>
        <w:spacing w:after="240" w:line="240" w:lineRule="atLeast"/>
        <w:jc w:val="both"/>
        <w:rPr>
          <w:rFonts w:ascii="Times New Roman" w:hAnsi="Times New Roman" w:cs="Times New Roman"/>
          <w:noProof/>
          <w:color w:val="000000"/>
          <w:sz w:val="20"/>
        </w:rPr>
        <w:sectPr w:rsidR="00A8765D">
          <w:headerReference w:type="even" r:id="rId101"/>
          <w:headerReference w:type="default" r:id="rId102"/>
          <w:footerReference w:type="even" r:id="rId103"/>
          <w:footerReference w:type="default" r:id="rId104"/>
          <w:headerReference w:type="first" r:id="rId105"/>
          <w:footerReference w:type="first" r:id="rId106"/>
          <w:footnotePr>
            <w:pos w:val="beneathText"/>
          </w:footnotePr>
          <w:endnotePr>
            <w:numFmt w:val="decimal"/>
            <w:numRestart w:val="eachSect"/>
          </w:endnotePr>
          <w:pgSz w:w="11907" w:h="16839"/>
          <w:pgMar w:top="2693" w:right="1701" w:bottom="1417" w:left="1701" w:header="709" w:footer="709" w:gutter="0"/>
          <w:cols w:space="708"/>
          <w:titlePg/>
          <w:docGrid w:linePitch="360"/>
        </w:sectPr>
      </w:pPr>
    </w:p>
    <w:bookmarkStart w:id="63" w:name="GUID5E4B2B209D4E49CE8F20772216D32067"/>
    <w:p w:rsidR="00A8765D" w:rsidRDefault="006C09F5">
      <w:pPr>
        <w:spacing w:after="240" w:line="240" w:lineRule="atLeast"/>
        <w:jc w:val="both"/>
        <w:rPr>
          <w:rFonts w:ascii="Times New Roman" w:hAnsi="Times New Roman" w:cs="Times New Roman"/>
          <w:noProof/>
          <w:vanish/>
          <w:color w:val="000000"/>
          <w:sz w:val="20"/>
        </w:rPr>
      </w:pPr>
      <w:r>
        <w:rPr>
          <w:rFonts w:ascii="Times New Roman" w:hAnsi="Times New Roman" w:cs="Times New Roman"/>
          <w:noProof/>
          <w:vanish/>
          <w:color w:val="000000"/>
          <w:sz w:val="20"/>
        </w:rPr>
        <w:fldChar w:fldCharType="begin"/>
      </w:r>
      <w:r>
        <w:rPr>
          <w:rFonts w:ascii="Times New Roman" w:hAnsi="Times New Roman" w:cs="Times New Roman"/>
          <w:noProof/>
          <w:color w:val="000000"/>
          <w:sz w:val="20"/>
        </w:rPr>
        <w:instrText xml:space="preserve"> TC "</w:instrText>
      </w:r>
      <w:bookmarkStart w:id="64" w:name="_Toc33020603"/>
      <w:r>
        <w:rPr>
          <w:rFonts w:ascii="Times New Roman" w:hAnsi="Times New Roman" w:cs="Times New Roman"/>
          <w:noProof/>
          <w:color w:val="000000"/>
          <w:sz w:val="20"/>
        </w:rPr>
        <w:instrText>B.</w:instrText>
      </w:r>
      <w:r>
        <w:rPr>
          <w:rFonts w:ascii="Times New Roman" w:hAnsi="Times New Roman" w:cs="Times New Roman"/>
          <w:noProof/>
          <w:color w:val="000000"/>
          <w:sz w:val="20"/>
        </w:rPr>
        <w:tab/>
        <w:instrText>DSA statistical annex</w:instrText>
      </w:r>
      <w:bookmarkEnd w:id="64"/>
      <w:r>
        <w:rPr>
          <w:rFonts w:ascii="Times New Roman" w:hAnsi="Times New Roman" w:cs="Times New Roman"/>
          <w:noProof/>
          <w:color w:val="000000"/>
          <w:sz w:val="20"/>
        </w:rPr>
        <w:instrText xml:space="preserve">" \f \l 2 </w:instrText>
      </w:r>
      <w:r>
        <w:rPr>
          <w:rFonts w:ascii="Times New Roman" w:hAnsi="Times New Roman" w:cs="Times New Roman"/>
          <w:noProof/>
          <w:vanish/>
          <w:color w:val="000000"/>
          <w:sz w:val="20"/>
        </w:rPr>
        <w:fldChar w:fldCharType="end"/>
      </w:r>
    </w:p>
    <w:p w:rsidR="00A8765D" w:rsidRDefault="006C09F5">
      <w:pPr>
        <w:spacing w:after="240" w:line="240" w:lineRule="atLeast"/>
        <w:jc w:val="both"/>
        <w:rPr>
          <w:rFonts w:ascii="Times New Roman" w:hAnsi="Times New Roman" w:cs="Times New Roman"/>
          <w:noProof/>
          <w:color w:val="000000"/>
          <w:sz w:val="20"/>
        </w:rPr>
        <w:sectPr w:rsidR="00A8765D">
          <w:headerReference w:type="even" r:id="rId107"/>
          <w:headerReference w:type="default" r:id="rId108"/>
          <w:footerReference w:type="even" r:id="rId109"/>
          <w:footerReference w:type="default" r:id="rId110"/>
          <w:headerReference w:type="first" r:id="rId111"/>
          <w:footerReference w:type="first" r:id="rId112"/>
          <w:footnotePr>
            <w:pos w:val="beneathText"/>
          </w:footnotePr>
          <w:endnotePr>
            <w:numFmt w:val="decimal"/>
            <w:numRestart w:val="eachSect"/>
          </w:endnotePr>
          <w:pgSz w:w="11907" w:h="16839"/>
          <w:pgMar w:top="2693" w:right="1701" w:bottom="1417" w:left="1701" w:header="709" w:footer="709" w:gutter="0"/>
          <w:cols w:space="708"/>
          <w:titlePg/>
          <w:docGrid w:linePitch="360"/>
        </w:sectPr>
      </w:pPr>
      <w:r>
        <w:rPr>
          <w:rFonts w:ascii="Times New Roman" w:hAnsi="Times New Roman" w:cs="Times New Roman"/>
          <w:noProof/>
          <w:color w:val="000000"/>
          <w:sz w:val="20"/>
          <w:lang w:eastAsia="en-GB"/>
        </w:rPr>
        <w:drawing>
          <wp:inline distT="0" distB="0" distL="0" distR="0">
            <wp:extent cx="5400675" cy="7533005"/>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V DSA annex.jpg"/>
                    <pic:cNvPicPr/>
                  </pic:nvPicPr>
                  <pic:blipFill>
                    <a:blip r:embed="rId113">
                      <a:extLst>
                        <a:ext uri="{28A0092B-C50C-407E-A947-70E740481C1C}">
                          <a14:useLocalDpi xmlns:a14="http://schemas.microsoft.com/office/drawing/2010/main" val="0"/>
                        </a:ext>
                      </a:extLst>
                    </a:blip>
                    <a:stretch>
                      <a:fillRect/>
                    </a:stretch>
                  </pic:blipFill>
                  <pic:spPr>
                    <a:xfrm>
                      <a:off x="0" y="0"/>
                      <a:ext cx="5400675" cy="7533005"/>
                    </a:xfrm>
                    <a:prstGeom prst="rect">
                      <a:avLst/>
                    </a:prstGeom>
                  </pic:spPr>
                </pic:pic>
              </a:graphicData>
            </a:graphic>
          </wp:inline>
        </w:drawing>
      </w:r>
      <w:bookmarkEnd w:id="63"/>
    </w:p>
    <w:tbl>
      <w:tblPr>
        <w:tblW w:w="0" w:type="auto"/>
        <w:tblLayout w:type="fixed"/>
        <w:tblCellMar>
          <w:left w:w="0" w:type="dxa"/>
          <w:right w:w="0" w:type="dxa"/>
        </w:tblCellMar>
        <w:tblLook w:val="0000" w:firstRow="0" w:lastRow="0" w:firstColumn="0" w:lastColumn="0" w:noHBand="0" w:noVBand="0"/>
      </w:tblPr>
      <w:tblGrid>
        <w:gridCol w:w="8505"/>
      </w:tblGrid>
      <w:tr w:rsidR="00A8765D">
        <w:trPr>
          <w:cantSplit/>
          <w:trHeight w:val="20"/>
        </w:trPr>
        <w:tc>
          <w:tcPr>
            <w:tcW w:w="8505" w:type="dxa"/>
            <w:shd w:val="clear" w:color="auto" w:fill="auto"/>
          </w:tcPr>
          <w:bookmarkStart w:id="65" w:name="GUID42C7E234365C42688D1F4D3F8FEDE633"/>
          <w:p w:rsidR="00A8765D" w:rsidRDefault="006C09F5">
            <w:pPr>
              <w:keepNext/>
              <w:spacing w:after="0" w:line="240" w:lineRule="auto"/>
              <w:jc w:val="both"/>
              <w:rPr>
                <w:rFonts w:ascii="Times New Roman" w:hAnsi="Times New Roman" w:cs="Times New Roman"/>
                <w:noProof/>
                <w:color w:val="000000"/>
                <w:sz w:val="2"/>
              </w:rPr>
            </w:pPr>
            <w:r>
              <w:rPr>
                <w:rFonts w:ascii="Times New Roman" w:hAnsi="Times New Roman" w:cs="Times New Roman"/>
                <w:noProof/>
                <w:color w:val="000000"/>
                <w:sz w:val="2"/>
              </w:rPr>
              <w:fldChar w:fldCharType="begin"/>
            </w:r>
            <w:r>
              <w:rPr>
                <w:rFonts w:ascii="Times New Roman" w:hAnsi="Times New Roman" w:cs="Times New Roman"/>
                <w:noProof/>
                <w:color w:val="000000"/>
                <w:sz w:val="2"/>
              </w:rPr>
              <w:instrText xml:space="preserve"> TC "</w:instrText>
            </w:r>
            <w:bookmarkStart w:id="66" w:name="_Toc33020604"/>
            <w:r>
              <w:rPr>
                <w:rFonts w:ascii="Times New Roman" w:hAnsi="Times New Roman" w:cs="Times New Roman"/>
                <w:noProof/>
                <w:color w:val="000000"/>
                <w:sz w:val="2"/>
              </w:rPr>
              <w:instrText>C.</w:instrText>
            </w:r>
            <w:r>
              <w:rPr>
                <w:rFonts w:ascii="Times New Roman" w:hAnsi="Times New Roman" w:cs="Times New Roman"/>
                <w:noProof/>
                <w:color w:val="000000"/>
                <w:sz w:val="2"/>
              </w:rPr>
              <w:tab/>
              <w:instrText>Standard Tables</w:instrText>
            </w:r>
            <w:bookmarkEnd w:id="66"/>
            <w:r>
              <w:rPr>
                <w:rFonts w:ascii="Times New Roman" w:hAnsi="Times New Roman" w:cs="Times New Roman"/>
                <w:noProof/>
                <w:color w:val="000000"/>
                <w:sz w:val="2"/>
              </w:rPr>
              <w:instrText xml:space="preserve">" \f \l 2 </w:instrText>
            </w:r>
            <w:r>
              <w:rPr>
                <w:rFonts w:ascii="Times New Roman" w:hAnsi="Times New Roman" w:cs="Times New Roman"/>
                <w:noProof/>
                <w:color w:val="000000"/>
                <w:sz w:val="2"/>
              </w:rPr>
              <w:fldChar w:fldCharType="end"/>
            </w:r>
          </w:p>
        </w:tc>
      </w:tr>
      <w:tr w:rsidR="00A8765D">
        <w:trPr>
          <w:cantSplit/>
        </w:trPr>
        <w:tc>
          <w:tcPr>
            <w:tcW w:w="8505"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Table C.1:</w:t>
            </w:r>
            <w:r>
              <w:rPr>
                <w:rFonts w:ascii="Century Gothic" w:hAnsi="Century Gothic" w:cs="Times New Roman"/>
                <w:b/>
                <w:noProof/>
                <w:color w:val="333399"/>
                <w:sz w:val="14"/>
              </w:rPr>
              <w:tab/>
              <w:t>Financial market indicators</w:t>
            </w:r>
          </w:p>
        </w:tc>
      </w:tr>
      <w:tr w:rsidR="00A8765D">
        <w:trPr>
          <w:cantSplit/>
        </w:trPr>
        <w:tc>
          <w:tcPr>
            <w:tcW w:w="8505"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67" w:name="_Toc33020610"/>
            <w:r>
              <w:rPr>
                <w:rFonts w:ascii="Times New Roman" w:hAnsi="Times New Roman" w:cs="Times New Roman"/>
                <w:noProof/>
                <w:color w:val="000000"/>
                <w:sz w:val="20"/>
              </w:rPr>
              <w:instrText>C.1.</w:instrText>
            </w:r>
            <w:r>
              <w:rPr>
                <w:rFonts w:ascii="Times New Roman" w:hAnsi="Times New Roman" w:cs="Times New Roman"/>
                <w:noProof/>
                <w:color w:val="000000"/>
                <w:sz w:val="20"/>
              </w:rPr>
              <w:tab/>
              <w:instrText xml:space="preserve">Financial </w:instrText>
            </w:r>
            <w:r>
              <w:rPr>
                <w:rFonts w:ascii="Times New Roman" w:hAnsi="Times New Roman" w:cs="Times New Roman"/>
                <w:noProof/>
                <w:color w:val="000000"/>
                <w:sz w:val="20"/>
              </w:rPr>
              <w:instrText>market indicators</w:instrText>
            </w:r>
            <w:bookmarkEnd w:id="67"/>
            <w:r>
              <w:rPr>
                <w:rFonts w:ascii="Times New Roman" w:hAnsi="Times New Roman" w:cs="Times New Roman"/>
                <w:noProof/>
                <w:color w:val="000000"/>
                <w:sz w:val="20"/>
              </w:rPr>
              <w:instrText xml:space="preserve">" \ftable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en-GB"/>
              </w:rPr>
              <w:drawing>
                <wp:inline distT="0" distB="0" distL="0" distR="0">
                  <wp:extent cx="5388229" cy="2155292"/>
                  <wp:effectExtent l="0" t="0" r="3175" b="0"/>
                  <wp:docPr id="18" name="Picture 18" descr="&lt;nbr&gt;&lt;GETTEXTFROMWORD&gt;&lt;/nbr&gt;&#10;&lt;title&gt;&lt;GETTEXTFROMWORD&gt;&lt;/title&gt;&#10;&lt;id&gt;24de3763-77bc-4311-a7a2-8270ef1ede29&lt;/id&gt;&#10;&lt;srcType&gt;EXCEL&lt;/srcType&gt;&#10;&lt;srcPath&gt;O:\2017 CRs\2020 European semester\LV\LV2020_ graphs\&lt;/srcPath&gt;&#10;&lt;srcName&gt;14 LV Standard tables.xls&lt;/srcName&gt;&#10;&lt;type&gt;table&lt;/type&gt;&#10; &lt;srcSheet&gt;LV Table C1&lt;/srcSheet&gt;&#10; &lt;srcRange&gt;R3C2:R18C8&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4T16:28:39&lt;/scrFileTime&gt;&#10;&lt;imageInformation&gt;&#10; &lt;dontScaleUp&gt;no&lt;/dontScaleUp&gt;&#10; &lt;usedpercentageofavailablewidth&gt;100&lt;/usedpercentageofavailablewidth&gt;&#10;&lt;/imageInformation&gt;&#10;&lt;url&gt;Chap0/Chap0-Table-%SectionNumber%.3.xls&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5388229" cy="2155292"/>
                          </a:xfrm>
                          <a:prstGeom prst="rect">
                            <a:avLst/>
                          </a:prstGeom>
                        </pic:spPr>
                      </pic:pic>
                    </a:graphicData>
                  </a:graphic>
                </wp:inline>
              </w:drawing>
            </w:r>
            <w:r>
              <w:rPr>
                <w:rFonts w:ascii="Times New Roman" w:hAnsi="Times New Roman" w:cs="Times New Roman"/>
                <w:noProof/>
                <w:color w:val="000000"/>
                <w:sz w:val="2"/>
              </w:rPr>
              <w:t xml:space="preserve"> </w:t>
            </w:r>
          </w:p>
        </w:tc>
      </w:tr>
      <w:tr w:rsidR="00A8765D">
        <w:trPr>
          <w:cantSplit/>
        </w:trPr>
        <w:tc>
          <w:tcPr>
            <w:tcW w:w="8505" w:type="dxa"/>
            <w:shd w:val="clear" w:color="auto" w:fill="auto"/>
          </w:tcPr>
          <w:p w:rsidR="00A8765D" w:rsidRDefault="006C09F5">
            <w:pPr>
              <w:keepNext/>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noProof/>
                <w:color w:val="000000"/>
                <w:sz w:val="14"/>
              </w:rPr>
              <w:t>(1) Latest data Q3 2019. Includes not only banks but all monetary financial institutions excluding central banks.</w:t>
            </w:r>
            <w:r>
              <w:rPr>
                <w:rFonts w:ascii="Century Gothic" w:hAnsi="Century Gothic" w:cs="Times New Roman"/>
                <w:noProof/>
                <w:color w:val="000000"/>
                <w:sz w:val="14"/>
              </w:rPr>
              <w:br/>
              <w:t>(2) Latest data Q2 2019.</w:t>
            </w:r>
            <w:r>
              <w:rPr>
                <w:rFonts w:ascii="Century Gothic" w:hAnsi="Century Gothic" w:cs="Times New Roman"/>
                <w:noProof/>
                <w:color w:val="000000"/>
                <w:sz w:val="14"/>
              </w:rPr>
              <w:br/>
              <w:t>(3) Quarterly values are annualised</w:t>
            </w:r>
            <w:r>
              <w:rPr>
                <w:rFonts w:ascii="Century Gothic" w:hAnsi="Century Gothic" w:cs="Times New Roman"/>
                <w:noProof/>
                <w:color w:val="000000"/>
                <w:sz w:val="14"/>
              </w:rPr>
              <w:br/>
              <w:t>* Measured in basis points..</w:t>
            </w:r>
          </w:p>
          <w:p w:rsidR="00A8765D" w:rsidRDefault="006C09F5">
            <w:pPr>
              <w:keepNext/>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European Commission (long-term interest rates); World Bank (gross external debt); Eurostat (private debt); ECB (all other indicators).</w:t>
            </w:r>
          </w:p>
        </w:tc>
      </w:tr>
      <w:tr w:rsidR="00A8765D">
        <w:trPr>
          <w:cantSplit/>
          <w:trHeight w:val="20"/>
        </w:trPr>
        <w:tc>
          <w:tcPr>
            <w:tcW w:w="8505" w:type="dxa"/>
            <w:shd w:val="clear" w:color="auto" w:fill="auto"/>
            <w:tcMar>
              <w:bottom w:w="240" w:type="dxa"/>
            </w:tcMar>
          </w:tcPr>
          <w:p w:rsidR="00A8765D" w:rsidRDefault="00A8765D">
            <w:pPr>
              <w:spacing w:after="0" w:line="240" w:lineRule="auto"/>
              <w:jc w:val="both"/>
              <w:rPr>
                <w:rFonts w:ascii="Times New Roman" w:hAnsi="Times New Roman" w:cs="Times New Roman"/>
                <w:noProof/>
                <w:color w:val="000000"/>
                <w:sz w:val="2"/>
              </w:rPr>
            </w:pPr>
          </w:p>
        </w:tc>
      </w:tr>
    </w:tbl>
    <w:p w:rsidR="00A8765D" w:rsidRDefault="00A8765D">
      <w:pPr>
        <w:spacing w:after="0" w:line="20" w:lineRule="exact"/>
        <w:jc w:val="both"/>
        <w:rPr>
          <w:rFonts w:ascii="Times New Roman" w:hAnsi="Times New Roman" w:cs="Times New Roman"/>
          <w:noProof/>
          <w:color w:val="000000"/>
          <w:sz w:val="2"/>
        </w:rPr>
      </w:pPr>
    </w:p>
    <w:tbl>
      <w:tblPr>
        <w:tblW w:w="0" w:type="auto"/>
        <w:tblLayout w:type="fixed"/>
        <w:tblCellMar>
          <w:left w:w="0" w:type="dxa"/>
          <w:right w:w="0" w:type="dxa"/>
        </w:tblCellMar>
        <w:tblLook w:val="0000" w:firstRow="0" w:lastRow="0" w:firstColumn="0" w:lastColumn="0" w:noHBand="0" w:noVBand="0"/>
      </w:tblPr>
      <w:tblGrid>
        <w:gridCol w:w="8505"/>
      </w:tblGrid>
      <w:tr w:rsidR="00A8765D">
        <w:trPr>
          <w:cantSplit/>
          <w:trHeight w:val="20"/>
        </w:trPr>
        <w:tc>
          <w:tcPr>
            <w:tcW w:w="8505" w:type="dxa"/>
            <w:shd w:val="clear" w:color="auto" w:fill="auto"/>
          </w:tcPr>
          <w:p w:rsidR="00A8765D" w:rsidRDefault="00A8765D">
            <w:pPr>
              <w:keepNext/>
              <w:spacing w:after="0" w:line="240" w:lineRule="auto"/>
              <w:jc w:val="both"/>
              <w:rPr>
                <w:rFonts w:ascii="Times New Roman" w:hAnsi="Times New Roman" w:cs="Times New Roman"/>
                <w:noProof/>
                <w:color w:val="000000"/>
                <w:sz w:val="2"/>
              </w:rPr>
            </w:pPr>
          </w:p>
        </w:tc>
      </w:tr>
      <w:tr w:rsidR="00A8765D">
        <w:trPr>
          <w:cantSplit/>
        </w:trPr>
        <w:tc>
          <w:tcPr>
            <w:tcW w:w="8505"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Table C.2:</w:t>
            </w:r>
            <w:r>
              <w:rPr>
                <w:rFonts w:ascii="Century Gothic" w:hAnsi="Century Gothic" w:cs="Times New Roman"/>
                <w:b/>
                <w:noProof/>
                <w:color w:val="333399"/>
                <w:sz w:val="14"/>
              </w:rPr>
              <w:tab/>
              <w:t>Headline Social Scoreboard indicators</w:t>
            </w:r>
          </w:p>
        </w:tc>
      </w:tr>
      <w:tr w:rsidR="00A8765D">
        <w:trPr>
          <w:cantSplit/>
        </w:trPr>
        <w:tc>
          <w:tcPr>
            <w:tcW w:w="8505"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68" w:name="_Toc33020611"/>
            <w:r>
              <w:rPr>
                <w:rFonts w:ascii="Times New Roman" w:hAnsi="Times New Roman" w:cs="Times New Roman"/>
                <w:noProof/>
                <w:color w:val="000000"/>
                <w:sz w:val="20"/>
              </w:rPr>
              <w:instrText>C.2.</w:instrText>
            </w:r>
            <w:r>
              <w:rPr>
                <w:rFonts w:ascii="Times New Roman" w:hAnsi="Times New Roman" w:cs="Times New Roman"/>
                <w:noProof/>
                <w:color w:val="000000"/>
                <w:sz w:val="20"/>
              </w:rPr>
              <w:tab/>
              <w:instrText>Headline Social Scoreboard indicators</w:instrText>
            </w:r>
            <w:bookmarkEnd w:id="68"/>
            <w:r>
              <w:rPr>
                <w:rFonts w:ascii="Times New Roman" w:hAnsi="Times New Roman" w:cs="Times New Roman"/>
                <w:noProof/>
                <w:color w:val="000000"/>
                <w:sz w:val="20"/>
              </w:rPr>
              <w:instrText xml:space="preserve">" \ftable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en-GB"/>
              </w:rPr>
              <w:drawing>
                <wp:inline distT="0" distB="0" distL="0" distR="0">
                  <wp:extent cx="5388229" cy="4653326"/>
                  <wp:effectExtent l="0" t="0" r="3175" b="0"/>
                  <wp:docPr id="17" name="Picture 17" descr="&lt;nbr&gt;&lt;GETTEXTFROMWORD&gt;&lt;/nbr&gt;&#10;&lt;title&gt;&lt;GETTEXTFROMWORD&gt;&lt;/title&gt;&#10;&lt;id&gt;81174314-cd6f-4eb3-8e01-47e00af39d40&lt;/id&gt;&#10;&lt;srcType&gt;EXCEL&lt;/srcType&gt;&#10;&lt;srcPath&gt;O:\2017 CRs\2020 European semester\LV\LV2020_ graphs\&lt;/srcPath&gt;&#10;&lt;srcName&gt;14 LV Standard tables.xls&lt;/srcName&gt;&#10;&lt;type&gt;table&lt;/type&gt;&#10; &lt;srcSheet&gt;LV Table C2&lt;/srcSheet&gt;&#10; &lt;srcRange&gt;R3C2:R21C8&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4T16:28:39&lt;/scrFileTime&gt;&#10;&lt;imageInformation&gt;&#10; &lt;dontScaleUp&gt;no&lt;/dontScaleUp&gt;&#10; &lt;usedpercentageofavailablewidth&gt;100&lt;/usedpercentageofavailablewidth&gt;&#10;&lt;/imageInformation&gt;&#10;&lt;url&gt;Chap0/Chap0-Table-%SectionNumber%.4.xls&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5388229" cy="4653326"/>
                          </a:xfrm>
                          <a:prstGeom prst="rect">
                            <a:avLst/>
                          </a:prstGeom>
                        </pic:spPr>
                      </pic:pic>
                    </a:graphicData>
                  </a:graphic>
                </wp:inline>
              </w:drawing>
            </w:r>
            <w:r>
              <w:rPr>
                <w:rFonts w:ascii="Times New Roman" w:hAnsi="Times New Roman" w:cs="Times New Roman"/>
                <w:noProof/>
                <w:color w:val="000000"/>
                <w:sz w:val="2"/>
              </w:rPr>
              <w:t xml:space="preserve">  </w:t>
            </w:r>
          </w:p>
        </w:tc>
      </w:tr>
      <w:tr w:rsidR="00A8765D">
        <w:trPr>
          <w:cantSplit/>
        </w:trPr>
        <w:tc>
          <w:tcPr>
            <w:tcW w:w="8505" w:type="dxa"/>
            <w:shd w:val="clear" w:color="auto" w:fill="auto"/>
          </w:tcPr>
          <w:p w:rsidR="00A8765D" w:rsidRDefault="006C09F5">
            <w:pPr>
              <w:keepNext/>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noProof/>
                <w:color w:val="000000"/>
                <w:sz w:val="14"/>
              </w:rPr>
              <w:t>(1) People at risk of poverty or social exclusion (AROPE): individuals who are at risk of poverty (AROP) and/or suffering from severe material deprivation and/or living in households with zero or very low work intensity.</w:t>
            </w:r>
            <w:r>
              <w:rPr>
                <w:rFonts w:ascii="Century Gothic" w:hAnsi="Century Gothic" w:cs="Times New Roman"/>
                <w:noProof/>
                <w:color w:val="000000"/>
                <w:sz w:val="14"/>
              </w:rPr>
              <w:br/>
              <w:t>(2) Unemployed persons are all</w:t>
            </w:r>
            <w:r>
              <w:rPr>
                <w:rFonts w:ascii="Century Gothic" w:hAnsi="Century Gothic" w:cs="Times New Roman"/>
                <w:noProof/>
                <w:color w:val="000000"/>
                <w:sz w:val="14"/>
              </w:rPr>
              <w:t xml:space="preserve"> those who were not employed but had actively sought work and were ready to begin working immediately or within two weeks.</w:t>
            </w:r>
            <w:r>
              <w:rPr>
                <w:rFonts w:ascii="Century Gothic" w:hAnsi="Century Gothic" w:cs="Times New Roman"/>
                <w:noProof/>
                <w:color w:val="000000"/>
                <w:sz w:val="14"/>
              </w:rPr>
              <w:br/>
              <w:t>(3) Gross disposable household income is defined in unadjusted terms, according to the draft 2019 joint employment report.</w:t>
            </w:r>
            <w:r>
              <w:rPr>
                <w:rFonts w:ascii="Century Gothic" w:hAnsi="Century Gothic" w:cs="Times New Roman"/>
                <w:noProof/>
                <w:color w:val="000000"/>
                <w:sz w:val="14"/>
              </w:rPr>
              <w:br/>
              <w:t>(4) Reduct</w:t>
            </w:r>
            <w:r>
              <w:rPr>
                <w:rFonts w:ascii="Century Gothic" w:hAnsi="Century Gothic" w:cs="Times New Roman"/>
                <w:noProof/>
                <w:color w:val="000000"/>
                <w:sz w:val="14"/>
              </w:rPr>
              <w:t>ion in percentage of the risk-of-poverty rate, due to social transfers (calculated comparing at-risk-of-poverty rates before social transfers with those after transfers; pensions are not considered as social transfers in the calculation).</w:t>
            </w:r>
            <w:r>
              <w:rPr>
                <w:rFonts w:ascii="Century Gothic" w:hAnsi="Century Gothic" w:cs="Times New Roman"/>
                <w:noProof/>
                <w:color w:val="000000"/>
                <w:sz w:val="14"/>
              </w:rPr>
              <w:br/>
              <w:t>(5) Average of fi</w:t>
            </w:r>
            <w:r>
              <w:rPr>
                <w:rFonts w:ascii="Century Gothic" w:hAnsi="Century Gothic" w:cs="Times New Roman"/>
                <w:noProof/>
                <w:color w:val="000000"/>
                <w:sz w:val="14"/>
              </w:rPr>
              <w:t>rst three quarters of 2019 for the employment rate, unemployment rate and gender employment gap.</w:t>
            </w:r>
          </w:p>
          <w:p w:rsidR="00A8765D" w:rsidRDefault="006C09F5">
            <w:pPr>
              <w:keepNext/>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Eurostat</w:t>
            </w:r>
          </w:p>
        </w:tc>
      </w:tr>
      <w:tr w:rsidR="00A8765D">
        <w:trPr>
          <w:cantSplit/>
          <w:trHeight w:val="20"/>
        </w:trPr>
        <w:tc>
          <w:tcPr>
            <w:tcW w:w="8505" w:type="dxa"/>
            <w:shd w:val="clear" w:color="auto" w:fill="auto"/>
            <w:tcMar>
              <w:bottom w:w="240" w:type="dxa"/>
            </w:tcMar>
          </w:tcPr>
          <w:p w:rsidR="00A8765D" w:rsidRDefault="00A8765D">
            <w:pPr>
              <w:spacing w:after="0" w:line="240" w:lineRule="auto"/>
              <w:jc w:val="both"/>
              <w:rPr>
                <w:rFonts w:ascii="Times New Roman" w:hAnsi="Times New Roman" w:cs="Times New Roman"/>
                <w:noProof/>
                <w:color w:val="000000"/>
                <w:sz w:val="2"/>
              </w:rPr>
            </w:pPr>
          </w:p>
        </w:tc>
      </w:tr>
    </w:tbl>
    <w:p w:rsidR="00A8765D" w:rsidRDefault="00A8765D">
      <w:pPr>
        <w:spacing w:after="0" w:line="20" w:lineRule="exact"/>
        <w:jc w:val="both"/>
        <w:rPr>
          <w:rFonts w:ascii="Times New Roman" w:hAnsi="Times New Roman" w:cs="Times New Roman"/>
          <w:noProof/>
          <w:color w:val="000000"/>
          <w:sz w:val="2"/>
        </w:rPr>
      </w:pPr>
    </w:p>
    <w:tbl>
      <w:tblPr>
        <w:tblW w:w="0" w:type="auto"/>
        <w:tblLayout w:type="fixed"/>
        <w:tblCellMar>
          <w:left w:w="0" w:type="dxa"/>
          <w:right w:w="0" w:type="dxa"/>
        </w:tblCellMar>
        <w:tblLook w:val="0000" w:firstRow="0" w:lastRow="0" w:firstColumn="0" w:lastColumn="0" w:noHBand="0" w:noVBand="0"/>
      </w:tblPr>
      <w:tblGrid>
        <w:gridCol w:w="8505"/>
      </w:tblGrid>
      <w:tr w:rsidR="00A8765D">
        <w:trPr>
          <w:cantSplit/>
          <w:trHeight w:val="20"/>
        </w:trPr>
        <w:tc>
          <w:tcPr>
            <w:tcW w:w="8505" w:type="dxa"/>
            <w:shd w:val="clear" w:color="auto" w:fill="auto"/>
          </w:tcPr>
          <w:p w:rsidR="00A8765D" w:rsidRDefault="00A8765D">
            <w:pPr>
              <w:keepNext/>
              <w:spacing w:after="0" w:line="240" w:lineRule="auto"/>
              <w:jc w:val="both"/>
              <w:rPr>
                <w:rFonts w:ascii="Times New Roman" w:hAnsi="Times New Roman" w:cs="Times New Roman"/>
                <w:noProof/>
                <w:color w:val="000000"/>
                <w:sz w:val="2"/>
              </w:rPr>
            </w:pPr>
          </w:p>
        </w:tc>
      </w:tr>
      <w:tr w:rsidR="00A8765D">
        <w:trPr>
          <w:cantSplit/>
        </w:trPr>
        <w:tc>
          <w:tcPr>
            <w:tcW w:w="8505"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Table C.3:</w:t>
            </w:r>
            <w:r>
              <w:rPr>
                <w:rFonts w:ascii="Century Gothic" w:hAnsi="Century Gothic" w:cs="Times New Roman"/>
                <w:b/>
                <w:noProof/>
                <w:color w:val="333399"/>
                <w:sz w:val="14"/>
              </w:rPr>
              <w:tab/>
              <w:t>Labour market and education indicators</w:t>
            </w:r>
          </w:p>
        </w:tc>
      </w:tr>
      <w:tr w:rsidR="00A8765D">
        <w:trPr>
          <w:cantSplit/>
        </w:trPr>
        <w:tc>
          <w:tcPr>
            <w:tcW w:w="8505"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69" w:name="_Toc33020612"/>
            <w:r>
              <w:rPr>
                <w:rFonts w:ascii="Times New Roman" w:hAnsi="Times New Roman" w:cs="Times New Roman"/>
                <w:noProof/>
                <w:color w:val="000000"/>
                <w:sz w:val="20"/>
              </w:rPr>
              <w:instrText>C.3.</w:instrText>
            </w:r>
            <w:r>
              <w:rPr>
                <w:rFonts w:ascii="Times New Roman" w:hAnsi="Times New Roman" w:cs="Times New Roman"/>
                <w:noProof/>
                <w:color w:val="000000"/>
                <w:sz w:val="20"/>
              </w:rPr>
              <w:tab/>
              <w:instrText>Labour market and education indicators</w:instrText>
            </w:r>
            <w:bookmarkEnd w:id="69"/>
            <w:r>
              <w:rPr>
                <w:rFonts w:ascii="Times New Roman" w:hAnsi="Times New Roman" w:cs="Times New Roman"/>
                <w:noProof/>
                <w:color w:val="000000"/>
                <w:sz w:val="20"/>
              </w:rPr>
              <w:instrText xml:space="preserve">" \ftable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en-GB"/>
              </w:rPr>
              <w:drawing>
                <wp:inline distT="0" distB="0" distL="0" distR="0">
                  <wp:extent cx="5388229" cy="3618128"/>
                  <wp:effectExtent l="0" t="0" r="3175" b="1905"/>
                  <wp:docPr id="16" name="Picture 16" descr="&lt;nbr&gt;&lt;GETTEXTFROMWORD&gt;&lt;/nbr&gt;&#10;&lt;title&gt;&lt;GETTEXTFROMWORD&gt;&lt;/title&gt;&#10;&lt;id&gt;2b5faab7-40f7-4542-85aa-ba3b09bac0f5&lt;/id&gt;&#10;&lt;srcType&gt;EXCEL&lt;/srcType&gt;&#10;&lt;srcPath&gt;O:\2017 CRs\2020 European semester\LV\LV2020_ graphs\&lt;/srcPath&gt;&#10;&lt;srcName&gt;14 LV Standard tables.xls&lt;/srcName&gt;&#10;&lt;type&gt;table&lt;/type&gt;&#10; &lt;srcSheet&gt;LV Table C3&lt;/srcSheet&gt;&#10; &lt;srcRange&gt;R3C2:R24C8&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4T16:28:39&lt;/scrFileTime&gt;&#10;&lt;imageInformation&gt;&#10; &lt;dontScaleUp&gt;no&lt;/dontScaleUp&gt;&#10; &lt;usedpercentageofavailablewidth&gt;100&lt;/usedpercentageofavailablewidth&gt;&#10;&lt;/imageInformation&gt;&#10;&lt;url&gt;Chap0/Chap0-Table-%SectionNumber%.5.xls&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5388229" cy="3618128"/>
                          </a:xfrm>
                          <a:prstGeom prst="rect">
                            <a:avLst/>
                          </a:prstGeom>
                        </pic:spPr>
                      </pic:pic>
                    </a:graphicData>
                  </a:graphic>
                </wp:inline>
              </w:drawing>
            </w:r>
            <w:r>
              <w:rPr>
                <w:rFonts w:ascii="Times New Roman" w:hAnsi="Times New Roman" w:cs="Times New Roman"/>
                <w:noProof/>
                <w:color w:val="000000"/>
                <w:sz w:val="2"/>
              </w:rPr>
              <w:t xml:space="preserve">  </w:t>
            </w:r>
          </w:p>
        </w:tc>
      </w:tr>
      <w:tr w:rsidR="00A8765D">
        <w:trPr>
          <w:cantSplit/>
        </w:trPr>
        <w:tc>
          <w:tcPr>
            <w:tcW w:w="8505" w:type="dxa"/>
            <w:shd w:val="clear" w:color="auto" w:fill="auto"/>
          </w:tcPr>
          <w:p w:rsidR="00A8765D" w:rsidRDefault="006C09F5">
            <w:pPr>
              <w:keepNext/>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noProof/>
                <w:color w:val="000000"/>
                <w:sz w:val="14"/>
              </w:rPr>
              <w:t xml:space="preserve">* </w:t>
            </w:r>
            <w:r>
              <w:rPr>
                <w:rFonts w:ascii="Century Gothic" w:hAnsi="Century Gothic" w:cs="Times New Roman"/>
                <w:noProof/>
                <w:color w:val="000000"/>
                <w:sz w:val="14"/>
              </w:rPr>
              <w:t>Non-scoreboard indicator</w:t>
            </w:r>
            <w:r>
              <w:rPr>
                <w:rFonts w:ascii="Century Gothic" w:hAnsi="Century Gothic" w:cs="Times New Roman"/>
                <w:noProof/>
                <w:color w:val="000000"/>
                <w:sz w:val="14"/>
              </w:rPr>
              <w:br/>
              <w:t>(1) Long-term unemployed are people who have been unemployed for at least 12 months.</w:t>
            </w:r>
            <w:r>
              <w:rPr>
                <w:rFonts w:ascii="Century Gothic" w:hAnsi="Century Gothic" w:cs="Times New Roman"/>
                <w:noProof/>
                <w:color w:val="000000"/>
                <w:sz w:val="14"/>
              </w:rPr>
              <w:br/>
              <w:t>(2) Difference between the average gross hourly earnings of male paid employees and of female paid employees as a percentage of average gross hour</w:t>
            </w:r>
            <w:r>
              <w:rPr>
                <w:rFonts w:ascii="Century Gothic" w:hAnsi="Century Gothic" w:cs="Times New Roman"/>
                <w:noProof/>
                <w:color w:val="000000"/>
                <w:sz w:val="14"/>
              </w:rPr>
              <w:t xml:space="preserve">ly earnings of male paid employees. It is defined as "unadjusted", as it does not correct for the distribution of individual characteristics (and thus gives an overall picture of gender inequalities in terms of pay). All employees working in firms with 10 </w:t>
            </w:r>
            <w:r>
              <w:rPr>
                <w:rFonts w:ascii="Century Gothic" w:hAnsi="Century Gothic" w:cs="Times New Roman"/>
                <w:noProof/>
                <w:color w:val="000000"/>
                <w:sz w:val="14"/>
              </w:rPr>
              <w:t>or more employees, without restrictions for age and hours worked, are included.</w:t>
            </w:r>
            <w:r>
              <w:rPr>
                <w:rFonts w:ascii="Century Gothic" w:hAnsi="Century Gothic" w:cs="Times New Roman"/>
                <w:noProof/>
                <w:color w:val="000000"/>
                <w:sz w:val="14"/>
              </w:rPr>
              <w:br/>
              <w:t>(3) PISA (OECD) results for low achievement in mathematics for 15 year-olds.</w:t>
            </w:r>
            <w:r>
              <w:rPr>
                <w:rFonts w:ascii="Century Gothic" w:hAnsi="Century Gothic" w:cs="Times New Roman"/>
                <w:noProof/>
                <w:color w:val="000000"/>
                <w:sz w:val="14"/>
              </w:rPr>
              <w:br/>
              <w:t>(4) Impact of socio-economic and cultural status on PISA (OECD) scores.</w:t>
            </w:r>
            <w:r>
              <w:rPr>
                <w:rFonts w:ascii="Century Gothic" w:hAnsi="Century Gothic" w:cs="Times New Roman"/>
                <w:noProof/>
                <w:color w:val="000000"/>
                <w:sz w:val="14"/>
              </w:rPr>
              <w:br/>
              <w:t xml:space="preserve">(5) Average of first three </w:t>
            </w:r>
            <w:r>
              <w:rPr>
                <w:rFonts w:ascii="Century Gothic" w:hAnsi="Century Gothic" w:cs="Times New Roman"/>
                <w:noProof/>
                <w:color w:val="000000"/>
                <w:sz w:val="14"/>
              </w:rPr>
              <w:t xml:space="preserve">quarters of 2019. Data for youth unemployment rate is seasonally adjusted. </w:t>
            </w:r>
          </w:p>
          <w:p w:rsidR="00A8765D" w:rsidRDefault="006C09F5">
            <w:pPr>
              <w:keepNext/>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Eurostat, OECD</w:t>
            </w:r>
          </w:p>
        </w:tc>
      </w:tr>
      <w:tr w:rsidR="00A8765D">
        <w:trPr>
          <w:cantSplit/>
          <w:trHeight w:val="20"/>
        </w:trPr>
        <w:tc>
          <w:tcPr>
            <w:tcW w:w="8505" w:type="dxa"/>
            <w:shd w:val="clear" w:color="auto" w:fill="auto"/>
            <w:tcMar>
              <w:bottom w:w="240" w:type="dxa"/>
            </w:tcMar>
          </w:tcPr>
          <w:p w:rsidR="00A8765D" w:rsidRDefault="00A8765D">
            <w:pPr>
              <w:spacing w:after="0" w:line="240" w:lineRule="auto"/>
              <w:jc w:val="both"/>
              <w:rPr>
                <w:rFonts w:ascii="Times New Roman" w:hAnsi="Times New Roman" w:cs="Times New Roman"/>
                <w:noProof/>
                <w:color w:val="000000"/>
                <w:sz w:val="2"/>
              </w:rPr>
            </w:pPr>
          </w:p>
        </w:tc>
      </w:tr>
    </w:tbl>
    <w:p w:rsidR="00A8765D" w:rsidRDefault="00A8765D">
      <w:pPr>
        <w:spacing w:after="0" w:line="20" w:lineRule="exact"/>
        <w:jc w:val="both"/>
        <w:rPr>
          <w:rFonts w:ascii="Times New Roman" w:hAnsi="Times New Roman" w:cs="Times New Roman"/>
          <w:noProof/>
          <w:color w:val="000000"/>
          <w:sz w:val="2"/>
        </w:rPr>
      </w:pPr>
    </w:p>
    <w:tbl>
      <w:tblPr>
        <w:tblW w:w="0" w:type="auto"/>
        <w:tblLayout w:type="fixed"/>
        <w:tblCellMar>
          <w:left w:w="0" w:type="dxa"/>
          <w:right w:w="0" w:type="dxa"/>
        </w:tblCellMar>
        <w:tblLook w:val="0000" w:firstRow="0" w:lastRow="0" w:firstColumn="0" w:lastColumn="0" w:noHBand="0" w:noVBand="0"/>
      </w:tblPr>
      <w:tblGrid>
        <w:gridCol w:w="8505"/>
      </w:tblGrid>
      <w:tr w:rsidR="00A8765D">
        <w:trPr>
          <w:cantSplit/>
          <w:trHeight w:val="20"/>
        </w:trPr>
        <w:tc>
          <w:tcPr>
            <w:tcW w:w="8505" w:type="dxa"/>
            <w:shd w:val="clear" w:color="auto" w:fill="auto"/>
          </w:tcPr>
          <w:p w:rsidR="00A8765D" w:rsidRDefault="00A8765D">
            <w:pPr>
              <w:keepNext/>
              <w:spacing w:after="0" w:line="240" w:lineRule="auto"/>
              <w:jc w:val="both"/>
              <w:rPr>
                <w:rFonts w:ascii="Times New Roman" w:hAnsi="Times New Roman" w:cs="Times New Roman"/>
                <w:noProof/>
                <w:color w:val="000000"/>
                <w:sz w:val="2"/>
              </w:rPr>
            </w:pPr>
          </w:p>
        </w:tc>
      </w:tr>
      <w:tr w:rsidR="00A8765D">
        <w:trPr>
          <w:cantSplit/>
        </w:trPr>
        <w:tc>
          <w:tcPr>
            <w:tcW w:w="8505"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Table C.4:</w:t>
            </w:r>
            <w:r>
              <w:rPr>
                <w:rFonts w:ascii="Century Gothic" w:hAnsi="Century Gothic" w:cs="Times New Roman"/>
                <w:b/>
                <w:noProof/>
                <w:color w:val="333399"/>
                <w:sz w:val="14"/>
              </w:rPr>
              <w:tab/>
              <w:t>Social inclusion and health indicators</w:t>
            </w:r>
          </w:p>
        </w:tc>
      </w:tr>
      <w:tr w:rsidR="00A8765D">
        <w:trPr>
          <w:cantSplit/>
        </w:trPr>
        <w:tc>
          <w:tcPr>
            <w:tcW w:w="8505"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70" w:name="_Toc33020613"/>
            <w:r>
              <w:rPr>
                <w:rFonts w:ascii="Times New Roman" w:hAnsi="Times New Roman" w:cs="Times New Roman"/>
                <w:noProof/>
                <w:color w:val="000000"/>
                <w:sz w:val="20"/>
              </w:rPr>
              <w:instrText>C.4.</w:instrText>
            </w:r>
            <w:r>
              <w:rPr>
                <w:rFonts w:ascii="Times New Roman" w:hAnsi="Times New Roman" w:cs="Times New Roman"/>
                <w:noProof/>
                <w:color w:val="000000"/>
                <w:sz w:val="20"/>
              </w:rPr>
              <w:tab/>
              <w:instrText>Social inclusion and health indicators</w:instrText>
            </w:r>
            <w:bookmarkEnd w:id="70"/>
            <w:r>
              <w:rPr>
                <w:rFonts w:ascii="Times New Roman" w:hAnsi="Times New Roman" w:cs="Times New Roman"/>
                <w:noProof/>
                <w:color w:val="000000"/>
                <w:sz w:val="20"/>
              </w:rPr>
              <w:instrText xml:space="preserve">" \ftable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0"/>
                <w:lang w:eastAsia="en-GB"/>
              </w:rPr>
              <w:drawing>
                <wp:inline distT="0" distB="0" distL="0" distR="0">
                  <wp:extent cx="5389245" cy="3907790"/>
                  <wp:effectExtent l="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89245" cy="3907790"/>
                          </a:xfrm>
                          <a:prstGeom prst="rect">
                            <a:avLst/>
                          </a:prstGeom>
                          <a:noFill/>
                        </pic:spPr>
                      </pic:pic>
                    </a:graphicData>
                  </a:graphic>
                </wp:inline>
              </w:drawing>
            </w:r>
            <w:r>
              <w:rPr>
                <w:rFonts w:ascii="Times New Roman" w:hAnsi="Times New Roman" w:cs="Times New Roman"/>
                <w:noProof/>
                <w:color w:val="000000"/>
                <w:sz w:val="2"/>
              </w:rPr>
              <w:t xml:space="preserve">  </w:t>
            </w:r>
          </w:p>
        </w:tc>
      </w:tr>
      <w:tr w:rsidR="00A8765D">
        <w:trPr>
          <w:cantSplit/>
        </w:trPr>
        <w:tc>
          <w:tcPr>
            <w:tcW w:w="8505" w:type="dxa"/>
            <w:shd w:val="clear" w:color="auto" w:fill="auto"/>
          </w:tcPr>
          <w:p w:rsidR="00A8765D" w:rsidRDefault="006C09F5">
            <w:pPr>
              <w:keepNext/>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noProof/>
                <w:color w:val="000000"/>
                <w:sz w:val="14"/>
              </w:rPr>
              <w:t>* Non-scoreboard indicator</w:t>
            </w:r>
            <w:r>
              <w:rPr>
                <w:rFonts w:ascii="Century Gothic" w:hAnsi="Century Gothic" w:cs="Times New Roman"/>
                <w:noProof/>
                <w:color w:val="000000"/>
                <w:sz w:val="14"/>
              </w:rPr>
              <w:br/>
              <w:t>(1)</w:t>
            </w:r>
            <w:r>
              <w:rPr>
                <w:rFonts w:ascii="Century Gothic" w:hAnsi="Century Gothic" w:cs="Times New Roman"/>
                <w:noProof/>
                <w:color w:val="000000"/>
                <w:sz w:val="14"/>
              </w:rPr>
              <w:t xml:space="preserve"> At-risk-of-poverty rate (AROP): proportion of people with an equivalised disposable income below 60</w:t>
            </w:r>
            <w:r>
              <w:rPr>
                <w:rFonts w:ascii="Arial" w:hAnsi="Arial" w:cs="Arial"/>
                <w:noProof/>
                <w:color w:val="000000"/>
                <w:sz w:val="14"/>
              </w:rPr>
              <w:t> </w:t>
            </w:r>
            <w:r>
              <w:rPr>
                <w:rFonts w:ascii="Century Gothic" w:hAnsi="Century Gothic" w:cs="Times New Roman"/>
                <w:noProof/>
                <w:color w:val="000000"/>
                <w:sz w:val="14"/>
              </w:rPr>
              <w:t xml:space="preserve">% of the national equivalised median income. </w:t>
            </w:r>
            <w:r>
              <w:rPr>
                <w:rFonts w:ascii="Century Gothic" w:hAnsi="Century Gothic" w:cs="Times New Roman"/>
                <w:noProof/>
                <w:color w:val="000000"/>
                <w:sz w:val="14"/>
              </w:rPr>
              <w:br/>
              <w:t>(2) Proportion of people who experience at least four of the following forms of deprivation: not being able t</w:t>
            </w:r>
            <w:r>
              <w:rPr>
                <w:rFonts w:ascii="Century Gothic" w:hAnsi="Century Gothic" w:cs="Times New Roman"/>
                <w:noProof/>
                <w:color w:val="000000"/>
                <w:sz w:val="14"/>
              </w:rPr>
              <w:t>o afford to i) pay their rent or utility bills, ii) keep their home adequately warm, iii) face unexpected expenses, iv) eat meat, fish or a protein equivalent every second day, v) enjoy a week of holiday away from home once a year, vi) have a car, vii) hav</w:t>
            </w:r>
            <w:r>
              <w:rPr>
                <w:rFonts w:ascii="Century Gothic" w:hAnsi="Century Gothic" w:cs="Times New Roman"/>
                <w:noProof/>
                <w:color w:val="000000"/>
                <w:sz w:val="14"/>
              </w:rPr>
              <w:t>e a washing machine, viii) have a colour TV, or ix) have a telephone.</w:t>
            </w:r>
            <w:r>
              <w:rPr>
                <w:rFonts w:ascii="Century Gothic" w:hAnsi="Century Gothic" w:cs="Times New Roman"/>
                <w:noProof/>
                <w:color w:val="000000"/>
                <w:sz w:val="14"/>
              </w:rPr>
              <w:br/>
              <w:t>(3) Percentage of total population living in overcrowded dwellings and exhibiting housing deprivation.</w:t>
            </w:r>
            <w:r>
              <w:rPr>
                <w:rFonts w:ascii="Century Gothic" w:hAnsi="Century Gothic" w:cs="Times New Roman"/>
                <w:noProof/>
                <w:color w:val="000000"/>
                <w:sz w:val="14"/>
              </w:rPr>
              <w:br/>
              <w:t xml:space="preserve">(4) People living in households with very low work intensity: proportion of people </w:t>
            </w:r>
            <w:r>
              <w:rPr>
                <w:rFonts w:ascii="Century Gothic" w:hAnsi="Century Gothic" w:cs="Times New Roman"/>
                <w:noProof/>
                <w:color w:val="000000"/>
                <w:sz w:val="14"/>
              </w:rPr>
              <w:t>aged 0-59 living in households where the adults (excluding dependent children) worked less than 20</w:t>
            </w:r>
            <w:r>
              <w:rPr>
                <w:rFonts w:ascii="Arial" w:hAnsi="Arial" w:cs="Arial"/>
                <w:noProof/>
                <w:color w:val="000000"/>
                <w:sz w:val="14"/>
              </w:rPr>
              <w:t> </w:t>
            </w:r>
            <w:r>
              <w:rPr>
                <w:rFonts w:ascii="Century Gothic" w:hAnsi="Century Gothic" w:cs="Times New Roman"/>
                <w:noProof/>
                <w:color w:val="000000"/>
                <w:sz w:val="14"/>
              </w:rPr>
              <w:t>% of their total work-time potential in the previous 12 months.</w:t>
            </w:r>
            <w:r>
              <w:rPr>
                <w:rFonts w:ascii="Century Gothic" w:hAnsi="Century Gothic" w:cs="Times New Roman"/>
                <w:noProof/>
                <w:color w:val="000000"/>
                <w:sz w:val="14"/>
              </w:rPr>
              <w:br/>
              <w:t>(5) Ratio of the median individual gross pensions of people aged 65-74 relative to the median</w:t>
            </w:r>
            <w:r>
              <w:rPr>
                <w:rFonts w:ascii="Century Gothic" w:hAnsi="Century Gothic" w:cs="Times New Roman"/>
                <w:noProof/>
                <w:color w:val="000000"/>
                <w:sz w:val="14"/>
              </w:rPr>
              <w:t xml:space="preserve"> individual gross earnings of people aged 50-59.</w:t>
            </w:r>
            <w:r>
              <w:rPr>
                <w:rFonts w:ascii="Century Gothic" w:hAnsi="Century Gothic" w:cs="Times New Roman"/>
                <w:noProof/>
                <w:color w:val="000000"/>
                <w:sz w:val="14"/>
              </w:rPr>
              <w:br/>
              <w:t xml:space="preserve">(6) Fixed broadband take up (33%), mobile broadband take up (22%), speed (33%) and affordability (11%), from the Digital Scoreboard. </w:t>
            </w:r>
          </w:p>
          <w:p w:rsidR="00A8765D" w:rsidRDefault="006C09F5">
            <w:pPr>
              <w:keepNext/>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Eurostat, OECD </w:t>
            </w:r>
          </w:p>
        </w:tc>
      </w:tr>
      <w:tr w:rsidR="00A8765D">
        <w:trPr>
          <w:cantSplit/>
          <w:trHeight w:val="20"/>
        </w:trPr>
        <w:tc>
          <w:tcPr>
            <w:tcW w:w="8505" w:type="dxa"/>
            <w:shd w:val="clear" w:color="auto" w:fill="auto"/>
            <w:tcMar>
              <w:bottom w:w="240" w:type="dxa"/>
            </w:tcMar>
          </w:tcPr>
          <w:p w:rsidR="00A8765D" w:rsidRDefault="00A8765D">
            <w:pPr>
              <w:spacing w:after="0" w:line="240" w:lineRule="auto"/>
              <w:jc w:val="both"/>
              <w:rPr>
                <w:rFonts w:ascii="Times New Roman" w:hAnsi="Times New Roman" w:cs="Times New Roman"/>
                <w:noProof/>
                <w:color w:val="000000"/>
                <w:sz w:val="2"/>
              </w:rPr>
            </w:pPr>
          </w:p>
        </w:tc>
      </w:tr>
    </w:tbl>
    <w:p w:rsidR="00A8765D" w:rsidRDefault="00A8765D">
      <w:pPr>
        <w:spacing w:after="0" w:line="20" w:lineRule="exact"/>
        <w:jc w:val="both"/>
        <w:rPr>
          <w:rFonts w:ascii="Times New Roman" w:hAnsi="Times New Roman" w:cs="Times New Roman"/>
          <w:noProof/>
          <w:color w:val="000000"/>
          <w:sz w:val="2"/>
        </w:rPr>
      </w:pPr>
    </w:p>
    <w:tbl>
      <w:tblPr>
        <w:tblW w:w="0" w:type="auto"/>
        <w:tblLayout w:type="fixed"/>
        <w:tblCellMar>
          <w:left w:w="0" w:type="dxa"/>
          <w:right w:w="0" w:type="dxa"/>
        </w:tblCellMar>
        <w:tblLook w:val="0000" w:firstRow="0" w:lastRow="0" w:firstColumn="0" w:lastColumn="0" w:noHBand="0" w:noVBand="0"/>
      </w:tblPr>
      <w:tblGrid>
        <w:gridCol w:w="8505"/>
      </w:tblGrid>
      <w:tr w:rsidR="00A8765D">
        <w:trPr>
          <w:cantSplit/>
          <w:trHeight w:val="20"/>
        </w:trPr>
        <w:tc>
          <w:tcPr>
            <w:tcW w:w="8505" w:type="dxa"/>
            <w:shd w:val="clear" w:color="auto" w:fill="auto"/>
          </w:tcPr>
          <w:p w:rsidR="00A8765D" w:rsidRDefault="00A8765D">
            <w:pPr>
              <w:keepNext/>
              <w:spacing w:after="0" w:line="240" w:lineRule="auto"/>
              <w:jc w:val="both"/>
              <w:rPr>
                <w:rFonts w:ascii="Times New Roman" w:hAnsi="Times New Roman" w:cs="Times New Roman"/>
                <w:noProof/>
                <w:color w:val="000000"/>
                <w:sz w:val="2"/>
              </w:rPr>
            </w:pPr>
          </w:p>
        </w:tc>
      </w:tr>
      <w:tr w:rsidR="00A8765D">
        <w:trPr>
          <w:cantSplit/>
        </w:trPr>
        <w:tc>
          <w:tcPr>
            <w:tcW w:w="8505"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Table C.5:</w:t>
            </w:r>
            <w:r>
              <w:rPr>
                <w:rFonts w:ascii="Century Gothic" w:hAnsi="Century Gothic" w:cs="Times New Roman"/>
                <w:b/>
                <w:noProof/>
                <w:color w:val="333399"/>
                <w:sz w:val="14"/>
              </w:rPr>
              <w:tab/>
              <w:t xml:space="preserve">Product market performance and </w:t>
            </w:r>
            <w:r>
              <w:rPr>
                <w:rFonts w:ascii="Century Gothic" w:hAnsi="Century Gothic" w:cs="Times New Roman"/>
                <w:b/>
                <w:noProof/>
                <w:color w:val="333399"/>
                <w:sz w:val="14"/>
              </w:rPr>
              <w:t>policy indicators</w:t>
            </w:r>
          </w:p>
        </w:tc>
      </w:tr>
      <w:tr w:rsidR="00A8765D">
        <w:trPr>
          <w:cantSplit/>
        </w:trPr>
        <w:tc>
          <w:tcPr>
            <w:tcW w:w="8505"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71" w:name="_Toc33020614"/>
            <w:r>
              <w:rPr>
                <w:rFonts w:ascii="Times New Roman" w:hAnsi="Times New Roman" w:cs="Times New Roman"/>
                <w:noProof/>
                <w:color w:val="000000"/>
                <w:sz w:val="20"/>
              </w:rPr>
              <w:instrText>C.5.</w:instrText>
            </w:r>
            <w:r>
              <w:rPr>
                <w:rFonts w:ascii="Times New Roman" w:hAnsi="Times New Roman" w:cs="Times New Roman"/>
                <w:noProof/>
                <w:color w:val="000000"/>
                <w:sz w:val="20"/>
              </w:rPr>
              <w:tab/>
              <w:instrText>Product market performance and policy indicators</w:instrText>
            </w:r>
            <w:bookmarkEnd w:id="71"/>
            <w:r>
              <w:rPr>
                <w:rFonts w:ascii="Times New Roman" w:hAnsi="Times New Roman" w:cs="Times New Roman"/>
                <w:noProof/>
                <w:color w:val="000000"/>
                <w:sz w:val="20"/>
              </w:rPr>
              <w:instrText xml:space="preserve">" \ftable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0"/>
                <w:lang w:eastAsia="en-GB"/>
              </w:rPr>
              <w:drawing>
                <wp:inline distT="0" distB="0" distL="0" distR="0">
                  <wp:extent cx="5389245" cy="3298190"/>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89245" cy="3298190"/>
                          </a:xfrm>
                          <a:prstGeom prst="rect">
                            <a:avLst/>
                          </a:prstGeom>
                          <a:noFill/>
                        </pic:spPr>
                      </pic:pic>
                    </a:graphicData>
                  </a:graphic>
                </wp:inline>
              </w:drawing>
            </w:r>
            <w:r>
              <w:rPr>
                <w:rFonts w:ascii="Times New Roman" w:hAnsi="Times New Roman" w:cs="Times New Roman"/>
                <w:noProof/>
                <w:color w:val="000000"/>
                <w:sz w:val="2"/>
              </w:rPr>
              <w:t xml:space="preserve">  </w:t>
            </w:r>
          </w:p>
        </w:tc>
      </w:tr>
      <w:tr w:rsidR="00A8765D">
        <w:trPr>
          <w:cantSplit/>
        </w:trPr>
        <w:tc>
          <w:tcPr>
            <w:tcW w:w="8505" w:type="dxa"/>
            <w:shd w:val="clear" w:color="auto" w:fill="auto"/>
          </w:tcPr>
          <w:p w:rsidR="00A8765D" w:rsidRDefault="006C09F5">
            <w:pPr>
              <w:keepNext/>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noProof/>
                <w:color w:val="000000"/>
                <w:sz w:val="14"/>
              </w:rPr>
              <w:t>1 Value added in constant prices divided by the number of persons employed.</w:t>
            </w:r>
            <w:r>
              <w:rPr>
                <w:rFonts w:ascii="Century Gothic" w:hAnsi="Century Gothic" w:cs="Times New Roman"/>
                <w:noProof/>
                <w:color w:val="000000"/>
                <w:sz w:val="14"/>
              </w:rPr>
              <w:br/>
              <w:t xml:space="preserve">2 Compensation of employees in current prices divided by value added in constant </w:t>
            </w:r>
            <w:r>
              <w:rPr>
                <w:rFonts w:ascii="Century Gothic" w:hAnsi="Century Gothic" w:cs="Times New Roman"/>
                <w:noProof/>
                <w:color w:val="000000"/>
                <w:sz w:val="14"/>
              </w:rPr>
              <w:t>prices.</w:t>
            </w:r>
            <w:r>
              <w:rPr>
                <w:rFonts w:ascii="Century Gothic" w:hAnsi="Century Gothic" w:cs="Times New Roman"/>
                <w:noProof/>
                <w:color w:val="000000"/>
                <w:sz w:val="14"/>
              </w:rPr>
              <w:br/>
              <w:t>3 The methodologies, including the assumptions, for this indicator are shown in detail here: http://www.doingbusiness.org/methodology.</w:t>
            </w:r>
            <w:r>
              <w:rPr>
                <w:rFonts w:ascii="Century Gothic" w:hAnsi="Century Gothic" w:cs="Times New Roman"/>
                <w:noProof/>
                <w:color w:val="000000"/>
                <w:sz w:val="14"/>
              </w:rPr>
              <w:br/>
              <w:t>4 Average of the answer to question Q7B_a. "[Bank loan]: If you applied and tried to negotiate for this type of f</w:t>
            </w:r>
            <w:r>
              <w:rPr>
                <w:rFonts w:ascii="Century Gothic" w:hAnsi="Century Gothic" w:cs="Times New Roman"/>
                <w:noProof/>
                <w:color w:val="000000"/>
                <w:sz w:val="14"/>
              </w:rPr>
              <w:t>inancing over the past six months, what was the outcome?". Answers were codified as follows: zero if received everything, one if received 75% and above, two if received below 75%, three if refused or rejected and treated as missing values if the applicatio</w:t>
            </w:r>
            <w:r>
              <w:rPr>
                <w:rFonts w:ascii="Century Gothic" w:hAnsi="Century Gothic" w:cs="Times New Roman"/>
                <w:noProof/>
                <w:color w:val="000000"/>
                <w:sz w:val="14"/>
              </w:rPr>
              <w:t>n is still pending or don't know.</w:t>
            </w:r>
            <w:r>
              <w:rPr>
                <w:rFonts w:ascii="Century Gothic" w:hAnsi="Century Gothic" w:cs="Times New Roman"/>
                <w:noProof/>
                <w:color w:val="000000"/>
                <w:sz w:val="14"/>
              </w:rPr>
              <w:br/>
              <w:t>5 Percentage population aged 15-64 having completed tertiary education.</w:t>
            </w:r>
            <w:r>
              <w:rPr>
                <w:rFonts w:ascii="Century Gothic" w:hAnsi="Century Gothic" w:cs="Times New Roman"/>
                <w:noProof/>
                <w:color w:val="000000"/>
                <w:sz w:val="14"/>
              </w:rPr>
              <w:br/>
              <w:t>6 Percentage population aged 20-24 having attained at least upper secondary education.</w:t>
            </w:r>
            <w:r>
              <w:rPr>
                <w:rFonts w:ascii="Century Gothic" w:hAnsi="Century Gothic" w:cs="Times New Roman"/>
                <w:noProof/>
                <w:color w:val="000000"/>
                <w:sz w:val="14"/>
              </w:rPr>
              <w:br/>
              <w:t>7 Index: 0 = not regulated; 6 = most regulated. The methodologi</w:t>
            </w:r>
            <w:r>
              <w:rPr>
                <w:rFonts w:ascii="Century Gothic" w:hAnsi="Century Gothic" w:cs="Times New Roman"/>
                <w:noProof/>
                <w:color w:val="000000"/>
                <w:sz w:val="14"/>
              </w:rPr>
              <w:t>es of the OECD product market regulation indicators are shown in detail here: http://www.oecd.org/competition/reform/indicatorsofproductmarketregulationhomepage.htm</w:t>
            </w:r>
            <w:r>
              <w:rPr>
                <w:rFonts w:ascii="Century Gothic" w:hAnsi="Century Gothic" w:cs="Times New Roman"/>
                <w:noProof/>
                <w:color w:val="000000"/>
                <w:sz w:val="14"/>
              </w:rPr>
              <w:br/>
              <w:t>Please be aware that the indicator values from 2003 to 2013 are comparable, however the met</w:t>
            </w:r>
            <w:r>
              <w:rPr>
                <w:rFonts w:ascii="Century Gothic" w:hAnsi="Century Gothic" w:cs="Times New Roman"/>
                <w:noProof/>
                <w:color w:val="000000"/>
                <w:sz w:val="14"/>
              </w:rPr>
              <w:t>hodology has considerably changed in 2018 and therefore past vintages cannot be compared with the 2018 PMR indicators!</w:t>
            </w:r>
            <w:r>
              <w:rPr>
                <w:rFonts w:ascii="Century Gothic" w:hAnsi="Century Gothic" w:cs="Times New Roman"/>
                <w:noProof/>
                <w:color w:val="000000"/>
                <w:sz w:val="14"/>
              </w:rPr>
              <w:br/>
              <w:t>8 Simple average of the indicators of regulation for lawyers, accountants, architects and engineers.</w:t>
            </w:r>
            <w:r>
              <w:rPr>
                <w:rFonts w:ascii="Century Gothic" w:hAnsi="Century Gothic" w:cs="Times New Roman"/>
                <w:noProof/>
                <w:color w:val="000000"/>
                <w:sz w:val="14"/>
              </w:rPr>
              <w:br/>
              <w:t>9 Aggregate OECD indicators of regul</w:t>
            </w:r>
            <w:r>
              <w:rPr>
                <w:rFonts w:ascii="Century Gothic" w:hAnsi="Century Gothic" w:cs="Times New Roman"/>
                <w:noProof/>
                <w:color w:val="000000"/>
                <w:sz w:val="14"/>
              </w:rPr>
              <w:t>ation in energy, transport and communications (ETCR).</w:t>
            </w:r>
          </w:p>
          <w:p w:rsidR="00A8765D" w:rsidRDefault="006C09F5">
            <w:pPr>
              <w:keepNext/>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Source:</w:t>
            </w:r>
            <w:r>
              <w:rPr>
                <w:rFonts w:ascii="Century Gothic" w:hAnsi="Century Gothic" w:cs="Times New Roman"/>
                <w:noProof/>
                <w:color w:val="000000"/>
                <w:sz w:val="14"/>
              </w:rPr>
              <w:t xml:space="preserve"> European Commission; World Bank — Doing Business (for enforcing contracts and time to start a business); OECD (for the product market regulation indicators); SAFE (for outcome of SMEs' applications for bank loans).</w:t>
            </w:r>
          </w:p>
        </w:tc>
      </w:tr>
      <w:tr w:rsidR="00A8765D">
        <w:trPr>
          <w:cantSplit/>
          <w:trHeight w:val="20"/>
        </w:trPr>
        <w:tc>
          <w:tcPr>
            <w:tcW w:w="8505" w:type="dxa"/>
            <w:shd w:val="clear" w:color="auto" w:fill="auto"/>
            <w:tcMar>
              <w:bottom w:w="240" w:type="dxa"/>
            </w:tcMar>
          </w:tcPr>
          <w:p w:rsidR="00A8765D" w:rsidRDefault="00A8765D">
            <w:pPr>
              <w:spacing w:after="0" w:line="240" w:lineRule="auto"/>
              <w:jc w:val="both"/>
              <w:rPr>
                <w:rFonts w:ascii="Times New Roman" w:hAnsi="Times New Roman" w:cs="Times New Roman"/>
                <w:noProof/>
                <w:color w:val="000000"/>
                <w:sz w:val="2"/>
              </w:rPr>
            </w:pPr>
          </w:p>
        </w:tc>
      </w:tr>
    </w:tbl>
    <w:p w:rsidR="00A8765D" w:rsidRDefault="00A8765D">
      <w:pPr>
        <w:spacing w:after="0" w:line="20" w:lineRule="exact"/>
        <w:jc w:val="both"/>
        <w:rPr>
          <w:rFonts w:ascii="Times New Roman" w:hAnsi="Times New Roman" w:cs="Times New Roman"/>
          <w:noProof/>
          <w:color w:val="000000"/>
          <w:sz w:val="2"/>
        </w:rPr>
      </w:pPr>
    </w:p>
    <w:tbl>
      <w:tblPr>
        <w:tblW w:w="0" w:type="auto"/>
        <w:tblLayout w:type="fixed"/>
        <w:tblCellMar>
          <w:left w:w="0" w:type="dxa"/>
          <w:right w:w="0" w:type="dxa"/>
        </w:tblCellMar>
        <w:tblLook w:val="0000" w:firstRow="0" w:lastRow="0" w:firstColumn="0" w:lastColumn="0" w:noHBand="0" w:noVBand="0"/>
      </w:tblPr>
      <w:tblGrid>
        <w:gridCol w:w="8505"/>
      </w:tblGrid>
      <w:tr w:rsidR="00A8765D">
        <w:trPr>
          <w:cantSplit/>
          <w:trHeight w:val="20"/>
        </w:trPr>
        <w:tc>
          <w:tcPr>
            <w:tcW w:w="8505" w:type="dxa"/>
            <w:shd w:val="clear" w:color="auto" w:fill="auto"/>
          </w:tcPr>
          <w:p w:rsidR="00A8765D" w:rsidRDefault="00A8765D">
            <w:pPr>
              <w:keepNext/>
              <w:spacing w:after="0" w:line="240" w:lineRule="auto"/>
              <w:jc w:val="both"/>
              <w:rPr>
                <w:rFonts w:ascii="Times New Roman" w:hAnsi="Times New Roman" w:cs="Times New Roman"/>
                <w:noProof/>
                <w:color w:val="000000"/>
                <w:sz w:val="2"/>
              </w:rPr>
            </w:pPr>
          </w:p>
        </w:tc>
      </w:tr>
      <w:tr w:rsidR="00A8765D">
        <w:trPr>
          <w:cantSplit/>
        </w:trPr>
        <w:tc>
          <w:tcPr>
            <w:tcW w:w="8505" w:type="dxa"/>
            <w:shd w:val="clear" w:color="auto" w:fill="auto"/>
          </w:tcPr>
          <w:p w:rsidR="00A8765D" w:rsidRDefault="006C09F5">
            <w:pPr>
              <w:keepNext/>
              <w:pBdr>
                <w:top w:val="single" w:sz="2" w:space="2" w:color="auto"/>
                <w:bottom w:val="single" w:sz="2" w:space="2" w:color="auto"/>
              </w:pBdr>
              <w:spacing w:after="60" w:line="240" w:lineRule="auto"/>
              <w:ind w:left="935" w:hanging="935"/>
              <w:rPr>
                <w:rFonts w:ascii="Century Gothic" w:hAnsi="Century Gothic" w:cs="Times New Roman"/>
                <w:b/>
                <w:noProof/>
                <w:color w:val="333399"/>
                <w:sz w:val="14"/>
              </w:rPr>
            </w:pPr>
            <w:r>
              <w:rPr>
                <w:rFonts w:ascii="Century Gothic" w:hAnsi="Century Gothic" w:cs="Times New Roman"/>
                <w:noProof/>
                <w:color w:val="333399"/>
                <w:sz w:val="14"/>
              </w:rPr>
              <w:t>Table C.6:</w:t>
            </w:r>
            <w:r>
              <w:rPr>
                <w:rFonts w:ascii="Century Gothic" w:hAnsi="Century Gothic" w:cs="Times New Roman"/>
                <w:b/>
                <w:noProof/>
                <w:color w:val="333399"/>
                <w:sz w:val="14"/>
              </w:rPr>
              <w:tab/>
              <w:t>Green growth</w:t>
            </w:r>
          </w:p>
        </w:tc>
      </w:tr>
      <w:tr w:rsidR="00A8765D">
        <w:trPr>
          <w:cantSplit/>
        </w:trPr>
        <w:tc>
          <w:tcPr>
            <w:tcW w:w="8505" w:type="dxa"/>
            <w:shd w:val="clear" w:color="auto" w:fill="auto"/>
          </w:tcPr>
          <w:p w:rsidR="00A8765D" w:rsidRDefault="006C09F5">
            <w:pPr>
              <w:keepNext/>
              <w:spacing w:after="0" w:line="240" w:lineRule="auto"/>
              <w:jc w:val="center"/>
              <w:rPr>
                <w:rFonts w:ascii="Times New Roman" w:hAnsi="Times New Roman" w:cs="Times New Roman"/>
                <w:noProof/>
                <w:color w:val="000000"/>
                <w:sz w:val="2"/>
              </w:rPr>
            </w:pPr>
            <w:r>
              <w:rPr>
                <w:rFonts w:ascii="Times New Roman" w:hAnsi="Times New Roman" w:cs="Times New Roman"/>
                <w:noProof/>
                <w:color w:val="000000"/>
                <w:sz w:val="20"/>
              </w:rPr>
              <w:fldChar w:fldCharType="begin"/>
            </w:r>
            <w:r>
              <w:rPr>
                <w:rFonts w:ascii="Times New Roman" w:hAnsi="Times New Roman" w:cs="Times New Roman"/>
                <w:noProof/>
                <w:color w:val="000000"/>
                <w:sz w:val="20"/>
              </w:rPr>
              <w:instrText xml:space="preserve"> TC "</w:instrText>
            </w:r>
            <w:bookmarkStart w:id="72" w:name="_Toc33020615"/>
            <w:r>
              <w:rPr>
                <w:rFonts w:ascii="Times New Roman" w:hAnsi="Times New Roman" w:cs="Times New Roman"/>
                <w:noProof/>
                <w:color w:val="000000"/>
                <w:sz w:val="20"/>
              </w:rPr>
              <w:instrText>C.6.</w:instrText>
            </w:r>
            <w:r>
              <w:rPr>
                <w:rFonts w:ascii="Times New Roman" w:hAnsi="Times New Roman" w:cs="Times New Roman"/>
                <w:noProof/>
                <w:color w:val="000000"/>
                <w:sz w:val="20"/>
              </w:rPr>
              <w:tab/>
              <w:instrText>Green growth</w:instrText>
            </w:r>
            <w:bookmarkEnd w:id="72"/>
            <w:r>
              <w:rPr>
                <w:rFonts w:ascii="Times New Roman" w:hAnsi="Times New Roman" w:cs="Times New Roman"/>
                <w:noProof/>
                <w:color w:val="000000"/>
                <w:sz w:val="20"/>
              </w:rPr>
              <w:instrText xml:space="preserve">" \ftable \l 5 </w:instrText>
            </w:r>
            <w:r>
              <w:rPr>
                <w:rFonts w:ascii="Times New Roman" w:hAnsi="Times New Roman" w:cs="Times New Roman"/>
                <w:noProof/>
                <w:color w:val="000000"/>
                <w:sz w:val="20"/>
              </w:rPr>
              <w:fldChar w:fldCharType="end"/>
            </w:r>
            <w:r>
              <w:rPr>
                <w:rFonts w:ascii="Times New Roman" w:hAnsi="Times New Roman" w:cs="Times New Roman"/>
                <w:noProof/>
                <w:color w:val="000000"/>
                <w:sz w:val="2"/>
                <w:lang w:eastAsia="en-GB"/>
              </w:rPr>
              <w:drawing>
                <wp:inline distT="0" distB="0" distL="0" distR="0">
                  <wp:extent cx="5388229" cy="3588351"/>
                  <wp:effectExtent l="0" t="0" r="3175" b="0"/>
                  <wp:docPr id="13" name="Picture 13" descr="&lt;nbr&gt;&lt;GETTEXTFROMWORD&gt;&lt;/nbr&gt;&#10;&lt;title&gt;&lt;GETTEXTFROMWORD&gt;&lt;/title&gt;&#10;&lt;id&gt;2e577ac1-af5a-4997-9954-eadf88fdb5ac&lt;/id&gt;&#10;&lt;srcType&gt;EXCEL&lt;/srcType&gt;&#10;&lt;srcPath&gt;O:\2017 CRs\2020 European semester\LV\LV2020_ graphs\&lt;/srcPath&gt;&#10;&lt;srcName&gt;14 LV Standard tables.xls&lt;/srcName&gt;&#10;&lt;type&gt;table&lt;/type&gt;&#10; &lt;srcSheet&gt;LV Table C6&lt;/srcSheet&gt;&#10; &lt;srcRange&gt;R2C2:R29C10&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4T16:28:39&lt;/scrFileTime&gt;&#10;&lt;imageInformation&gt;&#10; &lt;dontScaleUp&gt;no&lt;/dontScaleUp&gt;&#10; &lt;usedpercentageofavailablewidth&gt;100&lt;/usedpercentageofavailablewidth&gt;&#10;&lt;/imageInformation&gt;&#10;&lt;url&gt;Chap0/Chap0-Table-%SectionNumber%.8.xls&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5388229" cy="3588351"/>
                          </a:xfrm>
                          <a:prstGeom prst="rect">
                            <a:avLst/>
                          </a:prstGeom>
                        </pic:spPr>
                      </pic:pic>
                    </a:graphicData>
                  </a:graphic>
                </wp:inline>
              </w:drawing>
            </w:r>
            <w:r>
              <w:rPr>
                <w:rFonts w:ascii="Times New Roman" w:hAnsi="Times New Roman" w:cs="Times New Roman"/>
                <w:noProof/>
                <w:color w:val="000000"/>
                <w:sz w:val="2"/>
              </w:rPr>
              <w:t xml:space="preserve">  </w:t>
            </w:r>
          </w:p>
        </w:tc>
      </w:tr>
      <w:tr w:rsidR="00A8765D">
        <w:trPr>
          <w:cantSplit/>
        </w:trPr>
        <w:tc>
          <w:tcPr>
            <w:tcW w:w="8505" w:type="dxa"/>
            <w:shd w:val="clear" w:color="auto" w:fill="auto"/>
          </w:tcPr>
          <w:p w:rsidR="00A8765D" w:rsidRDefault="006C09F5">
            <w:pPr>
              <w:keepNext/>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noProof/>
                <w:color w:val="000000"/>
                <w:sz w:val="14"/>
              </w:rPr>
              <w:t>All macro intensity indicators are expressed as a ratio of a physical quantity to GDP (in 2010 prices)</w:t>
            </w:r>
            <w:r>
              <w:rPr>
                <w:rFonts w:ascii="Century Gothic" w:hAnsi="Century Gothic" w:cs="Times New Roman"/>
                <w:noProof/>
                <w:color w:val="000000"/>
                <w:sz w:val="14"/>
              </w:rPr>
              <w:br/>
              <w:t xml:space="preserve">     Energy intensity: gross inland energy consumption (in kgoe) divided by GDP (in EUR)</w:t>
            </w:r>
            <w:r>
              <w:rPr>
                <w:rFonts w:ascii="Century Gothic" w:hAnsi="Century Gothic" w:cs="Times New Roman"/>
                <w:noProof/>
                <w:color w:val="000000"/>
                <w:sz w:val="14"/>
              </w:rPr>
              <w:br/>
            </w:r>
            <w:r>
              <w:rPr>
                <w:rFonts w:ascii="Century Gothic" w:hAnsi="Century Gothic" w:cs="Times New Roman"/>
                <w:noProof/>
                <w:color w:val="000000"/>
                <w:sz w:val="14"/>
              </w:rPr>
              <w:t xml:space="preserve">     Carbon intensity: greenhouse gas emissions (in kg CO2 equivalents) divided by GDP (in EUR)</w:t>
            </w:r>
            <w:r>
              <w:rPr>
                <w:rFonts w:ascii="Century Gothic" w:hAnsi="Century Gothic" w:cs="Times New Roman"/>
                <w:noProof/>
                <w:color w:val="000000"/>
                <w:sz w:val="14"/>
              </w:rPr>
              <w:br/>
              <w:t xml:space="preserve">     Resource intensity: domestic material consumption (in kg) divided by GDP (in EUR)</w:t>
            </w:r>
            <w:r>
              <w:rPr>
                <w:rFonts w:ascii="Century Gothic" w:hAnsi="Century Gothic" w:cs="Times New Roman"/>
                <w:noProof/>
                <w:color w:val="000000"/>
                <w:sz w:val="14"/>
              </w:rPr>
              <w:br/>
              <w:t xml:space="preserve">     Waste intensity: waste (in kg) divided by GDP (in EUR)</w:t>
            </w:r>
            <w:r>
              <w:rPr>
                <w:rFonts w:ascii="Century Gothic" w:hAnsi="Century Gothic" w:cs="Times New Roman"/>
                <w:noProof/>
                <w:color w:val="000000"/>
                <w:sz w:val="14"/>
              </w:rPr>
              <w:br/>
              <w:t>Energy balanc</w:t>
            </w:r>
            <w:r>
              <w:rPr>
                <w:rFonts w:ascii="Century Gothic" w:hAnsi="Century Gothic" w:cs="Times New Roman"/>
                <w:noProof/>
                <w:color w:val="000000"/>
                <w:sz w:val="14"/>
              </w:rPr>
              <w:t>e of trade: the balance of energy exports and imports, expressed as % of GDP.</w:t>
            </w:r>
            <w:r>
              <w:rPr>
                <w:rFonts w:ascii="Century Gothic" w:hAnsi="Century Gothic" w:cs="Times New Roman"/>
                <w:noProof/>
                <w:color w:val="000000"/>
                <w:sz w:val="14"/>
              </w:rPr>
              <w:br/>
              <w:t>Weighting of energy in HICP: the proportion of 'energy' items in the consumption basket used for the construction of the HICP.</w:t>
            </w:r>
            <w:r>
              <w:rPr>
                <w:rFonts w:ascii="Century Gothic" w:hAnsi="Century Gothic" w:cs="Times New Roman"/>
                <w:noProof/>
                <w:color w:val="000000"/>
                <w:sz w:val="14"/>
              </w:rPr>
              <w:br/>
              <w:t>Difference between energy price change and inflatio</w:t>
            </w:r>
            <w:r>
              <w:rPr>
                <w:rFonts w:ascii="Century Gothic" w:hAnsi="Century Gothic" w:cs="Times New Roman"/>
                <w:noProof/>
                <w:color w:val="000000"/>
                <w:sz w:val="14"/>
              </w:rPr>
              <w:t>n: energy component of HICP, and total HICP inflation (annual % change).</w:t>
            </w:r>
            <w:r>
              <w:rPr>
                <w:rFonts w:ascii="Century Gothic" w:hAnsi="Century Gothic" w:cs="Times New Roman"/>
                <w:noProof/>
                <w:color w:val="000000"/>
                <w:sz w:val="14"/>
              </w:rPr>
              <w:br/>
              <w:t>Real unit energy cost: real energy costs as % of total value added for the economy.</w:t>
            </w:r>
            <w:r>
              <w:rPr>
                <w:rFonts w:ascii="Century Gothic" w:hAnsi="Century Gothic" w:cs="Times New Roman"/>
                <w:noProof/>
                <w:color w:val="000000"/>
                <w:sz w:val="14"/>
              </w:rPr>
              <w:br/>
              <w:t>Industry energy intensity: final energy consumption of industry (in kgoe) divided by gross value ad</w:t>
            </w:r>
            <w:r>
              <w:rPr>
                <w:rFonts w:ascii="Century Gothic" w:hAnsi="Century Gothic" w:cs="Times New Roman"/>
                <w:noProof/>
                <w:color w:val="000000"/>
                <w:sz w:val="14"/>
              </w:rPr>
              <w:t>ded of industry (in 2010 EUR).</w:t>
            </w:r>
            <w:r>
              <w:rPr>
                <w:rFonts w:ascii="Century Gothic" w:hAnsi="Century Gothic" w:cs="Times New Roman"/>
                <w:noProof/>
                <w:color w:val="000000"/>
                <w:sz w:val="14"/>
              </w:rPr>
              <w:br/>
              <w:t>Real unit energy costs for manufacturing industry excluding refining: real costs as % of value added for manufacturing sectors.</w:t>
            </w:r>
            <w:r>
              <w:rPr>
                <w:rFonts w:ascii="Century Gothic" w:hAnsi="Century Gothic" w:cs="Times New Roman"/>
                <w:noProof/>
                <w:color w:val="000000"/>
                <w:sz w:val="14"/>
              </w:rPr>
              <w:br/>
              <w:t>Share of energy-intensive industries in the economy: share of gross value added of the energy-int</w:t>
            </w:r>
            <w:r>
              <w:rPr>
                <w:rFonts w:ascii="Century Gothic" w:hAnsi="Century Gothic" w:cs="Times New Roman"/>
                <w:noProof/>
                <w:color w:val="000000"/>
                <w:sz w:val="14"/>
              </w:rPr>
              <w:t>ensive industries in GDP.</w:t>
            </w:r>
            <w:r>
              <w:rPr>
                <w:rFonts w:ascii="Century Gothic" w:hAnsi="Century Gothic" w:cs="Times New Roman"/>
                <w:noProof/>
                <w:color w:val="000000"/>
                <w:sz w:val="14"/>
              </w:rPr>
              <w:br/>
              <w:t>Electricity and gas prices for medium-sized industrial users: consumption band 500–20 00MWh and 10 000 -100 000 GJ; figures excl. VAT.</w:t>
            </w:r>
            <w:r>
              <w:rPr>
                <w:rFonts w:ascii="Century Gothic" w:hAnsi="Century Gothic" w:cs="Times New Roman"/>
                <w:noProof/>
                <w:color w:val="000000"/>
                <w:sz w:val="14"/>
              </w:rPr>
              <w:br/>
              <w:t>Recycling rate of municipal waste: ratio of recycled and composted municipal waste to total mun</w:t>
            </w:r>
            <w:r>
              <w:rPr>
                <w:rFonts w:ascii="Century Gothic" w:hAnsi="Century Gothic" w:cs="Times New Roman"/>
                <w:noProof/>
                <w:color w:val="000000"/>
                <w:sz w:val="14"/>
              </w:rPr>
              <w:t>icipal waste.</w:t>
            </w:r>
            <w:r>
              <w:rPr>
                <w:rFonts w:ascii="Century Gothic" w:hAnsi="Century Gothic" w:cs="Times New Roman"/>
                <w:noProof/>
                <w:color w:val="000000"/>
                <w:sz w:val="14"/>
              </w:rPr>
              <w:br/>
              <w:t>Public R&amp;D for energy or for the environment: government spending on R&amp;D for these categories as % of GDP.</w:t>
            </w:r>
            <w:r>
              <w:rPr>
                <w:rFonts w:ascii="Century Gothic" w:hAnsi="Century Gothic" w:cs="Times New Roman"/>
                <w:noProof/>
                <w:color w:val="000000"/>
                <w:sz w:val="14"/>
              </w:rPr>
              <w:br/>
              <w:t>Proportion of GHG emissions covered by EU emissions trading system (ETS) (excluding aviation): based on GHG emissions.</w:t>
            </w:r>
            <w:r>
              <w:rPr>
                <w:rFonts w:ascii="Century Gothic" w:hAnsi="Century Gothic" w:cs="Times New Roman"/>
                <w:noProof/>
                <w:color w:val="000000"/>
                <w:sz w:val="14"/>
              </w:rPr>
              <w:br/>
              <w:t>(excl. land use,</w:t>
            </w:r>
            <w:r>
              <w:rPr>
                <w:rFonts w:ascii="Century Gothic" w:hAnsi="Century Gothic" w:cs="Times New Roman"/>
                <w:noProof/>
                <w:color w:val="000000"/>
                <w:sz w:val="14"/>
              </w:rPr>
              <w:t xml:space="preserve"> land use change and forestry) as reported by Member States to the European Environment Agency.</w:t>
            </w:r>
            <w:r>
              <w:rPr>
                <w:rFonts w:ascii="Century Gothic" w:hAnsi="Century Gothic" w:cs="Times New Roman"/>
                <w:noProof/>
                <w:color w:val="000000"/>
                <w:sz w:val="14"/>
              </w:rPr>
              <w:br/>
              <w:t>Transport energy intensity: final energy consumption of transport activity including international aviation (kgoe) divided by gross value added in transportatio</w:t>
            </w:r>
            <w:r>
              <w:rPr>
                <w:rFonts w:ascii="Century Gothic" w:hAnsi="Century Gothic" w:cs="Times New Roman"/>
                <w:noProof/>
                <w:color w:val="000000"/>
                <w:sz w:val="14"/>
              </w:rPr>
              <w:t>n and storage sector (in 2010 EUR).</w:t>
            </w:r>
            <w:r>
              <w:rPr>
                <w:rFonts w:ascii="Century Gothic" w:hAnsi="Century Gothic" w:cs="Times New Roman"/>
                <w:noProof/>
                <w:color w:val="000000"/>
                <w:sz w:val="14"/>
              </w:rPr>
              <w:br/>
              <w:t xml:space="preserve">Transport carbon intensity: GHG emissions in transportation and storage sector divided by gross value added in transportation and storage sector (in 2010 EUR). </w:t>
            </w:r>
            <w:r>
              <w:rPr>
                <w:rFonts w:ascii="Century Gothic" w:hAnsi="Century Gothic" w:cs="Times New Roman"/>
                <w:noProof/>
                <w:color w:val="000000"/>
                <w:sz w:val="14"/>
              </w:rPr>
              <w:br/>
              <w:t>Energy import dependency: net energy imports divided by gro</w:t>
            </w:r>
            <w:r>
              <w:rPr>
                <w:rFonts w:ascii="Century Gothic" w:hAnsi="Century Gothic" w:cs="Times New Roman"/>
                <w:noProof/>
                <w:color w:val="000000"/>
                <w:sz w:val="14"/>
              </w:rPr>
              <w:t>ss inland energy consumption incl. consumption of international bunker fuels.</w:t>
            </w:r>
            <w:r>
              <w:rPr>
                <w:rFonts w:ascii="Century Gothic" w:hAnsi="Century Gothic" w:cs="Times New Roman"/>
                <w:noProof/>
                <w:color w:val="000000"/>
                <w:sz w:val="14"/>
              </w:rPr>
              <w:br/>
              <w:t xml:space="preserve">Aggregated supplier concentration index: Herfindahl index covering oil, gas and coal. Smaller values indicate larger diversification and hence lower risk. </w:t>
            </w:r>
            <w:r>
              <w:rPr>
                <w:rFonts w:ascii="Century Gothic" w:hAnsi="Century Gothic" w:cs="Times New Roman"/>
                <w:noProof/>
                <w:color w:val="000000"/>
                <w:sz w:val="14"/>
              </w:rPr>
              <w:br/>
              <w:t>Diversification of the</w:t>
            </w:r>
            <w:r>
              <w:rPr>
                <w:rFonts w:ascii="Century Gothic" w:hAnsi="Century Gothic" w:cs="Times New Roman"/>
                <w:noProof/>
                <w:color w:val="000000"/>
                <w:sz w:val="14"/>
              </w:rPr>
              <w:t xml:space="preserve"> energy mix: Herfindahl index covering natural gas, total petrol products, nuclear heat, renewable energies and solid fuels. Smaller values indicate arger diversification.</w:t>
            </w:r>
            <w:r>
              <w:rPr>
                <w:rFonts w:ascii="Century Gothic" w:hAnsi="Century Gothic" w:cs="Times New Roman"/>
                <w:noProof/>
                <w:color w:val="000000"/>
                <w:sz w:val="14"/>
              </w:rPr>
              <w:br/>
              <w:t>* European Commission and European Environment Agency - 2018 provisional data.</w:t>
            </w:r>
          </w:p>
          <w:p w:rsidR="00A8765D" w:rsidRDefault="006C09F5">
            <w:pPr>
              <w:keepNext/>
              <w:pBdr>
                <w:top w:val="single" w:sz="2" w:space="2" w:color="auto"/>
                <w:bottom w:val="single" w:sz="2" w:space="2" w:color="auto"/>
              </w:pBdr>
              <w:spacing w:after="0" w:line="240" w:lineRule="auto"/>
              <w:rPr>
                <w:rFonts w:ascii="Century Gothic" w:hAnsi="Century Gothic" w:cs="Times New Roman"/>
                <w:noProof/>
                <w:color w:val="000000"/>
                <w:sz w:val="14"/>
              </w:rPr>
            </w:pPr>
            <w:r>
              <w:rPr>
                <w:rFonts w:ascii="Century Gothic" w:hAnsi="Century Gothic" w:cs="Times New Roman"/>
                <w:b/>
                <w:i/>
                <w:noProof/>
                <w:color w:val="000000"/>
                <w:sz w:val="14"/>
              </w:rPr>
              <w:t>Sourc</w:t>
            </w:r>
            <w:r>
              <w:rPr>
                <w:rFonts w:ascii="Century Gothic" w:hAnsi="Century Gothic" w:cs="Times New Roman"/>
                <w:b/>
                <w:i/>
                <w:noProof/>
                <w:color w:val="000000"/>
                <w:sz w:val="14"/>
              </w:rPr>
              <w:t>e:</w:t>
            </w:r>
            <w:r>
              <w:rPr>
                <w:rFonts w:ascii="Century Gothic" w:hAnsi="Century Gothic" w:cs="Times New Roman"/>
                <w:noProof/>
                <w:color w:val="000000"/>
                <w:sz w:val="14"/>
              </w:rPr>
              <w:t xml:space="preserve"> European Commission and European Environment Agency (Share of GHG emissions covered by ETS); European Commission (Environmental taxes over labour taxes and GDP); Eurostat (all other indicators).</w:t>
            </w:r>
          </w:p>
        </w:tc>
      </w:tr>
      <w:tr w:rsidR="00A8765D">
        <w:trPr>
          <w:cantSplit/>
          <w:trHeight w:val="20"/>
        </w:trPr>
        <w:tc>
          <w:tcPr>
            <w:tcW w:w="8505" w:type="dxa"/>
            <w:shd w:val="clear" w:color="auto" w:fill="auto"/>
            <w:tcMar>
              <w:bottom w:w="240" w:type="dxa"/>
            </w:tcMar>
          </w:tcPr>
          <w:p w:rsidR="00A8765D" w:rsidRDefault="00A8765D">
            <w:pPr>
              <w:spacing w:after="0" w:line="240" w:lineRule="auto"/>
              <w:jc w:val="both"/>
              <w:rPr>
                <w:rFonts w:ascii="Times New Roman" w:hAnsi="Times New Roman" w:cs="Times New Roman"/>
                <w:noProof/>
                <w:color w:val="000000"/>
                <w:sz w:val="2"/>
              </w:rPr>
            </w:pPr>
          </w:p>
        </w:tc>
      </w:tr>
      <w:bookmarkEnd w:id="65"/>
    </w:tbl>
    <w:p w:rsidR="00A8765D" w:rsidRDefault="00A8765D">
      <w:pPr>
        <w:spacing w:after="240" w:line="240" w:lineRule="atLeast"/>
        <w:jc w:val="both"/>
        <w:rPr>
          <w:rFonts w:ascii="Times New Roman" w:hAnsi="Times New Roman" w:cs="Times New Roman"/>
          <w:noProof/>
          <w:color w:val="000000"/>
          <w:sz w:val="20"/>
        </w:rPr>
        <w:sectPr w:rsidR="00A8765D">
          <w:headerReference w:type="even" r:id="rId120"/>
          <w:headerReference w:type="default" r:id="rId121"/>
          <w:footerReference w:type="even" r:id="rId122"/>
          <w:footerReference w:type="default" r:id="rId123"/>
          <w:headerReference w:type="first" r:id="rId124"/>
          <w:footerReference w:type="first" r:id="rId125"/>
          <w:footnotePr>
            <w:pos w:val="beneathText"/>
          </w:footnotePr>
          <w:endnotePr>
            <w:numFmt w:val="decimal"/>
            <w:numRestart w:val="eachSect"/>
          </w:endnotePr>
          <w:pgSz w:w="11907" w:h="16839"/>
          <w:pgMar w:top="2693" w:right="1701" w:bottom="1417" w:left="1701" w:header="709" w:footer="709" w:gutter="0"/>
          <w:cols w:space="708"/>
          <w:titlePg/>
          <w:docGrid w:linePitch="360"/>
        </w:sectPr>
      </w:pPr>
    </w:p>
    <w:bookmarkStart w:id="73" w:name="GUID9BB4E10E4B514F5DB87B461B83918358"/>
    <w:p w:rsidR="00A8765D" w:rsidRDefault="006C09F5">
      <w:pPr>
        <w:spacing w:after="240" w:line="240" w:lineRule="atLeast"/>
        <w:jc w:val="both"/>
        <w:rPr>
          <w:rFonts w:ascii="Times New Roman" w:hAnsi="Times New Roman" w:cs="Times New Roman"/>
          <w:noProof/>
          <w:vanish/>
          <w:color w:val="000000"/>
          <w:sz w:val="20"/>
        </w:rPr>
      </w:pPr>
      <w:r>
        <w:rPr>
          <w:rFonts w:ascii="Times New Roman" w:hAnsi="Times New Roman" w:cs="Times New Roman"/>
          <w:noProof/>
          <w:vanish/>
          <w:color w:val="000000"/>
          <w:sz w:val="20"/>
        </w:rPr>
        <w:fldChar w:fldCharType="begin"/>
      </w:r>
      <w:r>
        <w:rPr>
          <w:rFonts w:ascii="Times New Roman" w:hAnsi="Times New Roman" w:cs="Times New Roman"/>
          <w:noProof/>
          <w:color w:val="000000"/>
          <w:sz w:val="20"/>
        </w:rPr>
        <w:instrText xml:space="preserve"> TC "</w:instrText>
      </w:r>
      <w:bookmarkStart w:id="74" w:name="_Toc33020605"/>
      <w:r>
        <w:rPr>
          <w:rFonts w:ascii="Times New Roman" w:hAnsi="Times New Roman" w:cs="Times New Roman"/>
          <w:noProof/>
          <w:color w:val="000000"/>
          <w:sz w:val="20"/>
        </w:rPr>
        <w:instrText>D.</w:instrText>
      </w:r>
      <w:r>
        <w:rPr>
          <w:rFonts w:ascii="Times New Roman" w:hAnsi="Times New Roman" w:cs="Times New Roman"/>
          <w:noProof/>
          <w:color w:val="000000"/>
          <w:sz w:val="20"/>
        </w:rPr>
        <w:tab/>
        <w:instrText>Investment Guidance on Cohesion Policy Funding 2021-2027 for Latvia</w:instrText>
      </w:r>
      <w:bookmarkEnd w:id="74"/>
      <w:r>
        <w:rPr>
          <w:rFonts w:ascii="Times New Roman" w:hAnsi="Times New Roman" w:cs="Times New Roman"/>
          <w:noProof/>
          <w:color w:val="000000"/>
          <w:sz w:val="20"/>
        </w:rPr>
        <w:instrText xml:space="preserve">" \f \l 2 </w:instrText>
      </w:r>
      <w:r>
        <w:rPr>
          <w:rFonts w:ascii="Times New Roman" w:hAnsi="Times New Roman" w:cs="Times New Roman"/>
          <w:noProof/>
          <w:vanish/>
          <w:color w:val="000000"/>
          <w:sz w:val="20"/>
        </w:rPr>
        <w:fldChar w:fldCharType="end"/>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Building on the Commission proposal, this Annex (</w:t>
      </w:r>
      <w:r>
        <w:rPr>
          <w:rStyle w:val="FootnoteReference"/>
          <w:rFonts w:ascii="Times New Roman" w:hAnsi="Times New Roman" w:cs="Times New Roman"/>
          <w:noProof/>
          <w:color w:val="000000"/>
          <w:sz w:val="20"/>
        </w:rPr>
        <w:footnoteReference w:id="25"/>
      </w:r>
      <w:r>
        <w:rPr>
          <w:rFonts w:ascii="Times New Roman" w:hAnsi="Times New Roman" w:cs="Times New Roman"/>
          <w:noProof/>
          <w:color w:val="000000"/>
          <w:sz w:val="20"/>
        </w:rPr>
        <w:t xml:space="preserve">) presents the preliminary Commission </w:t>
      </w:r>
      <w:r>
        <w:rPr>
          <w:rFonts w:ascii="Times New Roman" w:hAnsi="Times New Roman" w:cs="Times New Roman"/>
          <w:noProof/>
          <w:color w:val="000000"/>
          <w:sz w:val="20"/>
        </w:rPr>
        <w:t>services’ views on priority investment areas and framework conditions for effective delivery for the 2021-2027 Just Transition Fund investments in Latvia. These priority investment areas are derived from the broader analysis of territories facing serious s</w:t>
      </w:r>
      <w:r>
        <w:rPr>
          <w:rFonts w:ascii="Times New Roman" w:hAnsi="Times New Roman" w:cs="Times New Roman"/>
          <w:noProof/>
          <w:color w:val="000000"/>
          <w:sz w:val="20"/>
        </w:rPr>
        <w:t>ocio-economic challenges deriving from the transition process towards a climate-neutral economy of the Union by 2050 in Latvia, assessed in the report. This Annex provides the basis for a dialogue between Latvia and the Commission services as well as the r</w:t>
      </w:r>
      <w:r>
        <w:rPr>
          <w:rFonts w:ascii="Times New Roman" w:hAnsi="Times New Roman" w:cs="Times New Roman"/>
          <w:noProof/>
          <w:color w:val="000000"/>
          <w:sz w:val="20"/>
        </w:rPr>
        <w:t>elevant guidance for the Member States in preparing their territorial just transition plans, which will form the basis for programming the Just Transition Fund. The Just Transition Fund investments complement those under Cohesion Policy funding for which g</w:t>
      </w:r>
      <w:r>
        <w:rPr>
          <w:rFonts w:ascii="Times New Roman" w:hAnsi="Times New Roman" w:cs="Times New Roman"/>
          <w:noProof/>
          <w:color w:val="000000"/>
          <w:sz w:val="20"/>
        </w:rPr>
        <w:t>uidance in the form of Annex D was given in the 2019 Country Report for Latvia (</w:t>
      </w:r>
      <w:r>
        <w:rPr>
          <w:rFonts w:ascii="Times New Roman" w:hAnsi="Times New Roman" w:cs="Times New Roman"/>
          <w:noProof/>
          <w:color w:val="000000"/>
          <w:sz w:val="20"/>
          <w:vertAlign w:val="superscript"/>
        </w:rPr>
        <w:footnoteReference w:id="26"/>
      </w:r>
      <w:r>
        <w:rPr>
          <w:rFonts w:ascii="Times New Roman" w:hAnsi="Times New Roman" w:cs="Times New Roman"/>
          <w:noProof/>
          <w:color w:val="000000"/>
          <w:sz w:val="20"/>
        </w:rPr>
        <w:t>).</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In Latvia, greenhouse gas (GHG) emissions from wetlands and peat extraction constitute around 14.5% of total GHG emissions (</w:t>
      </w:r>
      <w:r>
        <w:rPr>
          <w:rFonts w:ascii="Times New Roman" w:hAnsi="Times New Roman" w:cs="Times New Roman"/>
          <w:noProof/>
          <w:color w:val="000000"/>
          <w:sz w:val="20"/>
          <w:vertAlign w:val="superscript"/>
        </w:rPr>
        <w:footnoteReference w:id="27"/>
      </w:r>
      <w:r>
        <w:rPr>
          <w:rFonts w:ascii="Times New Roman" w:hAnsi="Times New Roman" w:cs="Times New Roman"/>
          <w:noProof/>
          <w:color w:val="000000"/>
          <w:sz w:val="20"/>
        </w:rPr>
        <w:t xml:space="preserve">). Peat extraction leads to the degradation of </w:t>
      </w:r>
      <w:r>
        <w:rPr>
          <w:rFonts w:ascii="Times New Roman" w:hAnsi="Times New Roman" w:cs="Times New Roman"/>
          <w:noProof/>
          <w:color w:val="000000"/>
          <w:sz w:val="20"/>
        </w:rPr>
        <w:t>wetlands, which are efficient carbon storage systems. Ensuring sustainable production of peat and restoring peatlands and wetlands can significantly reduce emissions. On average 1,800 workers are employed in peat extraction (</w:t>
      </w:r>
      <w:r>
        <w:rPr>
          <w:rFonts w:ascii="Times New Roman" w:hAnsi="Times New Roman" w:cs="Times New Roman"/>
          <w:noProof/>
          <w:color w:val="000000"/>
          <w:sz w:val="20"/>
          <w:vertAlign w:val="superscript"/>
        </w:rPr>
        <w:footnoteReference w:id="28"/>
      </w:r>
      <w:r>
        <w:rPr>
          <w:rFonts w:ascii="Times New Roman" w:hAnsi="Times New Roman" w:cs="Times New Roman"/>
          <w:noProof/>
          <w:color w:val="000000"/>
          <w:sz w:val="20"/>
        </w:rPr>
        <w:t xml:space="preserve">), increasing to 2,500 during </w:t>
      </w:r>
      <w:r>
        <w:rPr>
          <w:rFonts w:ascii="Times New Roman" w:hAnsi="Times New Roman" w:cs="Times New Roman"/>
          <w:noProof/>
          <w:color w:val="000000"/>
          <w:sz w:val="20"/>
        </w:rPr>
        <w:t>the season. Vidzeme and Latgale are two regions where the transition to a climate neutral economy would have a significant socio-economic impact. Based on this preliminary assessment, it appears warranted that the Just Transition Fund concentrates its inte</w:t>
      </w:r>
      <w:r>
        <w:rPr>
          <w:rFonts w:ascii="Times New Roman" w:hAnsi="Times New Roman" w:cs="Times New Roman"/>
          <w:noProof/>
          <w:color w:val="000000"/>
          <w:sz w:val="20"/>
        </w:rPr>
        <w:t>rvention on these regions.</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 xml:space="preserve">In line with ambitious climate goals and transition to a carbon neutral economy, the emissions from the GHG-intensive industries in the priority regions would need to be reduced as much as technologically feasible, and potential </w:t>
      </w:r>
      <w:r>
        <w:rPr>
          <w:rFonts w:ascii="Times New Roman" w:hAnsi="Times New Roman" w:cs="Times New Roman"/>
          <w:noProof/>
          <w:color w:val="000000"/>
          <w:sz w:val="20"/>
        </w:rPr>
        <w:t xml:space="preserve">negative social and economic impacts resulting from this transition mitigated. For example, adapting the peat industry to become more environmentally sustainable, climate friendly and carbon neutral would lead to employment shifts in the affected regions. </w:t>
      </w:r>
      <w:r>
        <w:rPr>
          <w:rFonts w:ascii="Times New Roman" w:hAnsi="Times New Roman" w:cs="Times New Roman"/>
          <w:noProof/>
          <w:color w:val="000000"/>
          <w:sz w:val="20"/>
        </w:rPr>
        <w:t>The smart specialisation strategies (</w:t>
      </w:r>
      <w:r>
        <w:rPr>
          <w:rFonts w:ascii="Times New Roman" w:hAnsi="Times New Roman" w:cs="Times New Roman"/>
          <w:noProof/>
          <w:color w:val="000000"/>
          <w:sz w:val="20"/>
          <w:vertAlign w:val="superscript"/>
        </w:rPr>
        <w:footnoteReference w:id="29"/>
      </w:r>
      <w:r>
        <w:rPr>
          <w:rFonts w:ascii="Times New Roman" w:hAnsi="Times New Roman" w:cs="Times New Roman"/>
          <w:noProof/>
          <w:color w:val="000000"/>
          <w:sz w:val="20"/>
        </w:rPr>
        <w:t>) provide an important framework to set priorities for innovation in support of economic transformation.  Diversifying regional economic activities and creating new business opportunities would therefore be essential f</w:t>
      </w:r>
      <w:r>
        <w:rPr>
          <w:rFonts w:ascii="Times New Roman" w:hAnsi="Times New Roman" w:cs="Times New Roman"/>
          <w:noProof/>
          <w:color w:val="000000"/>
          <w:sz w:val="20"/>
        </w:rPr>
        <w:t xml:space="preserve">or making the transition towards a more diversified, competitive and green economy. This also implies the need for new skills of those people currently employed in the peat sector and its value chain. </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In order to tackle these transition challenges, priori</w:t>
      </w:r>
      <w:r>
        <w:rPr>
          <w:rFonts w:ascii="Times New Roman" w:hAnsi="Times New Roman" w:cs="Times New Roman"/>
          <w:noProof/>
          <w:color w:val="000000"/>
          <w:sz w:val="20"/>
        </w:rPr>
        <w:t>ty investment needs have been identified for diversifying and making the regional economies more modern and competitive, and for alleviating the socio-economic costs of the transition. Key actions of the Just Transition Fund could target in particular:</w:t>
      </w:r>
    </w:p>
    <w:p w:rsidR="00A8765D" w:rsidRDefault="006C09F5">
      <w:pPr>
        <w:numPr>
          <w:ilvl w:val="0"/>
          <w:numId w:val="18"/>
        </w:num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pro</w:t>
      </w:r>
      <w:r>
        <w:rPr>
          <w:rFonts w:ascii="Times New Roman" w:hAnsi="Times New Roman" w:cs="Times New Roman"/>
          <w:noProof/>
          <w:color w:val="000000"/>
          <w:sz w:val="20"/>
        </w:rPr>
        <w:t>ductive investments in SMEs, including start-ups, leading to economic diversification and reconversion;</w:t>
      </w:r>
    </w:p>
    <w:p w:rsidR="00A8765D" w:rsidRDefault="006C09F5">
      <w:pPr>
        <w:numPr>
          <w:ilvl w:val="0"/>
          <w:numId w:val="18"/>
        </w:num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investments in the creation of new firms, including through business incubators and consulting services;</w:t>
      </w:r>
    </w:p>
    <w:p w:rsidR="00A8765D" w:rsidRDefault="006C09F5">
      <w:pPr>
        <w:numPr>
          <w:ilvl w:val="0"/>
          <w:numId w:val="18"/>
        </w:num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investments in research and innovation activiti</w:t>
      </w:r>
      <w:r>
        <w:rPr>
          <w:rFonts w:ascii="Times New Roman" w:hAnsi="Times New Roman" w:cs="Times New Roman"/>
          <w:noProof/>
          <w:color w:val="000000"/>
          <w:sz w:val="20"/>
        </w:rPr>
        <w:t>es and fostering the transfer of advanced technologies;</w:t>
      </w:r>
    </w:p>
    <w:p w:rsidR="00A8765D" w:rsidRDefault="006C09F5">
      <w:pPr>
        <w:numPr>
          <w:ilvl w:val="0"/>
          <w:numId w:val="18"/>
        </w:num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investments in the deployment of technology and infrastructures for affordable clean energy, in greenhouse gas emission reduction, energy efficiency and renewable energy.</w:t>
      </w:r>
    </w:p>
    <w:p w:rsidR="00A8765D" w:rsidRDefault="006C09F5">
      <w:pPr>
        <w:numPr>
          <w:ilvl w:val="0"/>
          <w:numId w:val="18"/>
        </w:num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 xml:space="preserve">upskilling and reskilling of </w:t>
      </w:r>
      <w:r>
        <w:rPr>
          <w:rFonts w:ascii="Times New Roman" w:hAnsi="Times New Roman" w:cs="Times New Roman"/>
          <w:noProof/>
          <w:color w:val="000000"/>
          <w:sz w:val="20"/>
        </w:rPr>
        <w:t>workers.</w:t>
      </w:r>
    </w:p>
    <w:p w:rsidR="00A8765D" w:rsidRDefault="006C09F5">
      <w:p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In order to increase the resilience of the affected regions, investment needs have also been identified for improving the attractiveness of the local economy. Key actions of the Just Transition Fund could target in particular:</w:t>
      </w:r>
    </w:p>
    <w:p w:rsidR="00A8765D" w:rsidRDefault="006C09F5">
      <w:pPr>
        <w:numPr>
          <w:ilvl w:val="0"/>
          <w:numId w:val="18"/>
        </w:numPr>
        <w:spacing w:after="240" w:line="240" w:lineRule="atLeast"/>
        <w:jc w:val="both"/>
        <w:rPr>
          <w:rFonts w:ascii="Times New Roman" w:hAnsi="Times New Roman" w:cs="Times New Roman"/>
          <w:noProof/>
          <w:color w:val="000000"/>
          <w:sz w:val="20"/>
        </w:rPr>
      </w:pPr>
      <w:r>
        <w:rPr>
          <w:rFonts w:ascii="Times New Roman" w:hAnsi="Times New Roman" w:cs="Times New Roman"/>
          <w:noProof/>
          <w:color w:val="000000"/>
          <w:sz w:val="20"/>
        </w:rPr>
        <w:t>investments in regen</w:t>
      </w:r>
      <w:r>
        <w:rPr>
          <w:rFonts w:ascii="Times New Roman" w:hAnsi="Times New Roman" w:cs="Times New Roman"/>
          <w:noProof/>
          <w:color w:val="000000"/>
          <w:sz w:val="20"/>
        </w:rPr>
        <w:t>eration and decontamination of sites, land restoration and repurposing projects.</w:t>
      </w:r>
    </w:p>
    <w:bookmarkEnd w:id="73"/>
    <w:p w:rsidR="00A8765D" w:rsidRDefault="00A8765D">
      <w:pPr>
        <w:spacing w:after="240" w:line="240" w:lineRule="atLeast"/>
        <w:jc w:val="both"/>
        <w:rPr>
          <w:rFonts w:ascii="Times New Roman" w:hAnsi="Times New Roman" w:cs="Times New Roman"/>
          <w:noProof/>
          <w:color w:val="000000"/>
          <w:sz w:val="20"/>
        </w:rPr>
        <w:sectPr w:rsidR="00A8765D">
          <w:headerReference w:type="even" r:id="rId126"/>
          <w:headerReference w:type="default" r:id="rId127"/>
          <w:footerReference w:type="even" r:id="rId128"/>
          <w:footerReference w:type="default" r:id="rId129"/>
          <w:headerReference w:type="first" r:id="rId130"/>
          <w:footerReference w:type="first" r:id="rId131"/>
          <w:footnotePr>
            <w:pos w:val="beneathText"/>
          </w:footnotePr>
          <w:endnotePr>
            <w:numFmt w:val="decimal"/>
            <w:numRestart w:val="eachSect"/>
          </w:endnotePr>
          <w:pgSz w:w="11907" w:h="16839"/>
          <w:pgMar w:top="2693" w:right="1701" w:bottom="1417" w:left="1701" w:header="709" w:footer="709" w:gutter="0"/>
          <w:cols w:space="708"/>
          <w:titlePg/>
          <w:docGrid w:linePitch="360"/>
        </w:sectPr>
      </w:pPr>
    </w:p>
    <w:bookmarkStart w:id="75" w:name="GUIDB93A68D2F4D54240BB92A9BDAE362B16"/>
    <w:p w:rsidR="00A8765D" w:rsidRDefault="006C09F5">
      <w:pPr>
        <w:pStyle w:val="Heading"/>
        <w:rPr>
          <w:noProof/>
        </w:rPr>
      </w:pPr>
      <w:r>
        <w:rPr>
          <w:rFonts w:ascii="Times New Roman" w:hAnsi="Times New Roman"/>
          <w:noProof/>
          <w:vanish/>
          <w:color w:val="000000"/>
          <w:sz w:val="20"/>
        </w:rPr>
        <w:fldChar w:fldCharType="begin"/>
      </w:r>
      <w:r>
        <w:rPr>
          <w:rFonts w:ascii="Times New Roman" w:hAnsi="Times New Roman"/>
          <w:noProof/>
          <w:color w:val="000000"/>
          <w:sz w:val="20"/>
        </w:rPr>
        <w:instrText xml:space="preserve"> TC "</w:instrText>
      </w:r>
      <w:bookmarkStart w:id="76" w:name="_Toc33020606"/>
      <w:r>
        <w:rPr>
          <w:rFonts w:ascii="Times New Roman" w:hAnsi="Times New Roman"/>
          <w:noProof/>
          <w:color w:val="000000"/>
          <w:sz w:val="20"/>
        </w:rPr>
        <w:instrText>E.</w:instrText>
      </w:r>
      <w:r>
        <w:rPr>
          <w:rFonts w:ascii="Times New Roman" w:hAnsi="Times New Roman"/>
          <w:noProof/>
          <w:color w:val="000000"/>
          <w:sz w:val="20"/>
        </w:rPr>
        <w:tab/>
        <w:instrText>Progress towards the Sustainable Development Goals (SDGs)</w:instrText>
      </w:r>
      <w:bookmarkEnd w:id="76"/>
      <w:r>
        <w:rPr>
          <w:rFonts w:ascii="Times New Roman" w:hAnsi="Times New Roman"/>
          <w:noProof/>
          <w:color w:val="000000"/>
          <w:sz w:val="20"/>
        </w:rPr>
        <w:instrText xml:space="preserve">" \f \l 2 </w:instrText>
      </w:r>
      <w:r>
        <w:rPr>
          <w:rFonts w:ascii="Times New Roman" w:hAnsi="Times New Roman"/>
          <w:noProof/>
          <w:vanish/>
          <w:color w:val="000000"/>
          <w:sz w:val="20"/>
        </w:rPr>
        <w:fldChar w:fldCharType="end"/>
      </w:r>
      <w:r>
        <w:rPr>
          <w:noProof/>
          <w:lang w:val="en-US"/>
        </w:rPr>
        <w:t xml:space="preserve"> Assessment of </w:t>
      </w:r>
      <w:r>
        <w:rPr>
          <w:noProof/>
        </w:rPr>
        <w:t>Latvia</w:t>
      </w:r>
      <w:r>
        <w:rPr>
          <w:noProof/>
          <w:lang w:val="en-US"/>
        </w:rPr>
        <w:t xml:space="preserve">’s short-term progress </w:t>
      </w:r>
      <w:r>
        <w:rPr>
          <w:noProof/>
        </w:rPr>
        <w:t>towards the SDGs (</w:t>
      </w:r>
      <w:r>
        <w:rPr>
          <w:rStyle w:val="FootnoteReference"/>
          <w:noProof/>
        </w:rPr>
        <w:footnoteReference w:id="30"/>
      </w:r>
      <w:r>
        <w:rPr>
          <w:noProof/>
        </w:rPr>
        <w:t>)</w:t>
      </w:r>
    </w:p>
    <w:tbl>
      <w:tblPr>
        <w:tblpPr w:leftFromText="180" w:rightFromText="180" w:vertAnchor="text" w:horzAnchor="margin" w:tblpY="1446"/>
        <w:tblW w:w="0" w:type="auto"/>
        <w:tblLayout w:type="fixed"/>
        <w:tblCellMar>
          <w:left w:w="0" w:type="dxa"/>
          <w:right w:w="0" w:type="dxa"/>
        </w:tblCellMar>
        <w:tblLook w:val="0000" w:firstRow="0" w:lastRow="0" w:firstColumn="0" w:lastColumn="0" w:noHBand="0" w:noVBand="0"/>
      </w:tblPr>
      <w:tblGrid>
        <w:gridCol w:w="8505"/>
      </w:tblGrid>
      <w:tr w:rsidR="00A8765D">
        <w:trPr>
          <w:cantSplit/>
          <w:trHeight w:val="52"/>
        </w:trPr>
        <w:tc>
          <w:tcPr>
            <w:tcW w:w="8505" w:type="dxa"/>
            <w:shd w:val="clear" w:color="auto" w:fill="auto"/>
          </w:tcPr>
          <w:p w:rsidR="00A8765D" w:rsidRDefault="00A8765D">
            <w:pPr>
              <w:pStyle w:val="SlimCell"/>
              <w:keepNext/>
              <w:rPr>
                <w:noProof/>
              </w:rPr>
            </w:pPr>
          </w:p>
        </w:tc>
      </w:tr>
      <w:tr w:rsidR="00A8765D">
        <w:trPr>
          <w:cantSplit/>
        </w:trPr>
        <w:tc>
          <w:tcPr>
            <w:tcW w:w="8505" w:type="dxa"/>
            <w:shd w:val="clear" w:color="auto" w:fill="auto"/>
          </w:tcPr>
          <w:p w:rsidR="00A8765D" w:rsidRDefault="006C09F5">
            <w:pPr>
              <w:pStyle w:val="TableTitle"/>
              <w:rPr>
                <w:b/>
                <w:noProof/>
              </w:rPr>
            </w:pPr>
            <w:r>
              <w:rPr>
                <w:noProof/>
              </w:rPr>
              <w:t>Table E.1:</w:t>
            </w:r>
            <w:r>
              <w:rPr>
                <w:noProof/>
              </w:rPr>
              <w:tab/>
            </w:r>
            <w:r>
              <w:rPr>
                <w:b/>
                <w:noProof/>
              </w:rPr>
              <w:t xml:space="preserve">Indicators measuring Latvia’s progress </w:t>
            </w:r>
            <w:r>
              <w:rPr>
                <w:b/>
                <w:noProof/>
              </w:rPr>
              <w:t>towards the SDGs</w:t>
            </w:r>
          </w:p>
        </w:tc>
      </w:tr>
      <w:tr w:rsidR="00A8765D">
        <w:trPr>
          <w:cantSplit/>
        </w:trPr>
        <w:tc>
          <w:tcPr>
            <w:tcW w:w="8505" w:type="dxa"/>
            <w:shd w:val="clear" w:color="auto" w:fill="auto"/>
          </w:tcPr>
          <w:p w:rsidR="00A8765D" w:rsidRDefault="00A8765D">
            <w:pPr>
              <w:pStyle w:val="TableShape"/>
              <w:rPr>
                <w:noProof/>
              </w:rPr>
            </w:pPr>
          </w:p>
        </w:tc>
      </w:tr>
      <w:tr w:rsidR="00A8765D">
        <w:trPr>
          <w:cantSplit/>
          <w:trHeight w:val="20"/>
        </w:trPr>
        <w:tc>
          <w:tcPr>
            <w:tcW w:w="8505" w:type="dxa"/>
            <w:shd w:val="clear" w:color="auto" w:fill="auto"/>
          </w:tcPr>
          <w:p w:rsidR="00A8765D" w:rsidRDefault="00A8765D">
            <w:pPr>
              <w:pStyle w:val="SlimCell"/>
              <w:keepNext/>
              <w:rPr>
                <w:noProof/>
              </w:rPr>
            </w:pPr>
          </w:p>
        </w:tc>
      </w:tr>
      <w:tr w:rsidR="00A8765D">
        <w:trPr>
          <w:cantSplit/>
        </w:trPr>
        <w:tc>
          <w:tcPr>
            <w:tcW w:w="8505" w:type="dxa"/>
            <w:shd w:val="clear" w:color="auto" w:fill="auto"/>
            <w:vAlign w:val="bottom"/>
          </w:tcPr>
          <w:p w:rsidR="00A8765D" w:rsidRDefault="006C09F5">
            <w:pPr>
              <w:pStyle w:val="TableContinueBottom"/>
              <w:rPr>
                <w:noProof/>
              </w:rPr>
            </w:pPr>
            <w:r>
              <w:rPr>
                <w:noProof/>
              </w:rPr>
              <w:t>(Continued on the next page)</w:t>
            </w:r>
          </w:p>
        </w:tc>
      </w:tr>
    </w:tbl>
    <w:p w:rsidR="00A8765D" w:rsidRDefault="006C09F5">
      <w:pPr>
        <w:rPr>
          <w:noProof/>
          <w:sz w:val="20"/>
        </w:rPr>
      </w:pPr>
      <w:r>
        <w:rPr>
          <w:rFonts w:ascii="Times New Roman" w:hAnsi="Times New Roman" w:cs="Times New Roman"/>
          <w:noProof/>
          <w:sz w:val="20"/>
          <w:szCs w:val="20"/>
        </w:rPr>
        <w:t xml:space="preserve">Table E.1 shows the data for Latvia and the EU-28 for the indicators included in the EU SDG indicator set used by Eurostat for </w:t>
      </w:r>
      <w:hyperlink r:id="rId132" w:history="1">
        <w:r>
          <w:rPr>
            <w:rFonts w:ascii="Times New Roman" w:hAnsi="Times New Roman" w:cs="Times New Roman"/>
            <w:noProof/>
            <w:color w:val="0000FF" w:themeColor="hyperlink"/>
            <w:sz w:val="20"/>
            <w:szCs w:val="20"/>
            <w:u w:val="single"/>
          </w:rPr>
          <w:t>monitoring progress towards the SDGs in an EU context</w:t>
        </w:r>
      </w:hyperlink>
      <w:r>
        <w:rPr>
          <w:rFonts w:ascii="Times New Roman" w:hAnsi="Times New Roman" w:cs="Times New Roman"/>
          <w:noProof/>
          <w:sz w:val="20"/>
          <w:szCs w:val="20"/>
          <w:lang w:val="en-US"/>
        </w:rPr>
        <w:t> (</w:t>
      </w:r>
      <w:r>
        <w:rPr>
          <w:rStyle w:val="FootnoteReference"/>
          <w:rFonts w:ascii="Times New Roman" w:hAnsi="Times New Roman" w:cs="Times New Roman"/>
          <w:noProof/>
          <w:sz w:val="20"/>
          <w:szCs w:val="20"/>
          <w:lang w:val="en-US"/>
        </w:rPr>
        <w:footnoteReference w:id="31"/>
      </w:r>
      <w:r>
        <w:rPr>
          <w:rFonts w:ascii="Times New Roman" w:hAnsi="Times New Roman" w:cs="Times New Roman"/>
          <w:noProof/>
          <w:sz w:val="20"/>
          <w:szCs w:val="20"/>
          <w:lang w:val="en-US"/>
        </w:rPr>
        <w:t>).</w:t>
      </w:r>
      <w:r>
        <w:rPr>
          <w:rFonts w:ascii="Times New Roman" w:hAnsi="Times New Roman" w:cs="Times New Roman"/>
          <w:noProof/>
          <w:sz w:val="20"/>
          <w:szCs w:val="20"/>
        </w:rPr>
        <w:t xml:space="preserve"> As the short-term trend at EU-level is assessed over a 5-year period</w:t>
      </w:r>
      <w:r>
        <w:rPr>
          <w:rFonts w:ascii="Times New Roman" w:hAnsi="Times New Roman" w:cs="Times New Roman"/>
          <w:noProof/>
          <w:sz w:val="20"/>
          <w:szCs w:val="20"/>
        </w:rPr>
        <w:t xml:space="preserve">, both the value at the beginning of the period and the latest available value is presented. The indicators are regularly updated on the </w:t>
      </w:r>
      <w:hyperlink r:id="rId133" w:history="1">
        <w:r>
          <w:rPr>
            <w:rStyle w:val="Hyperlink"/>
            <w:rFonts w:ascii="Times New Roman" w:hAnsi="Times New Roman" w:cs="Times New Roman"/>
            <w:noProof/>
            <w:sz w:val="20"/>
            <w:szCs w:val="20"/>
          </w:rPr>
          <w:t>SDI dedicated section</w:t>
        </w:r>
      </w:hyperlink>
      <w:r>
        <w:rPr>
          <w:rFonts w:ascii="Times New Roman" w:hAnsi="Times New Roman" w:cs="Times New Roman"/>
          <w:noProof/>
          <w:sz w:val="20"/>
          <w:szCs w:val="20"/>
        </w:rPr>
        <w:t xml:space="preserve"> of the Eurostat website.</w:t>
      </w:r>
      <w:r>
        <w:rPr>
          <w:noProof/>
          <w:lang w:eastAsia="en-GB"/>
        </w:rPr>
        <w:t xml:space="preserve"> </w:t>
      </w:r>
      <w:r>
        <w:rPr>
          <w:noProof/>
          <w:lang w:eastAsia="en-GB"/>
        </w:rPr>
        <w:drawing>
          <wp:inline distT="0" distB="0" distL="0" distR="0">
            <wp:extent cx="5390515" cy="5443855"/>
            <wp:effectExtent l="0" t="0" r="63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90515" cy="5443855"/>
                    </a:xfrm>
                    <a:prstGeom prst="rect">
                      <a:avLst/>
                    </a:prstGeom>
                    <a:noFill/>
                    <a:ln>
                      <a:noFill/>
                    </a:ln>
                  </pic:spPr>
                </pic:pic>
              </a:graphicData>
            </a:graphic>
          </wp:inline>
        </w:drawing>
      </w:r>
    </w:p>
    <w:tbl>
      <w:tblPr>
        <w:tblpPr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A8765D">
        <w:trPr>
          <w:cantSplit/>
        </w:trPr>
        <w:tc>
          <w:tcPr>
            <w:tcW w:w="8505" w:type="dxa"/>
            <w:shd w:val="clear" w:color="auto" w:fill="auto"/>
          </w:tcPr>
          <w:p w:rsidR="00A8765D" w:rsidRDefault="006C09F5">
            <w:pPr>
              <w:pStyle w:val="TableContinueTop"/>
              <w:pageBreakBefore/>
              <w:rPr>
                <w:noProof/>
              </w:rPr>
            </w:pPr>
            <w:bookmarkStart w:id="77" w:name="GUIDE06AB76ECF7444D7BCFCC17E7A801FEE"/>
            <w:r>
              <w:rPr>
                <w:noProof/>
              </w:rPr>
              <w:t>Table (</w:t>
            </w:r>
            <w:r>
              <w:rPr>
                <w:noProof/>
              </w:rPr>
              <w:t>continued)</w:t>
            </w:r>
          </w:p>
        </w:tc>
      </w:tr>
      <w:tr w:rsidR="00A8765D">
        <w:trPr>
          <w:cantSplit/>
          <w:trHeight w:val="20"/>
        </w:trPr>
        <w:tc>
          <w:tcPr>
            <w:tcW w:w="8505" w:type="dxa"/>
            <w:shd w:val="clear" w:color="auto" w:fill="auto"/>
          </w:tcPr>
          <w:p w:rsidR="00A8765D" w:rsidRDefault="00A8765D">
            <w:pPr>
              <w:pStyle w:val="SlimCell"/>
              <w:keepNext/>
              <w:rPr>
                <w:noProof/>
              </w:rPr>
            </w:pPr>
          </w:p>
        </w:tc>
      </w:tr>
      <w:tr w:rsidR="00A8765D">
        <w:trPr>
          <w:cantSplit/>
        </w:trPr>
        <w:tc>
          <w:tcPr>
            <w:tcW w:w="8505" w:type="dxa"/>
            <w:shd w:val="clear" w:color="auto" w:fill="auto"/>
          </w:tcPr>
          <w:p w:rsidR="00A8765D" w:rsidRDefault="006C09F5">
            <w:pPr>
              <w:pStyle w:val="TableShape"/>
              <w:rPr>
                <w:noProof/>
              </w:rPr>
            </w:pPr>
            <w:r>
              <w:rPr>
                <w:noProof/>
                <w:lang w:eastAsia="en-GB"/>
              </w:rPr>
              <w:drawing>
                <wp:inline distT="0" distB="0" distL="0" distR="0">
                  <wp:extent cx="5390515" cy="648589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90515" cy="6485890"/>
                          </a:xfrm>
                          <a:prstGeom prst="rect">
                            <a:avLst/>
                          </a:prstGeom>
                          <a:noFill/>
                          <a:ln>
                            <a:noFill/>
                          </a:ln>
                        </pic:spPr>
                      </pic:pic>
                    </a:graphicData>
                  </a:graphic>
                </wp:inline>
              </w:drawing>
            </w:r>
            <w:r>
              <w:rPr>
                <w:noProof/>
              </w:rPr>
              <w:t xml:space="preserve"> </w:t>
            </w:r>
          </w:p>
        </w:tc>
      </w:tr>
      <w:tr w:rsidR="00A8765D">
        <w:trPr>
          <w:cantSplit/>
          <w:trHeight w:val="20"/>
        </w:trPr>
        <w:tc>
          <w:tcPr>
            <w:tcW w:w="8505" w:type="dxa"/>
            <w:shd w:val="clear" w:color="auto" w:fill="auto"/>
          </w:tcPr>
          <w:p w:rsidR="00A8765D" w:rsidRDefault="00A8765D">
            <w:pPr>
              <w:pStyle w:val="SlimCell"/>
              <w:keepNext/>
              <w:rPr>
                <w:noProof/>
              </w:rPr>
            </w:pPr>
          </w:p>
        </w:tc>
      </w:tr>
      <w:tr w:rsidR="00A8765D">
        <w:trPr>
          <w:cantSplit/>
        </w:trPr>
        <w:tc>
          <w:tcPr>
            <w:tcW w:w="8505" w:type="dxa"/>
            <w:shd w:val="clear" w:color="auto" w:fill="auto"/>
            <w:vAlign w:val="bottom"/>
          </w:tcPr>
          <w:p w:rsidR="00A8765D" w:rsidRDefault="006C09F5">
            <w:pPr>
              <w:pStyle w:val="TableContinueBottom"/>
              <w:rPr>
                <w:noProof/>
              </w:rPr>
            </w:pPr>
            <w:r>
              <w:rPr>
                <w:noProof/>
              </w:rPr>
              <w:t>(Continued on the next page)</w:t>
            </w:r>
          </w:p>
        </w:tc>
      </w:tr>
    </w:tbl>
    <w:p w:rsidR="00A8765D" w:rsidRDefault="00A8765D">
      <w:pPr>
        <w:pStyle w:val="MultipageDelimiter"/>
        <w:rPr>
          <w:noProof/>
        </w:rPr>
      </w:pPr>
    </w:p>
    <w:p w:rsidR="00A8765D" w:rsidRDefault="00A8765D">
      <w:pPr>
        <w:rPr>
          <w:noProof/>
        </w:rPr>
      </w:pPr>
    </w:p>
    <w:tbl>
      <w:tblPr>
        <w:tblpPr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A8765D">
        <w:trPr>
          <w:cantSplit/>
        </w:trPr>
        <w:tc>
          <w:tcPr>
            <w:tcW w:w="8505" w:type="dxa"/>
            <w:shd w:val="clear" w:color="auto" w:fill="auto"/>
          </w:tcPr>
          <w:p w:rsidR="00A8765D" w:rsidRDefault="006C09F5">
            <w:pPr>
              <w:pStyle w:val="TableContinueTop"/>
              <w:pageBreakBefore/>
              <w:rPr>
                <w:noProof/>
              </w:rPr>
            </w:pPr>
            <w:r>
              <w:rPr>
                <w:noProof/>
              </w:rPr>
              <w:t>Table (continued)</w:t>
            </w:r>
          </w:p>
        </w:tc>
      </w:tr>
      <w:tr w:rsidR="00A8765D">
        <w:trPr>
          <w:cantSplit/>
          <w:trHeight w:val="20"/>
        </w:trPr>
        <w:tc>
          <w:tcPr>
            <w:tcW w:w="8505" w:type="dxa"/>
            <w:shd w:val="clear" w:color="auto" w:fill="auto"/>
          </w:tcPr>
          <w:p w:rsidR="00A8765D" w:rsidRDefault="00A8765D">
            <w:pPr>
              <w:pStyle w:val="SlimCell"/>
              <w:keepNext/>
              <w:rPr>
                <w:noProof/>
              </w:rPr>
            </w:pPr>
          </w:p>
        </w:tc>
      </w:tr>
      <w:tr w:rsidR="00A8765D">
        <w:trPr>
          <w:cantSplit/>
        </w:trPr>
        <w:tc>
          <w:tcPr>
            <w:tcW w:w="8505" w:type="dxa"/>
            <w:shd w:val="clear" w:color="auto" w:fill="auto"/>
          </w:tcPr>
          <w:p w:rsidR="00A8765D" w:rsidRDefault="006C09F5">
            <w:pPr>
              <w:pStyle w:val="TableShape"/>
              <w:rPr>
                <w:noProof/>
              </w:rPr>
            </w:pPr>
            <w:r>
              <w:rPr>
                <w:noProof/>
                <w:lang w:eastAsia="en-GB"/>
              </w:rPr>
              <w:drawing>
                <wp:inline distT="0" distB="0" distL="0" distR="0">
                  <wp:extent cx="5390515" cy="663448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90515" cy="6634480"/>
                          </a:xfrm>
                          <a:prstGeom prst="rect">
                            <a:avLst/>
                          </a:prstGeom>
                          <a:noFill/>
                          <a:ln>
                            <a:noFill/>
                          </a:ln>
                        </pic:spPr>
                      </pic:pic>
                    </a:graphicData>
                  </a:graphic>
                </wp:inline>
              </w:drawing>
            </w:r>
            <w:r>
              <w:rPr>
                <w:noProof/>
              </w:rPr>
              <w:t xml:space="preserve"> </w:t>
            </w:r>
          </w:p>
        </w:tc>
      </w:tr>
      <w:tr w:rsidR="00A8765D">
        <w:trPr>
          <w:cantSplit/>
          <w:trHeight w:val="20"/>
        </w:trPr>
        <w:tc>
          <w:tcPr>
            <w:tcW w:w="8505" w:type="dxa"/>
            <w:shd w:val="clear" w:color="auto" w:fill="auto"/>
          </w:tcPr>
          <w:p w:rsidR="00A8765D" w:rsidRDefault="00A8765D">
            <w:pPr>
              <w:pStyle w:val="SlimCell"/>
              <w:keepNext/>
              <w:rPr>
                <w:noProof/>
              </w:rPr>
            </w:pPr>
          </w:p>
        </w:tc>
      </w:tr>
      <w:tr w:rsidR="00A8765D">
        <w:trPr>
          <w:cantSplit/>
        </w:trPr>
        <w:tc>
          <w:tcPr>
            <w:tcW w:w="8505" w:type="dxa"/>
            <w:shd w:val="clear" w:color="auto" w:fill="auto"/>
            <w:vAlign w:val="bottom"/>
          </w:tcPr>
          <w:p w:rsidR="00A8765D" w:rsidRDefault="006C09F5">
            <w:pPr>
              <w:pStyle w:val="TableContinueBottom"/>
              <w:rPr>
                <w:noProof/>
              </w:rPr>
            </w:pPr>
            <w:r>
              <w:rPr>
                <w:noProof/>
              </w:rPr>
              <w:t>(Continued on the next page)</w:t>
            </w:r>
          </w:p>
        </w:tc>
      </w:tr>
    </w:tbl>
    <w:p w:rsidR="00A8765D" w:rsidRDefault="00A8765D">
      <w:pPr>
        <w:pStyle w:val="MultipageDelimiter"/>
        <w:rPr>
          <w:noProof/>
        </w:rPr>
      </w:pPr>
    </w:p>
    <w:p w:rsidR="00A8765D" w:rsidRDefault="00A8765D">
      <w:pPr>
        <w:rPr>
          <w:noProof/>
        </w:rPr>
      </w:pPr>
    </w:p>
    <w:tbl>
      <w:tblPr>
        <w:tblpPr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A8765D">
        <w:trPr>
          <w:cantSplit/>
        </w:trPr>
        <w:tc>
          <w:tcPr>
            <w:tcW w:w="8505" w:type="dxa"/>
            <w:shd w:val="clear" w:color="auto" w:fill="auto"/>
          </w:tcPr>
          <w:p w:rsidR="00A8765D" w:rsidRDefault="006C09F5">
            <w:pPr>
              <w:pStyle w:val="TableContinueTop"/>
              <w:pageBreakBefore/>
              <w:rPr>
                <w:noProof/>
              </w:rPr>
            </w:pPr>
            <w:r>
              <w:rPr>
                <w:noProof/>
              </w:rPr>
              <w:t>Table (continued)</w:t>
            </w:r>
          </w:p>
        </w:tc>
      </w:tr>
      <w:tr w:rsidR="00A8765D">
        <w:trPr>
          <w:cantSplit/>
          <w:trHeight w:val="20"/>
        </w:trPr>
        <w:tc>
          <w:tcPr>
            <w:tcW w:w="8505" w:type="dxa"/>
            <w:shd w:val="clear" w:color="auto" w:fill="auto"/>
          </w:tcPr>
          <w:p w:rsidR="00A8765D" w:rsidRDefault="00A8765D">
            <w:pPr>
              <w:pStyle w:val="SlimCell"/>
              <w:keepNext/>
              <w:rPr>
                <w:noProof/>
              </w:rPr>
            </w:pPr>
          </w:p>
        </w:tc>
      </w:tr>
      <w:tr w:rsidR="00A8765D">
        <w:trPr>
          <w:cantSplit/>
        </w:trPr>
        <w:tc>
          <w:tcPr>
            <w:tcW w:w="8505" w:type="dxa"/>
            <w:shd w:val="clear" w:color="auto" w:fill="auto"/>
          </w:tcPr>
          <w:p w:rsidR="00A8765D" w:rsidRDefault="006C09F5">
            <w:pPr>
              <w:pStyle w:val="TableShape"/>
              <w:rPr>
                <w:noProof/>
              </w:rPr>
            </w:pPr>
            <w:r>
              <w:rPr>
                <w:noProof/>
                <w:lang w:eastAsia="en-GB"/>
              </w:rPr>
              <w:drawing>
                <wp:inline distT="0" distB="0" distL="0" distR="0">
                  <wp:extent cx="5390515" cy="64008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90515" cy="6400800"/>
                          </a:xfrm>
                          <a:prstGeom prst="rect">
                            <a:avLst/>
                          </a:prstGeom>
                          <a:noFill/>
                          <a:ln>
                            <a:noFill/>
                          </a:ln>
                        </pic:spPr>
                      </pic:pic>
                    </a:graphicData>
                  </a:graphic>
                </wp:inline>
              </w:drawing>
            </w:r>
            <w:r>
              <w:rPr>
                <w:noProof/>
              </w:rPr>
              <w:t xml:space="preserve"> </w:t>
            </w:r>
          </w:p>
        </w:tc>
      </w:tr>
      <w:tr w:rsidR="00A8765D">
        <w:trPr>
          <w:cantSplit/>
          <w:trHeight w:val="20"/>
        </w:trPr>
        <w:tc>
          <w:tcPr>
            <w:tcW w:w="8505" w:type="dxa"/>
            <w:shd w:val="clear" w:color="auto" w:fill="auto"/>
          </w:tcPr>
          <w:p w:rsidR="00A8765D" w:rsidRDefault="00A8765D">
            <w:pPr>
              <w:pStyle w:val="SlimCell"/>
              <w:keepNext/>
              <w:rPr>
                <w:noProof/>
              </w:rPr>
            </w:pPr>
          </w:p>
        </w:tc>
      </w:tr>
      <w:tr w:rsidR="00A8765D">
        <w:trPr>
          <w:cantSplit/>
        </w:trPr>
        <w:tc>
          <w:tcPr>
            <w:tcW w:w="8505" w:type="dxa"/>
            <w:shd w:val="clear" w:color="auto" w:fill="auto"/>
            <w:vAlign w:val="bottom"/>
          </w:tcPr>
          <w:p w:rsidR="00A8765D" w:rsidRDefault="006C09F5">
            <w:pPr>
              <w:pStyle w:val="TableContinueBottom"/>
              <w:rPr>
                <w:noProof/>
              </w:rPr>
            </w:pPr>
            <w:r>
              <w:rPr>
                <w:noProof/>
              </w:rPr>
              <w:t>(Continued on the next page)</w:t>
            </w:r>
          </w:p>
        </w:tc>
      </w:tr>
    </w:tbl>
    <w:p w:rsidR="00A8765D" w:rsidRDefault="00A8765D">
      <w:pPr>
        <w:pStyle w:val="MultipageDelimiter"/>
        <w:rPr>
          <w:noProof/>
        </w:rPr>
      </w:pPr>
    </w:p>
    <w:p w:rsidR="00A8765D" w:rsidRDefault="00A8765D">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A8765D">
        <w:trPr>
          <w:cantSplit/>
        </w:trPr>
        <w:tc>
          <w:tcPr>
            <w:tcW w:w="8505" w:type="dxa"/>
            <w:shd w:val="clear" w:color="auto" w:fill="auto"/>
          </w:tcPr>
          <w:p w:rsidR="00A8765D" w:rsidRDefault="006C09F5">
            <w:pPr>
              <w:pStyle w:val="TableContinueTop"/>
              <w:pageBreakBefore/>
              <w:rPr>
                <w:noProof/>
              </w:rPr>
            </w:pPr>
            <w:r>
              <w:rPr>
                <w:noProof/>
              </w:rPr>
              <w:t>Table (continued)</w:t>
            </w:r>
          </w:p>
        </w:tc>
      </w:tr>
      <w:tr w:rsidR="00A8765D">
        <w:trPr>
          <w:cantSplit/>
          <w:trHeight w:val="20"/>
        </w:trPr>
        <w:tc>
          <w:tcPr>
            <w:tcW w:w="8505" w:type="dxa"/>
            <w:shd w:val="clear" w:color="auto" w:fill="auto"/>
          </w:tcPr>
          <w:p w:rsidR="00A8765D" w:rsidRDefault="00A8765D">
            <w:pPr>
              <w:pStyle w:val="SlimCell"/>
              <w:keepNext/>
              <w:rPr>
                <w:noProof/>
              </w:rPr>
            </w:pPr>
          </w:p>
        </w:tc>
      </w:tr>
      <w:tr w:rsidR="00A8765D">
        <w:trPr>
          <w:cantSplit/>
        </w:trPr>
        <w:tc>
          <w:tcPr>
            <w:tcW w:w="8505" w:type="dxa"/>
            <w:shd w:val="clear" w:color="auto" w:fill="auto"/>
          </w:tcPr>
          <w:p w:rsidR="00A8765D" w:rsidRDefault="006C09F5">
            <w:pPr>
              <w:pStyle w:val="TableShape"/>
              <w:rPr>
                <w:noProof/>
              </w:rPr>
            </w:pPr>
            <w:r>
              <w:rPr>
                <w:noProof/>
                <w:lang w:eastAsia="en-GB"/>
              </w:rPr>
              <w:drawing>
                <wp:inline distT="0" distB="0" distL="0" distR="0">
                  <wp:extent cx="5401310" cy="257302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01310" cy="2573020"/>
                          </a:xfrm>
                          <a:prstGeom prst="rect">
                            <a:avLst/>
                          </a:prstGeom>
                          <a:noFill/>
                          <a:ln>
                            <a:noFill/>
                          </a:ln>
                        </pic:spPr>
                      </pic:pic>
                    </a:graphicData>
                  </a:graphic>
                </wp:inline>
              </w:drawing>
            </w:r>
            <w:r>
              <w:rPr>
                <w:noProof/>
              </w:rPr>
              <w:t xml:space="preserve"> </w:t>
            </w:r>
          </w:p>
        </w:tc>
      </w:tr>
      <w:tr w:rsidR="00A8765D">
        <w:trPr>
          <w:cantSplit/>
        </w:trPr>
        <w:tc>
          <w:tcPr>
            <w:tcW w:w="8505" w:type="dxa"/>
            <w:shd w:val="clear" w:color="auto" w:fill="auto"/>
          </w:tcPr>
          <w:p w:rsidR="00A8765D" w:rsidRDefault="006C09F5">
            <w:pPr>
              <w:pStyle w:val="TableSource"/>
              <w:rPr>
                <w:noProof/>
              </w:rPr>
            </w:pPr>
            <w:r>
              <w:rPr>
                <w:b/>
                <w:i/>
                <w:noProof/>
              </w:rPr>
              <w:t>Source:</w:t>
            </w:r>
            <w:r>
              <w:rPr>
                <w:noProof/>
              </w:rPr>
              <w:t xml:space="preserve"> Eurostat</w:t>
            </w:r>
          </w:p>
        </w:tc>
      </w:tr>
      <w:tr w:rsidR="00A8765D">
        <w:trPr>
          <w:cantSplit/>
          <w:trHeight w:val="20"/>
        </w:trPr>
        <w:tc>
          <w:tcPr>
            <w:tcW w:w="8505" w:type="dxa"/>
            <w:shd w:val="clear" w:color="auto" w:fill="auto"/>
            <w:vAlign w:val="bottom"/>
          </w:tcPr>
          <w:p w:rsidR="00A8765D" w:rsidRDefault="00A8765D">
            <w:pPr>
              <w:pStyle w:val="SlimCell"/>
              <w:rPr>
                <w:noProof/>
              </w:rPr>
            </w:pPr>
          </w:p>
        </w:tc>
      </w:tr>
      <w:bookmarkEnd w:id="77"/>
    </w:tbl>
    <w:p w:rsidR="00A8765D" w:rsidRDefault="00A8765D">
      <w:pPr>
        <w:rPr>
          <w:noProof/>
        </w:rPr>
        <w:sectPr w:rsidR="00A8765D">
          <w:headerReference w:type="even" r:id="rId139"/>
          <w:headerReference w:type="default" r:id="rId140"/>
          <w:footerReference w:type="even" r:id="rId141"/>
          <w:footerReference w:type="default" r:id="rId142"/>
          <w:headerReference w:type="first" r:id="rId143"/>
          <w:footerReference w:type="first" r:id="rId144"/>
          <w:footnotePr>
            <w:pos w:val="beneathText"/>
          </w:footnotePr>
          <w:endnotePr>
            <w:numFmt w:val="decimal"/>
            <w:numRestart w:val="eachSect"/>
          </w:endnotePr>
          <w:pgSz w:w="11907" w:h="16839"/>
          <w:pgMar w:top="2693" w:right="1701" w:bottom="1417" w:left="1701" w:header="709" w:footer="709" w:gutter="0"/>
          <w:cols w:space="708"/>
          <w:titlePg/>
          <w:docGrid w:linePitch="360"/>
        </w:sectPr>
      </w:pPr>
    </w:p>
    <w:bookmarkEnd w:id="75"/>
    <w:p w:rsidR="00A8765D" w:rsidRDefault="006C09F5">
      <w:pPr>
        <w:spacing w:after="240" w:line="240" w:lineRule="atLeast"/>
        <w:jc w:val="both"/>
        <w:rPr>
          <w:rFonts w:ascii="Times New Roman" w:hAnsi="Times New Roman" w:cs="Times New Roman"/>
          <w:noProof/>
          <w:vanish/>
          <w:color w:val="000000"/>
          <w:sz w:val="20"/>
          <w:szCs w:val="20"/>
        </w:rPr>
      </w:pPr>
      <w:r>
        <w:rPr>
          <w:rFonts w:ascii="Times New Roman" w:hAnsi="Times New Roman" w:cs="Times New Roman"/>
          <w:noProof/>
          <w:vanish/>
          <w:color w:val="000000"/>
          <w:sz w:val="20"/>
          <w:szCs w:val="20"/>
        </w:rPr>
        <w:fldChar w:fldCharType="begin"/>
      </w:r>
      <w:r>
        <w:rPr>
          <w:rFonts w:ascii="Times New Roman" w:hAnsi="Times New Roman" w:cs="Times New Roman"/>
          <w:noProof/>
          <w:color w:val="000000"/>
          <w:sz w:val="20"/>
          <w:szCs w:val="20"/>
        </w:rPr>
        <w:instrText xml:space="preserve"> TC "</w:instrText>
      </w:r>
      <w:bookmarkStart w:id="78" w:name="_Toc33020607"/>
      <w:r>
        <w:rPr>
          <w:rFonts w:ascii="Times New Roman" w:hAnsi="Times New Roman" w:cs="Times New Roman"/>
          <w:noProof/>
          <w:color w:val="000000"/>
          <w:sz w:val="20"/>
          <w:szCs w:val="20"/>
        </w:rPr>
        <w:instrText>References</w:instrText>
      </w:r>
      <w:bookmarkEnd w:id="78"/>
      <w:r>
        <w:rPr>
          <w:rFonts w:ascii="Times New Roman" w:hAnsi="Times New Roman" w:cs="Times New Roman"/>
          <w:noProof/>
          <w:color w:val="000000"/>
          <w:sz w:val="20"/>
          <w:szCs w:val="20"/>
        </w:rPr>
        <w:instrText xml:space="preserve">" \f \l 7 </w:instrText>
      </w:r>
      <w:r>
        <w:rPr>
          <w:rFonts w:ascii="Times New Roman" w:hAnsi="Times New Roman" w:cs="Times New Roman"/>
          <w:noProof/>
          <w:vanish/>
          <w:color w:val="000000"/>
          <w:sz w:val="20"/>
          <w:szCs w:val="20"/>
        </w:rPr>
        <w:fldChar w:fldCharType="end"/>
      </w:r>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Baltic Institute of Social Sciences (BISS). (2019). </w:t>
      </w:r>
      <w:r>
        <w:rPr>
          <w:rFonts w:ascii="Times New Roman" w:hAnsi="Times New Roman" w:cs="Times New Roman"/>
          <w:i/>
          <w:noProof/>
          <w:color w:val="000000"/>
          <w:sz w:val="20"/>
          <w:szCs w:val="20"/>
        </w:rPr>
        <w:t>Ikgadējs nabadzības un sociālās atstumtības mazināšanas rīcībpolitikas izvērtējums (t.sk. izvērtējums par nevienlīdzību veselības aprūpē un nevienlīdzību mājokļa pieejamības jomā).</w:t>
      </w:r>
      <w:r>
        <w:rPr>
          <w:rFonts w:ascii="Times New Roman" w:hAnsi="Times New Roman" w:cs="Times New Roman"/>
          <w:noProof/>
          <w:color w:val="000000"/>
          <w:sz w:val="20"/>
          <w:szCs w:val="20"/>
        </w:rPr>
        <w:t xml:space="preserve"> [</w:t>
      </w:r>
      <w:r>
        <w:rPr>
          <w:rFonts w:ascii="Times New Roman" w:hAnsi="Times New Roman" w:cs="Times New Roman"/>
          <w:i/>
          <w:noProof/>
          <w:color w:val="000000"/>
          <w:sz w:val="20"/>
          <w:szCs w:val="20"/>
        </w:rPr>
        <w:t xml:space="preserve">The annual assessment </w:t>
      </w:r>
      <w:r>
        <w:rPr>
          <w:rFonts w:ascii="Times New Roman" w:hAnsi="Times New Roman" w:cs="Times New Roman"/>
          <w:i/>
          <w:noProof/>
          <w:color w:val="000000"/>
          <w:sz w:val="20"/>
          <w:szCs w:val="20"/>
        </w:rPr>
        <w:t>of policies to reduce poverty and social exclusion (including the assessment of health inequalities and inequality in access to housing).</w:t>
      </w:r>
      <w:r>
        <w:rPr>
          <w:rFonts w:ascii="Times New Roman" w:hAnsi="Times New Roman" w:cs="Times New Roman"/>
          <w:noProof/>
          <w:color w:val="000000"/>
          <w:sz w:val="20"/>
          <w:szCs w:val="20"/>
        </w:rPr>
        <w:t xml:space="preserve">] Retrieved from: </w:t>
      </w:r>
      <w:hyperlink r:id="rId145" w:history="1">
        <w:r>
          <w:rPr>
            <w:rFonts w:ascii="Times New Roman" w:hAnsi="Times New Roman" w:cs="Times New Roman"/>
            <w:noProof/>
            <w:color w:val="0000FF" w:themeColor="hyperlink"/>
            <w:sz w:val="20"/>
            <w:szCs w:val="20"/>
            <w:u w:val="single"/>
          </w:rPr>
          <w:t>http://petijumi.mk.gov.lv/sites/default/files/title_file/Nabadz_soc_atstumt_mazin_ricibpol_izvertejums_Zinojums.pdf</w:t>
        </w:r>
      </w:hyperlink>
      <w:r>
        <w:rPr>
          <w:rFonts w:ascii="Times New Roman" w:hAnsi="Times New Roman" w:cs="Times New Roman"/>
          <w:noProof/>
          <w:color w:val="000000"/>
          <w:sz w:val="20"/>
          <w:szCs w:val="20"/>
        </w:rPr>
        <w:t xml:space="preserve">  </w:t>
      </w:r>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Center for Social and Economic Research (CASE). (2019). </w:t>
      </w:r>
      <w:r>
        <w:rPr>
          <w:rFonts w:ascii="Times New Roman" w:hAnsi="Times New Roman" w:cs="Times New Roman"/>
          <w:i/>
          <w:noProof/>
          <w:color w:val="000000"/>
          <w:sz w:val="20"/>
          <w:szCs w:val="20"/>
        </w:rPr>
        <w:t>Study and Reports on the VAT Gap in the EU-28 Membe</w:t>
      </w:r>
      <w:r>
        <w:rPr>
          <w:rFonts w:ascii="Times New Roman" w:hAnsi="Times New Roman" w:cs="Times New Roman"/>
          <w:i/>
          <w:noProof/>
          <w:color w:val="000000"/>
          <w:sz w:val="20"/>
          <w:szCs w:val="20"/>
        </w:rPr>
        <w:t>r States: 2019 Final Report.</w:t>
      </w:r>
      <w:r>
        <w:rPr>
          <w:rFonts w:ascii="Times New Roman" w:hAnsi="Times New Roman" w:cs="Times New Roman"/>
          <w:noProof/>
          <w:color w:val="000000"/>
          <w:sz w:val="20"/>
          <w:szCs w:val="20"/>
        </w:rPr>
        <w:t xml:space="preserve"> Retrieved from: </w:t>
      </w:r>
      <w:hyperlink r:id="rId146" w:history="1">
        <w:r>
          <w:rPr>
            <w:rFonts w:ascii="Times New Roman" w:hAnsi="Times New Roman" w:cs="Times New Roman"/>
            <w:noProof/>
            <w:color w:val="0000FF" w:themeColor="hyperlink"/>
            <w:sz w:val="20"/>
            <w:szCs w:val="20"/>
            <w:u w:val="single"/>
          </w:rPr>
          <w:t>https://ec.europa.eu/taxation_customs/sites/taxation/files/vat-gap-full-report-2019_en.pdf</w:t>
        </w:r>
      </w:hyperlink>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Central Stati</w:t>
      </w:r>
      <w:r>
        <w:rPr>
          <w:rFonts w:ascii="Times New Roman" w:hAnsi="Times New Roman" w:cs="Times New Roman"/>
          <w:noProof/>
          <w:color w:val="000000"/>
          <w:sz w:val="20"/>
          <w:szCs w:val="20"/>
        </w:rPr>
        <w:t xml:space="preserve">stical Bureau of Latvia (CSB). (2018). </w:t>
      </w:r>
      <w:r>
        <w:rPr>
          <w:rFonts w:ascii="Times New Roman" w:hAnsi="Times New Roman" w:cs="Times New Roman"/>
          <w:i/>
          <w:noProof/>
          <w:color w:val="000000"/>
          <w:sz w:val="20"/>
          <w:szCs w:val="20"/>
        </w:rPr>
        <w:t>Results of Adult Education Survey.</w:t>
      </w:r>
      <w:r>
        <w:rPr>
          <w:rFonts w:ascii="Times New Roman" w:hAnsi="Times New Roman" w:cs="Times New Roman"/>
          <w:noProof/>
          <w:color w:val="000000"/>
          <w:sz w:val="20"/>
          <w:szCs w:val="20"/>
        </w:rPr>
        <w:t xml:space="preserve"> Retrieved from: </w:t>
      </w:r>
      <w:hyperlink r:id="rId147" w:history="1">
        <w:r>
          <w:rPr>
            <w:rFonts w:ascii="Times New Roman" w:hAnsi="Times New Roman" w:cs="Times New Roman"/>
            <w:noProof/>
            <w:color w:val="0000FF" w:themeColor="hyperlink"/>
            <w:sz w:val="20"/>
            <w:szCs w:val="20"/>
            <w:u w:val="single"/>
          </w:rPr>
          <w:t>https:</w:t>
        </w:r>
        <w:r>
          <w:rPr>
            <w:rFonts w:ascii="Times New Roman" w:hAnsi="Times New Roman" w:cs="Times New Roman"/>
            <w:noProof/>
            <w:color w:val="0000FF" w:themeColor="hyperlink"/>
            <w:sz w:val="20"/>
            <w:szCs w:val="20"/>
            <w:u w:val="single"/>
          </w:rPr>
          <w:t>//www.csb.gov.lv/lv/statistika/statistikas-temas/socialie-procesi/izglitiba/meklet-tema/303-apsekojuma-pieauguso-izglitiba-rezultati-2018</w:t>
        </w:r>
      </w:hyperlink>
      <w:r>
        <w:rPr>
          <w:rFonts w:ascii="Times New Roman" w:hAnsi="Times New Roman" w:cs="Times New Roman"/>
          <w:noProof/>
          <w:color w:val="000000"/>
          <w:sz w:val="20"/>
          <w:szCs w:val="20"/>
        </w:rPr>
        <w:t xml:space="preserve"> </w:t>
      </w:r>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Central Statistical Bureau of Latvia (CSB). (2019). </w:t>
      </w:r>
      <w:r>
        <w:rPr>
          <w:rFonts w:ascii="Times New Roman" w:hAnsi="Times New Roman" w:cs="Times New Roman"/>
          <w:i/>
          <w:noProof/>
          <w:color w:val="000000"/>
          <w:sz w:val="20"/>
          <w:szCs w:val="20"/>
        </w:rPr>
        <w:t>Labour Force Survey: Key Indicators in 2018.</w:t>
      </w:r>
      <w:r>
        <w:rPr>
          <w:rFonts w:ascii="Times New Roman" w:hAnsi="Times New Roman" w:cs="Times New Roman"/>
          <w:noProof/>
          <w:color w:val="000000"/>
          <w:sz w:val="20"/>
          <w:szCs w:val="20"/>
        </w:rPr>
        <w:t xml:space="preserve"> Retrieved from: </w:t>
      </w:r>
      <w:hyperlink r:id="rId148" w:history="1">
        <w:r>
          <w:rPr>
            <w:rFonts w:ascii="Times New Roman" w:hAnsi="Times New Roman" w:cs="Times New Roman"/>
            <w:noProof/>
            <w:color w:val="0000FF" w:themeColor="hyperlink"/>
            <w:sz w:val="20"/>
            <w:szCs w:val="20"/>
            <w:u w:val="single"/>
          </w:rPr>
          <w:t>https://www.csb.gov.lv/lv/statistika/statistikas-temas/socialie-procesi/nodarbinatiba/meklet-tema/380-</w:t>
        </w:r>
        <w:r>
          <w:rPr>
            <w:rFonts w:ascii="Times New Roman" w:hAnsi="Times New Roman" w:cs="Times New Roman"/>
            <w:noProof/>
            <w:color w:val="0000FF" w:themeColor="hyperlink"/>
            <w:sz w:val="20"/>
            <w:szCs w:val="20"/>
            <w:u w:val="single"/>
          </w:rPr>
          <w:t>darbaspeka-apsekojuma-galvenie-raditaji</w:t>
        </w:r>
      </w:hyperlink>
      <w:r>
        <w:rPr>
          <w:rFonts w:ascii="Times New Roman" w:hAnsi="Times New Roman" w:cs="Times New Roman"/>
          <w:noProof/>
          <w:color w:val="000000"/>
          <w:sz w:val="20"/>
          <w:szCs w:val="20"/>
        </w:rPr>
        <w:t xml:space="preserve"> </w:t>
      </w:r>
    </w:p>
    <w:p w:rsidR="00A8765D" w:rsidRDefault="006C09F5">
      <w:pPr>
        <w:spacing w:after="240" w:line="240" w:lineRule="atLeast"/>
        <w:jc w:val="both"/>
        <w:rPr>
          <w:rFonts w:ascii="Times New Roman" w:hAnsi="Times New Roman" w:cs="Times New Roman"/>
          <w:noProof/>
          <w:sz w:val="20"/>
          <w:szCs w:val="20"/>
        </w:rPr>
      </w:pPr>
      <w:r>
        <w:rPr>
          <w:rFonts w:ascii="Times New Roman" w:hAnsi="Times New Roman" w:cs="Times New Roman"/>
          <w:noProof/>
          <w:color w:val="000000"/>
          <w:sz w:val="20"/>
          <w:szCs w:val="20"/>
        </w:rPr>
        <w:t xml:space="preserve">Dijkstra et al. (2019). </w:t>
      </w:r>
      <w:r>
        <w:rPr>
          <w:rFonts w:ascii="Times New Roman" w:hAnsi="Times New Roman" w:cs="Times New Roman"/>
          <w:i/>
          <w:noProof/>
          <w:color w:val="000000"/>
          <w:sz w:val="20"/>
          <w:szCs w:val="20"/>
        </w:rPr>
        <w:t xml:space="preserve">Road transport performance in Europe. </w:t>
      </w:r>
      <w:r>
        <w:rPr>
          <w:rFonts w:ascii="Times New Roman" w:hAnsi="Times New Roman" w:cs="Times New Roman"/>
          <w:noProof/>
          <w:color w:val="000000"/>
          <w:sz w:val="20"/>
          <w:szCs w:val="20"/>
        </w:rPr>
        <w:t xml:space="preserve">Retrieved from: </w:t>
      </w:r>
      <w:hyperlink r:id="rId149" w:history="1">
        <w:r>
          <w:rPr>
            <w:rStyle w:val="Hyperlink"/>
            <w:rFonts w:ascii="Times New Roman" w:hAnsi="Times New Roman" w:cs="Times New Roman"/>
            <w:noProof/>
            <w:sz w:val="20"/>
            <w:szCs w:val="20"/>
          </w:rPr>
          <w:t>https://ec.europa.eu/regional_polic</w:t>
        </w:r>
        <w:r>
          <w:rPr>
            <w:rStyle w:val="Hyperlink"/>
            <w:rFonts w:ascii="Times New Roman" w:hAnsi="Times New Roman" w:cs="Times New Roman"/>
            <w:noProof/>
            <w:sz w:val="20"/>
            <w:szCs w:val="20"/>
          </w:rPr>
          <w:t>y/sources/docgener/work/2019_02_road_transport.pdf</w:t>
        </w:r>
      </w:hyperlink>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European Business and Consumer Survey (EU-BCS). (2019). Retrieved from: </w:t>
      </w:r>
      <w:hyperlink r:id="rId150" w:history="1">
        <w:r>
          <w:rPr>
            <w:rFonts w:ascii="Times New Roman" w:hAnsi="Times New Roman" w:cs="Times New Roman"/>
            <w:noProof/>
            <w:color w:val="0000FF" w:themeColor="hyperlink"/>
            <w:sz w:val="20"/>
            <w:szCs w:val="20"/>
            <w:u w:val="single"/>
          </w:rPr>
          <w:t>https://ec.europa.eu/info/business-economy-euro/indicators-statistics/economic-data</w:t>
        </w:r>
        <w:r>
          <w:rPr>
            <w:rFonts w:ascii="Times New Roman" w:hAnsi="Times New Roman" w:cs="Times New Roman"/>
            <w:noProof/>
            <w:color w:val="0000FF" w:themeColor="hyperlink"/>
            <w:sz w:val="20"/>
            <w:szCs w:val="20"/>
            <w:u w:val="single"/>
          </w:rPr>
          <w:t>bases/business-and-consumer-surveys/latest-business-and-consumer-surveys_en</w:t>
        </w:r>
      </w:hyperlink>
      <w:r>
        <w:rPr>
          <w:rFonts w:ascii="Times New Roman" w:hAnsi="Times New Roman" w:cs="Times New Roman"/>
          <w:noProof/>
          <w:color w:val="000000"/>
          <w:sz w:val="20"/>
          <w:szCs w:val="20"/>
        </w:rPr>
        <w:t xml:space="preserve"> </w:t>
      </w:r>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European Commission. (2018a). </w:t>
      </w:r>
      <w:r>
        <w:rPr>
          <w:rFonts w:ascii="Times New Roman" w:hAnsi="Times New Roman" w:cs="Times New Roman"/>
          <w:i/>
          <w:noProof/>
          <w:color w:val="000000"/>
          <w:sz w:val="20"/>
          <w:szCs w:val="20"/>
        </w:rPr>
        <w:t>The 2018 Ageing report.</w:t>
      </w:r>
      <w:r>
        <w:rPr>
          <w:rFonts w:ascii="Times New Roman" w:hAnsi="Times New Roman" w:cs="Times New Roman"/>
          <w:noProof/>
          <w:color w:val="000000"/>
          <w:sz w:val="20"/>
          <w:szCs w:val="20"/>
        </w:rPr>
        <w:t xml:space="preserve"> Retrieved from: </w:t>
      </w:r>
      <w:hyperlink r:id="rId151" w:history="1">
        <w:r>
          <w:rPr>
            <w:rStyle w:val="Hyperlink"/>
            <w:rFonts w:ascii="Times New Roman" w:hAnsi="Times New Roman" w:cs="Times New Roman"/>
            <w:noProof/>
            <w:sz w:val="20"/>
            <w:szCs w:val="20"/>
          </w:rPr>
          <w:t>https://ec.europa.eu/</w:t>
        </w:r>
        <w:r>
          <w:rPr>
            <w:rStyle w:val="Hyperlink"/>
            <w:rFonts w:ascii="Times New Roman" w:hAnsi="Times New Roman" w:cs="Times New Roman"/>
            <w:noProof/>
            <w:sz w:val="20"/>
            <w:szCs w:val="20"/>
          </w:rPr>
          <w:t>info/sites/info/files/economy-finance/ip079_en.pdf</w:t>
        </w:r>
      </w:hyperlink>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European Commission. (2018b). </w:t>
      </w:r>
      <w:r>
        <w:rPr>
          <w:rFonts w:ascii="Times New Roman" w:hAnsi="Times New Roman" w:cs="Times New Roman"/>
          <w:i/>
          <w:noProof/>
          <w:color w:val="000000"/>
          <w:sz w:val="20"/>
          <w:szCs w:val="20"/>
        </w:rPr>
        <w:t>Social enterprises and their ecosystems in Europe</w:t>
      </w:r>
      <w:r>
        <w:rPr>
          <w:rFonts w:ascii="Times New Roman" w:hAnsi="Times New Roman" w:cs="Times New Roman"/>
          <w:noProof/>
          <w:color w:val="000000"/>
          <w:sz w:val="20"/>
          <w:szCs w:val="20"/>
        </w:rPr>
        <w:t xml:space="preserve">. Updated country report: Latvia. Available at </w:t>
      </w:r>
      <w:hyperlink r:id="rId152" w:history="1">
        <w:r>
          <w:rPr>
            <w:rStyle w:val="Hyperlink"/>
            <w:rFonts w:ascii="Times New Roman" w:hAnsi="Times New Roman" w:cs="Times New Roman"/>
            <w:noProof/>
            <w:sz w:val="20"/>
            <w:szCs w:val="20"/>
          </w:rPr>
          <w:t>https://europa.eu/!Qq64ny</w:t>
        </w:r>
      </w:hyperlink>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European Co</w:t>
      </w:r>
      <w:r>
        <w:rPr>
          <w:rFonts w:ascii="Times New Roman" w:hAnsi="Times New Roman" w:cs="Times New Roman"/>
          <w:noProof/>
          <w:color w:val="000000"/>
          <w:sz w:val="20"/>
          <w:szCs w:val="20"/>
        </w:rPr>
        <w:t xml:space="preserve">mmission/EACEA/Eurydice. (2018c). </w:t>
      </w:r>
      <w:r>
        <w:rPr>
          <w:rFonts w:ascii="Times New Roman" w:hAnsi="Times New Roman" w:cs="Times New Roman"/>
          <w:i/>
          <w:noProof/>
          <w:color w:val="000000"/>
          <w:sz w:val="20"/>
          <w:szCs w:val="20"/>
        </w:rPr>
        <w:t>Teachers’ and School Heads’ Salaries and Allowances in Europe – 2016/17</w:t>
      </w:r>
      <w:r>
        <w:rPr>
          <w:rFonts w:ascii="Times New Roman" w:hAnsi="Times New Roman" w:cs="Times New Roman"/>
          <w:noProof/>
          <w:color w:val="000000"/>
          <w:sz w:val="20"/>
          <w:szCs w:val="20"/>
        </w:rPr>
        <w:t xml:space="preserve">. Retrieved from: </w:t>
      </w:r>
      <w:hyperlink r:id="rId153" w:history="1">
        <w:r>
          <w:rPr>
            <w:rStyle w:val="Hyperlink"/>
            <w:rFonts w:ascii="Times New Roman" w:hAnsi="Times New Roman" w:cs="Times New Roman"/>
            <w:noProof/>
            <w:sz w:val="20"/>
            <w:szCs w:val="20"/>
          </w:rPr>
          <w:t>https://eacea.ec.europa.eu/national-policies/eurydice/sites/eurydice/files/teacher_and_school_head_salaries_2016_17.pdf</w:t>
        </w:r>
      </w:hyperlink>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European Commission. (2018d). </w:t>
      </w:r>
      <w:r>
        <w:rPr>
          <w:rFonts w:ascii="Times New Roman" w:hAnsi="Times New Roman" w:cs="Times New Roman"/>
          <w:i/>
          <w:noProof/>
          <w:color w:val="000000"/>
          <w:sz w:val="20"/>
          <w:szCs w:val="20"/>
        </w:rPr>
        <w:t>Country Report – Latvia</w:t>
      </w:r>
      <w:r>
        <w:rPr>
          <w:rFonts w:ascii="Times New Roman" w:hAnsi="Times New Roman" w:cs="Times New Roman"/>
          <w:noProof/>
          <w:color w:val="000000"/>
          <w:sz w:val="20"/>
          <w:szCs w:val="20"/>
        </w:rPr>
        <w:t xml:space="preserve">. Retrieved from: </w:t>
      </w:r>
      <w:hyperlink r:id="rId154" w:history="1">
        <w:r>
          <w:rPr>
            <w:rFonts w:ascii="Times New Roman" w:hAnsi="Times New Roman" w:cs="Times New Roman"/>
            <w:noProof/>
            <w:color w:val="0000FF" w:themeColor="hyperlink"/>
            <w:sz w:val="20"/>
            <w:szCs w:val="20"/>
            <w:u w:val="single"/>
          </w:rPr>
          <w:t>https://ec.europa.eu/info/sites/info/files/2018-european-semester-country-report-latvia-en_1.pdf</w:t>
        </w:r>
      </w:hyperlink>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European Commission. (2019a). </w:t>
      </w:r>
      <w:r>
        <w:rPr>
          <w:rFonts w:ascii="Times New Roman" w:hAnsi="Times New Roman" w:cs="Times New Roman"/>
          <w:i/>
          <w:noProof/>
          <w:color w:val="000000"/>
          <w:sz w:val="20"/>
          <w:szCs w:val="20"/>
        </w:rPr>
        <w:t>Country Report – Latvia</w:t>
      </w:r>
      <w:r>
        <w:rPr>
          <w:rFonts w:ascii="Times New Roman" w:hAnsi="Times New Roman" w:cs="Times New Roman"/>
          <w:noProof/>
          <w:color w:val="000000"/>
          <w:sz w:val="20"/>
          <w:szCs w:val="20"/>
        </w:rPr>
        <w:t xml:space="preserve">. Retrieved from: </w:t>
      </w:r>
      <w:hyperlink r:id="rId155" w:history="1">
        <w:r>
          <w:rPr>
            <w:rFonts w:ascii="Times New Roman" w:hAnsi="Times New Roman" w:cs="Times New Roman"/>
            <w:noProof/>
            <w:color w:val="0000FF" w:themeColor="hyperlink"/>
            <w:sz w:val="20"/>
            <w:szCs w:val="20"/>
            <w:u w:val="single"/>
          </w:rPr>
          <w:t>https://ec.europa.eu/info/sites/info/files/file_import/2019-european-semester-country-report-latvia_en.pdf</w:t>
        </w:r>
      </w:hyperlink>
      <w:r>
        <w:rPr>
          <w:rFonts w:ascii="Times New Roman" w:hAnsi="Times New Roman" w:cs="Times New Roman"/>
          <w:noProof/>
          <w:color w:val="000000"/>
          <w:sz w:val="20"/>
          <w:szCs w:val="20"/>
        </w:rPr>
        <w:t xml:space="preserve"> </w:t>
      </w:r>
    </w:p>
    <w:p w:rsidR="00A8765D" w:rsidRDefault="006C09F5">
      <w:pPr>
        <w:spacing w:after="240" w:line="240" w:lineRule="atLeast"/>
        <w:jc w:val="both"/>
        <w:rPr>
          <w:rFonts w:ascii="Times New Roman" w:hAnsi="Times New Roman" w:cs="Times New Roman"/>
          <w:noProof/>
          <w:color w:val="0000FF" w:themeColor="hyperlink"/>
          <w:sz w:val="20"/>
          <w:szCs w:val="20"/>
          <w:u w:val="single"/>
        </w:rPr>
      </w:pPr>
      <w:r>
        <w:rPr>
          <w:rFonts w:ascii="Times New Roman" w:hAnsi="Times New Roman" w:cs="Times New Roman"/>
          <w:noProof/>
          <w:color w:val="000000"/>
          <w:sz w:val="20"/>
          <w:szCs w:val="20"/>
        </w:rPr>
        <w:t xml:space="preserve">European Commission. (2019b). </w:t>
      </w:r>
      <w:r>
        <w:rPr>
          <w:rFonts w:ascii="Times New Roman" w:hAnsi="Times New Roman" w:cs="Times New Roman"/>
          <w:i/>
          <w:noProof/>
          <w:color w:val="000000"/>
          <w:sz w:val="20"/>
          <w:szCs w:val="20"/>
        </w:rPr>
        <w:t>Labour Market and Wage Developme</w:t>
      </w:r>
      <w:r>
        <w:rPr>
          <w:rFonts w:ascii="Times New Roman" w:hAnsi="Times New Roman" w:cs="Times New Roman"/>
          <w:i/>
          <w:noProof/>
          <w:color w:val="000000"/>
          <w:sz w:val="20"/>
          <w:szCs w:val="20"/>
        </w:rPr>
        <w:t>nts in Europe</w:t>
      </w:r>
      <w:r>
        <w:rPr>
          <w:rFonts w:ascii="Times New Roman" w:hAnsi="Times New Roman" w:cs="Times New Roman"/>
          <w:noProof/>
          <w:color w:val="000000"/>
          <w:sz w:val="20"/>
          <w:szCs w:val="20"/>
        </w:rPr>
        <w:t xml:space="preserve">. Retrieved from: </w:t>
      </w:r>
      <w:hyperlink r:id="rId156" w:history="1">
        <w:r>
          <w:rPr>
            <w:rFonts w:ascii="Times New Roman" w:hAnsi="Times New Roman" w:cs="Times New Roman"/>
            <w:noProof/>
            <w:color w:val="0000FF" w:themeColor="hyperlink"/>
            <w:sz w:val="20"/>
            <w:szCs w:val="20"/>
            <w:u w:val="single"/>
          </w:rPr>
          <w:t>https://ec.europa.eu/social/BlobServlet?docId=21904&amp;langId=en</w:t>
        </w:r>
      </w:hyperlink>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European Commission. (2019c). </w:t>
      </w:r>
      <w:r>
        <w:rPr>
          <w:rFonts w:ascii="Times New Roman" w:hAnsi="Times New Roman" w:cs="Times New Roman"/>
          <w:i/>
          <w:noProof/>
          <w:color w:val="000000"/>
          <w:sz w:val="20"/>
          <w:szCs w:val="20"/>
        </w:rPr>
        <w:t xml:space="preserve">Employment and Social Developments in Europe: </w:t>
      </w:r>
      <w:r>
        <w:rPr>
          <w:rFonts w:ascii="Times New Roman" w:hAnsi="Times New Roman" w:cs="Times New Roman"/>
          <w:i/>
          <w:noProof/>
          <w:color w:val="000000"/>
          <w:sz w:val="20"/>
          <w:szCs w:val="20"/>
        </w:rPr>
        <w:t>Sustainable growth for all: choices for the future of social Europe</w:t>
      </w:r>
      <w:r>
        <w:rPr>
          <w:rFonts w:ascii="Times New Roman" w:hAnsi="Times New Roman" w:cs="Times New Roman"/>
          <w:noProof/>
          <w:color w:val="000000"/>
          <w:sz w:val="20"/>
          <w:szCs w:val="20"/>
        </w:rPr>
        <w:t xml:space="preserve">. Available at: </w:t>
      </w:r>
      <w:hyperlink r:id="rId157" w:history="1">
        <w:r>
          <w:rPr>
            <w:rFonts w:ascii="Times New Roman" w:hAnsi="Times New Roman" w:cs="Times New Roman"/>
            <w:noProof/>
            <w:color w:val="0000FF" w:themeColor="hyperlink"/>
            <w:sz w:val="20"/>
            <w:szCs w:val="20"/>
            <w:u w:val="single"/>
          </w:rPr>
          <w:t>https://ec.europa.eu/social/main.jsp?catId=738&amp;langId=en&amp;pubId=8219</w:t>
        </w:r>
      </w:hyperlink>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European Commission. </w:t>
      </w:r>
      <w:r>
        <w:rPr>
          <w:rFonts w:ascii="Times New Roman" w:hAnsi="Times New Roman" w:cs="Times New Roman"/>
          <w:noProof/>
          <w:color w:val="000000"/>
          <w:sz w:val="20"/>
          <w:szCs w:val="20"/>
        </w:rPr>
        <w:t xml:space="preserve">(2019d). </w:t>
      </w:r>
      <w:r>
        <w:rPr>
          <w:rFonts w:ascii="Times New Roman" w:hAnsi="Times New Roman" w:cs="Times New Roman"/>
          <w:i/>
          <w:noProof/>
          <w:color w:val="000000"/>
          <w:sz w:val="20"/>
          <w:szCs w:val="20"/>
        </w:rPr>
        <w:t>NECP factsheet Latvia.</w:t>
      </w:r>
      <w:r>
        <w:rPr>
          <w:rFonts w:ascii="Times New Roman" w:hAnsi="Times New Roman" w:cs="Times New Roman"/>
          <w:noProof/>
          <w:color w:val="000000"/>
          <w:sz w:val="20"/>
          <w:szCs w:val="20"/>
        </w:rPr>
        <w:t xml:space="preserve"> Retrieved from: </w:t>
      </w:r>
      <w:hyperlink r:id="rId158" w:history="1">
        <w:r>
          <w:rPr>
            <w:rFonts w:ascii="Times New Roman" w:hAnsi="Times New Roman" w:cs="Times New Roman"/>
            <w:noProof/>
            <w:color w:val="0000FF" w:themeColor="hyperlink"/>
            <w:sz w:val="20"/>
            <w:szCs w:val="20"/>
            <w:u w:val="single"/>
          </w:rPr>
          <w:t>https://ec.europa.eu/energy/sites/ener/files/documents/necp_factsheet_lv_final.pdf</w:t>
        </w:r>
      </w:hyperlink>
      <w:r>
        <w:rPr>
          <w:rFonts w:ascii="Times New Roman" w:hAnsi="Times New Roman" w:cs="Times New Roman"/>
          <w:noProof/>
          <w:color w:val="000000"/>
          <w:sz w:val="20"/>
          <w:szCs w:val="20"/>
        </w:rPr>
        <w:t xml:space="preserve"> </w:t>
      </w:r>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European Commission. (201</w:t>
      </w:r>
      <w:r>
        <w:rPr>
          <w:rFonts w:ascii="Times New Roman" w:hAnsi="Times New Roman" w:cs="Times New Roman"/>
          <w:noProof/>
          <w:color w:val="000000"/>
          <w:sz w:val="20"/>
          <w:szCs w:val="20"/>
        </w:rPr>
        <w:t xml:space="preserve">9e). </w:t>
      </w:r>
      <w:r>
        <w:rPr>
          <w:rFonts w:ascii="Times New Roman" w:hAnsi="Times New Roman" w:cs="Times New Roman"/>
          <w:i/>
          <w:noProof/>
          <w:color w:val="000000"/>
          <w:sz w:val="20"/>
          <w:szCs w:val="20"/>
        </w:rPr>
        <w:t xml:space="preserve">2019 SBA Fact Sheet Latvia. </w:t>
      </w:r>
      <w:r>
        <w:rPr>
          <w:rFonts w:ascii="Times New Roman" w:hAnsi="Times New Roman" w:cs="Times New Roman"/>
          <w:noProof/>
          <w:color w:val="000000"/>
          <w:sz w:val="20"/>
          <w:szCs w:val="20"/>
        </w:rPr>
        <w:t xml:space="preserve">Retrieved from: </w:t>
      </w:r>
      <w:hyperlink r:id="rId159" w:history="1">
        <w:r>
          <w:rPr>
            <w:rStyle w:val="Hyperlink"/>
            <w:rFonts w:ascii="Times New Roman" w:hAnsi="Times New Roman" w:cs="Times New Roman"/>
            <w:noProof/>
            <w:sz w:val="20"/>
            <w:szCs w:val="20"/>
          </w:rPr>
          <w:t>https://ec.europa.eu/docsroom/documents/38662/attachments/17/translations/en/renditions/native</w:t>
        </w:r>
      </w:hyperlink>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E</w:t>
      </w:r>
      <w:r>
        <w:rPr>
          <w:rFonts w:ascii="Times New Roman" w:hAnsi="Times New Roman" w:cs="Times New Roman"/>
          <w:noProof/>
          <w:color w:val="000000"/>
          <w:sz w:val="20"/>
          <w:szCs w:val="20"/>
        </w:rPr>
        <w:t xml:space="preserve">uropean Commission. (2019f). </w:t>
      </w:r>
      <w:r>
        <w:rPr>
          <w:rFonts w:ascii="Times New Roman" w:hAnsi="Times New Roman" w:cs="Times New Roman"/>
          <w:i/>
          <w:noProof/>
          <w:color w:val="000000"/>
          <w:sz w:val="20"/>
          <w:szCs w:val="20"/>
        </w:rPr>
        <w:t>Commission recommendation on the draft integrated National Energy and Climate Plan of Latvia covering the period 2021-2030.</w:t>
      </w:r>
      <w:r>
        <w:rPr>
          <w:rFonts w:ascii="Times New Roman" w:hAnsi="Times New Roman" w:cs="Times New Roman"/>
          <w:noProof/>
          <w:color w:val="000000"/>
          <w:sz w:val="20"/>
          <w:szCs w:val="20"/>
        </w:rPr>
        <w:t xml:space="preserve"> Retrieved from: </w:t>
      </w:r>
      <w:hyperlink r:id="rId160" w:history="1">
        <w:r>
          <w:rPr>
            <w:rFonts w:ascii="Times New Roman" w:hAnsi="Times New Roman" w:cs="Times New Roman"/>
            <w:noProof/>
            <w:color w:val="0000FF" w:themeColor="hyperlink"/>
            <w:sz w:val="20"/>
            <w:szCs w:val="20"/>
            <w:u w:val="single"/>
          </w:rPr>
          <w:t>ht</w:t>
        </w:r>
        <w:r>
          <w:rPr>
            <w:rFonts w:ascii="Times New Roman" w:hAnsi="Times New Roman" w:cs="Times New Roman"/>
            <w:noProof/>
            <w:color w:val="0000FF" w:themeColor="hyperlink"/>
            <w:sz w:val="20"/>
            <w:szCs w:val="20"/>
            <w:u w:val="single"/>
          </w:rPr>
          <w:t>tps://ec.europa.eu/energy/sites/ener/files/documents/lv_rec_en.pdf</w:t>
        </w:r>
      </w:hyperlink>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European Construction sector observatory. (2019). </w:t>
      </w:r>
      <w:r>
        <w:rPr>
          <w:rFonts w:ascii="Times New Roman" w:hAnsi="Times New Roman" w:cs="Times New Roman"/>
          <w:i/>
          <w:noProof/>
          <w:color w:val="000000"/>
          <w:sz w:val="20"/>
          <w:szCs w:val="20"/>
        </w:rPr>
        <w:t>Country profile Latvia</w:t>
      </w:r>
      <w:r>
        <w:rPr>
          <w:rFonts w:ascii="Times New Roman" w:hAnsi="Times New Roman" w:cs="Times New Roman"/>
          <w:noProof/>
          <w:color w:val="000000"/>
          <w:sz w:val="20"/>
          <w:szCs w:val="20"/>
        </w:rPr>
        <w:t xml:space="preserve">. Retrieved from: </w:t>
      </w:r>
      <w:hyperlink r:id="rId161" w:history="1">
        <w:r>
          <w:rPr>
            <w:rFonts w:ascii="Times New Roman" w:hAnsi="Times New Roman" w:cs="Times New Roman"/>
            <w:noProof/>
            <w:color w:val="0000FF" w:themeColor="hyperlink"/>
            <w:sz w:val="20"/>
            <w:szCs w:val="20"/>
            <w:u w:val="single"/>
          </w:rPr>
          <w:t>https://ec.europa.eu/docsroom/documents/37022/attachments/1/translations/en/renditions/native</w:t>
        </w:r>
      </w:hyperlink>
    </w:p>
    <w:p w:rsidR="00A8765D" w:rsidRDefault="006C09F5">
      <w:pPr>
        <w:spacing w:after="240" w:line="240" w:lineRule="atLeast"/>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European Environment Agency (EEA). (2020). </w:t>
      </w:r>
      <w:r>
        <w:rPr>
          <w:rFonts w:ascii="Times New Roman" w:hAnsi="Times New Roman" w:cs="Times New Roman"/>
          <w:i/>
          <w:noProof/>
          <w:color w:val="000000"/>
          <w:sz w:val="20"/>
          <w:szCs w:val="20"/>
        </w:rPr>
        <w:t>Article 17 web tool on Habitat assessments at Member State level</w:t>
      </w:r>
      <w:r>
        <w:rPr>
          <w:rFonts w:ascii="Times New Roman" w:hAnsi="Times New Roman" w:cs="Times New Roman"/>
          <w:noProof/>
          <w:color w:val="000000"/>
          <w:sz w:val="20"/>
          <w:szCs w:val="20"/>
        </w:rPr>
        <w:t xml:space="preserve">. Retrieved from: </w:t>
      </w:r>
      <w:hyperlink r:id="rId162" w:history="1">
        <w:r>
          <w:rPr>
            <w:rStyle w:val="Hyperlink"/>
            <w:rFonts w:ascii="Times New Roman" w:hAnsi="Times New Roman" w:cs="Times New Roman"/>
            <w:noProof/>
            <w:sz w:val="20"/>
            <w:szCs w:val="20"/>
          </w:rPr>
          <w:t>https://nature-art17.eionet.europa.eu/article17/reports2012/habitat/report/?period=5&amp;group=Forests&amp;country=LV&amp;region</w:t>
        </w:r>
      </w:hyperlink>
    </w:p>
    <w:p w:rsidR="00A8765D" w:rsidRDefault="006C09F5">
      <w:pPr>
        <w:rPr>
          <w:rFonts w:ascii="Times New Roman" w:hAnsi="Times New Roman" w:cs="Times New Roman"/>
          <w:noProof/>
          <w:color w:val="000000"/>
          <w:sz w:val="20"/>
          <w:szCs w:val="20"/>
        </w:rPr>
      </w:pPr>
      <w:r>
        <w:rPr>
          <w:rFonts w:ascii="Times New Roman" w:hAnsi="Times New Roman" w:cs="Times New Roman"/>
          <w:noProof/>
          <w:color w:val="000000"/>
          <w:sz w:val="20"/>
          <w:szCs w:val="20"/>
        </w:rPr>
        <w:t>European Institute for Gender Eq</w:t>
      </w:r>
      <w:r>
        <w:rPr>
          <w:rFonts w:ascii="Times New Roman" w:hAnsi="Times New Roman" w:cs="Times New Roman"/>
          <w:noProof/>
          <w:color w:val="000000"/>
          <w:sz w:val="20"/>
          <w:szCs w:val="20"/>
        </w:rPr>
        <w:t xml:space="preserve">uality (EIGE). (2019). </w:t>
      </w:r>
      <w:r>
        <w:rPr>
          <w:rFonts w:ascii="Times New Roman" w:hAnsi="Times New Roman" w:cs="Times New Roman"/>
          <w:i/>
          <w:iCs/>
          <w:noProof/>
          <w:color w:val="000000"/>
          <w:sz w:val="20"/>
          <w:szCs w:val="20"/>
        </w:rPr>
        <w:t>Gender Equality Index 2019: Latvia</w:t>
      </w:r>
      <w:r>
        <w:rPr>
          <w:rFonts w:ascii="Times New Roman" w:hAnsi="Times New Roman" w:cs="Times New Roman"/>
          <w:noProof/>
          <w:color w:val="000000"/>
          <w:sz w:val="20"/>
          <w:szCs w:val="20"/>
        </w:rPr>
        <w:t xml:space="preserve">. Retrieved from: </w:t>
      </w:r>
      <w:hyperlink r:id="rId163" w:history="1">
        <w:r>
          <w:rPr>
            <w:rStyle w:val="Hyperlink"/>
            <w:rFonts w:ascii="Times New Roman" w:hAnsi="Times New Roman" w:cs="Times New Roman"/>
            <w:noProof/>
            <w:sz w:val="20"/>
            <w:szCs w:val="20"/>
          </w:rPr>
          <w:t>https://eige.europa.eu/publications/gender-equality-index-2019-latvia</w:t>
        </w:r>
      </w:hyperlink>
    </w:p>
    <w:p w:rsidR="00A8765D" w:rsidRDefault="006C09F5">
      <w:pPr>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European Investment bank (EIB). (2019). </w:t>
      </w:r>
      <w:r>
        <w:rPr>
          <w:rFonts w:ascii="Times New Roman" w:hAnsi="Times New Roman" w:cs="Times New Roman"/>
          <w:i/>
          <w:iCs/>
          <w:noProof/>
          <w:color w:val="000000"/>
          <w:sz w:val="20"/>
          <w:szCs w:val="20"/>
        </w:rPr>
        <w:t xml:space="preserve">EIB Investment Survey. Country overview: Latvia. </w:t>
      </w:r>
      <w:r>
        <w:rPr>
          <w:rFonts w:ascii="Times New Roman" w:hAnsi="Times New Roman" w:cs="Times New Roman"/>
          <w:iCs/>
          <w:noProof/>
          <w:color w:val="000000"/>
          <w:sz w:val="20"/>
          <w:szCs w:val="20"/>
        </w:rPr>
        <w:t xml:space="preserve">Retrieved from: </w:t>
      </w:r>
      <w:hyperlink r:id="rId164" w:history="1">
        <w:r>
          <w:rPr>
            <w:rStyle w:val="Hyperlink"/>
            <w:rFonts w:ascii="Times New Roman" w:hAnsi="Times New Roman" w:cs="Times New Roman"/>
            <w:noProof/>
            <w:sz w:val="20"/>
            <w:szCs w:val="20"/>
          </w:rPr>
          <w:t>https://doi.org/10.2867/93527</w:t>
        </w:r>
      </w:hyperlink>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Fiscal Discipline Council. (2019). </w:t>
      </w:r>
      <w:r>
        <w:rPr>
          <w:rFonts w:ascii="Times New Roman" w:hAnsi="Times New Roman" w:cs="Times New Roman"/>
          <w:i/>
          <w:noProof/>
          <w:color w:val="000000"/>
          <w:sz w:val="20"/>
          <w:szCs w:val="20"/>
        </w:rPr>
        <w:t>Fiscal discipline surveillance report on</w:t>
      </w:r>
      <w:r>
        <w:rPr>
          <w:rFonts w:ascii="Times New Roman" w:hAnsi="Times New Roman" w:cs="Times New Roman"/>
          <w:i/>
          <w:noProof/>
          <w:color w:val="000000"/>
          <w:sz w:val="20"/>
          <w:szCs w:val="20"/>
        </w:rPr>
        <w:t xml:space="preserve"> Latvia’s Medium Term Budgetary Framework 2020/2022.</w:t>
      </w:r>
      <w:r>
        <w:rPr>
          <w:rFonts w:ascii="Times New Roman" w:hAnsi="Times New Roman" w:cs="Times New Roman"/>
          <w:noProof/>
          <w:color w:val="000000"/>
          <w:sz w:val="20"/>
          <w:szCs w:val="20"/>
        </w:rPr>
        <w:t xml:space="preserve"> Retrieved from: </w:t>
      </w:r>
      <w:hyperlink r:id="rId165" w:history="1">
        <w:r>
          <w:rPr>
            <w:rFonts w:ascii="Times New Roman" w:hAnsi="Times New Roman" w:cs="Times New Roman"/>
            <w:noProof/>
            <w:color w:val="0000FF" w:themeColor="hyperlink"/>
            <w:sz w:val="20"/>
            <w:szCs w:val="20"/>
            <w:u w:val="single"/>
          </w:rPr>
          <w:t>https://fiscalcouncil.lv/files/uploaded/Surveillance_report_2020_final_3.docx.pdf</w:t>
        </w:r>
      </w:hyperlink>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Hazans </w:t>
      </w:r>
      <w:r>
        <w:rPr>
          <w:rFonts w:ascii="Times New Roman" w:hAnsi="Times New Roman" w:cs="Times New Roman"/>
          <w:noProof/>
          <w:color w:val="000000"/>
          <w:sz w:val="20"/>
          <w:szCs w:val="20"/>
        </w:rPr>
        <w:t xml:space="preserve">M., European Centre of Expertise in the field of labour law, employment and labour market policy. (2018). </w:t>
      </w:r>
      <w:r>
        <w:rPr>
          <w:rFonts w:ascii="Times New Roman" w:hAnsi="Times New Roman" w:cs="Times New Roman"/>
          <w:i/>
          <w:noProof/>
          <w:color w:val="000000"/>
          <w:sz w:val="20"/>
          <w:szCs w:val="20"/>
        </w:rPr>
        <w:t>Labour Market Policy Thematic Review 2018:</w:t>
      </w:r>
      <w:r>
        <w:rPr>
          <w:rFonts w:ascii="Times New Roman" w:hAnsi="Times New Roman" w:cs="Times New Roman"/>
          <w:noProof/>
          <w:color w:val="000000"/>
          <w:sz w:val="20"/>
          <w:szCs w:val="20"/>
        </w:rPr>
        <w:t xml:space="preserve"> An in depth analysis of the emigration of skilled labour. Latvia. Retrieved from: </w:t>
      </w:r>
      <w:hyperlink r:id="rId166" w:history="1">
        <w:r>
          <w:rPr>
            <w:rFonts w:ascii="Times New Roman" w:hAnsi="Times New Roman" w:cs="Times New Roman"/>
            <w:noProof/>
            <w:color w:val="0000FF" w:themeColor="hyperlink"/>
            <w:sz w:val="20"/>
            <w:szCs w:val="20"/>
            <w:u w:val="single"/>
          </w:rPr>
          <w:t>https://ec.europa.eu/social/main.jsp?catId=738&amp;langId=en&amp;pubId=8132&amp;furtherPubs=yes</w:t>
        </w:r>
      </w:hyperlink>
      <w:r>
        <w:rPr>
          <w:rFonts w:ascii="Times New Roman" w:hAnsi="Times New Roman" w:cs="Times New Roman"/>
          <w:noProof/>
          <w:color w:val="000000"/>
          <w:sz w:val="20"/>
          <w:szCs w:val="20"/>
        </w:rPr>
        <w:t xml:space="preserve"> </w:t>
      </w:r>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Ivaškaitė-Tamošiūnė et al. (2018). </w:t>
      </w:r>
      <w:r>
        <w:rPr>
          <w:rFonts w:ascii="Times New Roman" w:hAnsi="Times New Roman" w:cs="Times New Roman"/>
          <w:i/>
          <w:noProof/>
          <w:color w:val="000000"/>
          <w:sz w:val="20"/>
          <w:szCs w:val="20"/>
        </w:rPr>
        <w:t>The Effect of Taxes and Benefits Reforms on Poverty and Inequ</w:t>
      </w:r>
      <w:r>
        <w:rPr>
          <w:rFonts w:ascii="Times New Roman" w:hAnsi="Times New Roman" w:cs="Times New Roman"/>
          <w:i/>
          <w:noProof/>
          <w:color w:val="000000"/>
          <w:sz w:val="20"/>
          <w:szCs w:val="20"/>
        </w:rPr>
        <w:t>ality in Latvia.</w:t>
      </w:r>
      <w:r>
        <w:rPr>
          <w:rFonts w:ascii="Times New Roman" w:hAnsi="Times New Roman" w:cs="Times New Roman"/>
          <w:noProof/>
          <w:color w:val="000000"/>
          <w:sz w:val="20"/>
          <w:szCs w:val="20"/>
        </w:rPr>
        <w:t xml:space="preserve"> Directorate-General for Economic and Financial – Economic brief, 39. doi:10.2765/830917. Retrieved from: </w:t>
      </w:r>
      <w:hyperlink r:id="rId167" w:history="1">
        <w:r>
          <w:rPr>
            <w:rStyle w:val="Hyperlink"/>
            <w:rFonts w:ascii="Times New Roman" w:hAnsi="Times New Roman" w:cs="Times New Roman"/>
            <w:noProof/>
            <w:sz w:val="20"/>
            <w:szCs w:val="20"/>
          </w:rPr>
          <w:t>https://ec.europa.eu/info/sites/info/files/e</w:t>
        </w:r>
        <w:r>
          <w:rPr>
            <w:rStyle w:val="Hyperlink"/>
            <w:rFonts w:ascii="Times New Roman" w:hAnsi="Times New Roman" w:cs="Times New Roman"/>
            <w:noProof/>
            <w:sz w:val="20"/>
            <w:szCs w:val="20"/>
          </w:rPr>
          <w:t>conomy-finance/eb039_en_0.pdf</w:t>
        </w:r>
      </w:hyperlink>
    </w:p>
    <w:p w:rsidR="00A8765D" w:rsidRDefault="006C09F5">
      <w:pPr>
        <w:spacing w:after="240" w:line="240" w:lineRule="atLeast"/>
        <w:jc w:val="both"/>
        <w:rPr>
          <w:rFonts w:ascii="Times New Roman" w:hAnsi="Times New Roman" w:cs="Times New Roman"/>
          <w:noProof/>
          <w:color w:val="0000FF" w:themeColor="hyperlink"/>
          <w:sz w:val="20"/>
          <w:szCs w:val="20"/>
          <w:u w:val="single"/>
        </w:rPr>
      </w:pPr>
      <w:r>
        <w:rPr>
          <w:rFonts w:ascii="Times New Roman" w:hAnsi="Times New Roman" w:cs="Times New Roman"/>
          <w:noProof/>
          <w:color w:val="000000"/>
          <w:sz w:val="20"/>
          <w:szCs w:val="20"/>
        </w:rPr>
        <w:t xml:space="preserve">Krasnopjorovs O. (2019). </w:t>
      </w:r>
      <w:r>
        <w:rPr>
          <w:rFonts w:ascii="Times New Roman" w:hAnsi="Times New Roman" w:cs="Times New Roman"/>
          <w:i/>
          <w:noProof/>
          <w:color w:val="000000"/>
          <w:sz w:val="20"/>
          <w:szCs w:val="20"/>
        </w:rPr>
        <w:t>Anatomy of labour reserves in the Baltic countries: a snapshot 15 years after the EU accession.</w:t>
      </w:r>
      <w:r>
        <w:rPr>
          <w:rFonts w:ascii="Times New Roman" w:hAnsi="Times New Roman" w:cs="Times New Roman"/>
          <w:noProof/>
          <w:color w:val="000000"/>
          <w:sz w:val="20"/>
          <w:szCs w:val="20"/>
        </w:rPr>
        <w:t xml:space="preserve"> Bank of Latvia. Retrieved from: </w:t>
      </w:r>
      <w:hyperlink r:id="rId168" w:history="1">
        <w:r>
          <w:rPr>
            <w:rFonts w:ascii="Times New Roman" w:hAnsi="Times New Roman" w:cs="Times New Roman"/>
            <w:noProof/>
            <w:color w:val="0000FF" w:themeColor="hyperlink"/>
            <w:sz w:val="20"/>
            <w:szCs w:val="20"/>
            <w:u w:val="single"/>
          </w:rPr>
          <w:t>https://datnes.latvijasbanka.lv/papers/discussion/dp_2_2019-en.pdf</w:t>
        </w:r>
      </w:hyperlink>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Lāce T. (2019), European Social Policy Network (ESPN). </w:t>
      </w:r>
      <w:r>
        <w:rPr>
          <w:rFonts w:ascii="Times New Roman" w:hAnsi="Times New Roman" w:cs="Times New Roman"/>
          <w:i/>
          <w:noProof/>
          <w:color w:val="000000"/>
          <w:sz w:val="20"/>
          <w:szCs w:val="20"/>
        </w:rPr>
        <w:t>National strategies to fight homelessness and housing</w:t>
      </w:r>
      <w:r>
        <w:rPr>
          <w:rFonts w:ascii="Times New Roman" w:hAnsi="Times New Roman" w:cs="Times New Roman"/>
          <w:i/>
          <w:noProof/>
          <w:color w:val="000000"/>
          <w:sz w:val="20"/>
          <w:szCs w:val="20"/>
        </w:rPr>
        <w:t xml:space="preserve"> exclusion. Latvia</w:t>
      </w:r>
      <w:r>
        <w:rPr>
          <w:rFonts w:ascii="Times New Roman" w:hAnsi="Times New Roman" w:cs="Times New Roman"/>
          <w:noProof/>
          <w:color w:val="000000"/>
          <w:sz w:val="20"/>
          <w:szCs w:val="20"/>
        </w:rPr>
        <w:t xml:space="preserve">. Retrieved from: </w:t>
      </w:r>
      <w:hyperlink r:id="rId169" w:history="1">
        <w:r>
          <w:rPr>
            <w:rFonts w:ascii="Times New Roman" w:hAnsi="Times New Roman" w:cs="Times New Roman"/>
            <w:noProof/>
            <w:color w:val="0000FF" w:themeColor="hyperlink"/>
            <w:sz w:val="20"/>
            <w:szCs w:val="20"/>
            <w:u w:val="single"/>
          </w:rPr>
          <w:t>https://ec.europa.eu/social/BlobServlet?docId=21621&amp;langId=en</w:t>
        </w:r>
      </w:hyperlink>
      <w:r>
        <w:rPr>
          <w:rFonts w:ascii="Times New Roman" w:hAnsi="Times New Roman" w:cs="Times New Roman"/>
          <w:noProof/>
          <w:color w:val="000000"/>
          <w:sz w:val="20"/>
          <w:szCs w:val="20"/>
        </w:rPr>
        <w:t xml:space="preserve"> </w:t>
      </w:r>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Latvian Environment, Geology and Meteorology Centre (LEGM). (2019). </w:t>
      </w:r>
      <w:r>
        <w:rPr>
          <w:rFonts w:ascii="Times New Roman" w:hAnsi="Times New Roman" w:cs="Times New Roman"/>
          <w:i/>
          <w:noProof/>
          <w:color w:val="000000"/>
          <w:sz w:val="20"/>
          <w:szCs w:val="20"/>
        </w:rPr>
        <w:t xml:space="preserve">2019. gada </w:t>
      </w:r>
      <w:r>
        <w:rPr>
          <w:rFonts w:ascii="Times New Roman" w:hAnsi="Times New Roman" w:cs="Times New Roman"/>
          <w:i/>
          <w:noProof/>
          <w:color w:val="000000"/>
          <w:sz w:val="20"/>
          <w:szCs w:val="20"/>
        </w:rPr>
        <w:t>iesniegtās SEG inventarizācijas kopsavilkums.</w:t>
      </w:r>
      <w:r>
        <w:rPr>
          <w:rFonts w:ascii="Times New Roman" w:hAnsi="Times New Roman" w:cs="Times New Roman"/>
          <w:noProof/>
          <w:color w:val="000000"/>
          <w:sz w:val="20"/>
          <w:szCs w:val="20"/>
        </w:rPr>
        <w:t xml:space="preserve"> Retrieved from: </w:t>
      </w:r>
      <w:hyperlink r:id="rId170" w:history="1">
        <w:r>
          <w:rPr>
            <w:rFonts w:ascii="Times New Roman" w:hAnsi="Times New Roman" w:cs="Times New Roman"/>
            <w:noProof/>
            <w:color w:val="0000FF" w:themeColor="hyperlink"/>
            <w:sz w:val="20"/>
            <w:szCs w:val="20"/>
            <w:u w:val="single"/>
          </w:rPr>
          <w:t>https://www.meteo.lv/fs/CKFinderJava/userfiles/files/Vide/Klimats/</w:t>
        </w:r>
        <w:r>
          <w:rPr>
            <w:rFonts w:ascii="Times New Roman" w:hAnsi="Times New Roman" w:cs="Times New Roman"/>
            <w:noProof/>
            <w:color w:val="0000FF" w:themeColor="hyperlink"/>
            <w:sz w:val="20"/>
            <w:szCs w:val="20"/>
            <w:u w:val="single"/>
          </w:rPr>
          <w:t>Majas_lapai_LVGMC_2019_seginvkopsavilkums.pdf</w:t>
        </w:r>
      </w:hyperlink>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Ministry of Economics. (2019a). </w:t>
      </w:r>
      <w:r>
        <w:rPr>
          <w:rFonts w:ascii="Times New Roman" w:hAnsi="Times New Roman" w:cs="Times New Roman"/>
          <w:i/>
          <w:noProof/>
          <w:color w:val="000000"/>
          <w:sz w:val="20"/>
          <w:szCs w:val="20"/>
        </w:rPr>
        <w:t>Mazkvalificētais darbaspēks Latvijā.</w:t>
      </w:r>
      <w:r>
        <w:rPr>
          <w:rFonts w:ascii="Times New Roman" w:hAnsi="Times New Roman" w:cs="Times New Roman"/>
          <w:noProof/>
          <w:color w:val="000000"/>
          <w:sz w:val="20"/>
          <w:szCs w:val="20"/>
        </w:rPr>
        <w:t xml:space="preserve"> Retrieved from: </w:t>
      </w:r>
      <w:hyperlink r:id="rId171" w:history="1">
        <w:r>
          <w:rPr>
            <w:rFonts w:ascii="Times New Roman" w:hAnsi="Times New Roman" w:cs="Times New Roman"/>
            <w:noProof/>
            <w:color w:val="0000FF" w:themeColor="hyperlink"/>
            <w:sz w:val="20"/>
            <w:szCs w:val="20"/>
            <w:u w:val="single"/>
          </w:rPr>
          <w:t>https://www.em.gov.lv/files/tautsaimniecibas_attistiba/dsp/Mazkvalificetais%20darbaspeks%20Latvija%202019.pdf</w:t>
        </w:r>
      </w:hyperlink>
      <w:r>
        <w:rPr>
          <w:rFonts w:ascii="Times New Roman" w:hAnsi="Times New Roman" w:cs="Times New Roman"/>
          <w:noProof/>
          <w:color w:val="000000"/>
          <w:sz w:val="20"/>
          <w:szCs w:val="20"/>
        </w:rPr>
        <w:t xml:space="preserve"> </w:t>
      </w:r>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Ministry of Economics. (2019b). </w:t>
      </w:r>
      <w:r>
        <w:rPr>
          <w:rFonts w:ascii="Times New Roman" w:hAnsi="Times New Roman" w:cs="Times New Roman"/>
          <w:i/>
          <w:noProof/>
          <w:color w:val="000000"/>
          <w:sz w:val="20"/>
          <w:szCs w:val="20"/>
        </w:rPr>
        <w:t>Nacionālais Enerģētikas un klimata plans.</w:t>
      </w:r>
      <w:r>
        <w:rPr>
          <w:rFonts w:ascii="Times New Roman" w:hAnsi="Times New Roman" w:cs="Times New Roman"/>
          <w:noProof/>
          <w:color w:val="000000"/>
          <w:sz w:val="20"/>
          <w:szCs w:val="20"/>
        </w:rPr>
        <w:t xml:space="preserve"> Retrieved from: </w:t>
      </w:r>
      <w:hyperlink r:id="rId172" w:history="1">
        <w:r>
          <w:rPr>
            <w:rFonts w:ascii="Times New Roman" w:hAnsi="Times New Roman" w:cs="Times New Roman"/>
            <w:noProof/>
            <w:color w:val="0000FF" w:themeColor="hyperlink"/>
            <w:sz w:val="20"/>
            <w:szCs w:val="20"/>
            <w:u w:val="single"/>
          </w:rPr>
          <w:t>https://em.gov.lv/lv/nozares_politika/nacionalais_energetikas_un_klimata_plans/</w:t>
        </w:r>
      </w:hyperlink>
    </w:p>
    <w:p w:rsidR="00A8765D" w:rsidRDefault="006C09F5">
      <w:pPr>
        <w:spacing w:after="240" w:line="240" w:lineRule="atLeast"/>
        <w:jc w:val="both"/>
        <w:rPr>
          <w:rFonts w:ascii="Times New Roman" w:hAnsi="Times New Roman" w:cs="Times New Roman"/>
          <w:noProof/>
          <w:color w:val="0000FF" w:themeColor="hyperlink"/>
          <w:sz w:val="20"/>
          <w:szCs w:val="20"/>
          <w:u w:val="single"/>
        </w:rPr>
      </w:pPr>
      <w:r>
        <w:rPr>
          <w:rFonts w:ascii="Times New Roman" w:hAnsi="Times New Roman" w:cs="Times New Roman"/>
          <w:noProof/>
          <w:color w:val="000000"/>
          <w:sz w:val="20"/>
          <w:szCs w:val="20"/>
        </w:rPr>
        <w:t xml:space="preserve">Ministry of Finance. (2018). </w:t>
      </w:r>
      <w:r>
        <w:rPr>
          <w:rFonts w:ascii="Times New Roman" w:hAnsi="Times New Roman" w:cs="Times New Roman"/>
          <w:i/>
          <w:noProof/>
          <w:color w:val="000000"/>
          <w:sz w:val="20"/>
          <w:szCs w:val="20"/>
        </w:rPr>
        <w:t>Nodokļu atvieglojumu ziņojums par 2017.gadu</w:t>
      </w:r>
      <w:r>
        <w:rPr>
          <w:rFonts w:ascii="Times New Roman" w:hAnsi="Times New Roman" w:cs="Times New Roman"/>
          <w:noProof/>
          <w:color w:val="000000"/>
          <w:sz w:val="20"/>
          <w:szCs w:val="20"/>
        </w:rPr>
        <w:t>. Retrieve</w:t>
      </w:r>
      <w:r>
        <w:rPr>
          <w:rFonts w:ascii="Times New Roman" w:hAnsi="Times New Roman" w:cs="Times New Roman"/>
          <w:noProof/>
          <w:color w:val="000000"/>
          <w:sz w:val="20"/>
          <w:szCs w:val="20"/>
        </w:rPr>
        <w:t xml:space="preserve">d from: </w:t>
      </w:r>
      <w:hyperlink r:id="rId173" w:history="1">
        <w:r>
          <w:rPr>
            <w:rFonts w:ascii="Times New Roman" w:hAnsi="Times New Roman" w:cs="Times New Roman"/>
            <w:noProof/>
            <w:color w:val="0000FF" w:themeColor="hyperlink"/>
            <w:sz w:val="20"/>
            <w:szCs w:val="20"/>
            <w:u w:val="single"/>
          </w:rPr>
          <w:t>https://fm.gov.lv/files/nodoklupolitika/NA_novertejums_2017_FINAL.docx</w:t>
        </w:r>
      </w:hyperlink>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Ministry of Welfare. (2019). </w:t>
      </w:r>
      <w:r>
        <w:rPr>
          <w:rFonts w:ascii="Times New Roman" w:hAnsi="Times New Roman" w:cs="Times New Roman"/>
          <w:i/>
          <w:noProof/>
          <w:color w:val="000000"/>
          <w:sz w:val="20"/>
          <w:szCs w:val="20"/>
        </w:rPr>
        <w:t>Publiskais gada pārskats par 2018.gadu.</w:t>
      </w:r>
      <w:r>
        <w:rPr>
          <w:rFonts w:ascii="Times New Roman" w:hAnsi="Times New Roman" w:cs="Times New Roman"/>
          <w:noProof/>
          <w:color w:val="000000"/>
          <w:sz w:val="20"/>
          <w:szCs w:val="20"/>
        </w:rPr>
        <w:t xml:space="preserve"> Retrieved from: </w:t>
      </w:r>
      <w:hyperlink r:id="rId174" w:history="1">
        <w:r>
          <w:rPr>
            <w:rFonts w:ascii="Times New Roman" w:hAnsi="Times New Roman" w:cs="Times New Roman"/>
            <w:noProof/>
            <w:color w:val="0000FF" w:themeColor="hyperlink"/>
            <w:sz w:val="20"/>
            <w:szCs w:val="20"/>
            <w:u w:val="single"/>
          </w:rPr>
          <w:t>www.lm.gov.lv/upload/PP_2018_Final.pdf</w:t>
        </w:r>
      </w:hyperlink>
      <w:r>
        <w:rPr>
          <w:rFonts w:ascii="Times New Roman" w:hAnsi="Times New Roman" w:cs="Times New Roman"/>
          <w:noProof/>
          <w:color w:val="000000"/>
          <w:sz w:val="20"/>
          <w:szCs w:val="20"/>
        </w:rPr>
        <w:t xml:space="preserve"> </w:t>
      </w:r>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Müller T., Vandaele K. and Waddington J., European Trade Union Institute (ETUI). (2019). </w:t>
      </w:r>
      <w:r>
        <w:rPr>
          <w:rFonts w:ascii="Times New Roman" w:hAnsi="Times New Roman" w:cs="Times New Roman"/>
          <w:i/>
          <w:noProof/>
          <w:color w:val="000000"/>
          <w:sz w:val="20"/>
          <w:szCs w:val="20"/>
        </w:rPr>
        <w:t>Collective bargaining in Europe: towards an endgame</w:t>
      </w:r>
      <w:r>
        <w:rPr>
          <w:rFonts w:ascii="Times New Roman" w:hAnsi="Times New Roman" w:cs="Times New Roman"/>
          <w:noProof/>
          <w:color w:val="000000"/>
          <w:sz w:val="20"/>
          <w:szCs w:val="20"/>
        </w:rPr>
        <w:t xml:space="preserve">. Volume I, II, III and IV. Retrieved from: </w:t>
      </w:r>
      <w:hyperlink r:id="rId175" w:history="1">
        <w:r>
          <w:rPr>
            <w:rFonts w:ascii="Times New Roman" w:hAnsi="Times New Roman" w:cs="Times New Roman"/>
            <w:noProof/>
            <w:color w:val="0000FF" w:themeColor="hyperlink"/>
            <w:sz w:val="20"/>
            <w:szCs w:val="20"/>
            <w:u w:val="single"/>
          </w:rPr>
          <w:t>https://www.etui.org/Publications2/Books/Collective-bargaining-in-Europe-towards</w:t>
        </w:r>
        <w:r>
          <w:rPr>
            <w:rFonts w:ascii="Times New Roman" w:hAnsi="Times New Roman" w:cs="Times New Roman"/>
            <w:noProof/>
            <w:color w:val="0000FF" w:themeColor="hyperlink"/>
            <w:sz w:val="20"/>
            <w:szCs w:val="20"/>
            <w:u w:val="single"/>
          </w:rPr>
          <w:t>-an-endgame.-Volume-I-II-III-and-IV</w:t>
        </w:r>
      </w:hyperlink>
      <w:r>
        <w:rPr>
          <w:rFonts w:ascii="Times New Roman" w:hAnsi="Times New Roman" w:cs="Times New Roman"/>
          <w:noProof/>
          <w:color w:val="000000"/>
          <w:sz w:val="20"/>
          <w:szCs w:val="20"/>
        </w:rPr>
        <w:t xml:space="preserve"> </w:t>
      </w:r>
    </w:p>
    <w:p w:rsidR="00A8765D" w:rsidRDefault="006C09F5">
      <w:pPr>
        <w:spacing w:after="240" w:line="240" w:lineRule="atLeast"/>
        <w:jc w:val="both"/>
        <w:rPr>
          <w:rFonts w:ascii="Times New Roman" w:hAnsi="Times New Roman" w:cs="Times New Roman"/>
          <w:noProof/>
          <w:color w:val="000000"/>
          <w:sz w:val="20"/>
          <w:szCs w:val="20"/>
          <w:highlight w:val="yellow"/>
        </w:rPr>
      </w:pPr>
      <w:r>
        <w:rPr>
          <w:rFonts w:ascii="Times New Roman" w:hAnsi="Times New Roman" w:cs="Times New Roman"/>
          <w:noProof/>
          <w:color w:val="000000"/>
          <w:sz w:val="20"/>
          <w:szCs w:val="20"/>
        </w:rPr>
        <w:t xml:space="preserve">OECD. (2019a). </w:t>
      </w:r>
      <w:r>
        <w:rPr>
          <w:rFonts w:ascii="Times New Roman" w:hAnsi="Times New Roman" w:cs="Times New Roman"/>
          <w:i/>
          <w:noProof/>
          <w:color w:val="000000"/>
          <w:sz w:val="20"/>
          <w:szCs w:val="20"/>
        </w:rPr>
        <w:t>OECD Skills Strategy Latvia: Assessment and Recommendations,</w:t>
      </w:r>
      <w:r>
        <w:rPr>
          <w:rFonts w:ascii="Times New Roman" w:hAnsi="Times New Roman" w:cs="Times New Roman"/>
          <w:noProof/>
          <w:color w:val="000000"/>
          <w:sz w:val="20"/>
          <w:szCs w:val="20"/>
        </w:rPr>
        <w:t xml:space="preserve"> OECD Skills Studies, OECD Publishing, Paris, </w:t>
      </w:r>
      <w:hyperlink r:id="rId176" w:history="1">
        <w:r>
          <w:rPr>
            <w:rFonts w:ascii="Times New Roman" w:hAnsi="Times New Roman" w:cs="Times New Roman"/>
            <w:noProof/>
            <w:color w:val="0000FF" w:themeColor="hyperlink"/>
            <w:sz w:val="20"/>
            <w:szCs w:val="20"/>
            <w:u w:val="single"/>
          </w:rPr>
          <w:t>https://doi.org/10.1787/74fe3bf8-en</w:t>
        </w:r>
      </w:hyperlink>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OECD. (201</w:t>
      </w:r>
      <w:r>
        <w:rPr>
          <w:rFonts w:ascii="Times New Roman" w:hAnsi="Times New Roman" w:cs="Times New Roman"/>
          <w:noProof/>
          <w:color w:val="000000"/>
          <w:sz w:val="20"/>
          <w:szCs w:val="20"/>
        </w:rPr>
        <w:t xml:space="preserve">9b). </w:t>
      </w:r>
      <w:r>
        <w:rPr>
          <w:rFonts w:ascii="Times New Roman" w:hAnsi="Times New Roman" w:cs="Times New Roman"/>
          <w:i/>
          <w:noProof/>
          <w:color w:val="000000"/>
          <w:sz w:val="20"/>
          <w:szCs w:val="20"/>
        </w:rPr>
        <w:t>Evaluating Latvia's Active Labour Market Policies</w:t>
      </w:r>
      <w:r>
        <w:rPr>
          <w:rFonts w:ascii="Times New Roman" w:hAnsi="Times New Roman" w:cs="Times New Roman"/>
          <w:noProof/>
          <w:color w:val="000000"/>
          <w:sz w:val="20"/>
          <w:szCs w:val="20"/>
        </w:rPr>
        <w:t xml:space="preserve">, Connecting People with Jobs, OECD Publishing, Paris. Retrieved from: </w:t>
      </w:r>
      <w:hyperlink r:id="rId177" w:history="1">
        <w:r>
          <w:rPr>
            <w:rFonts w:ascii="Times New Roman" w:hAnsi="Times New Roman" w:cs="Times New Roman"/>
            <w:noProof/>
            <w:color w:val="0000FF" w:themeColor="hyperlink"/>
            <w:sz w:val="20"/>
            <w:szCs w:val="20"/>
            <w:u w:val="single"/>
          </w:rPr>
          <w:t>https://doi.org/10.1787/6037200a-en</w:t>
        </w:r>
      </w:hyperlink>
      <w:r>
        <w:rPr>
          <w:rFonts w:ascii="Times New Roman" w:hAnsi="Times New Roman" w:cs="Times New Roman"/>
          <w:noProof/>
          <w:color w:val="000000"/>
          <w:sz w:val="20"/>
          <w:szCs w:val="20"/>
        </w:rPr>
        <w:t>.</w:t>
      </w:r>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OECD. (2019c). Measuring social protection</w:t>
      </w:r>
      <w:r>
        <w:rPr>
          <w:rFonts w:ascii="Times New Roman" w:hAnsi="Times New Roman" w:cs="Times New Roman"/>
          <w:noProof/>
          <w:color w:val="000000"/>
          <w:sz w:val="20"/>
          <w:szCs w:val="20"/>
        </w:rPr>
        <w:t xml:space="preserve"> for long-term care in old age, Final Report, June 2019. OECD Publishing, Paris.</w:t>
      </w:r>
    </w:p>
    <w:p w:rsidR="00A8765D" w:rsidRDefault="006C09F5">
      <w:pPr>
        <w:spacing w:after="240" w:line="240" w:lineRule="atLeast"/>
        <w:jc w:val="both"/>
        <w:rPr>
          <w:rFonts w:ascii="Times New Roman" w:hAnsi="Times New Roman" w:cs="Times New Roman"/>
          <w:noProof/>
          <w:color w:val="0000FF" w:themeColor="hyperlink"/>
          <w:sz w:val="20"/>
          <w:szCs w:val="20"/>
          <w:u w:val="single"/>
        </w:rPr>
      </w:pPr>
      <w:r>
        <w:rPr>
          <w:rFonts w:ascii="Times New Roman" w:hAnsi="Times New Roman" w:cs="Times New Roman"/>
          <w:noProof/>
          <w:color w:val="000000"/>
          <w:sz w:val="20"/>
          <w:szCs w:val="20"/>
        </w:rPr>
        <w:t xml:space="preserve">OECD. (2019d). Programme for International Student Assessment (PISA) 2018. Paris. </w:t>
      </w:r>
      <w:hyperlink r:id="rId178" w:history="1">
        <w:r>
          <w:rPr>
            <w:rFonts w:ascii="Times New Roman" w:hAnsi="Times New Roman" w:cs="Times New Roman"/>
            <w:noProof/>
            <w:color w:val="0000FF" w:themeColor="hyperlink"/>
            <w:sz w:val="20"/>
            <w:szCs w:val="20"/>
            <w:u w:val="single"/>
          </w:rPr>
          <w:t>https://doi.org/10.1787/19963777</w:t>
        </w:r>
      </w:hyperlink>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OECD. (2019</w:t>
      </w:r>
      <w:r>
        <w:rPr>
          <w:rFonts w:ascii="Times New Roman" w:hAnsi="Times New Roman" w:cs="Times New Roman"/>
          <w:noProof/>
          <w:color w:val="000000"/>
          <w:sz w:val="20"/>
          <w:szCs w:val="20"/>
        </w:rPr>
        <w:t xml:space="preserve">e). </w:t>
      </w:r>
      <w:r>
        <w:rPr>
          <w:rFonts w:ascii="Times New Roman" w:hAnsi="Times New Roman" w:cs="Times New Roman"/>
          <w:i/>
          <w:noProof/>
          <w:color w:val="000000"/>
          <w:sz w:val="20"/>
          <w:szCs w:val="20"/>
        </w:rPr>
        <w:t>TALIS 2018 Results (Volume I): Teachers and School Leaders as Lifelong Learners</w:t>
      </w:r>
      <w:r>
        <w:rPr>
          <w:rFonts w:ascii="Times New Roman" w:hAnsi="Times New Roman" w:cs="Times New Roman"/>
          <w:noProof/>
          <w:color w:val="000000"/>
          <w:sz w:val="20"/>
          <w:szCs w:val="20"/>
        </w:rPr>
        <w:t xml:space="preserve">, TALIS, OECD Publishing, Paris. Retrieved from: </w:t>
      </w:r>
      <w:hyperlink r:id="rId179" w:history="1">
        <w:r>
          <w:rPr>
            <w:rFonts w:ascii="Times New Roman" w:hAnsi="Times New Roman" w:cs="Times New Roman"/>
            <w:noProof/>
            <w:color w:val="0000FF" w:themeColor="hyperlink"/>
            <w:sz w:val="20"/>
            <w:szCs w:val="20"/>
            <w:u w:val="single"/>
          </w:rPr>
          <w:t>https://doi.org/10.1787/1d0bc92a-en</w:t>
        </w:r>
      </w:hyperlink>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OECD/European Observatory on Health </w:t>
      </w:r>
      <w:r>
        <w:rPr>
          <w:rFonts w:ascii="Times New Roman" w:hAnsi="Times New Roman" w:cs="Times New Roman"/>
          <w:noProof/>
          <w:color w:val="000000"/>
          <w:sz w:val="20"/>
          <w:szCs w:val="20"/>
        </w:rPr>
        <w:t xml:space="preserve">Systems and Policies. (2019). </w:t>
      </w:r>
      <w:r>
        <w:rPr>
          <w:rFonts w:ascii="Times New Roman" w:hAnsi="Times New Roman" w:cs="Times New Roman"/>
          <w:i/>
          <w:noProof/>
          <w:color w:val="000000"/>
          <w:sz w:val="20"/>
          <w:szCs w:val="20"/>
        </w:rPr>
        <w:t>Latvia: Country Health Profile 2019, State of Health in the EU</w:t>
      </w:r>
      <w:r>
        <w:rPr>
          <w:rFonts w:ascii="Times New Roman" w:hAnsi="Times New Roman" w:cs="Times New Roman"/>
          <w:noProof/>
          <w:color w:val="000000"/>
          <w:sz w:val="20"/>
          <w:szCs w:val="20"/>
        </w:rPr>
        <w:t xml:space="preserve">, OECD Publishing, Paris/European Observatory on Health Systems and Policies, Brussels. Retrieved from: </w:t>
      </w:r>
      <w:hyperlink r:id="rId180" w:history="1">
        <w:r>
          <w:rPr>
            <w:rFonts w:ascii="Times New Roman" w:hAnsi="Times New Roman" w:cs="Times New Roman"/>
            <w:noProof/>
            <w:color w:val="0000FF" w:themeColor="hyperlink"/>
            <w:sz w:val="20"/>
            <w:szCs w:val="20"/>
            <w:u w:val="single"/>
          </w:rPr>
          <w:t>https://ec.europa.eu/health/state/country_profiles_en</w:t>
        </w:r>
      </w:hyperlink>
      <w:r>
        <w:rPr>
          <w:rFonts w:ascii="Times New Roman" w:hAnsi="Times New Roman" w:cs="Times New Roman"/>
          <w:noProof/>
          <w:color w:val="000000"/>
          <w:sz w:val="20"/>
          <w:szCs w:val="20"/>
        </w:rPr>
        <w:t xml:space="preserve"> </w:t>
      </w:r>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Sauka, A., &amp; Putnins. T. (2019). </w:t>
      </w:r>
      <w:r>
        <w:rPr>
          <w:rFonts w:ascii="Times New Roman" w:hAnsi="Times New Roman" w:cs="Times New Roman"/>
          <w:i/>
          <w:noProof/>
          <w:color w:val="000000"/>
          <w:sz w:val="20"/>
          <w:szCs w:val="20"/>
        </w:rPr>
        <w:t>Shadow Economy Index for the Baltic Countries 2009-2018.</w:t>
      </w:r>
      <w:r>
        <w:rPr>
          <w:rFonts w:ascii="Times New Roman" w:hAnsi="Times New Roman" w:cs="Times New Roman"/>
          <w:noProof/>
          <w:color w:val="000000"/>
          <w:sz w:val="20"/>
          <w:szCs w:val="20"/>
        </w:rPr>
        <w:t xml:space="preserve"> Stockholm School of Economics in Riga. Retrieved from: </w:t>
      </w:r>
      <w:hyperlink r:id="rId181" w:history="1">
        <w:r>
          <w:rPr>
            <w:rFonts w:ascii="Times New Roman" w:hAnsi="Times New Roman" w:cs="Times New Roman"/>
            <w:noProof/>
            <w:color w:val="0000FF" w:themeColor="hyperlink"/>
            <w:sz w:val="20"/>
            <w:szCs w:val="20"/>
            <w:u w:val="single"/>
          </w:rPr>
          <w:t>http://www.sseriga.edu/shadow-economy-index-baltic-countries</w:t>
        </w:r>
      </w:hyperlink>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State Audit Office. (2019). </w:t>
      </w:r>
      <w:r>
        <w:rPr>
          <w:rFonts w:ascii="Times New Roman" w:hAnsi="Times New Roman" w:cs="Times New Roman"/>
          <w:i/>
          <w:noProof/>
          <w:color w:val="000000"/>
          <w:sz w:val="20"/>
          <w:szCs w:val="20"/>
        </w:rPr>
        <w:t>Human Resources for Health Care.</w:t>
      </w:r>
      <w:r>
        <w:rPr>
          <w:rFonts w:ascii="Times New Roman" w:hAnsi="Times New Roman" w:cs="Times New Roman"/>
          <w:noProof/>
          <w:color w:val="000000"/>
          <w:sz w:val="20"/>
          <w:szCs w:val="20"/>
        </w:rPr>
        <w:t xml:space="preserve"> Retrieved from: </w:t>
      </w:r>
      <w:hyperlink r:id="rId182" w:history="1">
        <w:r>
          <w:rPr>
            <w:rFonts w:ascii="Times New Roman" w:hAnsi="Times New Roman" w:cs="Times New Roman"/>
            <w:noProof/>
            <w:color w:val="0000FF" w:themeColor="hyperlink"/>
            <w:sz w:val="20"/>
            <w:szCs w:val="20"/>
            <w:u w:val="single"/>
          </w:rPr>
          <w:t>http://www.lrvk.gov.lv/revizija/cilvekresursi-veselibas-aprupe/</w:t>
        </w:r>
      </w:hyperlink>
      <w:r>
        <w:rPr>
          <w:rFonts w:ascii="Times New Roman" w:hAnsi="Times New Roman" w:cs="Times New Roman"/>
          <w:noProof/>
          <w:color w:val="000000"/>
          <w:sz w:val="20"/>
          <w:szCs w:val="20"/>
        </w:rPr>
        <w:t xml:space="preserve"> </w:t>
      </w:r>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State Employment Agency of Latvia. (2019). </w:t>
      </w:r>
      <w:r>
        <w:rPr>
          <w:rFonts w:ascii="Times New Roman" w:hAnsi="Times New Roman" w:cs="Times New Roman"/>
          <w:i/>
          <w:noProof/>
          <w:color w:val="000000"/>
          <w:sz w:val="20"/>
          <w:szCs w:val="20"/>
        </w:rPr>
        <w:t>Pārskats par bezdarba situāciju valstī (jūnijs)</w:t>
      </w:r>
      <w:r>
        <w:rPr>
          <w:rFonts w:ascii="Times New Roman" w:hAnsi="Times New Roman" w:cs="Times New Roman"/>
          <w:noProof/>
          <w:color w:val="000000"/>
          <w:sz w:val="20"/>
          <w:szCs w:val="20"/>
        </w:rPr>
        <w:t xml:space="preserve">. Retrieved from: </w:t>
      </w:r>
      <w:hyperlink r:id="rId183" w:history="1">
        <w:r>
          <w:rPr>
            <w:rFonts w:ascii="Times New Roman" w:hAnsi="Times New Roman" w:cs="Times New Roman"/>
            <w:noProof/>
            <w:color w:val="0000FF" w:themeColor="hyperlink"/>
            <w:sz w:val="20"/>
            <w:szCs w:val="20"/>
            <w:u w:val="single"/>
          </w:rPr>
          <w:t>http://www.nva.gov.lv/docs/31_5d399d6d2f8563.07502318.pdf</w:t>
        </w:r>
      </w:hyperlink>
      <w:r>
        <w:rPr>
          <w:rFonts w:ascii="Times New Roman" w:hAnsi="Times New Roman" w:cs="Times New Roman"/>
          <w:noProof/>
          <w:color w:val="000000"/>
          <w:sz w:val="20"/>
          <w:szCs w:val="20"/>
        </w:rPr>
        <w:t xml:space="preserve"> </w:t>
      </w:r>
    </w:p>
    <w:p w:rsidR="00A8765D" w:rsidRDefault="006C09F5">
      <w:pPr>
        <w:spacing w:after="240" w:line="240" w:lineRule="atLeast"/>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State Labour Inspectorate of Latvia. (2019). </w:t>
      </w:r>
      <w:r>
        <w:rPr>
          <w:rFonts w:ascii="Times New Roman" w:hAnsi="Times New Roman" w:cs="Times New Roman"/>
          <w:i/>
          <w:noProof/>
          <w:color w:val="000000"/>
          <w:sz w:val="20"/>
          <w:szCs w:val="20"/>
        </w:rPr>
        <w:t>Performance review 2018</w:t>
      </w:r>
      <w:r>
        <w:rPr>
          <w:rFonts w:ascii="Times New Roman" w:hAnsi="Times New Roman" w:cs="Times New Roman"/>
          <w:noProof/>
          <w:color w:val="000000"/>
          <w:sz w:val="20"/>
          <w:szCs w:val="20"/>
        </w:rPr>
        <w:t xml:space="preserve">. Retrieved from: </w:t>
      </w:r>
      <w:hyperlink r:id="rId184" w:history="1">
        <w:r>
          <w:rPr>
            <w:rFonts w:ascii="Times New Roman" w:hAnsi="Times New Roman" w:cs="Times New Roman"/>
            <w:noProof/>
            <w:color w:val="0000FF" w:themeColor="hyperlink"/>
            <w:sz w:val="20"/>
            <w:szCs w:val="20"/>
            <w:u w:val="single"/>
          </w:rPr>
          <w:t>http://</w:t>
        </w:r>
        <w:r>
          <w:rPr>
            <w:rFonts w:ascii="Times New Roman" w:hAnsi="Times New Roman" w:cs="Times New Roman"/>
            <w:noProof/>
            <w:color w:val="0000FF" w:themeColor="hyperlink"/>
            <w:sz w:val="20"/>
            <w:szCs w:val="20"/>
            <w:u w:val="single"/>
          </w:rPr>
          <w:t>www.vdi.gov.lv/files/2018_gada_darbibas_parskats.pdf</w:t>
        </w:r>
      </w:hyperlink>
    </w:p>
    <w:p w:rsidR="00A8765D" w:rsidRDefault="006C09F5">
      <w:pPr>
        <w:rPr>
          <w:rFonts w:ascii="Times New Roman" w:hAnsi="Times New Roman" w:cs="Times New Roman"/>
          <w:noProof/>
          <w:color w:val="0000FF" w:themeColor="hyperlink"/>
          <w:sz w:val="20"/>
          <w:szCs w:val="20"/>
          <w:u w:val="single"/>
        </w:rPr>
      </w:pPr>
      <w:r>
        <w:rPr>
          <w:rFonts w:ascii="Times New Roman" w:hAnsi="Times New Roman" w:cs="Times New Roman"/>
          <w:noProof/>
          <w:color w:val="000000"/>
          <w:sz w:val="20"/>
          <w:szCs w:val="20"/>
        </w:rPr>
        <w:t xml:space="preserve">Swedbank. (2019). </w:t>
      </w:r>
      <w:r>
        <w:rPr>
          <w:rFonts w:ascii="Times New Roman" w:hAnsi="Times New Roman" w:cs="Times New Roman"/>
          <w:i/>
          <w:noProof/>
          <w:color w:val="000000"/>
          <w:sz w:val="20"/>
          <w:szCs w:val="20"/>
        </w:rPr>
        <w:t>Baltic Housing Affordability index.</w:t>
      </w:r>
      <w:r>
        <w:rPr>
          <w:rFonts w:ascii="Times New Roman" w:hAnsi="Times New Roman" w:cs="Times New Roman"/>
          <w:noProof/>
          <w:color w:val="000000"/>
          <w:sz w:val="20"/>
          <w:szCs w:val="20"/>
        </w:rPr>
        <w:t xml:space="preserve"> Retrieved from: </w:t>
      </w:r>
      <w:hyperlink r:id="rId185" w:history="1">
        <w:r>
          <w:rPr>
            <w:rFonts w:ascii="Times New Roman" w:hAnsi="Times New Roman" w:cs="Times New Roman"/>
            <w:noProof/>
            <w:color w:val="0000FF" w:themeColor="hyperlink"/>
            <w:sz w:val="20"/>
            <w:szCs w:val="20"/>
            <w:u w:val="single"/>
          </w:rPr>
          <w:t>https://www.swed</w:t>
        </w:r>
        <w:r>
          <w:rPr>
            <w:rFonts w:ascii="Times New Roman" w:hAnsi="Times New Roman" w:cs="Times New Roman"/>
            <w:noProof/>
            <w:color w:val="0000FF" w:themeColor="hyperlink"/>
            <w:sz w:val="20"/>
            <w:szCs w:val="20"/>
            <w:u w:val="single"/>
          </w:rPr>
          <w:t>bank-research.com/english/baltic_housing_affordability_index/2019_q2/hai_q2_2019.pdf</w:t>
        </w:r>
      </w:hyperlink>
    </w:p>
    <w:p w:rsidR="00A8765D" w:rsidRDefault="006C09F5">
      <w:pPr>
        <w:rPr>
          <w:rFonts w:ascii="Times New Roman" w:hAnsi="Times New Roman" w:cs="Times New Roman"/>
          <w:noProof/>
          <w:sz w:val="20"/>
          <w:szCs w:val="20"/>
        </w:rPr>
      </w:pPr>
      <w:r>
        <w:rPr>
          <w:rFonts w:ascii="Times New Roman" w:hAnsi="Times New Roman" w:cs="Times New Roman"/>
          <w:noProof/>
          <w:color w:val="000000"/>
          <w:sz w:val="20"/>
          <w:szCs w:val="20"/>
        </w:rPr>
        <w:t xml:space="preserve">Vilerts K., Zutis K. and Beņkovskis K. (2019). </w:t>
      </w:r>
      <w:r>
        <w:rPr>
          <w:rFonts w:ascii="Times New Roman" w:hAnsi="Times New Roman" w:cs="Times New Roman"/>
          <w:i/>
          <w:noProof/>
          <w:color w:val="000000"/>
          <w:sz w:val="20"/>
          <w:szCs w:val="20"/>
        </w:rPr>
        <w:t>Factors Determining Municipal Spending Differences in Latvia. Discussion Paper 1/2019.</w:t>
      </w:r>
      <w:r>
        <w:rPr>
          <w:rFonts w:ascii="Times New Roman" w:hAnsi="Times New Roman" w:cs="Times New Roman"/>
          <w:noProof/>
          <w:color w:val="000000"/>
          <w:sz w:val="20"/>
          <w:szCs w:val="20"/>
        </w:rPr>
        <w:t xml:space="preserve"> Bank of Latvia. Retrieved from: </w:t>
      </w:r>
      <w:hyperlink r:id="rId186" w:history="1">
        <w:r>
          <w:rPr>
            <w:rStyle w:val="Hyperlink"/>
            <w:rFonts w:ascii="Times New Roman" w:hAnsi="Times New Roman" w:cs="Times New Roman"/>
            <w:noProof/>
            <w:sz w:val="20"/>
            <w:szCs w:val="20"/>
          </w:rPr>
          <w:t>https://datnes.latvijasbanka.lv/papers/discussion/DP_1_2019_en.pdf</w:t>
        </w:r>
      </w:hyperlink>
    </w:p>
    <w:sectPr w:rsidR="00A8765D">
      <w:headerReference w:type="even" r:id="rId187"/>
      <w:headerReference w:type="default" r:id="rId188"/>
      <w:footerReference w:type="even" r:id="rId189"/>
      <w:footerReference w:type="default" r:id="rId190"/>
      <w:headerReference w:type="first" r:id="rId191"/>
      <w:footerReference w:type="first" r:id="rId19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765D" w:rsidRDefault="006C09F5">
      <w:pPr>
        <w:spacing w:after="0" w:line="240" w:lineRule="auto"/>
      </w:pPr>
      <w:r>
        <w:separator/>
      </w:r>
    </w:p>
  </w:endnote>
  <w:endnote w:type="continuationSeparator" w:id="0">
    <w:p w:rsidR="00A8765D" w:rsidRDefault="006C0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9F5" w:rsidRPr="006C09F5" w:rsidRDefault="006C09F5" w:rsidP="006C09F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8</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18</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14</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21</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19</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9F5" w:rsidRPr="006C09F5" w:rsidRDefault="006C09F5" w:rsidP="006C09F5">
    <w:pPr>
      <w:pStyle w:val="FooterCoverPage"/>
      <w:rPr>
        <w:rFonts w:ascii="Arial" w:hAnsi="Arial" w:cs="Arial"/>
        <w:b/>
        <w:sz w:val="48"/>
      </w:rPr>
    </w:pPr>
    <w:r w:rsidRPr="006C09F5">
      <w:rPr>
        <w:rFonts w:ascii="Arial" w:hAnsi="Arial" w:cs="Arial"/>
        <w:b/>
        <w:sz w:val="48"/>
      </w:rPr>
      <w:t>EN</w:t>
    </w:r>
    <w:r w:rsidRPr="006C09F5">
      <w:rPr>
        <w:rFonts w:ascii="Arial" w:hAnsi="Arial" w:cs="Arial"/>
        <w:b/>
        <w:sz w:val="48"/>
      </w:rPr>
      <w:tab/>
    </w:r>
    <w:r w:rsidRPr="006C09F5">
      <w:rPr>
        <w:rFonts w:ascii="Arial" w:hAnsi="Arial" w:cs="Arial"/>
        <w:b/>
        <w:sz w:val="48"/>
      </w:rPr>
      <w:tab/>
    </w:r>
    <w:r w:rsidRPr="006C09F5">
      <w:tab/>
    </w:r>
    <w:r w:rsidRPr="006C09F5">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26</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23</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37</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27</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49</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38</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54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9F5" w:rsidRPr="006C09F5" w:rsidRDefault="006C09F5" w:rsidP="006C09F5">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w:instrText>
    </w:r>
    <w:r>
      <w:instrText xml:space="preserve"> \* MERGEFORMAT </w:instrText>
    </w:r>
    <w:r>
      <w:fldChar w:fldCharType="separate"/>
    </w:r>
    <w:r>
      <w:rPr>
        <w:noProof/>
      </w:rPr>
      <w:t>50</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60</w:t>
    </w:r>
    <w: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55</w:t>
    </w:r>
    <w: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64</w: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61</w:t>
    </w:r>
    <w: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67</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62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69</w:t>
    </w:r>
    <w: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w:instrText>
    </w:r>
    <w:r>
      <w:instrText xml:space="preserve">PAGE  \* MERGEFORMAT </w:instrText>
    </w:r>
    <w:r>
      <w:fldChar w:fldCharType="separate"/>
    </w:r>
    <w:r>
      <w:rPr>
        <w:noProof/>
      </w:rPr>
      <w:t>68</w:t>
    </w:r>
    <w: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73</w:t>
    </w:r>
    <w: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70</w:t>
    </w:r>
    <w: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77</w:t>
    </w:r>
    <w: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75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9108247"/>
      <w:docPartObj>
        <w:docPartGallery w:val="Page Numbers (Bottom of Page)"/>
        <w:docPartUnique/>
      </w:docPartObj>
    </w:sdtPr>
    <w:sdtEndPr>
      <w:rPr>
        <w:noProof/>
      </w:rPr>
    </w:sdtEndPr>
    <w:sdtContent>
      <w:p w:rsidR="00A8765D" w:rsidRDefault="006C09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458738"/>
      <w:docPartObj>
        <w:docPartGallery w:val="Page Numbers (Bottom of Page)"/>
        <w:docPartUnique/>
      </w:docPartObj>
    </w:sdtPr>
    <w:sdtEndPr>
      <w:rPr>
        <w:noProof/>
      </w:rPr>
    </w:sdtEndPr>
    <w:sdtContent>
      <w:p w:rsidR="00A8765D" w:rsidRDefault="006C09F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7</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FooterPageNumber30"/>
      <w:framePr w:wrap="around"/>
    </w:pP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765D" w:rsidRDefault="006C09F5">
      <w:pPr>
        <w:spacing w:after="0" w:line="240" w:lineRule="auto"/>
      </w:pPr>
      <w:r>
        <w:separator/>
      </w:r>
    </w:p>
  </w:footnote>
  <w:footnote w:type="continuationSeparator" w:id="0">
    <w:p w:rsidR="00A8765D" w:rsidRDefault="006C09F5">
      <w:pPr>
        <w:spacing w:after="0" w:line="240" w:lineRule="auto"/>
      </w:pPr>
      <w:r>
        <w:continuationSeparator/>
      </w:r>
    </w:p>
  </w:footnote>
  <w:footnote w:id="1">
    <w:p w:rsidR="00A8765D" w:rsidRDefault="006C09F5">
      <w:pPr>
        <w:pStyle w:val="FootnoteText"/>
      </w:pPr>
      <w:r>
        <w:t>(</w:t>
      </w:r>
      <w:r>
        <w:rPr>
          <w:rStyle w:val="FootnoteReference"/>
        </w:rPr>
        <w:footnoteRef/>
      </w:r>
      <w:r>
        <w:t>)</w:t>
      </w:r>
      <w:r>
        <w:tab/>
        <w:t xml:space="preserve">Within the scope of its legal </w:t>
      </w:r>
      <w:r>
        <w:t>basis, the European Semester can help drive national economic and employment policies towards the achievement of the United Nations’ Sustainable Development Goals (SDGs) by monitoring progress and ensuring closer coordination of national efforts. The prese</w:t>
      </w:r>
      <w:r>
        <w:t>nt report contains analysis of Latvia’s progress towards the SDGs. Annex E presents a set of SDG indicators for Latvia.</w:t>
      </w:r>
    </w:p>
    <w:p w:rsidR="00A8765D" w:rsidRDefault="00A8765D">
      <w:pPr>
        <w:pStyle w:val="FootnoteText"/>
      </w:pPr>
    </w:p>
  </w:footnote>
  <w:footnote w:id="2">
    <w:p w:rsidR="00A8765D" w:rsidRDefault="006C09F5">
      <w:pPr>
        <w:pStyle w:val="FootnoteText"/>
      </w:pPr>
      <w:r>
        <w:t>(</w:t>
      </w:r>
      <w:r>
        <w:rPr>
          <w:rStyle w:val="FootnoteReference"/>
        </w:rPr>
        <w:footnoteRef/>
      </w:r>
      <w:r>
        <w:t>)</w:t>
      </w:r>
      <w:r>
        <w:tab/>
        <w:t xml:space="preserve">The VAT gap represents the difference between expected VAT revenue based on the tax law and respective tax bases and the VAT </w:t>
      </w:r>
      <w:r>
        <w:t>revenue actually collected.</w:t>
      </w:r>
    </w:p>
  </w:footnote>
  <w:footnote w:id="3">
    <w:p w:rsidR="00A8765D" w:rsidRDefault="006C09F5">
      <w:pPr>
        <w:pStyle w:val="FootnoteText"/>
      </w:pPr>
      <w:r>
        <w:t>(</w:t>
      </w:r>
      <w:r>
        <w:rPr>
          <w:rStyle w:val="FootnoteReference"/>
        </w:rPr>
        <w:footnoteRef/>
      </w:r>
      <w:r>
        <w:t>)</w:t>
      </w:r>
      <w:r>
        <w:tab/>
        <w:t>Project of the European Commission and the World Bank "Technical Assistance: Supporting the Implementation of the Mid-Term Tax Strategy of the Government of Latvia".</w:t>
      </w:r>
    </w:p>
  </w:footnote>
  <w:footnote w:id="4">
    <w:p w:rsidR="00A8765D" w:rsidRDefault="006C09F5">
      <w:pPr>
        <w:pStyle w:val="FootnoteText"/>
        <w:rPr>
          <w:lang w:val="lv-LV"/>
        </w:rPr>
      </w:pPr>
      <w:r>
        <w:t>(</w:t>
      </w:r>
      <w:r>
        <w:rPr>
          <w:rStyle w:val="FootnoteReference"/>
        </w:rPr>
        <w:footnoteRef/>
      </w:r>
      <w:r>
        <w:t>)</w:t>
      </w:r>
      <w:r>
        <w:tab/>
        <w:t>The banking sector is composed of two segments – banks</w:t>
      </w:r>
      <w:r>
        <w:t xml:space="preserve"> servicing residents or “domestically active banks” (80% of total assets) and banks servicing non-residents or foreign clients (20% of total assets). The latter’s share has been falling.</w:t>
      </w:r>
    </w:p>
  </w:footnote>
  <w:footnote w:id="5">
    <w:p w:rsidR="00A8765D" w:rsidRDefault="006C09F5">
      <w:pPr>
        <w:pStyle w:val="FootnoteText"/>
        <w:rPr>
          <w:lang w:val="lv-LV"/>
        </w:rPr>
      </w:pPr>
      <w:r>
        <w:t>(</w:t>
      </w:r>
      <w:r>
        <w:rPr>
          <w:rStyle w:val="FootnoteReference"/>
        </w:rPr>
        <w:footnoteRef/>
      </w:r>
      <w:r>
        <w:t>)</w:t>
      </w:r>
      <w:r>
        <w:tab/>
        <w:t>In early 2018, the United States financial crime enforcement netw</w:t>
      </w:r>
      <w:r>
        <w:t>ork (FinCen) implicated Latvia's then third biggest bank ABLV to conducting large scale money laundering. The European Central bank revoked its licence and the ABLV bank went into self-liquidation.</w:t>
      </w:r>
    </w:p>
  </w:footnote>
  <w:footnote w:id="6">
    <w:p w:rsidR="00A8765D" w:rsidRDefault="006C09F5">
      <w:pPr>
        <w:pStyle w:val="FootnoteText"/>
      </w:pPr>
      <w:r>
        <w:t>(</w:t>
      </w:r>
      <w:r>
        <w:rPr>
          <w:rStyle w:val="FootnoteReference"/>
        </w:rPr>
        <w:footnoteRef/>
      </w:r>
      <w:r>
        <w:t>)</w:t>
      </w:r>
      <w:r>
        <w:tab/>
        <w:t>Financial Action Task Force is an inter-governmental b</w:t>
      </w:r>
      <w:r>
        <w:t xml:space="preserve">ody established by members of OECD in 1989. The objectives of the FATF are to set standards and promote effective implementation of legal, regulatory and operational measures for combating money laundering, terrorist financing and other related threats to </w:t>
      </w:r>
      <w:r>
        <w:t xml:space="preserve">the integrity of the international financial system. </w:t>
      </w:r>
    </w:p>
  </w:footnote>
  <w:footnote w:id="7">
    <w:p w:rsidR="00A8765D" w:rsidRDefault="006C09F5">
      <w:pPr>
        <w:pStyle w:val="FootnoteText"/>
      </w:pPr>
      <w:r>
        <w:t>(</w:t>
      </w:r>
      <w:r>
        <w:rPr>
          <w:rStyle w:val="FootnoteReference"/>
        </w:rPr>
        <w:footnoteRef/>
      </w:r>
      <w:r>
        <w:t>)</w:t>
      </w:r>
      <w:r>
        <w:tab/>
        <w:t>Around</w:t>
      </w:r>
      <w:r>
        <w:rPr>
          <w:b/>
        </w:rPr>
        <w:t xml:space="preserve"> </w:t>
      </w:r>
      <w:r>
        <w:rPr>
          <w:rStyle w:val="Strong"/>
          <w:szCs w:val="16"/>
        </w:rPr>
        <w:t>97% of companies (or some 135000) established in Latvia have disclosed their beneficial owners since the introduction of the Enterprise Register</w:t>
      </w:r>
      <w:r>
        <w:rPr>
          <w:b/>
        </w:rPr>
        <w:t xml:space="preserve">. </w:t>
      </w:r>
      <w:r>
        <w:t>The remaining 3% have had their rights to tra</w:t>
      </w:r>
      <w:r>
        <w:t>de terminated because of non-compliance with the UBO reporting requirements. Around 86% of all legal persons have revealed their beneficial owners. Since December 2017, there is no possibility to register a new legal person without disclosure of beneficial</w:t>
      </w:r>
      <w:r>
        <w:t xml:space="preserve"> owner information.</w:t>
      </w:r>
    </w:p>
  </w:footnote>
  <w:footnote w:id="8">
    <w:p w:rsidR="00A8765D" w:rsidRDefault="006C09F5">
      <w:pPr>
        <w:pStyle w:val="FootnoteText"/>
      </w:pPr>
      <w:r>
        <w:t>(</w:t>
      </w:r>
      <w:r>
        <w:rPr>
          <w:rStyle w:val="FootnoteReference"/>
        </w:rPr>
        <w:footnoteRef/>
      </w:r>
      <w:r>
        <w:t>)</w:t>
      </w:r>
      <w:r>
        <w:tab/>
        <w:t xml:space="preserve">The number of criminal proceedings for money laundering has risen from 93 in 2018 to 164 in 2019. </w:t>
      </w:r>
    </w:p>
  </w:footnote>
  <w:footnote w:id="9">
    <w:p w:rsidR="00A8765D" w:rsidRDefault="006C09F5">
      <w:pPr>
        <w:pStyle w:val="FootnoteText"/>
      </w:pPr>
      <w:r>
        <w:t>(</w:t>
      </w:r>
      <w:r>
        <w:rPr>
          <w:rStyle w:val="FootnoteReference"/>
        </w:rPr>
        <w:footnoteRef/>
      </w:r>
      <w:r>
        <w:t>)</w:t>
      </w:r>
      <w:r>
        <w:tab/>
        <w:t>In Q2-2019, the non-bank financial sector represented roughly 30% of the financial sector in Latvia (40% compared to banking sect</w:t>
      </w:r>
      <w:r>
        <w:t>or assets). The bulk (50%) of the non-bank financial sector is composed of pension funds, 25% leasing companies and the rest is fragmented among insurance, investment funds, alternative investment funds and other non-bank intermediaries.</w:t>
      </w:r>
    </w:p>
  </w:footnote>
  <w:footnote w:id="10">
    <w:p w:rsidR="00A8765D" w:rsidRDefault="006C09F5">
      <w:pPr>
        <w:pStyle w:val="FootnoteText"/>
        <w:rPr>
          <w:lang w:val="lv-LV"/>
        </w:rPr>
      </w:pPr>
      <w:r>
        <w:t>(</w:t>
      </w:r>
      <w:r>
        <w:rPr>
          <w:rStyle w:val="FootnoteReference"/>
        </w:rPr>
        <w:footnoteRef/>
      </w:r>
      <w:r>
        <w:t>)</w:t>
      </w:r>
      <w:r>
        <w:tab/>
        <w:t>According to t</w:t>
      </w:r>
      <w:r>
        <w:t>he benchmarking on adult skills and adult learning systems in the EU conducted within the Employment Committee.</w:t>
      </w:r>
    </w:p>
  </w:footnote>
  <w:footnote w:id="11">
    <w:p w:rsidR="00A8765D" w:rsidRDefault="006C09F5">
      <w:pPr>
        <w:pStyle w:val="FootnoteText"/>
      </w:pPr>
      <w:r>
        <w:t>(</w:t>
      </w:r>
      <w:r>
        <w:rPr>
          <w:rStyle w:val="FootnoteReference"/>
        </w:rPr>
        <w:footnoteRef/>
      </w:r>
      <w:r>
        <w:t>)</w:t>
      </w:r>
      <w:r>
        <w:tab/>
        <w:t xml:space="preserve">Draft Budgetary Plan of Latvia, 2020. Retrieved from: </w:t>
      </w:r>
    </w:p>
    <w:p w:rsidR="00A8765D" w:rsidRDefault="006C09F5">
      <w:pPr>
        <w:pStyle w:val="FootnoteText"/>
        <w:rPr>
          <w:lang w:val="lv-LV"/>
        </w:rPr>
      </w:pPr>
      <w:hyperlink r:id="rId1" w:history="1">
        <w:r>
          <w:rPr>
            <w:rStyle w:val="Hyperlink"/>
          </w:rPr>
          <w:t>https://ec.europa.eu/info/sites/info/files/economy-finance/2020_dbp_lv_en.pdf</w:t>
        </w:r>
      </w:hyperlink>
    </w:p>
  </w:footnote>
  <w:footnote w:id="12">
    <w:p w:rsidR="00A8765D" w:rsidRDefault="006C09F5">
      <w:pPr>
        <w:pStyle w:val="FootnoteText"/>
      </w:pPr>
      <w:r>
        <w:t>(</w:t>
      </w:r>
      <w:r>
        <w:rPr>
          <w:rStyle w:val="FootnoteReference"/>
        </w:rPr>
        <w:footnoteRef/>
      </w:r>
      <w:r>
        <w:t>)</w:t>
      </w:r>
      <w:r>
        <w:tab/>
        <w:t>According to the EU benchmarking exercise in the Social Protection Committee. See the draft Joint Employment Report 2020 for details.</w:t>
      </w:r>
    </w:p>
  </w:footnote>
  <w:footnote w:id="13">
    <w:p w:rsidR="00A8765D" w:rsidRDefault="006C09F5">
      <w:pPr>
        <w:pStyle w:val="FootnoteText"/>
      </w:pPr>
      <w:r>
        <w:t>(</w:t>
      </w:r>
      <w:r>
        <w:rPr>
          <w:rStyle w:val="FootnoteReference"/>
        </w:rPr>
        <w:footnoteRef/>
      </w:r>
      <w:r>
        <w:t>)</w:t>
      </w:r>
      <w:r>
        <w:tab/>
        <w:t>Statistics, Ministry of Wel</w:t>
      </w:r>
      <w:r>
        <w:t xml:space="preserve">fare, 2019 </w:t>
      </w:r>
      <w:hyperlink r:id="rId2" w:history="1">
        <w:r>
          <w:rPr>
            <w:rStyle w:val="Hyperlink"/>
          </w:rPr>
          <w:t>http://lm.gov.lv/upload/Stat-SU-05112019.pdf</w:t>
        </w:r>
      </w:hyperlink>
    </w:p>
  </w:footnote>
  <w:footnote w:id="14">
    <w:p w:rsidR="00A8765D" w:rsidRDefault="006C09F5">
      <w:pPr>
        <w:pStyle w:val="FootnoteText"/>
      </w:pPr>
      <w:r>
        <w:t>(</w:t>
      </w:r>
      <w:r>
        <w:rPr>
          <w:rStyle w:val="FootnoteReference"/>
        </w:rPr>
        <w:footnoteRef/>
      </w:r>
      <w:r>
        <w:t>)</w:t>
      </w:r>
      <w:r>
        <w:tab/>
        <w:t xml:space="preserve">Financing from the government schemes based on the System of Health Accounts. </w:t>
      </w:r>
    </w:p>
  </w:footnote>
  <w:footnote w:id="15">
    <w:p w:rsidR="00A8765D" w:rsidRDefault="006C09F5">
      <w:pPr>
        <w:pStyle w:val="FootnoteText"/>
      </w:pPr>
      <w:r>
        <w:t>(</w:t>
      </w:r>
      <w:r>
        <w:rPr>
          <w:rStyle w:val="FootnoteReference"/>
        </w:rPr>
        <w:footnoteRef/>
      </w:r>
      <w:r>
        <w:t>)</w:t>
      </w:r>
      <w:r>
        <w:tab/>
      </w:r>
      <w:r>
        <w:t xml:space="preserve">See the Final Report of this Policy Support Facility — </w:t>
      </w:r>
      <w:hyperlink r:id="rId3" w:history="1">
        <w:r>
          <w:rPr>
            <w:rStyle w:val="Hyperlink"/>
          </w:rPr>
          <w:t>https://rio.jrc.ec.europa.eu/en/library/specific-support-latvia-final-re</w:t>
        </w:r>
        <w:r>
          <w:rPr>
            <w:rStyle w:val="Hyperlink"/>
          </w:rPr>
          <w:t>port-–-latvian-research-funding-system-0</w:t>
        </w:r>
      </w:hyperlink>
      <w:r>
        <w:rPr>
          <w:rStyle w:val="Hyperlink"/>
        </w:rPr>
        <w:t>.</w:t>
      </w:r>
    </w:p>
  </w:footnote>
  <w:footnote w:id="16">
    <w:p w:rsidR="00A8765D" w:rsidRDefault="006C09F5">
      <w:pPr>
        <w:pStyle w:val="FootnoteText"/>
      </w:pPr>
      <w:r>
        <w:t>(</w:t>
      </w:r>
      <w:r>
        <w:rPr>
          <w:rStyle w:val="FootnoteReference"/>
        </w:rPr>
        <w:footnoteRef/>
      </w:r>
      <w:r>
        <w:t>)</w:t>
      </w:r>
      <w:r>
        <w:tab/>
        <w:t>The EU average is set to 100.</w:t>
      </w:r>
    </w:p>
  </w:footnote>
  <w:footnote w:id="17">
    <w:p w:rsidR="00A8765D" w:rsidRDefault="006C09F5">
      <w:pPr>
        <w:pStyle w:val="FootnoteText"/>
      </w:pPr>
      <w:r>
        <w:t>(</w:t>
      </w:r>
      <w:r>
        <w:rPr>
          <w:rStyle w:val="FootnoteReference"/>
        </w:rPr>
        <w:footnoteRef/>
      </w:r>
      <w:r>
        <w:t>)</w:t>
      </w:r>
      <w:r>
        <w:tab/>
        <w:t xml:space="preserve">Annoni, P., and Dijkstra, L. (2019) </w:t>
      </w:r>
      <w:hyperlink r:id="rId4" w:history="1">
        <w:r>
          <w:rPr>
            <w:rStyle w:val="Hyperlink"/>
          </w:rPr>
          <w:t>The</w:t>
        </w:r>
      </w:hyperlink>
      <w:r>
        <w:rPr>
          <w:rStyle w:val="Hyperlink"/>
          <w:szCs w:val="18"/>
        </w:rPr>
        <w:t xml:space="preserve"> EU Regional Competitiveness Index, </w:t>
      </w:r>
      <w:r>
        <w:rPr>
          <w:rStyle w:val="Hyperlink"/>
          <w:i/>
          <w:szCs w:val="18"/>
        </w:rPr>
        <w:t>DG</w:t>
      </w:r>
      <w:r>
        <w:rPr>
          <w:rStyle w:val="Hyperlink"/>
          <w:i/>
          <w:szCs w:val="18"/>
        </w:rPr>
        <w:t xml:space="preserve"> REGIO Working Paper Series</w:t>
      </w:r>
      <w:r>
        <w:t>. The index varies between 0 and 100 (best performing EU region). .</w:t>
      </w:r>
    </w:p>
  </w:footnote>
  <w:footnote w:id="18">
    <w:p w:rsidR="00A8765D" w:rsidRDefault="006C09F5">
      <w:pPr>
        <w:pStyle w:val="FootnoteText"/>
      </w:pPr>
      <w:r>
        <w:t>(</w:t>
      </w:r>
      <w:r>
        <w:rPr>
          <w:rStyle w:val="FootnoteReference"/>
        </w:rPr>
        <w:footnoteRef/>
      </w:r>
      <w:r>
        <w:t>)</w:t>
      </w:r>
      <w:r>
        <w:tab/>
        <w:t xml:space="preserve">Number of economically active statistical units per 1,000 population in the market sector (number, RAIM apr.) </w:t>
      </w:r>
      <w:hyperlink r:id="rId5" w:history="1">
        <w:r>
          <w:rPr>
            <w:rStyle w:val="Hyperlink"/>
          </w:rPr>
          <w:t>https://raim.gov.lv/lv/node/38</w:t>
        </w:r>
      </w:hyperlink>
      <w:r>
        <w:rPr>
          <w:rStyle w:val="Hyperlink"/>
        </w:rPr>
        <w:t>.</w:t>
      </w:r>
    </w:p>
  </w:footnote>
  <w:footnote w:id="19">
    <w:p w:rsidR="00A8765D" w:rsidRDefault="006C09F5">
      <w:pPr>
        <w:pStyle w:val="FootnoteText"/>
        <w:rPr>
          <w:lang w:val="lv-LV"/>
        </w:rPr>
      </w:pPr>
      <w:r>
        <w:t>(</w:t>
      </w:r>
      <w:r>
        <w:rPr>
          <w:rStyle w:val="FootnoteReference"/>
        </w:rPr>
        <w:footnoteRef/>
      </w:r>
      <w:r>
        <w:t>)</w:t>
      </w:r>
      <w:r>
        <w:tab/>
      </w:r>
      <w:r>
        <w:rPr>
          <w:lang w:val="en-IE"/>
        </w:rPr>
        <w:t>The European Union has set out to reduce its greenhouse gas emissions by 40% by 2030 compared to 1990. The European Commission’s Green Deal initiative presented in December 2019 has proposed to increase the emissions red</w:t>
      </w:r>
      <w:r>
        <w:rPr>
          <w:lang w:val="en-IE"/>
        </w:rPr>
        <w:t>uction target to at least 50% and set an ambition to reach carbon neutrality by 2050. This has yet to be agreed by Member States.</w:t>
      </w:r>
    </w:p>
  </w:footnote>
  <w:footnote w:id="20">
    <w:p w:rsidR="00A8765D" w:rsidRDefault="006C09F5">
      <w:pPr>
        <w:pStyle w:val="FootnoteText"/>
      </w:pPr>
      <w:r>
        <w:t>(</w:t>
      </w:r>
      <w:r>
        <w:rPr>
          <w:rStyle w:val="FootnoteReference"/>
        </w:rPr>
        <w:footnoteRef/>
      </w:r>
      <w:r>
        <w:t>)</w:t>
      </w:r>
      <w:r>
        <w:tab/>
      </w:r>
      <w:r>
        <w:rPr>
          <w:lang w:val="en-IE"/>
        </w:rPr>
        <w:t>Carbon pricing through emissions trading system (ETS) applies to power and heat generation, energy-intensive industry, and</w:t>
      </w:r>
      <w:r>
        <w:rPr>
          <w:lang w:val="en-IE"/>
        </w:rPr>
        <w:t xml:space="preserve"> commercial aviation sectors.</w:t>
      </w:r>
    </w:p>
  </w:footnote>
  <w:footnote w:id="21">
    <w:p w:rsidR="00A8765D" w:rsidRDefault="006C09F5">
      <w:pPr>
        <w:pStyle w:val="FootnoteText"/>
        <w:rPr>
          <w:lang w:val="lv-LV"/>
        </w:rPr>
      </w:pPr>
      <w:r>
        <w:t>(</w:t>
      </w:r>
      <w:r>
        <w:rPr>
          <w:rStyle w:val="FootnoteReference"/>
        </w:rPr>
        <w:footnoteRef/>
      </w:r>
      <w:r>
        <w:t>)</w:t>
      </w:r>
      <w:r>
        <w:tab/>
        <w:t xml:space="preserve">In 2005, Latvia emitted </w:t>
      </w:r>
      <w:r>
        <w:rPr>
          <w:lang w:val="en-IE"/>
        </w:rPr>
        <w:t>5.2 tonnes of greenhouse gases per capita compared with the European Union average of 10.8 tonnes of greenhouse gases per capita. In 2018, the number had risen to 6.4 tonnes greenhouse gas emissions</w:t>
      </w:r>
      <w:r>
        <w:rPr>
          <w:lang w:val="en-IE"/>
        </w:rPr>
        <w:t xml:space="preserve"> per capita in Latvia compared to a European Union average of 8.6 tonnes per capita.</w:t>
      </w:r>
    </w:p>
  </w:footnote>
  <w:footnote w:id="22">
    <w:p w:rsidR="00A8765D" w:rsidRDefault="006C09F5">
      <w:pPr>
        <w:pStyle w:val="FootnoteText"/>
        <w:rPr>
          <w:lang w:val="lv-LV"/>
        </w:rPr>
      </w:pPr>
      <w:r>
        <w:t>(</w:t>
      </w:r>
      <w:r>
        <w:rPr>
          <w:rStyle w:val="FootnoteReference"/>
        </w:rPr>
        <w:footnoteRef/>
      </w:r>
      <w:r>
        <w:t>)</w:t>
      </w:r>
      <w:r>
        <w:tab/>
        <w:t>Share of organic farming is one of the key indicators for sustainable development goal 2 on sustainable food production systems and implementation of resilient agricul</w:t>
      </w:r>
      <w:r>
        <w:t>tural practices.</w:t>
      </w:r>
    </w:p>
  </w:footnote>
  <w:footnote w:id="23">
    <w:p w:rsidR="00A8765D" w:rsidRDefault="006C09F5">
      <w:pPr>
        <w:pStyle w:val="FootnoteText"/>
      </w:pPr>
      <w:r>
        <w:rPr>
          <w:rStyle w:val="FootnoteReference"/>
        </w:rPr>
        <w:footnoteRef/>
      </w:r>
      <w:r>
        <w:t xml:space="preserve"> </w:t>
      </w:r>
      <w:r>
        <w:tab/>
        <w:t xml:space="preserve">The Commission will assess, in the course of 2020, the final National Energy and Climate Plan submitted by Latvia on 3 February 2020.    </w:t>
      </w:r>
    </w:p>
  </w:footnote>
  <w:footnote w:id="24">
    <w:p w:rsidR="00A8765D" w:rsidRDefault="006C09F5">
      <w:pPr>
        <w:pStyle w:val="FootnoteText"/>
        <w:rPr>
          <w:b/>
          <w:u w:val="single"/>
        </w:rPr>
      </w:pPr>
      <w:r>
        <w:t>(</w:t>
      </w:r>
      <w:r>
        <w:rPr>
          <w:rStyle w:val="FootnoteReference"/>
        </w:rPr>
        <w:footnoteRef/>
      </w:r>
      <w:r>
        <w:t>)</w:t>
      </w:r>
      <w:r>
        <w:tab/>
        <w:t>The following categories are used to assess progress in implementing the 2017 country-specific</w:t>
      </w:r>
      <w:r>
        <w:t xml:space="preserve"> recommendations (CSRs):</w:t>
      </w:r>
    </w:p>
    <w:p w:rsidR="00A8765D" w:rsidRDefault="006C09F5">
      <w:pPr>
        <w:pStyle w:val="FootnoteText"/>
      </w:pPr>
      <w:r>
        <w:rPr>
          <w:b/>
          <w:u w:val="single"/>
        </w:rPr>
        <w:t>No progress:</w:t>
      </w:r>
      <w:r>
        <w:t xml:space="preserve"> The Member State has not credibly announced nor adopted any measures to address the CSR. This category covers a number of typical situations, to be interpreted on a case-by-case basis taking into account country-specif</w:t>
      </w:r>
      <w:r>
        <w:t>ic conditions. They include the following:</w:t>
      </w:r>
    </w:p>
    <w:p w:rsidR="00A8765D" w:rsidRDefault="006C09F5">
      <w:pPr>
        <w:pStyle w:val="FootnoteText"/>
      </w:pPr>
      <w:r>
        <w:t xml:space="preserve">no legal, administrative, or budgetary measures have been announced </w:t>
      </w:r>
    </w:p>
    <w:p w:rsidR="00A8765D" w:rsidRDefault="006C09F5">
      <w:pPr>
        <w:pStyle w:val="FootnoteText"/>
      </w:pPr>
      <w:r>
        <w:t>in the national reform programme,</w:t>
      </w:r>
    </w:p>
    <w:p w:rsidR="00A8765D" w:rsidRDefault="006C09F5">
      <w:pPr>
        <w:pStyle w:val="FootnoteText"/>
      </w:pPr>
      <w:r>
        <w:t>in any other official communication to the national Parliament/relevant parliamentary committees or the Europe</w:t>
      </w:r>
      <w:r>
        <w:t xml:space="preserve">an Commission, </w:t>
      </w:r>
    </w:p>
    <w:p w:rsidR="00A8765D" w:rsidRDefault="006C09F5">
      <w:pPr>
        <w:pStyle w:val="FootnoteText"/>
      </w:pPr>
      <w:r>
        <w:t xml:space="preserve">publicly (e.g. in a press statement or on the government's website); </w:t>
      </w:r>
    </w:p>
    <w:p w:rsidR="00A8765D" w:rsidRDefault="006C09F5">
      <w:pPr>
        <w:pStyle w:val="FootnoteText"/>
      </w:pPr>
      <w:r>
        <w:t xml:space="preserve">no non-legislative acts have been presented by the governing or legislative body; </w:t>
      </w:r>
    </w:p>
    <w:p w:rsidR="00A8765D" w:rsidRDefault="006C09F5">
      <w:pPr>
        <w:pStyle w:val="FootnoteText"/>
      </w:pPr>
      <w:r>
        <w:t>the Member State has taken initial steps in addressing the CSR, such as commissioning a</w:t>
      </w:r>
      <w:r>
        <w:t xml:space="preserve"> study or setting up a study group to analyse possible measures to be taken (unless the CSR explicitly asks for orientations or exploratory actions). However, it has not proposed any clearly-specified measure(s) to address the CSR.</w:t>
      </w:r>
    </w:p>
    <w:p w:rsidR="00A8765D" w:rsidRDefault="006C09F5">
      <w:pPr>
        <w:pStyle w:val="FootnoteText"/>
      </w:pPr>
      <w:r>
        <w:rPr>
          <w:b/>
          <w:u w:val="single"/>
        </w:rPr>
        <w:t>Limited progress:</w:t>
      </w:r>
      <w:r>
        <w:t xml:space="preserve"> The Me</w:t>
      </w:r>
      <w:r>
        <w:t>mber State has:</w:t>
      </w:r>
    </w:p>
    <w:p w:rsidR="00A8765D" w:rsidRDefault="006C09F5">
      <w:pPr>
        <w:pStyle w:val="FootnoteText"/>
      </w:pPr>
      <w:r>
        <w:t>announced certain measures but these address the CSR only to a limited extent; and/or</w:t>
      </w:r>
    </w:p>
    <w:p w:rsidR="00A8765D" w:rsidRDefault="006C09F5">
      <w:pPr>
        <w:pStyle w:val="FootnoteText"/>
      </w:pPr>
      <w:r>
        <w:t xml:space="preserve">presented legislative acts in the governing or legislative body but these have not been adopted yet and substantial further, non-legislative work is needed before the CSR is implemented; </w:t>
      </w:r>
    </w:p>
    <w:p w:rsidR="00A8765D" w:rsidRDefault="006C09F5">
      <w:pPr>
        <w:pStyle w:val="FootnoteText"/>
      </w:pPr>
      <w:r>
        <w:t>presented non-legislative acts, but has not followed these up with t</w:t>
      </w:r>
      <w:r>
        <w:t>he implementation needed to address the CSR.</w:t>
      </w:r>
    </w:p>
    <w:p w:rsidR="00A8765D" w:rsidRDefault="006C09F5">
      <w:pPr>
        <w:pStyle w:val="FootnoteText"/>
      </w:pPr>
      <w:r>
        <w:rPr>
          <w:b/>
          <w:u w:val="single"/>
        </w:rPr>
        <w:t>Some progress:</w:t>
      </w:r>
      <w:r>
        <w:t xml:space="preserve"> The Member State has adopted measures </w:t>
      </w:r>
    </w:p>
    <w:p w:rsidR="00A8765D" w:rsidRDefault="006C09F5">
      <w:pPr>
        <w:pStyle w:val="FootnoteText"/>
      </w:pPr>
      <w:r>
        <w:t xml:space="preserve">that partly address the CSR; and/or </w:t>
      </w:r>
    </w:p>
    <w:p w:rsidR="00A8765D" w:rsidRDefault="006C09F5">
      <w:pPr>
        <w:pStyle w:val="FootnoteText"/>
      </w:pPr>
      <w:r>
        <w:t>that address the CSR, but a fair amount of work is still needed to address the CSR fully as only a few of the measures h</w:t>
      </w:r>
      <w:r>
        <w:t>ave been implemented. For instance, a measure or measures have been adopted by the national Parliament or by ministerial decision, but no implementing decisions are in place.</w:t>
      </w:r>
    </w:p>
    <w:p w:rsidR="00A8765D" w:rsidRDefault="006C09F5">
      <w:pPr>
        <w:pStyle w:val="FootnoteText"/>
      </w:pPr>
      <w:r>
        <w:rPr>
          <w:b/>
          <w:u w:val="single"/>
        </w:rPr>
        <w:t>Substantial progress:</w:t>
      </w:r>
      <w:r>
        <w:t xml:space="preserve"> The Member State has adopted measures that go a long way to</w:t>
      </w:r>
      <w:r>
        <w:t>wards addressing the CSR and most of them have been implemented.</w:t>
      </w:r>
    </w:p>
    <w:p w:rsidR="00A8765D" w:rsidRDefault="006C09F5">
      <w:pPr>
        <w:pStyle w:val="FootnoteText"/>
      </w:pPr>
      <w:r>
        <w:rPr>
          <w:b/>
          <w:u w:val="single"/>
        </w:rPr>
        <w:t>Full implementation:</w:t>
      </w:r>
      <w:r>
        <w:t xml:space="preserve"> The Member State has implemented all measures needed to address the CSR appropriately.</w:t>
      </w:r>
    </w:p>
  </w:footnote>
  <w:footnote w:id="25">
    <w:p w:rsidR="00A8765D" w:rsidRDefault="006C09F5">
      <w:pPr>
        <w:pStyle w:val="FootnoteText"/>
        <w:rPr>
          <w:lang w:val="en-US"/>
        </w:rPr>
      </w:pPr>
      <w:r>
        <w:t>(</w:t>
      </w:r>
      <w:r>
        <w:rPr>
          <w:rStyle w:val="FootnoteReference"/>
        </w:rPr>
        <w:footnoteRef/>
      </w:r>
      <w:r>
        <w:t>) This Annex is to be considered in conjunction with the EC proposal for a Regula</w:t>
      </w:r>
      <w:r>
        <w:t>tion of the European Parliament and of the Council on the Just Transition Fund 2021-2027 (COM(2020) 22) and the EC proposal for a Regulation of the European Parliament and of the Council laying down common provisions on the European Regional Development Fu</w:t>
      </w:r>
      <w:r>
        <w:t>nd, the European Social Fund Plus, the Cohesion Fund, and the European Maritime and Fisheries Fund and financial rules for those and for the Asylum and Migration Fund, the Internal Security Fund and the Border Management and Visa Instrument (COM(2020) 23)</w:t>
      </w:r>
    </w:p>
  </w:footnote>
  <w:footnote w:id="26">
    <w:p w:rsidR="00A8765D" w:rsidRDefault="006C09F5">
      <w:pPr>
        <w:pStyle w:val="FootnoteText"/>
        <w:rPr>
          <w:szCs w:val="16"/>
        </w:rPr>
      </w:pPr>
      <w:r>
        <w:t>(</w:t>
      </w:r>
      <w:r>
        <w:rPr>
          <w:rStyle w:val="FootnoteReference"/>
        </w:rPr>
        <w:footnoteRef/>
      </w:r>
      <w:r>
        <w:t>) SWD(2019) 1013 final</w:t>
      </w:r>
    </w:p>
  </w:footnote>
  <w:footnote w:id="27">
    <w:p w:rsidR="00A8765D" w:rsidRDefault="006C09F5">
      <w:pPr>
        <w:pStyle w:val="FootnoteText"/>
      </w:pPr>
      <w:r>
        <w:t>(</w:t>
      </w:r>
      <w:hyperlink r:id="rId6" w:history="1">
        <w:r>
          <w:rPr>
            <w:rStyle w:val="FootnoteReference"/>
          </w:rPr>
          <w:footnoteRef/>
        </w:r>
        <w:r>
          <w:t>)</w:t>
        </w:r>
        <w:r>
          <w:tab/>
          <w:t xml:space="preserve">GHG emissions </w:t>
        </w:r>
        <w:r>
          <w:t>inventory, Latvian Center for Environment, Geology &amp; Meteorology</w:t>
        </w:r>
      </w:hyperlink>
      <w:r>
        <w:t xml:space="preserve">, </w:t>
      </w:r>
      <w:hyperlink r:id="rId7" w:history="1">
        <w:r>
          <w:rPr>
            <w:rStyle w:val="Hyperlink"/>
          </w:rPr>
          <w:t>https://www.meteo.lv/fs/CKFinderJava/userfiles/files/Vide/Klim</w:t>
        </w:r>
        <w:r>
          <w:rPr>
            <w:rStyle w:val="Hyperlink"/>
          </w:rPr>
          <w:t>ats/Majas_lapai_LVGMC_2019_seginvkopsavilkums.pdf</w:t>
        </w:r>
      </w:hyperlink>
    </w:p>
  </w:footnote>
  <w:footnote w:id="28">
    <w:p w:rsidR="00A8765D" w:rsidRDefault="006C09F5">
      <w:pPr>
        <w:pStyle w:val="FootnoteText"/>
      </w:pPr>
      <w:r>
        <w:t>(</w:t>
      </w:r>
      <w:r>
        <w:rPr>
          <w:rStyle w:val="FootnoteReference"/>
        </w:rPr>
        <w:footnoteRef/>
      </w:r>
      <w:r>
        <w:t>)</w:t>
      </w:r>
      <w:r>
        <w:rPr>
          <w:rStyle w:val="FootnoteReference"/>
        </w:rPr>
        <w:t xml:space="preserve"> </w:t>
      </w:r>
      <w:r>
        <w:t>Source: Latvian Peat Association</w:t>
      </w:r>
    </w:p>
  </w:footnote>
  <w:footnote w:id="29">
    <w:p w:rsidR="00A8765D" w:rsidRDefault="006C09F5">
      <w:pPr>
        <w:pStyle w:val="FootnoteText"/>
      </w:pPr>
      <w:r>
        <w:t>(</w:t>
      </w:r>
      <w:r>
        <w:rPr>
          <w:rStyle w:val="FootnoteReference"/>
        </w:rPr>
        <w:footnoteRef/>
      </w:r>
      <w:r>
        <w:t>) As defined in Article 2(3) of Regulation EU1303/2013 (CPR)</w:t>
      </w:r>
    </w:p>
  </w:footnote>
  <w:footnote w:id="30">
    <w:p w:rsidR="00A8765D" w:rsidRDefault="006C09F5">
      <w:pPr>
        <w:pStyle w:val="FootnoteText"/>
        <w:rPr>
          <w:lang w:val="en-IE"/>
        </w:rPr>
      </w:pPr>
      <w:r>
        <w:t>(</w:t>
      </w:r>
      <w:r>
        <w:rPr>
          <w:rStyle w:val="FootnoteReference"/>
        </w:rPr>
        <w:footnoteRef/>
      </w:r>
      <w:r>
        <w:t>)</w:t>
      </w:r>
      <w:r>
        <w:tab/>
        <w:t xml:space="preserve">Data extracted on 9 February 2020 from the Eurostat database (official EU SDG indicator set; see </w:t>
      </w:r>
      <w:hyperlink r:id="rId8" w:history="1">
        <w:r>
          <w:rPr>
            <w:rStyle w:val="Hyperlink"/>
          </w:rPr>
          <w:t>https://ec.europa.eu/eurostat/web/sdi/main-tables</w:t>
        </w:r>
      </w:hyperlink>
      <w:r>
        <w:t xml:space="preserve">). </w:t>
      </w:r>
    </w:p>
  </w:footnote>
  <w:footnote w:id="31">
    <w:p w:rsidR="00A8765D" w:rsidRDefault="006C09F5">
      <w:pPr>
        <w:pStyle w:val="FootnoteText"/>
        <w:rPr>
          <w:lang w:val="en-US"/>
        </w:rPr>
      </w:pPr>
      <w:r>
        <w:t xml:space="preserve"> (</w:t>
      </w:r>
      <w:r>
        <w:rPr>
          <w:rStyle w:val="FootnoteReference"/>
        </w:rPr>
        <w:footnoteRef/>
      </w:r>
      <w:r>
        <w:t>)</w:t>
      </w:r>
      <w:r>
        <w:tab/>
        <w:t>The EU SDG indicator set is aligned as far as appropriate with the UN list of global indicators, noting that the UN indicators are select</w:t>
      </w:r>
      <w:r>
        <w:t>ed for global level reporting and are therefore not always relevant in an EU context. The EU SDG indicators have strong links with EU policy initiatives.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9F5" w:rsidRPr="006C09F5" w:rsidRDefault="006C09F5" w:rsidP="006C09F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HeaderTitleRight"/>
    </w:pPr>
    <w:r>
      <w:t>1. Economic situation and outlook</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SectionTitle"/>
    </w:pPr>
    <w:r>
      <w:rPr>
        <w:rStyle w:val="SectionNumber"/>
      </w:rPr>
      <w:t>1.</w:t>
    </w:r>
    <w:r>
      <w:tab/>
      <w:t xml:space="preserve">Economic situation </w:t>
    </w:r>
    <w:r>
      <w:t>and outlook</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HeaderTitleRight"/>
    </w:pPr>
    <w:r>
      <w:t>2. Progress with country-specific recommendations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SectionTitle"/>
    </w:pPr>
    <w:r>
      <w:rPr>
        <w:rStyle w:val="SectionNumber"/>
      </w:rPr>
      <w:t>2.</w:t>
    </w:r>
    <w:r>
      <w:tab/>
      <w:t>Progress with country-specific recommendations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HeaderTitleRight"/>
    </w:pPr>
    <w:r>
      <w:t>3.1. Public finances and taxation</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SectionTitle"/>
    </w:pPr>
    <w:r>
      <w:rPr>
        <w:rStyle w:val="SectionNumber"/>
      </w:rPr>
      <w:t>3.</w:t>
    </w:r>
    <w:r>
      <w:tab/>
      <w:t>Reform priorities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9F5" w:rsidRPr="006C09F5" w:rsidRDefault="006C09F5" w:rsidP="006C09F5">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HeaderTitleRight"/>
    </w:pPr>
    <w:r>
      <w:t>3.2. Financial sector</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SectionTitle"/>
    </w:pPr>
    <w:r>
      <w:t>3.2.</w:t>
    </w:r>
    <w:r>
      <w:tab/>
      <w:t>Financial sector</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HeaderTitleRight"/>
    </w:pPr>
    <w:r>
      <w:t>3.3. Labour market, education and social policies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SectionTitle"/>
    </w:pPr>
    <w:r>
      <w:t>3.3.</w:t>
    </w:r>
    <w:r>
      <w:tab/>
      <w:t>Labour market, education and social policies</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HeaderTitleRight"/>
    </w:pPr>
    <w:r>
      <w:t>3.4. Competitiveness reforms and investment</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SectionTitle"/>
    </w:pPr>
    <w:r>
      <w:t xml:space="preserve">3.4. </w:t>
    </w:r>
    <w:r>
      <w:t>Competitiveness reforms and investment</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HeaderTitleRight"/>
    </w:pPr>
    <w:r>
      <w:t>3.5. Environmental sustainability</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9F5" w:rsidRPr="006C09F5" w:rsidRDefault="006C09F5" w:rsidP="006C09F5">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SectionTitle"/>
    </w:pPr>
    <w:r>
      <w:t>3.5.</w:t>
    </w:r>
    <w:r>
      <w:tab/>
      <w:t>Environmental sustainability</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HeaderTitleRight"/>
    </w:pPr>
    <w:r>
      <w:t>A. Overview Table</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SectionTitletwolines"/>
    </w:pPr>
    <w:r>
      <w:t>Annex A</w:t>
    </w:r>
  </w:p>
  <w:p w:rsidR="00A8765D" w:rsidRDefault="006C09F5">
    <w:pPr>
      <w:pStyle w:val="AnnexTitle"/>
    </w:pPr>
    <w:r>
      <w:t>Overview Table</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HeaderTitleRight"/>
    </w:pPr>
    <w:r>
      <w:t>B. DSA statistical annex</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SectionTitletwolines"/>
    </w:pPr>
    <w:r>
      <w:t>Annex B</w:t>
    </w:r>
  </w:p>
  <w:p w:rsidR="00A8765D" w:rsidRDefault="006C09F5">
    <w:pPr>
      <w:pStyle w:val="AnnexTitle"/>
    </w:pPr>
    <w:r>
      <w:t>DSA statistical annex</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HeaderTitleRight"/>
    </w:pPr>
    <w:r>
      <w:t>C. Standard Tables</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SectionTitletwolines"/>
    </w:pPr>
    <w:r>
      <w:t xml:space="preserve">Annex </w:t>
    </w:r>
    <w:r>
      <w:t>C</w:t>
    </w:r>
  </w:p>
  <w:p w:rsidR="00A8765D" w:rsidRDefault="006C09F5">
    <w:pPr>
      <w:pStyle w:val="AnnexTitle"/>
    </w:pPr>
    <w:r>
      <w:t>Standard Tables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HeaderTitleRight"/>
    </w:pPr>
    <w:r>
      <w:t>D. Investment Guidance on Cohesion Policy Funding 2021-2027 for Latvia</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SectionTitletwolines"/>
    </w:pPr>
    <w:r>
      <w:t>Annex D</w:t>
    </w:r>
  </w:p>
  <w:p w:rsidR="00A8765D" w:rsidRDefault="006C09F5">
    <w:pPr>
      <w:pStyle w:val="AnnexTitle"/>
    </w:pPr>
    <w:r>
      <w:t>Investment Guidance on Just Transition Fund 2021-2027 for Latvia</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HeaderTitleRight"/>
    </w:pPr>
    <w:r>
      <w:t xml:space="preserve">E. Progress towards the Sustainable </w:t>
    </w:r>
    <w:r>
      <w:t>Development Goals (SDGs)</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SectionTitletwolines"/>
    </w:pPr>
    <w:r>
      <w:t>Annex E</w:t>
    </w:r>
  </w:p>
  <w:p w:rsidR="00A8765D" w:rsidRDefault="006C09F5">
    <w:pPr>
      <w:pStyle w:val="AnnexTitle"/>
    </w:pPr>
    <w:r>
      <w:t>Progress towards the Sustainable Development Goals (SDGs)</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HeaderTitleRight"/>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SectionTitle"/>
    </w:pPr>
    <w:r>
      <w:t>References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SectionTitle"/>
    </w:pPr>
    <w:r>
      <w:t>Contents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A8765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HeaderTitleRight"/>
    </w:pPr>
    <w:r>
      <w:t>Executive summary</w:t>
    </w:r>
  </w:p>
  <w:p w:rsidR="00A8765D" w:rsidRDefault="00A8765D">
    <w:pPr>
      <w:pStyle w:val="HeaderSubtitleRight3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65D" w:rsidRDefault="006C09F5">
    <w:pPr>
      <w:pStyle w:val="SectionTitle"/>
    </w:pPr>
    <w:r>
      <w:t>Executive summary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FCE5D4D"/>
    <w:multiLevelType w:val="singleLevel"/>
    <w:tmpl w:val="B94E98DA"/>
    <w:name w:val="Normal Numbered"/>
    <w:lvl w:ilvl="0">
      <w:start w:val="1"/>
      <w:numFmt w:val="decimal"/>
      <w:lvlRestart w:val="0"/>
      <w:pStyle w:val="NormalNumbered"/>
      <w:lvlText w:val="%1."/>
      <w:lvlJc w:val="left"/>
      <w:pPr>
        <w:tabs>
          <w:tab w:val="num" w:pos="369"/>
        </w:tabs>
        <w:ind w:left="0" w:firstLine="0"/>
      </w:pPr>
      <w:rPr>
        <w:b/>
      </w:rPr>
    </w:lvl>
  </w:abstractNum>
  <w:abstractNum w:abstractNumId="1" w15:restartNumberingAfterBreak="0">
    <w:nsid w:val="FFFFFF7C"/>
    <w:multiLevelType w:val="singleLevel"/>
    <w:tmpl w:val="2604E0E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C3A47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7BAB82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0BA49C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21E155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302B75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B4AFD3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224DD7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42285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922298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A2589B"/>
    <w:multiLevelType w:val="multilevel"/>
    <w:tmpl w:val="DEA298EE"/>
    <w:name w:val="Heading"/>
    <w:lvl w:ilvl="0">
      <w:start w:val="1"/>
      <w:numFmt w:val="decimal"/>
      <w:lvlRestart w:val="0"/>
      <w:lvlText w:val="3.4.%1."/>
      <w:lvlJc w:val="left"/>
      <w:pPr>
        <w:tabs>
          <w:tab w:val="num" w:pos="567"/>
        </w:tabs>
        <w:ind w:left="567" w:hanging="567"/>
      </w:pPr>
    </w:lvl>
    <w:lvl w:ilvl="1">
      <w:start w:val="1"/>
      <w:numFmt w:val="decimal"/>
      <w:lvlText w:val="3.4.%1.%2."/>
      <w:lvlJc w:val="left"/>
      <w:pPr>
        <w:tabs>
          <w:tab w:val="num" w:pos="567"/>
        </w:tabs>
        <w:ind w:left="567" w:hanging="567"/>
      </w:pPr>
    </w:lvl>
    <w:lvl w:ilvl="2">
      <w:start w:val="1"/>
      <w:numFmt w:val="decimal"/>
      <w:lvlText w:val="3.4.%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EB36AF"/>
    <w:multiLevelType w:val="singleLevel"/>
    <w:tmpl w:val="96445E22"/>
    <w:name w:val="List Bullet"/>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13" w15:restartNumberingAfterBreak="0">
    <w:nsid w:val="4A073332"/>
    <w:multiLevelType w:val="hybridMultilevel"/>
    <w:tmpl w:val="7BEC83E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54F620F6"/>
    <w:multiLevelType w:val="singleLevel"/>
    <w:tmpl w:val="010ECA8C"/>
    <w:name w:val="List Dash"/>
    <w:lvl w:ilvl="0">
      <w:start w:val="1"/>
      <w:numFmt w:val="bullet"/>
      <w:lvlRestart w:val="0"/>
      <w:pStyle w:val="ListDash"/>
      <w:lvlText w:val=""/>
      <w:lvlJc w:val="left"/>
      <w:pPr>
        <w:tabs>
          <w:tab w:val="num" w:pos="283"/>
        </w:tabs>
        <w:ind w:left="283" w:hanging="283"/>
      </w:pPr>
      <w:rPr>
        <w:rFonts w:ascii="Symbol" w:hAnsi="Symbol" w:hint="default"/>
      </w:rPr>
    </w:lvl>
  </w:abstractNum>
  <w:abstractNum w:abstractNumId="15" w15:restartNumberingAfterBreak="0">
    <w:nsid w:val="5715017F"/>
    <w:multiLevelType w:val="hybridMultilevel"/>
    <w:tmpl w:val="51E6642E"/>
    <w:lvl w:ilvl="0" w:tplc="0E92691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B563AB"/>
    <w:multiLevelType w:val="hybridMultilevel"/>
    <w:tmpl w:val="172686C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 w15:restartNumberingAfterBreak="0">
    <w:nsid w:val="7E4D2A11"/>
    <w:multiLevelType w:val="singleLevel"/>
    <w:tmpl w:val="B612535E"/>
    <w:name w:val="Numbered List"/>
    <w:lvl w:ilvl="0">
      <w:start w:val="1"/>
      <w:numFmt w:val="decimal"/>
      <w:lvlRestart w:val="0"/>
      <w:pStyle w:val="NumberedList"/>
      <w:lvlText w:val="%1."/>
      <w:lvlJc w:val="left"/>
      <w:pPr>
        <w:tabs>
          <w:tab w:val="num" w:pos="340"/>
        </w:tabs>
        <w:ind w:left="340" w:hanging="340"/>
      </w:pPr>
    </w:lvl>
  </w:abstractNum>
  <w:num w:numId="1">
    <w:abstractNumId w:val="10"/>
  </w:num>
  <w:num w:numId="2">
    <w:abstractNumId w:val="17"/>
  </w:num>
  <w:num w:numId="3">
    <w:abstractNumId w:val="0"/>
  </w:num>
  <w:num w:numId="4">
    <w:abstractNumId w:val="12"/>
  </w:num>
  <w:num w:numId="5">
    <w:abstractNumId w:val="14"/>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11"/>
  </w:num>
  <w:num w:numId="16">
    <w:abstractNumId w:val="13"/>
  </w:num>
  <w:num w:numId="17">
    <w:abstractNumId w:val="1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revisionView w:markup="0"/>
  <w:defaultTabStop w:val="720"/>
  <w:hyphenationZone w:val="425"/>
  <w:characterSpacingControl w:val="doNotCompress"/>
  <w:hdrShapeDefaults>
    <o:shapedefaults v:ext="edit" spidmax="103425"/>
  </w:hdrShapeDefaults>
  <w:footnotePr>
    <w:pos w:val="beneathText"/>
    <w:footnote w:id="-1"/>
    <w:footnote w:id="0"/>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3AF7AECD-CD7F-4FD9-AC2D-6C2EF64C2C5A"/>
    <w:docVar w:name="LW_COVERPAGE_TYPE" w:val="1"/>
    <w:docVar w:name="LW_CROSSREFERENCE" w:val="{COM(2020) 150 final}"/>
    <w:docVar w:name="LW_DocType" w:val="NORMAL"/>
    <w:docVar w:name="LW_EMISSION" w:val="26.2.2020"/>
    <w:docVar w:name="LW_EMISSION_ISODATE" w:val="2020-02-26"/>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2020 European Semester: Assessment of progress on structural reforms, prevention and correction of macroeconomic imbalances, and results of in-depth reviews under Regulation (EU) No 1176/2011"/>
    <w:docVar w:name="LW_PART_NBR" w:val="1"/>
    <w:docVar w:name="LW_PART_NBR_TOTAL" w:val="1"/>
    <w:docVar w:name="LW_REF.INST.NEW" w:val="SWD"/>
    <w:docVar w:name="LW_REF.INST.NEW_ADOPTED" w:val="final"/>
    <w:docVar w:name="LW_REF.INST.NEW_TEXT" w:val="(2020) 51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Country Report Latvia 2020"/>
    <w:docVar w:name="LW_TYPE.DOC.CP" w:val="COMMISSION STAFF WORKING DOCUMENT"/>
    <w:docVar w:name="LW_TYPEACTEPRINCIPAL.CP" w:val="COMMUNICATION FROM THE COMMISSION TO THE EUROPEAN PARLIAMENT, THE EUROPEAN COUNCIL, THE COUNCIL, THE EUROPEAN CENTRAL BANK AND THE EUROGROUP"/>
  </w:docVars>
  <w:rsids>
    <w:rsidRoot w:val="00A8765D"/>
    <w:rsid w:val="006C09F5"/>
    <w:rsid w:val="00A876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25"/>
    <o:shapelayout v:ext="edit">
      <o:idmap v:ext="edit" data="1"/>
    </o:shapelayout>
  </w:shapeDefaults>
  <w:decimalSymbol w:val=","/>
  <w:listSeparator w:val=";"/>
  <w15:docId w15:val="{0D56248D-B9E9-4CA3-8ADC-521B430A9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n,o,f,Footnote Text Char1,fu"/>
    <w:basedOn w:val="Normal"/>
    <w:link w:val="FootnoteTextChar"/>
    <w:uiPriority w:val="99"/>
    <w:unhideWhenUsed/>
    <w:qFormat/>
    <w:pPr>
      <w:spacing w:after="0" w:line="240" w:lineRule="auto"/>
      <w:ind w:left="283" w:hanging="283"/>
      <w:jc w:val="both"/>
    </w:pPr>
    <w:rPr>
      <w:rFonts w:ascii="Times New Roman" w:hAnsi="Times New Roman" w:cs="Times New Roman"/>
      <w:color w:val="000000"/>
      <w:sz w:val="16"/>
      <w:szCs w:val="20"/>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basedOn w:val="DefaultParagraphFont"/>
    <w:link w:val="FootnoteText"/>
    <w:uiPriority w:val="99"/>
    <w:qFormat/>
    <w:rPr>
      <w:rFonts w:ascii="Times New Roman" w:hAnsi="Times New Roman" w:cs="Times New Roman"/>
      <w:color w:val="000000"/>
      <w:sz w:val="16"/>
      <w:szCs w:val="20"/>
    </w:rPr>
  </w:style>
  <w:style w:type="paragraph" w:styleId="EndnoteText">
    <w:name w:val="endnote text"/>
    <w:basedOn w:val="Normal"/>
    <w:link w:val="EndnoteTextChar"/>
    <w:uiPriority w:val="99"/>
    <w:semiHidden/>
    <w:unhideWhenUsed/>
    <w:pPr>
      <w:spacing w:after="0" w:line="240" w:lineRule="auto"/>
      <w:ind w:left="283" w:hanging="283"/>
      <w:jc w:val="both"/>
    </w:pPr>
    <w:rPr>
      <w:rFonts w:ascii="Times New Roman" w:hAnsi="Times New Roman" w:cs="Times New Roman"/>
      <w:color w:val="000000"/>
      <w:sz w:val="16"/>
      <w:szCs w:val="20"/>
    </w:rPr>
  </w:style>
  <w:style w:type="character" w:customStyle="1" w:styleId="EndnoteTextChar">
    <w:name w:val="Endnote Text Char"/>
    <w:basedOn w:val="DefaultParagraphFont"/>
    <w:link w:val="EndnoteText"/>
    <w:uiPriority w:val="99"/>
    <w:semiHidden/>
    <w:rPr>
      <w:rFonts w:ascii="Times New Roman" w:hAnsi="Times New Roman" w:cs="Times New Roman"/>
      <w:color w:val="000000"/>
      <w:sz w:val="16"/>
      <w:szCs w:val="20"/>
    </w:rPr>
  </w:style>
  <w:style w:type="paragraph" w:styleId="ListBullet">
    <w:name w:val="List Bullet"/>
    <w:basedOn w:val="Normal"/>
    <w:uiPriority w:val="99"/>
    <w:unhideWhenUsed/>
    <w:pPr>
      <w:numPr>
        <w:numId w:val="4"/>
      </w:numPr>
      <w:spacing w:after="240" w:line="240" w:lineRule="atLeast"/>
      <w:jc w:val="both"/>
    </w:pPr>
    <w:rPr>
      <w:rFonts w:ascii="Times New Roman" w:hAnsi="Times New Roman" w:cs="Times New Roman"/>
      <w:color w:val="000000"/>
      <w:sz w:val="20"/>
    </w:rPr>
  </w:style>
  <w:style w:type="paragraph" w:styleId="Footer">
    <w:name w:val="footer"/>
    <w:basedOn w:val="Normal"/>
    <w:next w:val="Normal"/>
    <w:link w:val="FooterChar"/>
    <w:uiPriority w:val="99"/>
    <w:unhideWhenUsed/>
    <w:pPr>
      <w:spacing w:after="0" w:line="240" w:lineRule="auto"/>
    </w:pPr>
    <w:rPr>
      <w:rFonts w:ascii="Times New Roman" w:hAnsi="Times New Roman" w:cs="Times New Roman"/>
      <w:color w:val="000000"/>
      <w:sz w:val="20"/>
    </w:rPr>
  </w:style>
  <w:style w:type="character" w:customStyle="1" w:styleId="FooterChar">
    <w:name w:val="Footer Char"/>
    <w:basedOn w:val="DefaultParagraphFont"/>
    <w:link w:val="Footer"/>
    <w:uiPriority w:val="99"/>
    <w:rPr>
      <w:rFonts w:ascii="Times New Roman" w:hAnsi="Times New Roman" w:cs="Times New Roman"/>
      <w:color w:val="000000"/>
      <w:sz w:val="20"/>
    </w:rPr>
  </w:style>
  <w:style w:type="paragraph" w:styleId="TOC1">
    <w:name w:val="toc 1"/>
    <w:basedOn w:val="Normal"/>
    <w:next w:val="TOC2"/>
    <w:uiPriority w:val="39"/>
    <w:semiHidden/>
    <w:unhideWhenUsed/>
    <w:pPr>
      <w:keepNext/>
      <w:keepLines/>
      <w:tabs>
        <w:tab w:val="right" w:pos="8504"/>
      </w:tabs>
      <w:spacing w:before="360" w:after="120" w:line="300" w:lineRule="atLeast"/>
      <w:ind w:right="425"/>
    </w:pPr>
    <w:rPr>
      <w:rFonts w:ascii="Century Gothic" w:hAnsi="Century Gothic" w:cs="Times New Roman"/>
      <w:color w:val="333399"/>
      <w:sz w:val="24"/>
    </w:rPr>
  </w:style>
  <w:style w:type="paragraph" w:styleId="TOC2">
    <w:name w:val="toc 2"/>
    <w:basedOn w:val="Normal"/>
    <w:uiPriority w:val="39"/>
    <w:unhideWhenUsed/>
    <w:pPr>
      <w:keepLines/>
      <w:tabs>
        <w:tab w:val="left" w:pos="482"/>
        <w:tab w:val="right" w:pos="8504"/>
      </w:tabs>
      <w:spacing w:before="240" w:after="120" w:line="300" w:lineRule="atLeast"/>
      <w:ind w:left="482" w:right="425" w:hanging="482"/>
    </w:pPr>
    <w:rPr>
      <w:rFonts w:ascii="Century Gothic" w:hAnsi="Century Gothic" w:cs="Times New Roman"/>
      <w:color w:val="333399"/>
      <w:sz w:val="20"/>
    </w:rPr>
  </w:style>
  <w:style w:type="paragraph" w:styleId="TOC3">
    <w:name w:val="toc 3"/>
    <w:basedOn w:val="Normal"/>
    <w:uiPriority w:val="39"/>
    <w:unhideWhenUsed/>
    <w:pPr>
      <w:keepLines/>
      <w:tabs>
        <w:tab w:val="left" w:pos="964"/>
        <w:tab w:val="right" w:pos="8504"/>
      </w:tabs>
      <w:spacing w:after="0" w:line="300" w:lineRule="atLeast"/>
      <w:ind w:left="964" w:right="425" w:hanging="482"/>
    </w:pPr>
    <w:rPr>
      <w:rFonts w:ascii="Century Gothic" w:hAnsi="Century Gothic" w:cs="Times New Roman"/>
      <w:color w:val="000000"/>
      <w:sz w:val="16"/>
    </w:rPr>
  </w:style>
  <w:style w:type="paragraph" w:styleId="TOC5">
    <w:name w:val="toc 5"/>
    <w:basedOn w:val="Normal"/>
    <w:uiPriority w:val="39"/>
    <w:unhideWhenUsed/>
    <w:pPr>
      <w:keepLines/>
      <w:tabs>
        <w:tab w:val="left" w:pos="1077"/>
        <w:tab w:val="left" w:pos="1191"/>
        <w:tab w:val="right" w:pos="8504"/>
      </w:tabs>
      <w:spacing w:after="0" w:line="300" w:lineRule="atLeast"/>
      <w:ind w:left="1077" w:right="425" w:hanging="595"/>
    </w:pPr>
    <w:rPr>
      <w:rFonts w:ascii="Century Gothic" w:hAnsi="Century Gothic" w:cs="Times New Roman"/>
      <w:color w:val="333399"/>
      <w:sz w:val="16"/>
    </w:rPr>
  </w:style>
  <w:style w:type="paragraph" w:styleId="TOC7">
    <w:name w:val="toc 7"/>
    <w:basedOn w:val="Normal"/>
    <w:uiPriority w:val="39"/>
    <w:unhideWhenUsed/>
    <w:pPr>
      <w:keepNext/>
      <w:keepLines/>
      <w:tabs>
        <w:tab w:val="right" w:pos="8504"/>
      </w:tabs>
      <w:spacing w:before="360" w:after="120" w:line="300" w:lineRule="atLeast"/>
      <w:ind w:left="482" w:right="425" w:hanging="482"/>
    </w:pPr>
    <w:rPr>
      <w:rFonts w:ascii="Century Gothic" w:hAnsi="Century Gothic" w:cs="Times New Roman"/>
      <w:color w:val="333399"/>
      <w:sz w:val="20"/>
    </w:rPr>
  </w:style>
  <w:style w:type="paragraph" w:styleId="TOC6">
    <w:name w:val="toc 6"/>
    <w:basedOn w:val="Normal"/>
    <w:uiPriority w:val="39"/>
    <w:semiHidden/>
    <w:unhideWhenUsed/>
    <w:pPr>
      <w:keepLines/>
      <w:tabs>
        <w:tab w:val="right" w:pos="8504"/>
      </w:tabs>
      <w:spacing w:after="0" w:line="300" w:lineRule="atLeast"/>
      <w:ind w:right="425"/>
    </w:pPr>
    <w:rPr>
      <w:rFonts w:ascii="Century Gothic" w:hAnsi="Century Gothic" w:cs="Times New Roman"/>
      <w:color w:val="333399"/>
      <w:sz w:val="20"/>
    </w:rPr>
  </w:style>
  <w:style w:type="paragraph" w:customStyle="1" w:styleId="NormalCompact">
    <w:name w:val="Normal Compact"/>
    <w:basedOn w:val="Normal"/>
    <w:pPr>
      <w:spacing w:after="0" w:line="240" w:lineRule="atLeast"/>
      <w:jc w:val="both"/>
    </w:pPr>
    <w:rPr>
      <w:rFonts w:ascii="Times New Roman" w:hAnsi="Times New Roman" w:cs="Times New Roman"/>
      <w:color w:val="000000"/>
      <w:sz w:val="20"/>
    </w:r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spacing w:after="240" w:line="240" w:lineRule="atLeast"/>
      <w:ind w:left="113" w:right="113"/>
      <w:jc w:val="both"/>
    </w:pPr>
    <w:rPr>
      <w:rFonts w:ascii="Times New Roman" w:hAnsi="Times New Roman" w:cs="Times New Roman"/>
      <w:color w:val="000000"/>
      <w:sz w:val="20"/>
    </w:rPr>
  </w:style>
  <w:style w:type="paragraph" w:customStyle="1" w:styleId="NormalLeft">
    <w:name w:val="Normal Left"/>
    <w:basedOn w:val="Normal"/>
    <w:pPr>
      <w:spacing w:after="240" w:line="240" w:lineRule="atLeast"/>
    </w:pPr>
    <w:rPr>
      <w:rFonts w:ascii="Times New Roman" w:hAnsi="Times New Roman" w:cs="Times New Roman"/>
      <w:color w:val="000000"/>
      <w:sz w:val="20"/>
    </w:rPr>
  </w:style>
  <w:style w:type="paragraph" w:customStyle="1" w:styleId="NormalRight">
    <w:name w:val="Normal Right"/>
    <w:basedOn w:val="Normal"/>
    <w:pPr>
      <w:spacing w:after="240" w:line="240" w:lineRule="atLeast"/>
      <w:jc w:val="right"/>
    </w:pPr>
    <w:rPr>
      <w:rFonts w:ascii="Times New Roman" w:hAnsi="Times New Roman" w:cs="Times New Roman"/>
      <w:color w:val="000000"/>
      <w:sz w:val="20"/>
    </w:rPr>
  </w:style>
  <w:style w:type="paragraph" w:customStyle="1" w:styleId="NormalCentered">
    <w:name w:val="Normal Centered"/>
    <w:basedOn w:val="Normal"/>
    <w:pPr>
      <w:spacing w:after="240" w:line="240" w:lineRule="atLeast"/>
      <w:jc w:val="center"/>
    </w:pPr>
    <w:rPr>
      <w:rFonts w:ascii="Times New Roman" w:hAnsi="Times New Roman" w:cs="Times New Roman"/>
      <w:color w:val="000000"/>
      <w:sz w:val="20"/>
    </w:rPr>
  </w:style>
  <w:style w:type="paragraph" w:customStyle="1" w:styleId="NormalNumbered">
    <w:name w:val="Normal Numbered"/>
    <w:basedOn w:val="Normal"/>
    <w:pPr>
      <w:numPr>
        <w:numId w:val="3"/>
      </w:numPr>
      <w:spacing w:after="240" w:line="240" w:lineRule="atLeast"/>
      <w:jc w:val="both"/>
    </w:pPr>
    <w:rPr>
      <w:rFonts w:ascii="Times New Roman" w:hAnsi="Times New Roman" w:cs="Times New Roman"/>
      <w:color w:val="000000"/>
      <w:sz w:val="20"/>
    </w:rPr>
  </w:style>
  <w:style w:type="character" w:styleId="FootnoteReference">
    <w:name w:val="footnote reference"/>
    <w:aliases w:val="Footnote,Footnote symbol,Footnote Reference Number,Char1,Ref,de nota al pie,Footnote reference number,Times 10 Point,Exposant 3 Point,EN Footnote Reference,note TESI,SUPERS,Nota,Footnote number,EN Footnote text,E...,16 Point,fr,numb,E"/>
    <w:basedOn w:val="DefaultParagraphFont"/>
    <w:link w:val="FootnotesymbolCarZchn"/>
    <w:uiPriority w:val="99"/>
    <w:unhideWhenUsed/>
    <w:qFormat/>
    <w:rPr>
      <w:vertAlign w:val="superscript"/>
    </w:rPr>
  </w:style>
  <w:style w:type="character" w:styleId="EndnoteReference">
    <w:name w:val="endnote reference"/>
    <w:basedOn w:val="DefaultParagraphFont"/>
    <w:uiPriority w:val="99"/>
    <w:semiHidden/>
    <w:unhideWhenUsed/>
    <w:rPr>
      <w:shd w:val="clear" w:color="auto" w:fill="auto"/>
      <w:vertAlign w:val="superscript"/>
    </w:rPr>
  </w:style>
  <w:style w:type="paragraph" w:customStyle="1" w:styleId="SideNote">
    <w:name w:val="Side Note"/>
    <w:basedOn w:val="Normal"/>
    <w:next w:val="Normal"/>
    <w:pPr>
      <w:keepNext/>
      <w:framePr w:w="1701" w:h="567" w:hSpace="227" w:wrap="around" w:vAnchor="text" w:hAnchor="page" w:xAlign="outside" w:y="1"/>
      <w:spacing w:line="240" w:lineRule="auto"/>
    </w:pPr>
    <w:rPr>
      <w:rFonts w:ascii="Century Gothic" w:hAnsi="Century Gothic" w:cs="Times New Roman"/>
      <w:color w:val="333399"/>
      <w:sz w:val="14"/>
    </w:rPr>
  </w:style>
  <w:style w:type="paragraph" w:customStyle="1" w:styleId="SubsectionTitle">
    <w:name w:val="Subsection Title"/>
    <w:basedOn w:val="Normal"/>
    <w:next w:val="Normal"/>
    <w:pPr>
      <w:keepNext/>
      <w:pageBreakBefore/>
      <w:spacing w:before="240" w:after="240" w:line="240" w:lineRule="atLeast"/>
      <w:ind w:left="567" w:hanging="567"/>
      <w:jc w:val="both"/>
      <w:outlineLvl w:val="2"/>
    </w:pPr>
    <w:rPr>
      <w:rFonts w:ascii="Century Gothic" w:hAnsi="Century Gothic" w:cs="Times New Roman"/>
      <w:b/>
      <w:caps/>
      <w:color w:val="333399"/>
      <w:sz w:val="18"/>
    </w:rPr>
  </w:style>
  <w:style w:type="paragraph" w:customStyle="1" w:styleId="NumberedList">
    <w:name w:val="Numbered List"/>
    <w:basedOn w:val="Normal"/>
    <w:pPr>
      <w:numPr>
        <w:numId w:val="2"/>
      </w:numPr>
      <w:spacing w:after="240" w:line="240" w:lineRule="atLeast"/>
      <w:jc w:val="both"/>
    </w:pPr>
    <w:rPr>
      <w:rFonts w:ascii="Times New Roman" w:hAnsi="Times New Roman" w:cs="Times New Roman"/>
      <w:color w:val="000000"/>
      <w:sz w:val="20"/>
    </w:rPr>
  </w:style>
  <w:style w:type="paragraph" w:customStyle="1" w:styleId="Heading">
    <w:name w:val="Heading"/>
    <w:basedOn w:val="Normal"/>
    <w:next w:val="Normal"/>
    <w:link w:val="HeadingChar"/>
    <w:pPr>
      <w:keepNext/>
      <w:spacing w:before="120" w:after="120" w:line="240" w:lineRule="atLeast"/>
      <w:jc w:val="both"/>
    </w:pPr>
    <w:rPr>
      <w:rFonts w:ascii="Century Gothic" w:hAnsi="Century Gothic" w:cs="Times New Roman"/>
      <w:b/>
      <w:color w:val="333399"/>
      <w:sz w:val="18"/>
    </w:rPr>
  </w:style>
  <w:style w:type="paragraph" w:customStyle="1" w:styleId="NumberedHeading1">
    <w:name w:val="Numbered Heading 1"/>
    <w:basedOn w:val="Normal"/>
    <w:next w:val="Normal"/>
    <w:link w:val="NumberedHeading1Char"/>
    <w:pPr>
      <w:keepNext/>
      <w:spacing w:before="240" w:after="240" w:line="240" w:lineRule="atLeast"/>
      <w:ind w:left="567" w:hanging="567"/>
      <w:outlineLvl w:val="2"/>
    </w:pPr>
    <w:rPr>
      <w:rFonts w:ascii="Century Gothic" w:hAnsi="Century Gothic" w:cs="Times New Roman"/>
      <w:b/>
      <w:caps/>
      <w:color w:val="333399"/>
      <w:sz w:val="18"/>
    </w:rPr>
  </w:style>
  <w:style w:type="paragraph" w:customStyle="1" w:styleId="NumberedHeading2">
    <w:name w:val="Numbered Heading 2"/>
    <w:basedOn w:val="Normal"/>
    <w:next w:val="Normal"/>
    <w:pPr>
      <w:keepNext/>
      <w:spacing w:before="80" w:after="160" w:line="240" w:lineRule="atLeast"/>
      <w:ind w:left="567" w:hanging="567"/>
      <w:outlineLvl w:val="3"/>
    </w:pPr>
    <w:rPr>
      <w:rFonts w:ascii="Century Gothic" w:hAnsi="Century Gothic" w:cs="Times New Roman"/>
      <w:color w:val="333399"/>
      <w:sz w:val="18"/>
    </w:rPr>
  </w:style>
  <w:style w:type="paragraph" w:customStyle="1" w:styleId="NumberedHeading3">
    <w:name w:val="Numbered Heading 3"/>
    <w:basedOn w:val="Normal"/>
    <w:next w:val="Normal"/>
    <w:pPr>
      <w:keepNext/>
      <w:spacing w:before="80" w:after="160" w:line="240" w:lineRule="atLeast"/>
      <w:ind w:left="709" w:hanging="709"/>
      <w:outlineLvl w:val="3"/>
    </w:pPr>
    <w:rPr>
      <w:rFonts w:ascii="Century Gothic" w:hAnsi="Century Gothic" w:cs="Times New Roman"/>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5"/>
      </w:numPr>
      <w:spacing w:after="240" w:line="240" w:lineRule="atLeast"/>
      <w:jc w:val="both"/>
    </w:pPr>
    <w:rPr>
      <w:rFonts w:ascii="Times New Roman" w:hAnsi="Times New Roman" w:cs="Times New Roman"/>
      <w:color w:val="000000"/>
      <w:sz w:val="20"/>
    </w:rPr>
  </w:style>
  <w:style w:type="paragraph" w:customStyle="1" w:styleId="ChapterName">
    <w:name w:val="Chapter Name"/>
    <w:basedOn w:val="Normal"/>
    <w:next w:val="Normal"/>
    <w:pPr>
      <w:spacing w:before="1080" w:after="240" w:line="240" w:lineRule="auto"/>
    </w:pPr>
    <w:rPr>
      <w:rFonts w:ascii="Times New Roman" w:hAnsi="Times New Roman" w:cs="Times New Roman"/>
      <w:b/>
      <w:color w:val="808080"/>
      <w:sz w:val="72"/>
    </w:rPr>
  </w:style>
  <w:style w:type="paragraph" w:customStyle="1" w:styleId="ChapterTitle">
    <w:name w:val="Chapter Title"/>
    <w:basedOn w:val="Normal"/>
    <w:next w:val="Normal"/>
    <w:pPr>
      <w:spacing w:after="240" w:line="240" w:lineRule="auto"/>
    </w:pPr>
    <w:rPr>
      <w:rFonts w:ascii="Century Gothic" w:hAnsi="Century Gothic" w:cs="Times New Roman"/>
      <w:color w:val="333399"/>
      <w:sz w:val="36"/>
    </w:rPr>
  </w:style>
  <w:style w:type="paragraph" w:customStyle="1" w:styleId="SectionTitle">
    <w:name w:val="Section Title"/>
    <w:basedOn w:val="Normal"/>
    <w:next w:val="SectionSubtitle"/>
    <w:pPr>
      <w:keepNext/>
      <w:tabs>
        <w:tab w:val="left" w:pos="737"/>
      </w:tabs>
      <w:spacing w:before="1080" w:after="240" w:line="240" w:lineRule="auto"/>
      <w:ind w:left="737" w:hanging="737"/>
    </w:pPr>
    <w:rPr>
      <w:rFonts w:ascii="Century Gothic" w:hAnsi="Century Gothic" w:cs="Times New Roman"/>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pPr>
    <w:rPr>
      <w:rFonts w:ascii="Century Gothic" w:hAnsi="Century Gothic" w:cs="Times New Roman"/>
      <w:caps/>
      <w:color w:val="333399"/>
      <w:sz w:val="28"/>
    </w:rPr>
  </w:style>
  <w:style w:type="paragraph" w:customStyle="1" w:styleId="SectionSubtitle">
    <w:name w:val="Section Subtitle"/>
    <w:basedOn w:val="Normal"/>
    <w:next w:val="Normal"/>
    <w:pPr>
      <w:tabs>
        <w:tab w:val="left" w:pos="737"/>
      </w:tabs>
      <w:spacing w:after="360" w:line="240" w:lineRule="auto"/>
      <w:ind w:left="737" w:hanging="737"/>
    </w:pPr>
    <w:rPr>
      <w:rFonts w:ascii="Century Gothic" w:hAnsi="Century Gothic" w:cs="Times New Roman"/>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jc w:val="both"/>
    </w:pPr>
    <w:rPr>
      <w:rFonts w:ascii="Century Gothic" w:hAnsi="Century Gothic" w:cs="Times New Roman"/>
      <w:color w:val="333399"/>
      <w:sz w:val="14"/>
    </w:rPr>
  </w:style>
  <w:style w:type="paragraph" w:customStyle="1" w:styleId="HeaderSubtitleLeft">
    <w:name w:val="Header Subtitle Left"/>
    <w:basedOn w:val="Normal"/>
    <w:next w:val="Normal"/>
    <w:pPr>
      <w:tabs>
        <w:tab w:val="right" w:pos="8220"/>
      </w:tabs>
      <w:spacing w:after="0" w:line="240" w:lineRule="auto"/>
      <w:ind w:left="-850"/>
      <w:jc w:val="both"/>
    </w:pPr>
    <w:rPr>
      <w:rFonts w:ascii="Century Gothic" w:hAnsi="Century Gothic" w:cs="Times New Roman"/>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s="Times New Roman"/>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s="Times New Roman"/>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s="Times New Roman"/>
      <w:color w:val="333399"/>
      <w:sz w:val="18"/>
    </w:rPr>
  </w:style>
  <w:style w:type="paragraph" w:customStyle="1" w:styleId="AnnexTitle">
    <w:name w:val="Annex Title"/>
    <w:basedOn w:val="Normal"/>
    <w:pPr>
      <w:spacing w:before="120" w:after="120" w:line="240" w:lineRule="auto"/>
    </w:pPr>
    <w:rPr>
      <w:rFonts w:ascii="Century Gothic" w:hAnsi="Century Gothic" w:cs="Times New Roman"/>
      <w:color w:val="333399"/>
      <w:sz w:val="28"/>
    </w:rPr>
  </w:style>
  <w:style w:type="paragraph" w:customStyle="1" w:styleId="PublicationTitle">
    <w:name w:val="Publication Title"/>
    <w:basedOn w:val="Normal"/>
    <w:next w:val="Normal"/>
    <w:pPr>
      <w:spacing w:after="240" w:line="240" w:lineRule="auto"/>
    </w:pPr>
    <w:rPr>
      <w:rFonts w:ascii="Georgia" w:hAnsi="Georgia" w:cs="Times New Roman"/>
      <w:color w:val="333399"/>
      <w:sz w:val="48"/>
    </w:rPr>
  </w:style>
  <w:style w:type="paragraph" w:customStyle="1" w:styleId="PublicationSubtitle">
    <w:name w:val="Publication Subtitle"/>
    <w:basedOn w:val="Normal"/>
    <w:next w:val="Normal"/>
    <w:pPr>
      <w:spacing w:after="240" w:line="240" w:lineRule="auto"/>
    </w:pPr>
    <w:rPr>
      <w:rFonts w:ascii="Century Gothic" w:hAnsi="Century Gothic" w:cs="Times New Roman"/>
      <w:color w:val="000000"/>
      <w:sz w:val="32"/>
    </w:rPr>
  </w:style>
  <w:style w:type="paragraph" w:customStyle="1" w:styleId="Series">
    <w:name w:val="Series"/>
    <w:basedOn w:val="Normal"/>
    <w:next w:val="Normal"/>
    <w:pPr>
      <w:tabs>
        <w:tab w:val="right" w:pos="8787"/>
      </w:tabs>
      <w:spacing w:before="6240" w:after="240" w:line="240" w:lineRule="auto"/>
    </w:pPr>
    <w:rPr>
      <w:rFonts w:ascii="Century Gothic" w:hAnsi="Century Gothic" w:cs="Times New Roman"/>
      <w:color w:val="333399"/>
      <w:sz w:val="20"/>
    </w:rPr>
  </w:style>
  <w:style w:type="paragraph" w:customStyle="1" w:styleId="Institution">
    <w:name w:val="Institution"/>
    <w:basedOn w:val="Normal"/>
    <w:next w:val="Normal"/>
    <w:pPr>
      <w:spacing w:after="120" w:line="240" w:lineRule="auto"/>
    </w:pPr>
    <w:rPr>
      <w:rFonts w:ascii="Century Gothic" w:hAnsi="Century Gothic" w:cs="Times New Roman"/>
      <w:color w:val="000000"/>
      <w:sz w:val="24"/>
    </w:rPr>
  </w:style>
  <w:style w:type="paragraph" w:customStyle="1" w:styleId="InstitutionSubtitle">
    <w:name w:val="Institution Subtitle"/>
    <w:basedOn w:val="Normal"/>
    <w:next w:val="Normal"/>
    <w:pPr>
      <w:spacing w:after="240" w:line="240" w:lineRule="auto"/>
    </w:pPr>
    <w:rPr>
      <w:rFonts w:ascii="Century Gothic" w:hAnsi="Century Gothic" w:cs="Times New Roman"/>
      <w:color w:val="000000"/>
      <w:sz w:val="20"/>
    </w:rPr>
  </w:style>
  <w:style w:type="paragraph" w:customStyle="1" w:styleId="PartTitle">
    <w:name w:val="Part Title"/>
    <w:basedOn w:val="Normal"/>
    <w:next w:val="Normal"/>
    <w:pPr>
      <w:spacing w:before="1080" w:after="240" w:line="240" w:lineRule="auto"/>
    </w:pPr>
    <w:rPr>
      <w:rFonts w:ascii="Georgia" w:hAnsi="Georgia" w:cs="Times New Roman"/>
      <w:color w:val="333399"/>
      <w:sz w:val="40"/>
    </w:rPr>
  </w:style>
  <w:style w:type="paragraph" w:customStyle="1" w:styleId="PartSubtitle">
    <w:name w:val="Part Subtitle"/>
    <w:basedOn w:val="Normal"/>
    <w:next w:val="Normal"/>
    <w:pPr>
      <w:spacing w:after="240" w:line="240" w:lineRule="auto"/>
    </w:pPr>
    <w:rPr>
      <w:rFonts w:ascii="Georgia" w:hAnsi="Georgia" w:cs="Times New Roman"/>
      <w:color w:val="333399"/>
      <w:sz w:val="32"/>
    </w:rPr>
  </w:style>
  <w:style w:type="character" w:customStyle="1" w:styleId="SectionNumber">
    <w:name w:val="Section Number"/>
    <w:basedOn w:val="DefaultParagraphFont"/>
    <w:rPr>
      <w:rFonts w:ascii="Times New Roman" w:hAnsi="Times New Roman" w:cs="Times New Roman"/>
      <w:b/>
      <w:color w:val="808080"/>
      <w:sz w:val="72"/>
      <w:shd w:val="clear" w:color="auto" w:fill="auto"/>
    </w:rPr>
  </w:style>
  <w:style w:type="paragraph" w:customStyle="1" w:styleId="HeaderTitleLeft30">
    <w:name w:val="Header Title Left (30)"/>
    <w:basedOn w:val="Normal"/>
    <w:next w:val="Normal"/>
    <w:pPr>
      <w:tabs>
        <w:tab w:val="right" w:pos="8504"/>
      </w:tabs>
      <w:spacing w:before="100" w:after="40" w:line="240" w:lineRule="auto"/>
      <w:ind w:left="-850"/>
      <w:jc w:val="both"/>
    </w:pPr>
    <w:rPr>
      <w:rFonts w:ascii="Century Gothic" w:hAnsi="Century Gothic" w:cs="Times New Roman"/>
      <w:color w:val="333399"/>
      <w:sz w:val="14"/>
    </w:rPr>
  </w:style>
  <w:style w:type="paragraph" w:customStyle="1" w:styleId="HeaderSubtitleLeft30">
    <w:name w:val="Header Subtitle Left (30)"/>
    <w:basedOn w:val="Normal"/>
    <w:next w:val="Normal"/>
    <w:pPr>
      <w:tabs>
        <w:tab w:val="right" w:pos="8504"/>
      </w:tabs>
      <w:spacing w:after="0" w:line="240" w:lineRule="auto"/>
      <w:ind w:left="-850"/>
      <w:jc w:val="both"/>
    </w:pPr>
    <w:rPr>
      <w:rFonts w:ascii="Century Gothic" w:hAnsi="Century Gothic" w:cs="Times New Roman"/>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s="Times New Roman"/>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s="Times New Roman"/>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s="Times New Roman"/>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s="Times New Roman"/>
      <w:color w:val="333399"/>
      <w:sz w:val="18"/>
    </w:rPr>
  </w:style>
  <w:style w:type="paragraph" w:customStyle="1" w:styleId="SectionTitlelarge">
    <w:name w:val="Section Title (large)"/>
    <w:basedOn w:val="Normal"/>
    <w:next w:val="SectionSubtitle"/>
    <w:pPr>
      <w:keepNext/>
      <w:spacing w:before="1080" w:after="240" w:line="240" w:lineRule="auto"/>
      <w:ind w:left="992" w:hanging="992"/>
    </w:pPr>
    <w:rPr>
      <w:rFonts w:ascii="Century Gothic" w:hAnsi="Century Gothic" w:cs="Times New Roman"/>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pPr>
    <w:rPr>
      <w:rFonts w:ascii="Century Gothic" w:hAnsi="Century Gothic" w:cs="Times New Roman"/>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pPr>
    <w:rPr>
      <w:rFonts w:ascii="Century Gothic" w:hAnsi="Century Gothic" w:cs="Times New Roman"/>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s="Times New Roman"/>
      <w:color w:val="333399"/>
      <w:sz w:val="14"/>
    </w:rPr>
  </w:style>
  <w:style w:type="paragraph" w:customStyle="1" w:styleId="PublicationSupertitle">
    <w:name w:val="Publication Supertitle"/>
    <w:basedOn w:val="Normal"/>
    <w:next w:val="Normal"/>
    <w:pPr>
      <w:spacing w:before="2640" w:after="240" w:line="240" w:lineRule="auto"/>
    </w:pPr>
    <w:rPr>
      <w:rFonts w:ascii="Georgia" w:hAnsi="Georgia" w:cs="Times New Roman"/>
      <w:color w:val="333399"/>
      <w:sz w:val="20"/>
    </w:rPr>
  </w:style>
  <w:style w:type="paragraph" w:customStyle="1" w:styleId="HeaderTitleLeft15">
    <w:name w:val="Header Title Left (15)"/>
    <w:basedOn w:val="Normal"/>
    <w:next w:val="Normal"/>
    <w:pPr>
      <w:tabs>
        <w:tab w:val="right" w:pos="9921"/>
      </w:tabs>
      <w:spacing w:before="100" w:after="40" w:line="240" w:lineRule="auto"/>
      <w:jc w:val="both"/>
    </w:pPr>
    <w:rPr>
      <w:rFonts w:ascii="Century Gothic" w:hAnsi="Century Gothic" w:cs="Times New Roman"/>
      <w:color w:val="333399"/>
      <w:sz w:val="14"/>
    </w:rPr>
  </w:style>
  <w:style w:type="paragraph" w:customStyle="1" w:styleId="HeaderSubtitleLeft15">
    <w:name w:val="Header Subtitle Left (15)"/>
    <w:basedOn w:val="Normal"/>
    <w:next w:val="Normal"/>
    <w:pPr>
      <w:tabs>
        <w:tab w:val="right" w:pos="9921"/>
      </w:tabs>
      <w:spacing w:after="0" w:line="240" w:lineRule="auto"/>
      <w:jc w:val="both"/>
    </w:pPr>
    <w:rPr>
      <w:rFonts w:ascii="Century Gothic" w:hAnsi="Century Gothic" w:cs="Times New Roman"/>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s="Times New Roman"/>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s="Times New Roman"/>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jc w:val="both"/>
    </w:pPr>
    <w:rPr>
      <w:rFonts w:ascii="Century Gothic" w:hAnsi="Century Gothic" w:cs="Times New Roman"/>
      <w:color w:val="333399"/>
      <w:sz w:val="14"/>
    </w:rPr>
  </w:style>
  <w:style w:type="paragraph" w:customStyle="1" w:styleId="HeaderSubtitleLeft45">
    <w:name w:val="Header Subtitle Left (45)"/>
    <w:basedOn w:val="Normal"/>
    <w:next w:val="Normal"/>
    <w:pPr>
      <w:tabs>
        <w:tab w:val="right" w:pos="8504"/>
      </w:tabs>
      <w:spacing w:after="0" w:line="240" w:lineRule="auto"/>
      <w:ind w:left="-1701"/>
      <w:jc w:val="both"/>
    </w:pPr>
    <w:rPr>
      <w:rFonts w:ascii="Century Gothic" w:hAnsi="Century Gothic" w:cs="Times New Roman"/>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s="Times New Roman"/>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s="Times New Roman"/>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s="Times New Roman"/>
      <w:color w:val="333399"/>
      <w:sz w:val="18"/>
    </w:rPr>
  </w:style>
  <w:style w:type="paragraph" w:customStyle="1" w:styleId="HEADINGTOC">
    <w:name w:val="HEADING TOC"/>
    <w:basedOn w:val="Normal"/>
    <w:next w:val="Normal"/>
    <w:pPr>
      <w:keepNext/>
      <w:spacing w:before="120" w:after="120" w:line="240" w:lineRule="atLeast"/>
      <w:jc w:val="both"/>
    </w:pPr>
    <w:rPr>
      <w:rFonts w:ascii="Century Gothic" w:hAnsi="Century Gothic" w:cs="Times New Roman"/>
      <w:caps/>
      <w:color w:val="333399"/>
      <w:sz w:val="28"/>
    </w:rPr>
  </w:style>
  <w:style w:type="paragraph" w:styleId="TableofAuthorities">
    <w:name w:val="table of authorities"/>
    <w:basedOn w:val="Normal"/>
    <w:next w:val="Normal"/>
    <w:uiPriority w:val="99"/>
    <w:unhideWhenUsed/>
    <w:pPr>
      <w:tabs>
        <w:tab w:val="left" w:pos="1134"/>
        <w:tab w:val="left" w:pos="14173"/>
      </w:tabs>
      <w:spacing w:after="0" w:line="240" w:lineRule="atLeast"/>
      <w:ind w:left="1134" w:hanging="1134"/>
      <w:jc w:val="both"/>
    </w:pPr>
    <w:rPr>
      <w:rFonts w:ascii="Times New Roman" w:hAnsi="Times New Roman" w:cs="Times New Roman"/>
      <w:color w:val="000000"/>
      <w:sz w:val="20"/>
    </w:rPr>
  </w:style>
  <w:style w:type="paragraph" w:customStyle="1" w:styleId="Abbreviation">
    <w:name w:val="Abbreviation"/>
    <w:basedOn w:val="Normal"/>
    <w:pPr>
      <w:spacing w:after="0" w:line="240" w:lineRule="atLeast"/>
      <w:ind w:left="1134" w:hanging="1134"/>
      <w:jc w:val="both"/>
    </w:pPr>
    <w:rPr>
      <w:rFonts w:ascii="Times New Roman" w:hAnsi="Times New Roman" w:cs="Times New Roman"/>
      <w:color w:val="000000"/>
      <w:sz w:val="20"/>
    </w:rPr>
  </w:style>
  <w:style w:type="paragraph" w:customStyle="1" w:styleId="SNText">
    <w:name w:val="SN Text"/>
    <w:basedOn w:val="Normal"/>
    <w:pPr>
      <w:tabs>
        <w:tab w:val="left" w:pos="2268"/>
      </w:tabs>
      <w:spacing w:line="240" w:lineRule="atLeast"/>
      <w:ind w:left="2268"/>
      <w:jc w:val="both"/>
    </w:pPr>
    <w:rPr>
      <w:rFonts w:ascii="Times New Roman" w:hAnsi="Times New Roman" w:cs="Times New Roman"/>
      <w:color w:val="000000"/>
      <w:sz w:val="20"/>
    </w:rPr>
  </w:style>
  <w:style w:type="paragraph" w:customStyle="1" w:styleId="SNSideNote">
    <w:name w:val="SN SideNote"/>
    <w:basedOn w:val="Normal"/>
    <w:next w:val="SNText"/>
    <w:pPr>
      <w:keepNext/>
      <w:framePr w:w="1984" w:h="567" w:hSpace="283" w:wrap="around" w:vAnchor="text" w:hAnchor="margin" w:y="1"/>
      <w:spacing w:line="240" w:lineRule="atLeast"/>
    </w:pPr>
    <w:rPr>
      <w:rFonts w:ascii="Century Gothic" w:hAnsi="Century Gothic" w:cs="Times New Roman"/>
      <w:color w:val="333399"/>
      <w:sz w:val="18"/>
    </w:rPr>
  </w:style>
  <w:style w:type="paragraph" w:customStyle="1" w:styleId="SNNumberedHeading1">
    <w:name w:val="SN Numbered Heading 1"/>
    <w:basedOn w:val="Normal"/>
    <w:next w:val="SNText"/>
    <w:pPr>
      <w:keepNext/>
      <w:tabs>
        <w:tab w:val="left" w:pos="2835"/>
      </w:tabs>
      <w:spacing w:before="200" w:after="240" w:line="240" w:lineRule="atLeast"/>
      <w:ind w:left="2835" w:hanging="567"/>
      <w:jc w:val="both"/>
      <w:outlineLvl w:val="0"/>
    </w:pPr>
    <w:rPr>
      <w:rFonts w:ascii="Century Gothic" w:hAnsi="Century Gothic" w:cs="Times New Roman"/>
      <w:b/>
      <w:caps/>
      <w:color w:val="333399"/>
      <w:sz w:val="18"/>
    </w:rPr>
  </w:style>
  <w:style w:type="paragraph" w:customStyle="1" w:styleId="SNNumberedHeading2">
    <w:name w:val="SN Numbered Heading 2"/>
    <w:basedOn w:val="Normal"/>
    <w:next w:val="SNText"/>
    <w:pPr>
      <w:keepNext/>
      <w:tabs>
        <w:tab w:val="left" w:pos="2835"/>
      </w:tabs>
      <w:spacing w:before="100" w:after="240" w:line="240" w:lineRule="atLeast"/>
      <w:ind w:left="2835" w:hanging="567"/>
      <w:jc w:val="both"/>
      <w:outlineLvl w:val="0"/>
    </w:pPr>
    <w:rPr>
      <w:rFonts w:ascii="Century Gothic" w:hAnsi="Century Gothic" w:cs="Times New Roman"/>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line="240" w:lineRule="atLeast"/>
      <w:jc w:val="center"/>
    </w:pPr>
    <w:rPr>
      <w:rFonts w:ascii="Times New Roman" w:hAnsi="Times New Roman" w:cs="Times New Roman"/>
      <w:color w:val="000000"/>
      <w:sz w:val="20"/>
    </w:rPr>
  </w:style>
  <w:style w:type="paragraph" w:customStyle="1" w:styleId="BoxContinueTop">
    <w:name w:val="Box Continue Top"/>
    <w:basedOn w:val="Normal"/>
    <w:next w:val="Normal"/>
    <w:pPr>
      <w:keepNext/>
      <w:spacing w:before="20" w:after="0" w:line="240" w:lineRule="auto"/>
      <w:ind w:left="283"/>
      <w:jc w:val="both"/>
    </w:pPr>
    <w:rPr>
      <w:rFonts w:ascii="Century Gothic" w:hAnsi="Century Gothic" w:cs="Times New Roman"/>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cs="Times New Roman"/>
      <w:i/>
      <w:color w:val="333399"/>
      <w:sz w:val="14"/>
    </w:rPr>
  </w:style>
  <w:style w:type="paragraph" w:customStyle="1" w:styleId="TableContinueTop">
    <w:name w:val="Table Continue Top"/>
    <w:basedOn w:val="Normal"/>
    <w:next w:val="Normal"/>
    <w:pPr>
      <w:keepNext/>
      <w:spacing w:before="20" w:after="0" w:line="240" w:lineRule="auto"/>
      <w:ind w:left="283"/>
      <w:jc w:val="both"/>
    </w:pPr>
    <w:rPr>
      <w:rFonts w:ascii="Century Gothic" w:hAnsi="Century Gothic" w:cs="Times New Roman"/>
      <w:i/>
      <w:color w:val="333399"/>
      <w:sz w:val="14"/>
    </w:rPr>
  </w:style>
  <w:style w:type="paragraph" w:customStyle="1" w:styleId="TableContinueBottom">
    <w:name w:val="Table Continue Bottom"/>
    <w:basedOn w:val="Normal"/>
    <w:next w:val="Normal"/>
    <w:pPr>
      <w:spacing w:after="20" w:line="240" w:lineRule="auto"/>
      <w:ind w:right="283"/>
      <w:jc w:val="right"/>
    </w:pPr>
    <w:rPr>
      <w:rFonts w:ascii="Century Gothic" w:hAnsi="Century Gothic" w:cs="Times New Roman"/>
      <w:i/>
      <w:color w:val="333399"/>
      <w:sz w:val="14"/>
    </w:rPr>
  </w:style>
  <w:style w:type="paragraph" w:customStyle="1" w:styleId="BottomTable">
    <w:name w:val="Bottom Table"/>
    <w:basedOn w:val="Normal"/>
    <w:next w:val="Normal"/>
    <w:pPr>
      <w:spacing w:after="0" w:line="240" w:lineRule="auto"/>
    </w:pPr>
    <w:rPr>
      <w:rFonts w:ascii="Times New Roman" w:hAnsi="Times New Roman" w:cs="Times New Roman"/>
      <w:color w:val="000000"/>
      <w:sz w:val="20"/>
    </w:rPr>
  </w:style>
  <w:style w:type="paragraph" w:customStyle="1" w:styleId="DefaultTable">
    <w:name w:val="Default Table"/>
    <w:basedOn w:val="Normal"/>
    <w:next w:val="Normal"/>
    <w:pPr>
      <w:spacing w:after="0" w:line="240" w:lineRule="auto"/>
    </w:pPr>
    <w:rPr>
      <w:rFonts w:ascii="Times New Roman" w:hAnsi="Times New Roman" w:cs="Times New Roman"/>
      <w:color w:val="000000"/>
      <w:sz w:val="20"/>
    </w:rPr>
  </w:style>
  <w:style w:type="paragraph" w:customStyle="1" w:styleId="BottomCenterTable">
    <w:name w:val="Bottom Center Table"/>
    <w:basedOn w:val="Normal"/>
    <w:next w:val="Normal"/>
    <w:pPr>
      <w:spacing w:before="160" w:after="0" w:line="240" w:lineRule="auto"/>
      <w:jc w:val="center"/>
    </w:pPr>
    <w:rPr>
      <w:rFonts w:ascii="Times New Roman" w:hAnsi="Times New Roman" w:cs="Times New Roman"/>
      <w:color w:val="000000"/>
      <w:sz w:val="20"/>
    </w:rPr>
  </w:style>
  <w:style w:type="paragraph" w:customStyle="1" w:styleId="BottomTableRestrictedShape">
    <w:name w:val="Bottom Table Restricted Shape"/>
    <w:basedOn w:val="Normal"/>
    <w:next w:val="Normal"/>
    <w:pPr>
      <w:spacing w:before="160" w:after="0" w:line="240" w:lineRule="auto"/>
      <w:jc w:val="center"/>
    </w:pPr>
    <w:rPr>
      <w:rFonts w:ascii="Times New Roman" w:hAnsi="Times New Roman" w:cs="Times New Roman"/>
      <w:color w:val="000000"/>
      <w:sz w:val="20"/>
    </w:r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pPr>
    <w:rPr>
      <w:rFonts w:ascii="Century Gothic" w:hAnsi="Century Gothic" w:cs="Times New Roman"/>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pPr>
    <w:rPr>
      <w:rFonts w:ascii="Century Gothic" w:hAnsi="Century Gothic" w:cs="Times New Roman"/>
      <w:color w:val="000000"/>
      <w:sz w:val="14"/>
    </w:rPr>
  </w:style>
  <w:style w:type="paragraph" w:customStyle="1" w:styleId="GraphFootnote">
    <w:name w:val="Graph Footnote"/>
    <w:basedOn w:val="Normal"/>
    <w:pPr>
      <w:pBdr>
        <w:top w:val="single" w:sz="2" w:space="2" w:color="auto"/>
        <w:bottom w:val="single" w:sz="2" w:space="2" w:color="auto"/>
      </w:pBdr>
      <w:spacing w:after="0" w:line="240" w:lineRule="auto"/>
    </w:pPr>
    <w:rPr>
      <w:rFonts w:ascii="Century Gothic" w:hAnsi="Century Gothic" w:cs="Times New Roman"/>
      <w:color w:val="000000"/>
      <w:sz w:val="14"/>
    </w:rPr>
  </w:style>
  <w:style w:type="paragraph" w:customStyle="1" w:styleId="GraphShape">
    <w:name w:val="Graph Shape"/>
    <w:basedOn w:val="Normal"/>
    <w:next w:val="Normal"/>
    <w:pPr>
      <w:keepNext/>
      <w:spacing w:after="0" w:line="240" w:lineRule="auto"/>
      <w:jc w:val="center"/>
    </w:pPr>
    <w:rPr>
      <w:rFonts w:ascii="Times New Roman" w:hAnsi="Times New Roman" w:cs="Times New Roman"/>
      <w:color w:val="000000"/>
      <w:sz w:val="20"/>
    </w:r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pPr>
    <w:rPr>
      <w:rFonts w:ascii="Century Gothic" w:hAnsi="Century Gothic" w:cs="Times New Roman"/>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pPr>
    <w:rPr>
      <w:rFonts w:ascii="Century Gothic" w:hAnsi="Century Gothic" w:cs="Times New Roman"/>
      <w:color w:val="000000"/>
      <w:sz w:val="14"/>
    </w:rPr>
  </w:style>
  <w:style w:type="paragraph" w:customStyle="1" w:styleId="TableFootnote">
    <w:name w:val="Table Footnote"/>
    <w:basedOn w:val="Normal"/>
    <w:pPr>
      <w:keepNext/>
      <w:pBdr>
        <w:top w:val="single" w:sz="2" w:space="2" w:color="auto"/>
        <w:bottom w:val="single" w:sz="2" w:space="2" w:color="auto"/>
      </w:pBdr>
      <w:spacing w:after="0" w:line="240" w:lineRule="auto"/>
    </w:pPr>
    <w:rPr>
      <w:rFonts w:ascii="Century Gothic" w:hAnsi="Century Gothic" w:cs="Times New Roman"/>
      <w:color w:val="000000"/>
      <w:sz w:val="14"/>
    </w:rPr>
  </w:style>
  <w:style w:type="paragraph" w:customStyle="1" w:styleId="TableShape">
    <w:name w:val="Table Shape"/>
    <w:basedOn w:val="Normal"/>
    <w:next w:val="Normal"/>
    <w:pPr>
      <w:keepNext/>
      <w:spacing w:after="0" w:line="240" w:lineRule="auto"/>
      <w:jc w:val="center"/>
    </w:pPr>
    <w:rPr>
      <w:rFonts w:ascii="Times New Roman" w:hAnsi="Times New Roman" w:cs="Times New Roman"/>
      <w:color w:val="000000"/>
      <w:sz w:val="20"/>
    </w:rPr>
  </w:style>
  <w:style w:type="paragraph" w:customStyle="1" w:styleId="SlimCell">
    <w:name w:val="Slim Cell"/>
    <w:basedOn w:val="Normal"/>
    <w:next w:val="Normal"/>
    <w:pPr>
      <w:spacing w:after="0" w:line="240" w:lineRule="auto"/>
      <w:jc w:val="both"/>
    </w:pPr>
    <w:rPr>
      <w:rFonts w:ascii="Times New Roman" w:hAnsi="Times New Roman" w:cs="Times New Roman"/>
      <w:color w:val="000000"/>
      <w:sz w:val="2"/>
    </w:rPr>
  </w:style>
  <w:style w:type="paragraph" w:customStyle="1" w:styleId="MultipageDelimiter">
    <w:name w:val="Multipage Delimiter"/>
    <w:basedOn w:val="Normal"/>
    <w:next w:val="Normal"/>
    <w:pPr>
      <w:spacing w:after="0" w:line="20" w:lineRule="exact"/>
      <w:jc w:val="both"/>
    </w:pPr>
    <w:rPr>
      <w:rFonts w:ascii="Times New Roman" w:hAnsi="Times New Roman" w:cs="Times New Roman"/>
      <w:color w:val="000000"/>
      <w:sz w:val="2"/>
    </w:rPr>
  </w:style>
  <w:style w:type="paragraph" w:customStyle="1" w:styleId="MapTitle">
    <w:name w:val="Map Title"/>
    <w:basedOn w:val="Normal"/>
    <w:next w:val="Normal"/>
    <w:pPr>
      <w:keepNext/>
      <w:pBdr>
        <w:top w:val="single" w:sz="2" w:space="2" w:color="auto"/>
        <w:bottom w:val="single" w:sz="2" w:space="2" w:color="auto"/>
      </w:pBdr>
      <w:spacing w:after="40" w:line="240" w:lineRule="auto"/>
      <w:ind w:left="935" w:hanging="935"/>
    </w:pPr>
    <w:rPr>
      <w:rFonts w:ascii="Century Gothic" w:hAnsi="Century Gothic" w:cs="Times New Roman"/>
      <w:color w:val="333399"/>
      <w:sz w:val="14"/>
    </w:rPr>
  </w:style>
  <w:style w:type="paragraph" w:customStyle="1" w:styleId="MapShape">
    <w:name w:val="Map Shape"/>
    <w:basedOn w:val="Normal"/>
    <w:next w:val="Normal"/>
    <w:pPr>
      <w:keepNext/>
      <w:spacing w:after="0" w:line="240" w:lineRule="auto"/>
      <w:jc w:val="center"/>
    </w:pPr>
    <w:rPr>
      <w:rFonts w:ascii="Times New Roman" w:hAnsi="Times New Roman" w:cs="Times New Roman"/>
      <w:color w:val="000000"/>
      <w:sz w:val="20"/>
    </w:rPr>
  </w:style>
  <w:style w:type="paragraph" w:customStyle="1" w:styleId="MapSource">
    <w:name w:val="Map Source"/>
    <w:basedOn w:val="Normal"/>
    <w:pPr>
      <w:pBdr>
        <w:top w:val="single" w:sz="2" w:space="2" w:color="auto"/>
        <w:bottom w:val="single" w:sz="2" w:space="2" w:color="auto"/>
      </w:pBdr>
      <w:spacing w:after="0" w:line="240" w:lineRule="auto"/>
    </w:pPr>
    <w:rPr>
      <w:rFonts w:ascii="Century Gothic" w:hAnsi="Century Gothic" w:cs="Times New Roman"/>
      <w:color w:val="000000"/>
      <w:sz w:val="14"/>
    </w:rPr>
  </w:style>
  <w:style w:type="paragraph" w:customStyle="1" w:styleId="MapFootnote">
    <w:name w:val="Map Footnote"/>
    <w:basedOn w:val="Normal"/>
    <w:pPr>
      <w:pBdr>
        <w:top w:val="single" w:sz="2" w:space="2" w:color="auto"/>
        <w:bottom w:val="single" w:sz="2" w:space="2" w:color="auto"/>
      </w:pBdr>
      <w:spacing w:after="0" w:line="240" w:lineRule="auto"/>
    </w:pPr>
    <w:rPr>
      <w:rFonts w:ascii="Century Gothic" w:hAnsi="Century Gothic" w:cs="Times New Roman"/>
      <w:color w:val="000000"/>
      <w:sz w:val="14"/>
    </w:rPr>
  </w:style>
  <w:style w:type="paragraph" w:customStyle="1" w:styleId="Abstract">
    <w:name w:val="Abstract"/>
    <w:basedOn w:val="Normal"/>
    <w:pPr>
      <w:framePr w:w="8504" w:wrap="around" w:vAnchor="text" w:hAnchor="text" w:y="1"/>
      <w:spacing w:after="240" w:line="240" w:lineRule="atLeast"/>
      <w:ind w:left="57" w:right="57"/>
      <w:jc w:val="both"/>
    </w:pPr>
    <w:rPr>
      <w:rFonts w:ascii="Times New Roman" w:hAnsi="Times New Roman" w:cs="Times New Roman"/>
      <w:i/>
      <w:color w:val="000000"/>
      <w:sz w:val="20"/>
    </w:rPr>
  </w:style>
  <w:style w:type="paragraph" w:customStyle="1" w:styleId="EPKitHiddenFrame">
    <w:name w:val="EPKit Hidden Frame"/>
    <w:basedOn w:val="Normal"/>
    <w:next w:val="Normal"/>
    <w:pPr>
      <w:framePr w:w="11" w:h="11" w:hRule="exact" w:wrap="around" w:vAnchor="page" w:hAnchor="page" w:yAlign="top"/>
      <w:spacing w:after="240" w:line="240" w:lineRule="atLeast"/>
      <w:jc w:val="both"/>
    </w:pPr>
    <w:rPr>
      <w:rFonts w:ascii="Times New Roman" w:hAnsi="Times New Roman" w:cs="Times New Roman"/>
      <w:color w:val="000000"/>
      <w:sz w:val="20"/>
    </w:rPr>
  </w:style>
  <w:style w:type="paragraph" w:customStyle="1" w:styleId="NumberedHeading1ToC">
    <w:name w:val="Numbered Heading 1 (ToC)"/>
    <w:basedOn w:val="NumberedHeading1"/>
    <w:next w:val="Normal"/>
  </w:style>
  <w:style w:type="paragraph" w:customStyle="1" w:styleId="NumberedHeading2ToC">
    <w:name w:val="Numbered Heading 2 (ToC)"/>
    <w:basedOn w:val="NumberedHeading2"/>
    <w:next w:val="Normal"/>
  </w:style>
  <w:style w:type="paragraph" w:customStyle="1" w:styleId="SubsectionHeading">
    <w:name w:val="Subsection Heading"/>
    <w:basedOn w:val="Normal"/>
    <w:link w:val="SubsectionHeadingChar"/>
    <w:pPr>
      <w:framePr w:w="8504" w:wrap="around" w:vAnchor="text" w:hAnchor="text" w:y="1"/>
      <w:tabs>
        <w:tab w:val="left" w:pos="737"/>
      </w:tabs>
      <w:spacing w:after="240" w:line="240" w:lineRule="atLeast"/>
      <w:ind w:left="737" w:hanging="737"/>
    </w:pPr>
    <w:rPr>
      <w:rFonts w:ascii="Century Gothic" w:hAnsi="Century Gothic" w:cs="Times New Roman"/>
      <w:caps/>
      <w:color w:val="333399"/>
      <w:sz w:val="28"/>
    </w:rPr>
  </w:style>
  <w:style w:type="paragraph" w:styleId="TOC4">
    <w:name w:val="toc 4"/>
    <w:basedOn w:val="Normal"/>
    <w:next w:val="Normal"/>
    <w:autoRedefine/>
    <w:uiPriority w:val="39"/>
    <w:semiHidden/>
    <w:unhideWhenUsed/>
    <w:pPr>
      <w:tabs>
        <w:tab w:val="left" w:pos="1531"/>
        <w:tab w:val="left" w:pos="1644"/>
        <w:tab w:val="right" w:pos="8504"/>
      </w:tabs>
      <w:spacing w:after="0" w:line="300" w:lineRule="atLeast"/>
      <w:ind w:left="1531" w:right="425" w:hanging="567"/>
    </w:pPr>
    <w:rPr>
      <w:rFonts w:ascii="Century Gothic" w:hAnsi="Century Gothic" w:cs="Times New Roman"/>
      <w:color w:val="000000"/>
      <w:sz w:val="16"/>
    </w:rPr>
  </w:style>
  <w:style w:type="paragraph" w:styleId="Header">
    <w:name w:val="header"/>
    <w:basedOn w:val="Normal"/>
    <w:link w:val="HeaderChar"/>
    <w:uiPriority w:val="99"/>
    <w:unhideWhenUsed/>
    <w:pPr>
      <w:tabs>
        <w:tab w:val="center" w:pos="4680"/>
        <w:tab w:val="right" w:pos="9360"/>
      </w:tabs>
      <w:spacing w:after="0" w:line="240" w:lineRule="auto"/>
      <w:jc w:val="both"/>
    </w:pPr>
    <w:rPr>
      <w:rFonts w:ascii="Times New Roman" w:hAnsi="Times New Roman" w:cs="Times New Roman"/>
      <w:color w:val="000000"/>
      <w:sz w:val="20"/>
    </w:rPr>
  </w:style>
  <w:style w:type="character" w:customStyle="1" w:styleId="HeaderChar">
    <w:name w:val="Header Char"/>
    <w:basedOn w:val="DefaultParagraphFont"/>
    <w:link w:val="Header"/>
    <w:uiPriority w:val="99"/>
    <w:rPr>
      <w:rFonts w:ascii="Times New Roman" w:hAnsi="Times New Roman" w:cs="Times New Roman"/>
      <w:color w:val="000000"/>
      <w:sz w:val="20"/>
    </w:rPr>
  </w:style>
  <w:style w:type="paragraph" w:customStyle="1" w:styleId="EPKitTCFrame">
    <w:name w:val="EPKit TC Frame"/>
    <w:basedOn w:val="Normal"/>
    <w:link w:val="EPKitTCFrameChar"/>
    <w:pPr>
      <w:spacing w:after="240" w:line="240" w:lineRule="atLeast"/>
      <w:jc w:val="both"/>
    </w:pPr>
    <w:rPr>
      <w:rFonts w:ascii="Times New Roman" w:hAnsi="Times New Roman" w:cs="Times New Roman"/>
      <w:vanish/>
      <w:color w:val="000000"/>
      <w:sz w:val="20"/>
    </w:rPr>
  </w:style>
  <w:style w:type="character" w:customStyle="1" w:styleId="EPKitTCFrameChar">
    <w:name w:val="EPKit TC Frame Char"/>
    <w:basedOn w:val="DefaultParagraphFont"/>
    <w:link w:val="EPKitTCFrame"/>
    <w:rPr>
      <w:rFonts w:ascii="Times New Roman" w:hAnsi="Times New Roman" w:cs="Times New Roman"/>
      <w:vanish/>
      <w:color w:val="000000"/>
      <w:sz w:val="20"/>
    </w:rPr>
  </w:style>
  <w:style w:type="character" w:customStyle="1" w:styleId="HeadingChar">
    <w:name w:val="Heading Char"/>
    <w:basedOn w:val="DefaultParagraphFont"/>
    <w:link w:val="Heading"/>
    <w:rPr>
      <w:rFonts w:ascii="Century Gothic" w:hAnsi="Century Gothic" w:cs="Times New Roman"/>
      <w:b/>
      <w:color w:val="333399"/>
      <w:sz w:val="18"/>
    </w:rPr>
  </w:style>
  <w:style w:type="character" w:customStyle="1" w:styleId="SubsectionHeadingChar">
    <w:name w:val="Subsection Heading Char"/>
    <w:basedOn w:val="DefaultParagraphFont"/>
    <w:link w:val="SubsectionHeading"/>
    <w:rPr>
      <w:rFonts w:ascii="Century Gothic" w:hAnsi="Century Gothic" w:cs="Times New Roman"/>
      <w:caps/>
      <w:color w:val="333399"/>
      <w:sz w:val="28"/>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vertAlign w:val="superscript"/>
    </w:rPr>
  </w:style>
  <w:style w:type="character" w:styleId="Strong">
    <w:name w:val="Strong"/>
    <w:basedOn w:val="DefaultParagraphFont"/>
    <w:uiPriority w:val="22"/>
    <w:qFormat/>
    <w:rPr>
      <w:b/>
      <w:bCs/>
    </w:rPr>
  </w:style>
  <w:style w:type="character" w:customStyle="1" w:styleId="NumberedHeading1Char">
    <w:name w:val="Numbered Heading 1 Char"/>
    <w:basedOn w:val="DefaultParagraphFont"/>
    <w:link w:val="NumberedHeading1"/>
    <w:rPr>
      <w:rFonts w:ascii="Century Gothic" w:hAnsi="Century Gothic" w:cs="Times New Roman"/>
      <w:b/>
      <w:caps/>
      <w:color w:val="333399"/>
      <w:sz w:val="18"/>
    </w:rPr>
  </w:style>
  <w:style w:type="character" w:styleId="Hyperlink">
    <w:name w:val="Hyperlink"/>
    <w:aliases w:val="EWN Hyperlink,EWN Hyp"/>
    <w:basedOn w:val="DefaultParagraphFont"/>
    <w:uiPriority w:val="99"/>
    <w:unhideWhenUsed/>
    <w:rPr>
      <w:color w:val="0000FF" w:themeColor="hyperlink"/>
      <w:u w:val="single"/>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240" w:line="240" w:lineRule="auto"/>
      <w:jc w:val="both"/>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qFormat/>
    <w:rPr>
      <w:rFonts w:ascii="Times New Roman" w:hAnsi="Times New Roman" w:cs="Times New Roman"/>
      <w:color w:val="000000"/>
      <w:sz w:val="20"/>
      <w:szCs w:val="20"/>
    </w:rPr>
  </w:style>
  <w:style w:type="paragraph" w:styleId="BalloonText">
    <w:name w:val="Balloon Text"/>
    <w:basedOn w:val="Normal"/>
    <w:link w:val="BalloonTextChar"/>
    <w:uiPriority w:val="99"/>
    <w:semiHidden/>
    <w:unhideWhenUsed/>
    <w:pPr>
      <w:spacing w:after="0" w:line="240" w:lineRule="auto"/>
      <w:jc w:val="both"/>
    </w:pPr>
    <w:rPr>
      <w:rFonts w:ascii="Segoe UI" w:hAnsi="Segoe UI" w:cs="Segoe UI"/>
      <w:color w:val="000000"/>
      <w:sz w:val="18"/>
      <w:szCs w:val="18"/>
    </w:rPr>
  </w:style>
  <w:style w:type="character" w:customStyle="1" w:styleId="BalloonTextChar">
    <w:name w:val="Balloon Text Char"/>
    <w:basedOn w:val="DefaultParagraphFont"/>
    <w:link w:val="BalloonText"/>
    <w:uiPriority w:val="99"/>
    <w:semiHidden/>
    <w:rPr>
      <w:rFonts w:ascii="Segoe UI" w:hAnsi="Segoe UI" w:cs="Segoe UI"/>
      <w:color w:val="000000"/>
      <w:sz w:val="18"/>
      <w:szCs w:val="18"/>
    </w:rPr>
  </w:style>
  <w:style w:type="paragraph" w:customStyle="1" w:styleId="CharCharCharChar">
    <w:name w:val="Char Char Char Char"/>
    <w:aliases w:val="Char2"/>
    <w:basedOn w:val="Normal"/>
    <w:next w:val="Normal"/>
    <w:uiPriority w:val="99"/>
    <w:pPr>
      <w:spacing w:after="160" w:line="240" w:lineRule="exact"/>
      <w:textAlignment w:val="baseline"/>
    </w:pPr>
    <w:rPr>
      <w:vertAlign w:val="superscript"/>
      <w:lang w:val="en-US"/>
    </w:rPr>
  </w:style>
  <w:style w:type="paragraph" w:styleId="Caption">
    <w:name w:val="caption"/>
    <w:basedOn w:val="Normal"/>
    <w:next w:val="Normal"/>
    <w:uiPriority w:val="35"/>
    <w:unhideWhenUsed/>
    <w:qFormat/>
    <w:pPr>
      <w:spacing w:after="240" w:line="240" w:lineRule="auto"/>
      <w:jc w:val="both"/>
    </w:pPr>
    <w:rPr>
      <w:rFonts w:ascii="Times New Roman" w:hAnsi="Times New Roman" w:cs="Times New Roman"/>
      <w:b/>
      <w:bCs/>
      <w:color w:val="787878"/>
      <w:sz w:val="20"/>
      <w:szCs w:val="18"/>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color w:val="000000"/>
      <w:sz w:val="20"/>
      <w:szCs w:val="20"/>
    </w:rPr>
  </w:style>
  <w:style w:type="table" w:styleId="TableGrid">
    <w:name w:val="Table Grid"/>
    <w:basedOn w:val="TableNormal"/>
    <w:pPr>
      <w:spacing w:after="0" w:line="240" w:lineRule="auto"/>
    </w:pPr>
    <w:rPr>
      <w:rFonts w:ascii="Cambria" w:eastAsia="Cambria" w:hAnsi="Cambria"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R"/>
    <w:basedOn w:val="Normal"/>
    <w:uiPriority w:val="99"/>
    <w:pPr>
      <w:spacing w:after="160" w:line="240" w:lineRule="exact"/>
    </w:pPr>
    <w:rPr>
      <w:rFonts w:ascii="Calibri" w:eastAsia="Calibri" w:hAnsi="Calibri" w:cs="Times New Roman"/>
      <w:sz w:val="20"/>
      <w:szCs w:val="20"/>
      <w:vertAlign w:val="superscript"/>
      <w:lang w:eastAsia="en-GB" w:bidi="lo-LA"/>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val="fr-BE" w:eastAsia="fr-BE"/>
    </w:r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outlineLvl w:val="1"/>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ectionTitleFramed6">
    <w:name w:val="Section Title Framed_6"/>
    <w:basedOn w:val="SectionTitle"/>
    <w:pPr>
      <w:framePr w:w="8505" w:h="1984" w:wrap="notBeside" w:vAnchor="page" w:hAnchor="text" w:y="710"/>
      <w:outlineLvl w:val="2"/>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AnnexTitleFramed">
    <w:name w:val="Annex Title Framed"/>
    <w:basedOn w:val="AnnexTitle"/>
    <w:pPr>
      <w:framePr w:w="8505" w:h="1984" w:wrap="notBeside" w:vAnchor="page" w:hAnchor="text" w:y="710"/>
      <w:outlineLvl w:val="1"/>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AnnexTitleFramed1">
    <w:name w:val="Annex Title Framed_1"/>
    <w:basedOn w:val="AnnexTitle"/>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AnnexTitleFramed2">
    <w:name w:val="Annex Title Framed_2"/>
    <w:basedOn w:val="AnnexTitle"/>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AnnexTitleFramed3">
    <w:name w:val="Annex Title Framed_3"/>
    <w:basedOn w:val="AnnexTitle"/>
    <w:pPr>
      <w:framePr w:w="8505" w:h="1984" w:wrap="notBeside" w:vAnchor="page" w:hAnchor="text" w:y="710"/>
      <w:outlineLvl w:val="1"/>
    </w:pPr>
  </w:style>
  <w:style w:type="paragraph" w:customStyle="1" w:styleId="SectionTitleFramedtwolines3">
    <w:name w:val="Section Title Framed (two lines)_3"/>
    <w:basedOn w:val="SectionTitletwolines"/>
    <w:pPr>
      <w:framePr w:w="8505" w:h="1984" w:wrap="notBeside" w:vAnchor="page" w:hAnchor="text" w:y="710"/>
      <w:outlineLvl w:val="1"/>
    </w:pPr>
  </w:style>
  <w:style w:type="paragraph" w:customStyle="1" w:styleId="AnnexTitleFramed4">
    <w:name w:val="Annex Title Framed_4"/>
    <w:basedOn w:val="AnnexTitle"/>
    <w:pPr>
      <w:framePr w:w="8505" w:h="1984" w:wrap="notBeside" w:vAnchor="page" w:hAnchor="text" w:y="710"/>
      <w:outlineLvl w:val="1"/>
    </w:pPr>
  </w:style>
  <w:style w:type="paragraph" w:customStyle="1" w:styleId="SectionTitleFramedtwolines4">
    <w:name w:val="Section Title Framed (two lines)_4"/>
    <w:basedOn w:val="SectionTitletwolines"/>
    <w:pPr>
      <w:framePr w:w="8505" w:h="1984" w:wrap="notBeside" w:vAnchor="page" w:hAnchor="text" w:y="710"/>
      <w:outlineLvl w:val="1"/>
    </w:pPr>
  </w:style>
  <w:style w:type="paragraph" w:customStyle="1" w:styleId="SectionTitleFramed10">
    <w:name w:val="Section Title Framed_10"/>
    <w:basedOn w:val="SectionTitle"/>
    <w:pPr>
      <w:framePr w:w="8505" w:h="1984" w:wrap="notBeside" w:vAnchor="page" w:hAnchor="text" w:y="710"/>
      <w:outlineLvl w:val="1"/>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keepNext/>
      <w:keepLines/>
      <w:tabs>
        <w:tab w:val="center" w:pos="4535"/>
        <w:tab w:val="right" w:pos="9071"/>
        <w:tab w:val="right" w:pos="9921"/>
      </w:tabs>
      <w:spacing w:before="360" w:after="0" w:line="240" w:lineRule="auto"/>
      <w:ind w:left="-850" w:right="-850" w:hanging="482"/>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keepNext/>
      <w:keepLines/>
      <w:pBdr>
        <w:top w:val="single" w:sz="4" w:space="1" w:color="auto"/>
        <w:left w:val="single" w:sz="4" w:space="4" w:color="auto"/>
        <w:bottom w:val="single" w:sz="4" w:space="1" w:color="auto"/>
        <w:right w:val="single" w:sz="4" w:space="4" w:color="auto"/>
      </w:pBdr>
      <w:spacing w:before="360" w:after="0" w:line="240" w:lineRule="auto"/>
      <w:ind w:left="113" w:right="113" w:hanging="482"/>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keepNext/>
      <w:keepLines/>
      <w:tabs>
        <w:tab w:val="center" w:pos="4535"/>
        <w:tab w:val="right" w:pos="9071"/>
      </w:tabs>
      <w:spacing w:after="120" w:line="240" w:lineRule="auto"/>
      <w:ind w:hanging="482"/>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keepNext/>
      <w:keepLines/>
      <w:pBdr>
        <w:top w:val="single" w:sz="4" w:space="1" w:color="auto"/>
        <w:left w:val="single" w:sz="4" w:space="4" w:color="auto"/>
        <w:bottom w:val="single" w:sz="4" w:space="1" w:color="auto"/>
        <w:right w:val="single" w:sz="4" w:space="4" w:color="auto"/>
      </w:pBdr>
      <w:spacing w:after="120" w:line="240" w:lineRule="auto"/>
      <w:ind w:left="113" w:right="113" w:hanging="482"/>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keepNext/>
      <w:keepLines/>
      <w:spacing w:after="120" w:line="240" w:lineRule="auto"/>
      <w:ind w:hanging="482"/>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621691">
      <w:bodyDiv w:val="1"/>
      <w:marLeft w:val="0"/>
      <w:marRight w:val="0"/>
      <w:marTop w:val="0"/>
      <w:marBottom w:val="0"/>
      <w:divBdr>
        <w:top w:val="none" w:sz="0" w:space="0" w:color="auto"/>
        <w:left w:val="none" w:sz="0" w:space="0" w:color="auto"/>
        <w:bottom w:val="none" w:sz="0" w:space="0" w:color="auto"/>
        <w:right w:val="none" w:sz="0" w:space="0" w:color="auto"/>
      </w:divBdr>
    </w:div>
    <w:div w:id="1405831225">
      <w:bodyDiv w:val="1"/>
      <w:marLeft w:val="0"/>
      <w:marRight w:val="0"/>
      <w:marTop w:val="0"/>
      <w:marBottom w:val="0"/>
      <w:divBdr>
        <w:top w:val="none" w:sz="0" w:space="0" w:color="auto"/>
        <w:left w:val="none" w:sz="0" w:space="0" w:color="auto"/>
        <w:bottom w:val="none" w:sz="0" w:space="0" w:color="auto"/>
        <w:right w:val="none" w:sz="0" w:space="0" w:color="auto"/>
      </w:divBdr>
    </w:div>
    <w:div w:id="179791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8.png"/><Relationship Id="rId21" Type="http://schemas.openxmlformats.org/officeDocument/2006/relationships/header" Target="header7.xml"/><Relationship Id="rId42" Type="http://schemas.openxmlformats.org/officeDocument/2006/relationships/image" Target="media/image11.png"/><Relationship Id="rId47" Type="http://schemas.openxmlformats.org/officeDocument/2006/relationships/footer" Target="footer13.xml"/><Relationship Id="rId63" Type="http://schemas.openxmlformats.org/officeDocument/2006/relationships/header" Target="header19.xml"/><Relationship Id="rId68" Type="http://schemas.openxmlformats.org/officeDocument/2006/relationships/footer" Target="footer21.xml"/><Relationship Id="rId84" Type="http://schemas.openxmlformats.org/officeDocument/2006/relationships/image" Target="media/image29.emf"/><Relationship Id="rId89" Type="http://schemas.openxmlformats.org/officeDocument/2006/relationships/footer" Target="footer26.xml"/><Relationship Id="rId112" Type="http://schemas.openxmlformats.org/officeDocument/2006/relationships/footer" Target="footer36.xml"/><Relationship Id="rId133" Type="http://schemas.openxmlformats.org/officeDocument/2006/relationships/hyperlink" Target="https://ec.europa.eu/eurostat/web/sdi/overview" TargetMode="External"/><Relationship Id="rId138" Type="http://schemas.openxmlformats.org/officeDocument/2006/relationships/image" Target="media/image45.png"/><Relationship Id="rId154" Type="http://schemas.openxmlformats.org/officeDocument/2006/relationships/hyperlink" Target="https://ec.europa.eu/info/sites/info/files/2018-european-semester-country-report-latvia-en_1.pdf" TargetMode="External"/><Relationship Id="rId159" Type="http://schemas.openxmlformats.org/officeDocument/2006/relationships/hyperlink" Target="https://ec.europa.eu/docsroom/documents/38662/attachments/17/translations/en/renditions/native" TargetMode="External"/><Relationship Id="rId175" Type="http://schemas.openxmlformats.org/officeDocument/2006/relationships/hyperlink" Target="https://www.etui.org/Publications2/Books/Collective-bargaining-in-Europe-towards-an-endgame.-Volume-I-II-III-and-IV" TargetMode="External"/><Relationship Id="rId170" Type="http://schemas.openxmlformats.org/officeDocument/2006/relationships/hyperlink" Target="https://www.meteo.lv/fs/CKFinderJava/userfiles/files/Vide/Klimats/Majas_lapai_LVGMC_2019_seginvkopsavilkums.pdf" TargetMode="External"/><Relationship Id="rId191" Type="http://schemas.openxmlformats.org/officeDocument/2006/relationships/header" Target="header48.xml"/><Relationship Id="rId16" Type="http://schemas.openxmlformats.org/officeDocument/2006/relationships/header" Target="header5.xml"/><Relationship Id="rId107" Type="http://schemas.openxmlformats.org/officeDocument/2006/relationships/header" Target="header34.xml"/><Relationship Id="rId11" Type="http://schemas.openxmlformats.org/officeDocument/2006/relationships/footer" Target="footer1.xml"/><Relationship Id="rId32" Type="http://schemas.openxmlformats.org/officeDocument/2006/relationships/image" Target="media/image7.emf"/><Relationship Id="rId37" Type="http://schemas.openxmlformats.org/officeDocument/2006/relationships/footer" Target="footer10.xml"/><Relationship Id="rId53" Type="http://schemas.openxmlformats.org/officeDocument/2006/relationships/image" Target="media/image16.emf"/><Relationship Id="rId58" Type="http://schemas.openxmlformats.org/officeDocument/2006/relationships/footer" Target="footer17.xml"/><Relationship Id="rId74" Type="http://schemas.openxmlformats.org/officeDocument/2006/relationships/header" Target="header23.xml"/><Relationship Id="rId79" Type="http://schemas.openxmlformats.org/officeDocument/2006/relationships/image" Target="media/image24.emf"/><Relationship Id="rId102" Type="http://schemas.openxmlformats.org/officeDocument/2006/relationships/header" Target="header32.xml"/><Relationship Id="rId123" Type="http://schemas.openxmlformats.org/officeDocument/2006/relationships/footer" Target="footer38.xml"/><Relationship Id="rId128" Type="http://schemas.openxmlformats.org/officeDocument/2006/relationships/footer" Target="footer40.xml"/><Relationship Id="rId144" Type="http://schemas.openxmlformats.org/officeDocument/2006/relationships/footer" Target="footer45.xml"/><Relationship Id="rId149" Type="http://schemas.openxmlformats.org/officeDocument/2006/relationships/hyperlink" Target="https://ec.europa.eu/regional_policy/sources/docgener/work/2019_02_road_transport.pdf" TargetMode="External"/><Relationship Id="rId5" Type="http://schemas.openxmlformats.org/officeDocument/2006/relationships/webSettings" Target="webSettings.xml"/><Relationship Id="rId90" Type="http://schemas.openxmlformats.org/officeDocument/2006/relationships/header" Target="header27.xml"/><Relationship Id="rId95" Type="http://schemas.openxmlformats.org/officeDocument/2006/relationships/header" Target="header28.xml"/><Relationship Id="rId160" Type="http://schemas.openxmlformats.org/officeDocument/2006/relationships/hyperlink" Target="https://ec.europa.eu/energy/sites/ener/files/documents/lv_rec_en.pdf" TargetMode="External"/><Relationship Id="rId165" Type="http://schemas.openxmlformats.org/officeDocument/2006/relationships/hyperlink" Target="https://fiscalcouncil.lv/files/uploaded/Surveillance_report_2020_final_3.docx.pdf" TargetMode="External"/><Relationship Id="rId181" Type="http://schemas.openxmlformats.org/officeDocument/2006/relationships/hyperlink" Target="http://www.sseriga.edu/shadow-economy-index-baltic-countries" TargetMode="External"/><Relationship Id="rId186" Type="http://schemas.openxmlformats.org/officeDocument/2006/relationships/hyperlink" Target="https://datnes.latvijasbanka.lv/papers/discussion/DP_1_2019_en.pdf" TargetMode="External"/><Relationship Id="rId22" Type="http://schemas.openxmlformats.org/officeDocument/2006/relationships/header" Target="header8.xml"/><Relationship Id="rId27" Type="http://schemas.openxmlformats.org/officeDocument/2006/relationships/image" Target="media/image2.png"/><Relationship Id="rId43" Type="http://schemas.openxmlformats.org/officeDocument/2006/relationships/image" Target="media/image12.png"/><Relationship Id="rId48" Type="http://schemas.openxmlformats.org/officeDocument/2006/relationships/footer" Target="footer14.xml"/><Relationship Id="rId64" Type="http://schemas.openxmlformats.org/officeDocument/2006/relationships/header" Target="header20.xml"/><Relationship Id="rId69" Type="http://schemas.openxmlformats.org/officeDocument/2006/relationships/image" Target="media/image20.emf"/><Relationship Id="rId113" Type="http://schemas.openxmlformats.org/officeDocument/2006/relationships/image" Target="media/image34.jpg"/><Relationship Id="rId118" Type="http://schemas.openxmlformats.org/officeDocument/2006/relationships/image" Target="media/image39.png"/><Relationship Id="rId134" Type="http://schemas.openxmlformats.org/officeDocument/2006/relationships/image" Target="media/image41.png"/><Relationship Id="rId139" Type="http://schemas.openxmlformats.org/officeDocument/2006/relationships/header" Target="header43.xml"/><Relationship Id="rId80" Type="http://schemas.openxmlformats.org/officeDocument/2006/relationships/image" Target="media/image25.emf"/><Relationship Id="rId85" Type="http://schemas.openxmlformats.org/officeDocument/2006/relationships/image" Target="media/image30.emf"/><Relationship Id="rId150" Type="http://schemas.openxmlformats.org/officeDocument/2006/relationships/hyperlink" Target="https://ec.europa.eu/info/business-economy-euro/indicators-statistics/economic-databases/business-and-consumer-surveys/latest-business-and-consumer-surveys_en" TargetMode="External"/><Relationship Id="rId155" Type="http://schemas.openxmlformats.org/officeDocument/2006/relationships/hyperlink" Target="https://ec.europa.eu/info/sites/info/files/file_import/2019-european-semester-country-report-latvia_en.pdf" TargetMode="External"/><Relationship Id="rId171" Type="http://schemas.openxmlformats.org/officeDocument/2006/relationships/hyperlink" Target="https://www.em.gov.lv/files/tautsaimniecibas_attistiba/dsp/Mazkvalificetais%20darbaspeks%20Latvija%202019.pdf" TargetMode="External"/><Relationship Id="rId176" Type="http://schemas.openxmlformats.org/officeDocument/2006/relationships/hyperlink" Target="https://doi.org/10.1787/74fe3bf8-en" TargetMode="External"/><Relationship Id="rId192" Type="http://schemas.openxmlformats.org/officeDocument/2006/relationships/footer" Target="footer48.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8.emf"/><Relationship Id="rId38" Type="http://schemas.openxmlformats.org/officeDocument/2006/relationships/footer" Target="footer11.xml"/><Relationship Id="rId59" Type="http://schemas.openxmlformats.org/officeDocument/2006/relationships/header" Target="header18.xml"/><Relationship Id="rId103" Type="http://schemas.openxmlformats.org/officeDocument/2006/relationships/footer" Target="footer31.xml"/><Relationship Id="rId108" Type="http://schemas.openxmlformats.org/officeDocument/2006/relationships/header" Target="header35.xml"/><Relationship Id="rId124" Type="http://schemas.openxmlformats.org/officeDocument/2006/relationships/header" Target="header39.xml"/><Relationship Id="rId129" Type="http://schemas.openxmlformats.org/officeDocument/2006/relationships/footer" Target="footer41.xml"/><Relationship Id="rId54" Type="http://schemas.openxmlformats.org/officeDocument/2006/relationships/image" Target="media/image17.emf"/><Relationship Id="rId70" Type="http://schemas.openxmlformats.org/officeDocument/2006/relationships/image" Target="media/image21.png"/><Relationship Id="rId75" Type="http://schemas.openxmlformats.org/officeDocument/2006/relationships/footer" Target="footer22.xml"/><Relationship Id="rId91" Type="http://schemas.openxmlformats.org/officeDocument/2006/relationships/footer" Target="footer27.xml"/><Relationship Id="rId96" Type="http://schemas.openxmlformats.org/officeDocument/2006/relationships/header" Target="header29.xml"/><Relationship Id="rId140" Type="http://schemas.openxmlformats.org/officeDocument/2006/relationships/header" Target="header44.xml"/><Relationship Id="rId145" Type="http://schemas.openxmlformats.org/officeDocument/2006/relationships/hyperlink" Target="http://petijumi.mk.gov.lv/sites/default/files/title_file/Nabadz_soc_atstumt_mazin_ricibpol_izvertejums_Zinojums.pdf" TargetMode="External"/><Relationship Id="rId161" Type="http://schemas.openxmlformats.org/officeDocument/2006/relationships/hyperlink" Target="https://ec.europa.eu/docsroom/documents/37022/attachments/1/translations/en/renditions/native" TargetMode="External"/><Relationship Id="rId166" Type="http://schemas.openxmlformats.org/officeDocument/2006/relationships/hyperlink" Target="https://ec.europa.eu/social/main.jsp?catId=738&amp;langId=en&amp;pubId=8132&amp;furtherPubs=yes" TargetMode="External"/><Relationship Id="rId182" Type="http://schemas.openxmlformats.org/officeDocument/2006/relationships/hyperlink" Target="http://www.lrvk.gov.lv/revizija/cilvekresursi-veselibas-aprupe/" TargetMode="External"/><Relationship Id="rId187"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image" Target="media/image3.png"/><Relationship Id="rId49" Type="http://schemas.openxmlformats.org/officeDocument/2006/relationships/header" Target="header15.xml"/><Relationship Id="rId114" Type="http://schemas.openxmlformats.org/officeDocument/2006/relationships/image" Target="media/image35.emf"/><Relationship Id="rId119" Type="http://schemas.openxmlformats.org/officeDocument/2006/relationships/image" Target="media/image40.emf"/><Relationship Id="rId44" Type="http://schemas.openxmlformats.org/officeDocument/2006/relationships/image" Target="media/image13.png"/><Relationship Id="rId60" Type="http://schemas.openxmlformats.org/officeDocument/2006/relationships/footer" Target="footer18.xml"/><Relationship Id="rId65" Type="http://schemas.openxmlformats.org/officeDocument/2006/relationships/footer" Target="footer19.xml"/><Relationship Id="rId81" Type="http://schemas.openxmlformats.org/officeDocument/2006/relationships/image" Target="media/image26.emf"/><Relationship Id="rId86" Type="http://schemas.openxmlformats.org/officeDocument/2006/relationships/header" Target="header25.xml"/><Relationship Id="rId130" Type="http://schemas.openxmlformats.org/officeDocument/2006/relationships/header" Target="header42.xml"/><Relationship Id="rId135" Type="http://schemas.openxmlformats.org/officeDocument/2006/relationships/image" Target="media/image42.png"/><Relationship Id="rId151" Type="http://schemas.openxmlformats.org/officeDocument/2006/relationships/hyperlink" Target="https://ec.europa.eu/info/sites/info/files/economy-finance/ip079_en.pdf" TargetMode="External"/><Relationship Id="rId156" Type="http://schemas.openxmlformats.org/officeDocument/2006/relationships/hyperlink" Target="https://ec.europa.eu/social/BlobServlet?docId=21904&amp;langId=en" TargetMode="External"/><Relationship Id="rId177" Type="http://schemas.openxmlformats.org/officeDocument/2006/relationships/hyperlink" Target="https://doi.org/10.1787/6037200a-en" TargetMode="External"/><Relationship Id="rId172" Type="http://schemas.openxmlformats.org/officeDocument/2006/relationships/hyperlink" Target="https://em.gov.lv/lv/nozares_politika/nacionalais_energetikas_un_klimata_plans/" TargetMode="External"/><Relationship Id="rId193"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2.xml"/><Relationship Id="rId109" Type="http://schemas.openxmlformats.org/officeDocument/2006/relationships/footer" Target="footer34.xml"/><Relationship Id="rId34" Type="http://schemas.openxmlformats.org/officeDocument/2006/relationships/image" Target="media/image9.png"/><Relationship Id="rId50" Type="http://schemas.openxmlformats.org/officeDocument/2006/relationships/footer" Target="footer15.xml"/><Relationship Id="rId55" Type="http://schemas.openxmlformats.org/officeDocument/2006/relationships/header" Target="header16.xml"/><Relationship Id="rId76" Type="http://schemas.openxmlformats.org/officeDocument/2006/relationships/footer" Target="footer23.xml"/><Relationship Id="rId97" Type="http://schemas.openxmlformats.org/officeDocument/2006/relationships/footer" Target="footer28.xml"/><Relationship Id="rId104" Type="http://schemas.openxmlformats.org/officeDocument/2006/relationships/footer" Target="footer32.xml"/><Relationship Id="rId120" Type="http://schemas.openxmlformats.org/officeDocument/2006/relationships/header" Target="header37.xml"/><Relationship Id="rId125" Type="http://schemas.openxmlformats.org/officeDocument/2006/relationships/footer" Target="footer39.xml"/><Relationship Id="rId141" Type="http://schemas.openxmlformats.org/officeDocument/2006/relationships/footer" Target="footer43.xml"/><Relationship Id="rId146" Type="http://schemas.openxmlformats.org/officeDocument/2006/relationships/hyperlink" Target="https://ec.europa.eu/taxation_customs/sites/taxation/files/vat-gap-full-report-2019_en.pdf" TargetMode="External"/><Relationship Id="rId167" Type="http://schemas.openxmlformats.org/officeDocument/2006/relationships/hyperlink" Target="https://ec.europa.eu/info/sites/info/files/economy-finance/eb039_en_0.pdf" TargetMode="External"/><Relationship Id="rId188" Type="http://schemas.openxmlformats.org/officeDocument/2006/relationships/header" Target="header47.xml"/><Relationship Id="rId7" Type="http://schemas.openxmlformats.org/officeDocument/2006/relationships/endnotes" Target="endnotes.xml"/><Relationship Id="rId71" Type="http://schemas.openxmlformats.org/officeDocument/2006/relationships/image" Target="media/image22.emf"/><Relationship Id="rId92" Type="http://schemas.openxmlformats.org/officeDocument/2006/relationships/image" Target="media/image31.emf"/><Relationship Id="rId162" Type="http://schemas.openxmlformats.org/officeDocument/2006/relationships/hyperlink" Target="https://nature-art17.eionet.europa.eu/article17/reports2012/habitat/report/?period=5&amp;group=Forests&amp;country=LV&amp;region" TargetMode="External"/><Relationship Id="rId183" Type="http://schemas.openxmlformats.org/officeDocument/2006/relationships/hyperlink" Target="http://www.nva.gov.lv/docs/31_5d399d6d2f8563.07502318.pdf" TargetMode="External"/><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footer" Target="footer8.xml"/><Relationship Id="rId40" Type="http://schemas.openxmlformats.org/officeDocument/2006/relationships/footer" Target="footer12.xml"/><Relationship Id="rId45" Type="http://schemas.openxmlformats.org/officeDocument/2006/relationships/header" Target="header13.xml"/><Relationship Id="rId66" Type="http://schemas.openxmlformats.org/officeDocument/2006/relationships/footer" Target="footer20.xml"/><Relationship Id="rId87" Type="http://schemas.openxmlformats.org/officeDocument/2006/relationships/header" Target="header26.xml"/><Relationship Id="rId110" Type="http://schemas.openxmlformats.org/officeDocument/2006/relationships/footer" Target="footer35.xml"/><Relationship Id="rId115" Type="http://schemas.openxmlformats.org/officeDocument/2006/relationships/image" Target="media/image36.emf"/><Relationship Id="rId131" Type="http://schemas.openxmlformats.org/officeDocument/2006/relationships/footer" Target="footer42.xml"/><Relationship Id="rId136" Type="http://schemas.openxmlformats.org/officeDocument/2006/relationships/image" Target="media/image43.png"/><Relationship Id="rId157" Type="http://schemas.openxmlformats.org/officeDocument/2006/relationships/hyperlink" Target="https://ec.europa.eu/social/main.jsp?catId=738&amp;langId=en&amp;pubId=8219" TargetMode="External"/><Relationship Id="rId178" Type="http://schemas.openxmlformats.org/officeDocument/2006/relationships/hyperlink" Target="https://doi.org/10.1787/19963777" TargetMode="External"/><Relationship Id="rId61" Type="http://schemas.openxmlformats.org/officeDocument/2006/relationships/image" Target="media/image18.emf"/><Relationship Id="rId82" Type="http://schemas.openxmlformats.org/officeDocument/2006/relationships/image" Target="media/image27.emf"/><Relationship Id="rId152" Type="http://schemas.openxmlformats.org/officeDocument/2006/relationships/hyperlink" Target="https://europa.eu/!Qq64ny" TargetMode="External"/><Relationship Id="rId173" Type="http://schemas.openxmlformats.org/officeDocument/2006/relationships/hyperlink" Target="https://fm.gov.lv/files/nodoklupolitika/NA_novertejums_2017_FINAL.docx" TargetMode="External"/><Relationship Id="rId194"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5.emf"/><Relationship Id="rId35" Type="http://schemas.openxmlformats.org/officeDocument/2006/relationships/header" Target="header10.xml"/><Relationship Id="rId56" Type="http://schemas.openxmlformats.org/officeDocument/2006/relationships/header" Target="header17.xml"/><Relationship Id="rId77" Type="http://schemas.openxmlformats.org/officeDocument/2006/relationships/header" Target="header24.xml"/><Relationship Id="rId100" Type="http://schemas.openxmlformats.org/officeDocument/2006/relationships/footer" Target="footer30.xml"/><Relationship Id="rId105" Type="http://schemas.openxmlformats.org/officeDocument/2006/relationships/header" Target="header33.xml"/><Relationship Id="rId126" Type="http://schemas.openxmlformats.org/officeDocument/2006/relationships/header" Target="header40.xml"/><Relationship Id="rId147" Type="http://schemas.openxmlformats.org/officeDocument/2006/relationships/hyperlink" Target="https://www.csb.gov.lv/lv/statistika/statistikas-temas/socialie-procesi/izglitiba/meklet-tema/303-apsekojuma-pieauguso-izglitiba-rezultati-2018" TargetMode="External"/><Relationship Id="rId168" Type="http://schemas.openxmlformats.org/officeDocument/2006/relationships/hyperlink" Target="https://datnes.latvijasbanka.lv/papers/discussion/dp_2_2019-en.pdf" TargetMode="External"/><Relationship Id="rId8" Type="http://schemas.openxmlformats.org/officeDocument/2006/relationships/image" Target="media/image1.emf"/><Relationship Id="rId51" Type="http://schemas.openxmlformats.org/officeDocument/2006/relationships/image" Target="media/image14.emf"/><Relationship Id="rId72" Type="http://schemas.openxmlformats.org/officeDocument/2006/relationships/image" Target="media/image23.jpg"/><Relationship Id="rId93" Type="http://schemas.openxmlformats.org/officeDocument/2006/relationships/image" Target="media/image32.emf"/><Relationship Id="rId98" Type="http://schemas.openxmlformats.org/officeDocument/2006/relationships/footer" Target="footer29.xml"/><Relationship Id="rId121" Type="http://schemas.openxmlformats.org/officeDocument/2006/relationships/header" Target="header38.xml"/><Relationship Id="rId142" Type="http://schemas.openxmlformats.org/officeDocument/2006/relationships/footer" Target="footer44.xml"/><Relationship Id="rId163" Type="http://schemas.openxmlformats.org/officeDocument/2006/relationships/hyperlink" Target="https://eige.europa.eu/publications/gender-equality-index-2019-latvia" TargetMode="External"/><Relationship Id="rId184" Type="http://schemas.openxmlformats.org/officeDocument/2006/relationships/hyperlink" Target="http://www.vdi.gov.lv/files/2018_gada_darbibas_parskats.pdf" TargetMode="External"/><Relationship Id="rId189" Type="http://schemas.openxmlformats.org/officeDocument/2006/relationships/footer" Target="footer46.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eader" Target="header14.xml"/><Relationship Id="rId67" Type="http://schemas.openxmlformats.org/officeDocument/2006/relationships/header" Target="header21.xml"/><Relationship Id="rId116" Type="http://schemas.openxmlformats.org/officeDocument/2006/relationships/image" Target="media/image37.emf"/><Relationship Id="rId137" Type="http://schemas.openxmlformats.org/officeDocument/2006/relationships/image" Target="media/image44.png"/><Relationship Id="rId158" Type="http://schemas.openxmlformats.org/officeDocument/2006/relationships/hyperlink" Target="https://ec.europa.eu/energy/sites/ener/files/documents/necp_factsheet_lv_final.pdf" TargetMode="External"/><Relationship Id="rId20" Type="http://schemas.openxmlformats.org/officeDocument/2006/relationships/footer" Target="footer6.xml"/><Relationship Id="rId41" Type="http://schemas.openxmlformats.org/officeDocument/2006/relationships/image" Target="media/image10.emf"/><Relationship Id="rId62" Type="http://schemas.openxmlformats.org/officeDocument/2006/relationships/image" Target="media/image19.emf"/><Relationship Id="rId83" Type="http://schemas.openxmlformats.org/officeDocument/2006/relationships/image" Target="media/image28.png"/><Relationship Id="rId88" Type="http://schemas.openxmlformats.org/officeDocument/2006/relationships/footer" Target="footer25.xml"/><Relationship Id="rId111" Type="http://schemas.openxmlformats.org/officeDocument/2006/relationships/header" Target="header36.xml"/><Relationship Id="rId132" Type="http://schemas.openxmlformats.org/officeDocument/2006/relationships/hyperlink" Target="https://ec.europa.eu/eurostat/documents/3217494/9940483/KS-02-19-165-EN-N.pdf/1965d8f5-4532-49f9-98ca-5334b0652820" TargetMode="External"/><Relationship Id="rId153" Type="http://schemas.openxmlformats.org/officeDocument/2006/relationships/hyperlink" Target="https://eacea.ec.europa.eu/national-policies/eurydice/sites/eurydice/files/teacher_and_school_head_salaries_2016_17.pdf" TargetMode="External"/><Relationship Id="rId174" Type="http://schemas.openxmlformats.org/officeDocument/2006/relationships/hyperlink" Target="http://www.lm.gov.lv/upload/PP_2018_Final.pdf" TargetMode="External"/><Relationship Id="rId179" Type="http://schemas.openxmlformats.org/officeDocument/2006/relationships/hyperlink" Target="https://doi.org/10.1787/1d0bc92a-en" TargetMode="External"/><Relationship Id="rId190" Type="http://schemas.openxmlformats.org/officeDocument/2006/relationships/footer" Target="footer47.xml"/><Relationship Id="rId15" Type="http://schemas.openxmlformats.org/officeDocument/2006/relationships/header" Target="header4.xml"/><Relationship Id="rId36" Type="http://schemas.openxmlformats.org/officeDocument/2006/relationships/header" Target="header11.xml"/><Relationship Id="rId57" Type="http://schemas.openxmlformats.org/officeDocument/2006/relationships/footer" Target="footer16.xml"/><Relationship Id="rId106" Type="http://schemas.openxmlformats.org/officeDocument/2006/relationships/footer" Target="footer33.xml"/><Relationship Id="rId127" Type="http://schemas.openxmlformats.org/officeDocument/2006/relationships/header" Target="header41.xml"/><Relationship Id="rId10" Type="http://schemas.openxmlformats.org/officeDocument/2006/relationships/header" Target="header2.xml"/><Relationship Id="rId31" Type="http://schemas.openxmlformats.org/officeDocument/2006/relationships/image" Target="media/image6.emf"/><Relationship Id="rId52" Type="http://schemas.openxmlformats.org/officeDocument/2006/relationships/image" Target="media/image15.emf"/><Relationship Id="rId73" Type="http://schemas.openxmlformats.org/officeDocument/2006/relationships/header" Target="header22.xml"/><Relationship Id="rId78" Type="http://schemas.openxmlformats.org/officeDocument/2006/relationships/footer" Target="footer24.xml"/><Relationship Id="rId94" Type="http://schemas.openxmlformats.org/officeDocument/2006/relationships/image" Target="media/image33.png"/><Relationship Id="rId99" Type="http://schemas.openxmlformats.org/officeDocument/2006/relationships/header" Target="header30.xml"/><Relationship Id="rId101" Type="http://schemas.openxmlformats.org/officeDocument/2006/relationships/header" Target="header31.xml"/><Relationship Id="rId122" Type="http://schemas.openxmlformats.org/officeDocument/2006/relationships/footer" Target="footer37.xml"/><Relationship Id="rId143" Type="http://schemas.openxmlformats.org/officeDocument/2006/relationships/header" Target="header45.xml"/><Relationship Id="rId148" Type="http://schemas.openxmlformats.org/officeDocument/2006/relationships/hyperlink" Target="https://www.csb.gov.lv/lv/statistika/statistikas-temas/socialie-procesi/nodarbinatiba/meklet-tema/380-darbaspeka-apsekojuma-galvenie-raditaji" TargetMode="External"/><Relationship Id="rId164" Type="http://schemas.openxmlformats.org/officeDocument/2006/relationships/hyperlink" Target="https://doi.org/10.2867/93527" TargetMode="External"/><Relationship Id="rId169" Type="http://schemas.openxmlformats.org/officeDocument/2006/relationships/hyperlink" Target="https://ec.europa.eu/social/BlobServlet?docId=21621&amp;langId=en" TargetMode="External"/><Relationship Id="rId185" Type="http://schemas.openxmlformats.org/officeDocument/2006/relationships/hyperlink" Target="https://www.swedbank-research.com/english/baltic_housing_affordability_index/2019_q2/hai_q2_2019.pdf"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ec.europa.eu/health/state/country_profiles_en" TargetMode="External"/><Relationship Id="rId26" Type="http://schemas.openxmlformats.org/officeDocument/2006/relationships/footer" Target="footer9.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web/sdi/main-tables" TargetMode="External"/><Relationship Id="rId3" Type="http://schemas.openxmlformats.org/officeDocument/2006/relationships/hyperlink" Target="https://rio.jrc.ec.europa.eu/en/library/specific-support-latvia-final-report-&#8211;-latvian-research-funding-system-0" TargetMode="External"/><Relationship Id="rId7" Type="http://schemas.openxmlformats.org/officeDocument/2006/relationships/hyperlink" Target="https://www.meteo.lv/fs/CKFinderJava/userfiles/files/Vide/Klimats/Majas_lapai_LVGMC_2019_seginvkopsavilkums.pdf" TargetMode="External"/><Relationship Id="rId2" Type="http://schemas.openxmlformats.org/officeDocument/2006/relationships/hyperlink" Target="http://lm.gov.lv/upload/Stat-SU-05112019.pdf" TargetMode="External"/><Relationship Id="rId1" Type="http://schemas.openxmlformats.org/officeDocument/2006/relationships/hyperlink" Target="https://ec.europa.eu/info/sites/info/files/economy-finance/2020_dbp_lv_en.pdf" TargetMode="External"/><Relationship Id="rId6" Type="http://schemas.openxmlformats.org/officeDocument/2006/relationships/hyperlink" Target="https://www.meteo.lv/fs/CKFinderJava/userfiles/files/Vide/Klimats/Majas_lapai_LVGMC_2019_seginvkopsavilkums.pdf__;!!DOxrgLBm!UN7EJbsjlIOuAP_hlV1HxQ7B57uazku8SAxYPEIB11OJnzoQUbK3gcMNOIRMlQ6fWTud-g$" TargetMode="External"/><Relationship Id="rId5" Type="http://schemas.openxmlformats.org/officeDocument/2006/relationships/hyperlink" Target="https://raim.gov.lv/lv/node/38" TargetMode="External"/><Relationship Id="rId4" Type="http://schemas.openxmlformats.org/officeDocument/2006/relationships/hyperlink" Target="https://ec.europa.eu/regional_policy/en/information/maps/regional_competitive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00D0D-36CD-4EF0-A63F-D4D324571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32613</Words>
  <Characters>184596</Characters>
  <Application>Microsoft Office Word</Application>
  <DocSecurity>0</DocSecurity>
  <Lines>4733</Lines>
  <Paragraphs>620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2020-02-22T10:26:00Z</cp:lastPrinted>
  <dcterms:created xsi:type="dcterms:W3CDTF">2020-02-25T14:57:00Z</dcterms:created>
  <dcterms:modified xsi:type="dcterms:W3CDTF">2020-02-25T14:57:00Z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7.0.1, Build 20190916</vt:lpwstr>
  </property>
  <property name="OP_sanitized" fmtid="{D5CDD505-2E9C-101B-9397-08002B2CF9AE}" pid="9">
    <vt:lpwstr>True</vt:lpwstr>
  </property>
</Properties>
</file>