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02F" w:rsidRDefault="00FE3BD8" w:rsidP="00FE3BD8">
      <w:pPr>
        <w:pStyle w:val="Pagedecouverture"/>
        <w:rPr>
          <w:noProof/>
          <w:lang w:val="en-GB"/>
        </w:rPr>
      </w:pPr>
      <w:bookmarkStart w:id="0" w:name="LW_BM_COVERPAGE"/>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35CD1D7-FFCE-4DA2-A402-ADADDC7E798A" style="width:450.85pt;height:371.2pt">
            <v:imagedata r:id="rId13" o:title=""/>
          </v:shape>
        </w:pict>
      </w:r>
    </w:p>
    <w:bookmarkEnd w:id="0"/>
    <w:p w:rsidR="005D702F" w:rsidRDefault="005D702F">
      <w:pPr>
        <w:rPr>
          <w:noProof/>
          <w:lang w:val="en-GB"/>
        </w:rPr>
        <w:sectPr w:rsidR="005D702F" w:rsidSect="00FE3BD8">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rsidR="005D702F" w:rsidRDefault="00FE3BD8">
      <w:pPr>
        <w:jc w:val="both"/>
        <w:rPr>
          <w:rFonts w:ascii="Times New Roman" w:hAnsi="Times New Roman" w:cs="Times New Roman"/>
          <w:noProof/>
          <w:sz w:val="24"/>
          <w:szCs w:val="24"/>
        </w:rPr>
      </w:pPr>
      <w:bookmarkStart w:id="1" w:name="_GoBack"/>
      <w:bookmarkEnd w:id="1"/>
      <w:r>
        <w:rPr>
          <w:rFonts w:ascii="Times New Roman" w:hAnsi="Times New Roman" w:cs="Times New Roman"/>
          <w:noProof/>
          <w:sz w:val="24"/>
          <w:szCs w:val="24"/>
          <w:lang w:val="en-GB"/>
        </w:rPr>
        <w:lastRenderedPageBreak/>
        <w:t xml:space="preserve">Directive 2003/98/EC on the re-use of public sector information (the PSI Directive) aims to make it easier to re-use public sector information (PSI) throughout the EU by harmonising the basic conditions for making PSI available to re-users. </w:t>
      </w:r>
      <w:r>
        <w:rPr>
          <w:rFonts w:ascii="Times New Roman" w:hAnsi="Times New Roman" w:cs="Times New Roman"/>
          <w:noProof/>
          <w:sz w:val="24"/>
          <w:szCs w:val="24"/>
        </w:rPr>
        <w:t>More specifical</w:t>
      </w:r>
      <w:r>
        <w:rPr>
          <w:rFonts w:ascii="Times New Roman" w:hAnsi="Times New Roman" w:cs="Times New Roman"/>
          <w:noProof/>
          <w:sz w:val="24"/>
          <w:szCs w:val="24"/>
        </w:rPr>
        <w:t>ly, its objectives include:</w:t>
      </w:r>
    </w:p>
    <w:p w:rsidR="005D702F" w:rsidRDefault="00FE3BD8">
      <w:pPr>
        <w:pStyle w:val="ListParagraph"/>
        <w:numPr>
          <w:ilvl w:val="0"/>
          <w:numId w:val="54"/>
        </w:numPr>
        <w:spacing w:after="200" w:line="276" w:lineRule="auto"/>
        <w:rPr>
          <w:noProof/>
          <w:szCs w:val="24"/>
        </w:rPr>
      </w:pPr>
      <w:r>
        <w:rPr>
          <w:noProof/>
          <w:szCs w:val="24"/>
        </w:rPr>
        <w:t>improving the development of EU-wide products and services based on PSI;</w:t>
      </w:r>
    </w:p>
    <w:p w:rsidR="005D702F" w:rsidRDefault="00FE3BD8">
      <w:pPr>
        <w:pStyle w:val="ListParagraph"/>
        <w:numPr>
          <w:ilvl w:val="0"/>
          <w:numId w:val="54"/>
        </w:numPr>
        <w:spacing w:after="200" w:line="276" w:lineRule="auto"/>
        <w:rPr>
          <w:noProof/>
          <w:szCs w:val="24"/>
        </w:rPr>
      </w:pPr>
      <w:r>
        <w:rPr>
          <w:noProof/>
          <w:szCs w:val="24"/>
        </w:rPr>
        <w:t>stimulating cross-border re-use of PSI; and</w:t>
      </w:r>
    </w:p>
    <w:p w:rsidR="005D702F" w:rsidRDefault="00FE3BD8">
      <w:pPr>
        <w:pStyle w:val="ListParagraph"/>
        <w:numPr>
          <w:ilvl w:val="0"/>
          <w:numId w:val="54"/>
        </w:numPr>
        <w:spacing w:after="200" w:line="276" w:lineRule="auto"/>
        <w:rPr>
          <w:noProof/>
          <w:szCs w:val="24"/>
        </w:rPr>
      </w:pPr>
      <w:r>
        <w:rPr>
          <w:noProof/>
          <w:szCs w:val="24"/>
        </w:rPr>
        <w:t>preventing distortions of competition on PSI-related markets.</w:t>
      </w:r>
    </w:p>
    <w:p w:rsidR="005D702F" w:rsidRDefault="00FE3BD8">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PSI Directive was amended in July 2013 by Dir</w:t>
      </w:r>
      <w:r>
        <w:rPr>
          <w:rFonts w:ascii="Times New Roman" w:hAnsi="Times New Roman" w:cs="Times New Roman"/>
          <w:noProof/>
          <w:sz w:val="24"/>
          <w:szCs w:val="24"/>
          <w:lang w:val="en-GB"/>
        </w:rPr>
        <w:t>ective 2013/37/EU to address a number of barriers that prevented the full realisation of the benefits of PSI re-use. This was done by (i) extending the scope of application to the cultural sector; (ii) laying down the principle of charging at maximum the m</w:t>
      </w:r>
      <w:r>
        <w:rPr>
          <w:rFonts w:ascii="Times New Roman" w:hAnsi="Times New Roman" w:cs="Times New Roman"/>
          <w:noProof/>
          <w:sz w:val="24"/>
          <w:szCs w:val="24"/>
          <w:lang w:val="en-GB"/>
        </w:rPr>
        <w:t>arginal dissemination costs; and (iii) including a recommendation that public sector bodies should, as far as possible, make PSI available in open and machine-readable formats.</w:t>
      </w:r>
    </w:p>
    <w:p w:rsidR="005D702F" w:rsidRDefault="00FE3BD8">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This REFIT evaluation has been carried out to fulfil the periodic review obliga</w:t>
      </w:r>
      <w:r>
        <w:rPr>
          <w:rFonts w:ascii="Times New Roman" w:hAnsi="Times New Roman" w:cs="Times New Roman"/>
          <w:noProof/>
          <w:sz w:val="24"/>
          <w:szCs w:val="24"/>
          <w:lang w:val="en-GB"/>
        </w:rPr>
        <w:t xml:space="preserve">tion contained in Article 13(1) of the PSI Directive, which stipulates that </w:t>
      </w:r>
      <w:r>
        <w:rPr>
          <w:rFonts w:ascii="Times New Roman" w:hAnsi="Times New Roman" w:cs="Times New Roman"/>
          <w:i/>
          <w:noProof/>
          <w:sz w:val="24"/>
          <w:szCs w:val="24"/>
          <w:lang w:val="en-GB"/>
        </w:rPr>
        <w:t>‘the Commission shall carry out a review of the application of this Directive before 18 July 2018’.</w:t>
      </w:r>
      <w:r>
        <w:rPr>
          <w:rFonts w:ascii="Times New Roman" w:hAnsi="Times New Roman" w:cs="Times New Roman"/>
          <w:noProof/>
          <w:sz w:val="24"/>
          <w:szCs w:val="24"/>
          <w:lang w:val="en-GB"/>
        </w:rPr>
        <w:t xml:space="preserve"> At the same time, it will help fulfil the goals of the</w:t>
      </w:r>
      <w:r>
        <w:rPr>
          <w:noProof/>
          <w:lang w:val="en-GB"/>
        </w:rPr>
        <w:t xml:space="preserve"> </w:t>
      </w:r>
      <w:r>
        <w:rPr>
          <w:rFonts w:ascii="Times New Roman" w:hAnsi="Times New Roman" w:cs="Times New Roman"/>
          <w:noProof/>
          <w:sz w:val="24"/>
          <w:szCs w:val="24"/>
          <w:lang w:val="en-GB"/>
        </w:rPr>
        <w:t>digital single market (DS</w:t>
      </w:r>
      <w:r>
        <w:rPr>
          <w:rFonts w:ascii="Times New Roman" w:hAnsi="Times New Roman" w:cs="Times New Roman"/>
          <w:noProof/>
          <w:sz w:val="24"/>
          <w:szCs w:val="24"/>
          <w:lang w:val="en-GB"/>
        </w:rPr>
        <w:t xml:space="preserve">M) strategy in the field of the data economy. In the May 2017 mid-term review of the DSM strategy, the Commission announced that it would, </w:t>
      </w:r>
      <w:r>
        <w:rPr>
          <w:rFonts w:ascii="Times New Roman" w:hAnsi="Times New Roman" w:cs="Times New Roman"/>
          <w:i/>
          <w:noProof/>
          <w:sz w:val="24"/>
          <w:szCs w:val="24"/>
          <w:lang w:val="en-GB"/>
        </w:rPr>
        <w:t>‘in spring 2018, based on an evaluation of existing legislation and subject to an Impact Assessment, prepare an initi</w:t>
      </w:r>
      <w:r>
        <w:rPr>
          <w:rFonts w:ascii="Times New Roman" w:hAnsi="Times New Roman" w:cs="Times New Roman"/>
          <w:i/>
          <w:noProof/>
          <w:sz w:val="24"/>
          <w:szCs w:val="24"/>
          <w:lang w:val="en-GB"/>
        </w:rPr>
        <w:t>ative on accessibility and re-use of public and publicly funded data and further explore the issue of privately held data which are of public interest’</w:t>
      </w:r>
      <w:r>
        <w:rPr>
          <w:rFonts w:ascii="Times New Roman" w:hAnsi="Times New Roman" w:cs="Times New Roman"/>
          <w:noProof/>
          <w:sz w:val="24"/>
          <w:szCs w:val="24"/>
          <w:lang w:val="en-GB"/>
        </w:rPr>
        <w:t>.</w:t>
      </w:r>
    </w:p>
    <w:p w:rsidR="005D702F" w:rsidRDefault="00FE3BD8">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Under this commitment, the evaluation</w:t>
      </w:r>
      <w:r>
        <w:rPr>
          <w:rStyle w:val="FootnoteReference"/>
          <w:rFonts w:ascii="Times New Roman" w:hAnsi="Times New Roman" w:cs="Times New Roman"/>
          <w:noProof/>
          <w:szCs w:val="24"/>
          <w:lang w:val="en-GB"/>
        </w:rPr>
        <w:footnoteReference w:id="2"/>
      </w:r>
      <w:r>
        <w:rPr>
          <w:rFonts w:ascii="Times New Roman" w:hAnsi="Times New Roman" w:cs="Times New Roman"/>
          <w:noProof/>
          <w:sz w:val="24"/>
          <w:szCs w:val="24"/>
          <w:lang w:val="en-GB"/>
        </w:rPr>
        <w:t xml:space="preserve"> has been carried out back-to-back with the impact assessment on policy options for the future of the PSI Directive</w:t>
      </w:r>
      <w:r>
        <w:rPr>
          <w:rStyle w:val="FootnoteReference"/>
          <w:rFonts w:ascii="Times New Roman" w:hAnsi="Times New Roman" w:cs="Times New Roman"/>
          <w:noProof/>
          <w:szCs w:val="24"/>
          <w:lang w:val="en-GB"/>
        </w:rPr>
        <w:footnoteReference w:id="3"/>
      </w:r>
      <w:r>
        <w:rPr>
          <w:rFonts w:ascii="Times New Roman" w:hAnsi="Times New Roman" w:cs="Times New Roman"/>
          <w:noProof/>
          <w:sz w:val="24"/>
          <w:szCs w:val="24"/>
          <w:lang w:val="en-GB"/>
        </w:rPr>
        <w:t>. The conclusions of this evaluation have — where relevant — fed into the impact assessment.</w:t>
      </w:r>
    </w:p>
    <w:p w:rsidR="005D702F" w:rsidRDefault="00FE3BD8">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 broad set of data sources were used to perfor</w:t>
      </w:r>
      <w:r>
        <w:rPr>
          <w:rFonts w:ascii="Times New Roman" w:hAnsi="Times New Roman" w:cs="Times New Roman"/>
          <w:noProof/>
          <w:sz w:val="24"/>
          <w:szCs w:val="24"/>
          <w:lang w:val="en-GB"/>
        </w:rPr>
        <w:t>m this evaluation, including a study commissioned to support the review of the PSI Directive</w:t>
      </w:r>
      <w:r>
        <w:rPr>
          <w:rStyle w:val="FootnoteReference"/>
          <w:rFonts w:ascii="Times New Roman" w:hAnsi="Times New Roman" w:cs="Times New Roman"/>
          <w:noProof/>
          <w:szCs w:val="24"/>
          <w:lang w:val="en-GB"/>
        </w:rPr>
        <w:footnoteReference w:id="4"/>
      </w:r>
      <w:r>
        <w:rPr>
          <w:rFonts w:ascii="Times New Roman" w:hAnsi="Times New Roman" w:cs="Times New Roman"/>
          <w:noProof/>
          <w:sz w:val="24"/>
          <w:szCs w:val="24"/>
          <w:lang w:val="en-GB"/>
        </w:rPr>
        <w:t xml:space="preserve"> and the findings of the 2017 Open Data Maturity in Europe Report from the European Data Portal</w:t>
      </w:r>
      <w:r>
        <w:rPr>
          <w:rStyle w:val="FootnoteReference"/>
          <w:rFonts w:ascii="Times New Roman" w:hAnsi="Times New Roman" w:cs="Times New Roman"/>
          <w:noProof/>
          <w:szCs w:val="24"/>
          <w:lang w:val="en-GB"/>
        </w:rPr>
        <w:footnoteReference w:id="5"/>
      </w:r>
      <w:r>
        <w:rPr>
          <w:rFonts w:ascii="Times New Roman" w:hAnsi="Times New Roman" w:cs="Times New Roman"/>
          <w:noProof/>
          <w:sz w:val="24"/>
          <w:szCs w:val="24"/>
          <w:lang w:val="en-GB"/>
        </w:rPr>
        <w:t>. Input was also gathered from the Member States and broad stakehol</w:t>
      </w:r>
      <w:r>
        <w:rPr>
          <w:rFonts w:ascii="Times New Roman" w:hAnsi="Times New Roman" w:cs="Times New Roman"/>
          <w:noProof/>
          <w:sz w:val="24"/>
          <w:szCs w:val="24"/>
          <w:lang w:val="en-GB"/>
        </w:rPr>
        <w:t>der consultations were organised, including a public online consultation, numerous workshops and a public hearing.</w:t>
      </w:r>
    </w:p>
    <w:p w:rsidR="005D702F" w:rsidRDefault="00FE3BD8">
      <w:pPr>
        <w:jc w:val="both"/>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In line with the Commission’s Better regulation guidelines, the Directive has been subject to an overall assessment as well as to a more spec</w:t>
      </w:r>
      <w:r>
        <w:rPr>
          <w:rFonts w:ascii="Times New Roman" w:eastAsia="Times New Roman" w:hAnsi="Times New Roman" w:cs="Times New Roman"/>
          <w:noProof/>
          <w:sz w:val="24"/>
          <w:szCs w:val="24"/>
          <w:lang w:val="en-GB"/>
        </w:rPr>
        <w:t xml:space="preserve">ific evaluation process against the following </w:t>
      </w:r>
      <w:r>
        <w:rPr>
          <w:rFonts w:ascii="Times New Roman" w:eastAsia="Times New Roman" w:hAnsi="Times New Roman" w:cs="Times New Roman"/>
          <w:noProof/>
          <w:sz w:val="24"/>
          <w:szCs w:val="24"/>
          <w:lang w:val="en-GB"/>
        </w:rPr>
        <w:lastRenderedPageBreak/>
        <w:t>five criteria: effectiveness, efficiency, relevance, coherence and EU added-value. The evaluation covered the overall functioning of the Directive, with particular focus on the changes introduced in 2013.</w:t>
      </w:r>
    </w:p>
    <w:p w:rsidR="005D702F" w:rsidRDefault="00FE3BD8">
      <w:pPr>
        <w:jc w:val="both"/>
        <w:rPr>
          <w:rFonts w:ascii="Times New Roman" w:hAnsi="Times New Roman" w:cs="Times New Roman"/>
          <w:noProof/>
          <w:sz w:val="24"/>
          <w:szCs w:val="24"/>
          <w:lang w:val="en-GB"/>
        </w:rPr>
      </w:pPr>
      <w:r>
        <w:rPr>
          <w:rFonts w:ascii="Times New Roman" w:hAnsi="Times New Roman" w:cs="Times New Roman"/>
          <w:b/>
          <w:noProof/>
          <w:sz w:val="24"/>
          <w:szCs w:val="24"/>
          <w:lang w:val="en-GB"/>
        </w:rPr>
        <w:t>Effectiveness:</w:t>
      </w:r>
      <w:r>
        <w:rPr>
          <w:rFonts w:ascii="Times New Roman" w:hAnsi="Times New Roman" w:cs="Times New Roman"/>
          <w:noProof/>
          <w:sz w:val="24"/>
          <w:szCs w:val="24"/>
          <w:lang w:val="en-GB"/>
        </w:rPr>
        <w:t xml:space="preserve"> Generally speaking, the PSI Directive has been effective in achieving its objectives of (i) ensuring fairer competition in the digital single market; (ii) enabling the creation of new jobs and services; and (iii) to a lesser extent, enhancin</w:t>
      </w:r>
      <w:r>
        <w:rPr>
          <w:rFonts w:ascii="Times New Roman" w:hAnsi="Times New Roman" w:cs="Times New Roman"/>
          <w:noProof/>
          <w:sz w:val="24"/>
          <w:szCs w:val="24"/>
          <w:lang w:val="en-GB"/>
        </w:rPr>
        <w:t>g the effective cross-border use of PSI by businesses. The 2013 changes have also been effective, in particular on charging and data formats. However, the Directive has not yet reached its full potential and a few (and sometimes new) challenges exist, such</w:t>
      </w:r>
      <w:r>
        <w:rPr>
          <w:rFonts w:ascii="Times New Roman" w:hAnsi="Times New Roman" w:cs="Times New Roman"/>
          <w:noProof/>
          <w:sz w:val="24"/>
          <w:szCs w:val="24"/>
          <w:lang w:val="en-GB"/>
        </w:rPr>
        <w:t xml:space="preserve"> as PSI data lock-in resulting from new types of partnerships between public sector bodies and private companies.</w:t>
      </w:r>
    </w:p>
    <w:p w:rsidR="005D702F" w:rsidRDefault="00FE3BD8">
      <w:pPr>
        <w:jc w:val="both"/>
        <w:rPr>
          <w:rFonts w:ascii="Times New Roman" w:hAnsi="Times New Roman" w:cs="Times New Roman"/>
          <w:noProof/>
          <w:sz w:val="24"/>
          <w:szCs w:val="24"/>
          <w:lang w:val="en-GB"/>
        </w:rPr>
      </w:pPr>
      <w:r>
        <w:rPr>
          <w:rFonts w:ascii="Times New Roman" w:hAnsi="Times New Roman" w:cs="Times New Roman"/>
          <w:b/>
          <w:noProof/>
          <w:sz w:val="24"/>
          <w:szCs w:val="24"/>
          <w:lang w:val="en-GB"/>
        </w:rPr>
        <w:t xml:space="preserve">Efficiency: </w:t>
      </w:r>
      <w:r>
        <w:rPr>
          <w:rFonts w:ascii="Times New Roman" w:hAnsi="Times New Roman" w:cs="Times New Roman"/>
          <w:noProof/>
          <w:sz w:val="24"/>
          <w:szCs w:val="24"/>
          <w:lang w:val="en-GB"/>
        </w:rPr>
        <w:t>There is an overall positive balance between the costs and the (quantitative and qualitative) benefits of the PSI Directive. It is</w:t>
      </w:r>
      <w:r>
        <w:rPr>
          <w:rFonts w:ascii="Times New Roman" w:hAnsi="Times New Roman" w:cs="Times New Roman"/>
          <w:noProof/>
          <w:sz w:val="24"/>
          <w:szCs w:val="24"/>
          <w:lang w:val="en-GB"/>
        </w:rPr>
        <w:t xml:space="preserve"> too early to draw conclusions on how efficient the 2013 extension to the cultural institutions has been.</w:t>
      </w:r>
    </w:p>
    <w:p w:rsidR="005D702F" w:rsidRDefault="00FE3BD8">
      <w:pPr>
        <w:jc w:val="both"/>
        <w:rPr>
          <w:rFonts w:ascii="Times New Roman" w:hAnsi="Times New Roman" w:cs="Times New Roman"/>
          <w:noProof/>
          <w:sz w:val="24"/>
          <w:szCs w:val="24"/>
          <w:lang w:val="en-GB"/>
        </w:rPr>
      </w:pPr>
      <w:r>
        <w:rPr>
          <w:rFonts w:ascii="Times New Roman" w:hAnsi="Times New Roman" w:cs="Times New Roman"/>
          <w:b/>
          <w:noProof/>
          <w:sz w:val="24"/>
          <w:szCs w:val="24"/>
          <w:lang w:val="en-GB"/>
        </w:rPr>
        <w:t>Relevance:</w:t>
      </w:r>
      <w:r>
        <w:rPr>
          <w:rFonts w:ascii="Times New Roman" w:hAnsi="Times New Roman" w:cs="Times New Roman"/>
          <w:noProof/>
          <w:sz w:val="24"/>
          <w:szCs w:val="24"/>
          <w:lang w:val="en-GB"/>
        </w:rPr>
        <w:t xml:space="preserve"> The PSI Directive has retained its relevance to stakeholders’ needs. However, emerging trends such as the growing significance of dynamic d</w:t>
      </w:r>
      <w:r>
        <w:rPr>
          <w:rFonts w:ascii="Times New Roman" w:hAnsi="Times New Roman" w:cs="Times New Roman"/>
          <w:noProof/>
          <w:sz w:val="24"/>
          <w:szCs w:val="24"/>
          <w:lang w:val="en-GB"/>
        </w:rPr>
        <w:t>ata and Member States’ measures designed to increase the availability of data in new areas not covered by the Directive (e.g. data from public undertakings in utility domains) might have an impact on its relevance for the future.</w:t>
      </w:r>
    </w:p>
    <w:p w:rsidR="005D702F" w:rsidRDefault="00FE3BD8">
      <w:pPr>
        <w:jc w:val="both"/>
        <w:rPr>
          <w:rFonts w:ascii="Times New Roman" w:hAnsi="Times New Roman" w:cs="Times New Roman"/>
          <w:noProof/>
          <w:sz w:val="24"/>
          <w:szCs w:val="24"/>
          <w:lang w:val="en-GB"/>
        </w:rPr>
      </w:pPr>
      <w:r>
        <w:rPr>
          <w:rFonts w:ascii="Times New Roman" w:hAnsi="Times New Roman" w:cs="Times New Roman"/>
          <w:b/>
          <w:noProof/>
          <w:sz w:val="24"/>
          <w:szCs w:val="24"/>
          <w:lang w:val="en-GB"/>
        </w:rPr>
        <w:t>Coherence:</w:t>
      </w:r>
      <w:r>
        <w:rPr>
          <w:rFonts w:ascii="Times New Roman" w:hAnsi="Times New Roman" w:cs="Times New Roman"/>
          <w:noProof/>
          <w:sz w:val="24"/>
          <w:szCs w:val="24"/>
          <w:lang w:val="en-GB"/>
        </w:rPr>
        <w:t xml:space="preserve"> Generally speak</w:t>
      </w:r>
      <w:r>
        <w:rPr>
          <w:rFonts w:ascii="Times New Roman" w:hAnsi="Times New Roman" w:cs="Times New Roman"/>
          <w:noProof/>
          <w:sz w:val="24"/>
          <w:szCs w:val="24"/>
          <w:lang w:val="en-GB"/>
        </w:rPr>
        <w:t>ing, the PSI Directive is consistent with other relevant EU legislation. Nevertheless, a technical update clarifying in particular the relationship with the Database Directive and the INSPIRE Directive may be useful.</w:t>
      </w:r>
    </w:p>
    <w:p w:rsidR="005D702F" w:rsidRDefault="00FE3BD8">
      <w:pPr>
        <w:jc w:val="both"/>
        <w:rPr>
          <w:rFonts w:ascii="Times New Roman" w:hAnsi="Times New Roman" w:cs="Times New Roman"/>
          <w:noProof/>
          <w:sz w:val="24"/>
          <w:szCs w:val="24"/>
          <w:lang w:val="en-GB"/>
        </w:rPr>
      </w:pPr>
      <w:r>
        <w:rPr>
          <w:rFonts w:ascii="Times New Roman" w:hAnsi="Times New Roman" w:cs="Times New Roman"/>
          <w:b/>
          <w:noProof/>
          <w:sz w:val="24"/>
          <w:szCs w:val="24"/>
          <w:lang w:val="en-GB"/>
        </w:rPr>
        <w:t>EU-added value:</w:t>
      </w:r>
      <w:r>
        <w:rPr>
          <w:rFonts w:ascii="Times New Roman" w:hAnsi="Times New Roman" w:cs="Times New Roman"/>
          <w:noProof/>
          <w:sz w:val="24"/>
          <w:szCs w:val="24"/>
          <w:lang w:val="en-GB"/>
        </w:rPr>
        <w:t xml:space="preserve"> The overall EU added va</w:t>
      </w:r>
      <w:r>
        <w:rPr>
          <w:rFonts w:ascii="Times New Roman" w:hAnsi="Times New Roman" w:cs="Times New Roman"/>
          <w:noProof/>
          <w:sz w:val="24"/>
          <w:szCs w:val="24"/>
          <w:lang w:val="en-GB"/>
        </w:rPr>
        <w:t>lue of the instrument is unequivocal, although it is stronger for specific aspects of PSI re-use (charging) than for others (cultural data and formats).</w:t>
      </w:r>
    </w:p>
    <w:p w:rsidR="005D702F" w:rsidRDefault="00FE3BD8">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conclusion, the overall evaluation of the PSI Directive, including the changes introduced in 2013, h</w:t>
      </w:r>
      <w:r>
        <w:rPr>
          <w:rFonts w:ascii="Times New Roman" w:hAnsi="Times New Roman" w:cs="Times New Roman"/>
          <w:noProof/>
          <w:sz w:val="24"/>
          <w:szCs w:val="24"/>
          <w:lang w:val="en-GB"/>
        </w:rPr>
        <w:t>as shown that it continues to be an effective, efficient and relevant instrument that successfully contributes to the achievement of its main objectives. Although the PSI Directive creates a certain number of obligations for public sector bodies, it does n</w:t>
      </w:r>
      <w:r>
        <w:rPr>
          <w:rFonts w:ascii="Times New Roman" w:hAnsi="Times New Roman" w:cs="Times New Roman"/>
          <w:noProof/>
          <w:sz w:val="24"/>
          <w:szCs w:val="24"/>
          <w:lang w:val="en-GB"/>
        </w:rPr>
        <w:t>ot impose a disproportionate burden on them. Re-users, on the other hand, have benefited from the substantial simplification of the procedures for obtaining PSI access, which helps them save time and money.</w:t>
      </w:r>
    </w:p>
    <w:p w:rsidR="005D702F" w:rsidRDefault="00FE3BD8">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However, the evaluation has also revealed that th</w:t>
      </w:r>
      <w:r>
        <w:rPr>
          <w:rFonts w:ascii="Times New Roman" w:hAnsi="Times New Roman" w:cs="Times New Roman"/>
          <w:noProof/>
          <w:sz w:val="24"/>
          <w:szCs w:val="24"/>
          <w:lang w:val="en-GB"/>
        </w:rPr>
        <w:t>ere are a number of challenges that would need to be addressed in order to fully exploit the potential of PSI for the EU economy and society. They include (i) making it easier to re-use dynamic data; (ii) unlocking high-value public data that currently rem</w:t>
      </w:r>
      <w:r>
        <w:rPr>
          <w:rFonts w:ascii="Times New Roman" w:hAnsi="Times New Roman" w:cs="Times New Roman"/>
          <w:noProof/>
          <w:sz w:val="24"/>
          <w:szCs w:val="24"/>
          <w:lang w:val="en-GB"/>
        </w:rPr>
        <w:t xml:space="preserve">ains outside the scope of the Directive (scientific data, data from public undertakings in utility domains); (iii) addressing PSI data lock-in; (iv) limiting the use of exceptions that allow public sector bodies to charge above marginal costs; and (v) </w:t>
      </w:r>
      <w:r>
        <w:rPr>
          <w:rFonts w:ascii="Times New Roman" w:hAnsi="Times New Roman" w:cs="Times New Roman"/>
          <w:noProof/>
          <w:sz w:val="24"/>
          <w:szCs w:val="24"/>
          <w:lang w:val="en-GB"/>
        </w:rPr>
        <w:lastRenderedPageBreak/>
        <w:t>clar</w:t>
      </w:r>
      <w:r>
        <w:rPr>
          <w:rFonts w:ascii="Times New Roman" w:hAnsi="Times New Roman" w:cs="Times New Roman"/>
          <w:noProof/>
          <w:sz w:val="24"/>
          <w:szCs w:val="24"/>
          <w:lang w:val="en-GB"/>
        </w:rPr>
        <w:t>ifying some aspects of the interplay between the PSI Directive and the Database and INSPIRE Directives.</w:t>
      </w:r>
    </w:p>
    <w:sectPr w:rsidR="005D702F">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6EDC80" w15:done="0"/>
  <w15:commentEx w15:paraId="7F48BC78" w15:done="0"/>
  <w15:commentEx w15:paraId="5EB31D17" w15:done="0"/>
  <w15:commentEx w15:paraId="28C2D835" w15:done="0"/>
  <w15:commentEx w15:paraId="70CE75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02F" w:rsidRDefault="00FE3BD8">
      <w:pPr>
        <w:spacing w:after="0" w:line="240" w:lineRule="auto"/>
      </w:pPr>
      <w:r>
        <w:separator/>
      </w:r>
    </w:p>
  </w:endnote>
  <w:endnote w:type="continuationSeparator" w:id="0">
    <w:p w:rsidR="005D702F" w:rsidRDefault="00FE3BD8">
      <w:pPr>
        <w:spacing w:after="0" w:line="240" w:lineRule="auto"/>
      </w:pPr>
      <w:r>
        <w:continuationSeparator/>
      </w:r>
    </w:p>
  </w:endnote>
  <w:endnote w:type="continuationNotice" w:id="1">
    <w:p w:rsidR="005D702F" w:rsidRDefault="005D7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BD8" w:rsidRPr="00FE3BD8" w:rsidRDefault="00FE3BD8" w:rsidP="00FE3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BD8" w:rsidRPr="00FE3BD8" w:rsidRDefault="00FE3BD8" w:rsidP="00FE3BD8">
    <w:pPr>
      <w:pStyle w:val="FooterCoverPage"/>
      <w:rPr>
        <w:rFonts w:ascii="Arial" w:hAnsi="Arial" w:cs="Arial"/>
        <w:b/>
        <w:sz w:val="48"/>
      </w:rPr>
    </w:pPr>
    <w:r w:rsidRPr="00FE3BD8">
      <w:rPr>
        <w:rFonts w:ascii="Arial" w:hAnsi="Arial" w:cs="Arial"/>
        <w:b/>
        <w:sz w:val="48"/>
      </w:rPr>
      <w:t>EN</w:t>
    </w:r>
    <w:r w:rsidRPr="00FE3BD8">
      <w:rPr>
        <w:rFonts w:ascii="Arial" w:hAnsi="Arial" w:cs="Arial"/>
        <w:b/>
        <w:sz w:val="48"/>
      </w:rPr>
      <w:tab/>
    </w:r>
    <w:r w:rsidRPr="00FE3BD8">
      <w:rPr>
        <w:rFonts w:ascii="Arial" w:hAnsi="Arial" w:cs="Arial"/>
        <w:b/>
        <w:sz w:val="48"/>
      </w:rPr>
      <w:tab/>
    </w:r>
    <w:r w:rsidRPr="00FE3BD8">
      <w:tab/>
    </w:r>
    <w:r w:rsidRPr="00FE3BD8">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BD8" w:rsidRPr="00FE3BD8" w:rsidRDefault="00FE3BD8" w:rsidP="00FE3BD8">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2F" w:rsidRDefault="005D702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418181"/>
      <w:docPartObj>
        <w:docPartGallery w:val="Page Numbers (Bottom of Page)"/>
        <w:docPartUnique/>
      </w:docPartObj>
    </w:sdtPr>
    <w:sdtEndPr>
      <w:rPr>
        <w:noProof/>
      </w:rPr>
    </w:sdtEndPr>
    <w:sdtContent>
      <w:p w:rsidR="005D702F" w:rsidRDefault="00FE3BD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D702F" w:rsidRDefault="005D702F">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2F" w:rsidRDefault="005D70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02F" w:rsidRDefault="00FE3BD8">
      <w:pPr>
        <w:spacing w:after="0" w:line="240" w:lineRule="auto"/>
      </w:pPr>
      <w:r>
        <w:separator/>
      </w:r>
    </w:p>
  </w:footnote>
  <w:footnote w:type="continuationSeparator" w:id="0">
    <w:p w:rsidR="005D702F" w:rsidRDefault="00FE3BD8">
      <w:pPr>
        <w:spacing w:after="0" w:line="240" w:lineRule="auto"/>
      </w:pPr>
      <w:r>
        <w:continuationSeparator/>
      </w:r>
    </w:p>
  </w:footnote>
  <w:footnote w:type="continuationNotice" w:id="1">
    <w:p w:rsidR="005D702F" w:rsidRDefault="005D702F">
      <w:pPr>
        <w:spacing w:after="0" w:line="240" w:lineRule="auto"/>
      </w:pPr>
    </w:p>
  </w:footnote>
  <w:footnote w:id="2">
    <w:p w:rsidR="005D702F" w:rsidRDefault="00FE3BD8">
      <w:pPr>
        <w:pStyle w:val="FootnoteText"/>
        <w:spacing w:after="0"/>
      </w:pPr>
      <w:r>
        <w:rPr>
          <w:rStyle w:val="FootnoteReference"/>
        </w:rPr>
        <w:footnoteRef/>
      </w:r>
      <w:r>
        <w:t xml:space="preserve"> </w:t>
      </w:r>
      <w:r>
        <w:tab/>
        <w:t>SWD(2018) 145.</w:t>
      </w:r>
    </w:p>
  </w:footnote>
  <w:footnote w:id="3">
    <w:p w:rsidR="005D702F" w:rsidRDefault="00FE3BD8">
      <w:pPr>
        <w:pStyle w:val="FootnoteText"/>
        <w:spacing w:after="0"/>
      </w:pPr>
      <w:r>
        <w:rPr>
          <w:rStyle w:val="FootnoteReference"/>
        </w:rPr>
        <w:footnoteRef/>
      </w:r>
      <w:r>
        <w:t xml:space="preserve"> </w:t>
      </w:r>
      <w:r>
        <w:tab/>
        <w:t>SWD(2018) 127.</w:t>
      </w:r>
    </w:p>
  </w:footnote>
  <w:footnote w:id="4">
    <w:p w:rsidR="005D702F" w:rsidRDefault="00FE3BD8">
      <w:pPr>
        <w:pStyle w:val="FootnoteText"/>
        <w:spacing w:after="0"/>
      </w:pPr>
      <w:r>
        <w:rPr>
          <w:rStyle w:val="FootnoteReference"/>
        </w:rPr>
        <w:footnoteRef/>
      </w:r>
      <w:r>
        <w:t xml:space="preserve"> </w:t>
      </w:r>
      <w:r>
        <w:tab/>
        <w:t xml:space="preserve">Impact Assessment Support Study, Deloitte, SMART 2017/0061: </w:t>
      </w:r>
      <w:hyperlink r:id="rId1" w:history="1">
        <w:r>
          <w:t>https://ec.europa.eu/digital-single-market/news-redirect/623420</w:t>
        </w:r>
      </w:hyperlink>
      <w:r>
        <w:t xml:space="preserve">  </w:t>
      </w:r>
    </w:p>
  </w:footnote>
  <w:footnote w:id="5">
    <w:p w:rsidR="005D702F" w:rsidRDefault="00FE3BD8">
      <w:pPr>
        <w:pStyle w:val="FootnoteText"/>
        <w:spacing w:after="0"/>
      </w:pPr>
      <w:r>
        <w:rPr>
          <w:rStyle w:val="FootnoteReference"/>
        </w:rPr>
        <w:footnoteRef/>
      </w:r>
      <w:r>
        <w:t xml:space="preserve"> </w:t>
      </w:r>
      <w:r>
        <w:tab/>
      </w:r>
      <w:hyperlink r:id="rId2" w:history="1">
        <w:r>
          <w:rPr>
            <w:rStyle w:val="Hyperlink"/>
          </w:rPr>
          <w:t>https://www.europeandataportal.eu/sites/default/files/edp_landscaping_insight_report_n3_2017.pdf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BD8" w:rsidRPr="00FE3BD8" w:rsidRDefault="00FE3BD8" w:rsidP="00FE3B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BD8" w:rsidRPr="00FE3BD8" w:rsidRDefault="00FE3BD8" w:rsidP="00FE3BD8">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BD8" w:rsidRPr="00FE3BD8" w:rsidRDefault="00FE3BD8" w:rsidP="00FE3BD8">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2F" w:rsidRDefault="005D702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2F" w:rsidRDefault="005D702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2F" w:rsidRDefault="005D70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28F"/>
    <w:multiLevelType w:val="hybridMultilevel"/>
    <w:tmpl w:val="8014F616"/>
    <w:lvl w:ilvl="0" w:tplc="59742F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C76D3"/>
    <w:multiLevelType w:val="hybridMultilevel"/>
    <w:tmpl w:val="C008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46939"/>
    <w:multiLevelType w:val="hybridMultilevel"/>
    <w:tmpl w:val="0EE8197C"/>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nsid w:val="0A7842BC"/>
    <w:multiLevelType w:val="hybridMultilevel"/>
    <w:tmpl w:val="4A0884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nsid w:val="0B9A48D2"/>
    <w:multiLevelType w:val="hybridMultilevel"/>
    <w:tmpl w:val="E59C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C46A9D"/>
    <w:multiLevelType w:val="hybridMultilevel"/>
    <w:tmpl w:val="8EC24902"/>
    <w:lvl w:ilvl="0" w:tplc="872E674A">
      <w:start w:val="1"/>
      <w:numFmt w:val="bullet"/>
      <w:lvlText w:val=""/>
      <w:lvlJc w:val="left"/>
      <w:pPr>
        <w:ind w:left="720" w:hanging="360"/>
      </w:pPr>
      <w:rPr>
        <w:rFonts w:ascii="Symbol" w:hAnsi="Symbol" w:hint="default"/>
        <w:color w:val="4F81BD" w:themeColor="accent1"/>
      </w:rPr>
    </w:lvl>
    <w:lvl w:ilvl="1" w:tplc="872E674A">
      <w:start w:val="1"/>
      <w:numFmt w:val="bullet"/>
      <w:lvlText w:val=""/>
      <w:lvlJc w:val="left"/>
      <w:pPr>
        <w:ind w:left="1440" w:hanging="360"/>
      </w:pPr>
      <w:rPr>
        <w:rFonts w:ascii="Symbol" w:hAnsi="Symbol" w:hint="default"/>
        <w:color w:val="4F81BD"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A58AF"/>
    <w:multiLevelType w:val="hybridMultilevel"/>
    <w:tmpl w:val="FB34B27E"/>
    <w:lvl w:ilvl="0" w:tplc="872E674A">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11B43"/>
    <w:multiLevelType w:val="hybridMultilevel"/>
    <w:tmpl w:val="1C50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A24E7A"/>
    <w:multiLevelType w:val="hybridMultilevel"/>
    <w:tmpl w:val="B4386BF2"/>
    <w:lvl w:ilvl="0" w:tplc="C554B40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073007"/>
    <w:multiLevelType w:val="hybridMultilevel"/>
    <w:tmpl w:val="4D52BFF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186920A3"/>
    <w:multiLevelType w:val="hybridMultilevel"/>
    <w:tmpl w:val="8268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F94DC0"/>
    <w:multiLevelType w:val="hybridMultilevel"/>
    <w:tmpl w:val="CA28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903335"/>
    <w:multiLevelType w:val="hybridMultilevel"/>
    <w:tmpl w:val="9088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734306"/>
    <w:multiLevelType w:val="multilevel"/>
    <w:tmpl w:val="D266108E"/>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6D97D83"/>
    <w:multiLevelType w:val="hybridMultilevel"/>
    <w:tmpl w:val="A11E8F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88637A"/>
    <w:multiLevelType w:val="hybridMultilevel"/>
    <w:tmpl w:val="1D4E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F7580D"/>
    <w:multiLevelType w:val="multilevel"/>
    <w:tmpl w:val="42808AA2"/>
    <w:lvl w:ilvl="0">
      <w:start w:val="1"/>
      <w:numFmt w:val="bullet"/>
      <w:lvlText w:val=""/>
      <w:lvlJc w:val="left"/>
      <w:pPr>
        <w:ind w:left="567" w:hanging="283"/>
      </w:pPr>
      <w:rPr>
        <w:rFonts w:ascii="Symbol" w:hAnsi="Symbol" w:hint="default"/>
        <w:color w:val="auto"/>
      </w:rPr>
    </w:lvl>
    <w:lvl w:ilvl="1">
      <w:start w:val="1"/>
      <w:numFmt w:val="bullet"/>
      <w:lvlText w:val=""/>
      <w:lvlJc w:val="left"/>
      <w:pPr>
        <w:ind w:left="709" w:hanging="283"/>
      </w:pPr>
      <w:rPr>
        <w:rFonts w:ascii="Symbol" w:hAnsi="Symbol" w:hint="default"/>
        <w:color w:val="1F497D" w:themeColor="text2"/>
      </w:rPr>
    </w:lvl>
    <w:lvl w:ilvl="2">
      <w:start w:val="1"/>
      <w:numFmt w:val="bullet"/>
      <w:lvlText w:val=""/>
      <w:lvlJc w:val="left"/>
      <w:pPr>
        <w:ind w:left="1135" w:hanging="283"/>
      </w:pPr>
      <w:rPr>
        <w:rFonts w:ascii="Symbol" w:hAnsi="Symbol" w:hint="default"/>
        <w:color w:val="EEECE1" w:themeColor="background2"/>
      </w:rPr>
    </w:lvl>
    <w:lvl w:ilvl="3">
      <w:start w:val="1"/>
      <w:numFmt w:val="bullet"/>
      <w:lvlText w:val=""/>
      <w:lvlJc w:val="left"/>
      <w:pPr>
        <w:ind w:left="1419" w:hanging="283"/>
      </w:pPr>
      <w:rPr>
        <w:rFonts w:ascii="Symbol" w:hAnsi="Symbol" w:hint="default"/>
        <w:color w:val="C0504D" w:themeColor="accent2"/>
      </w:rPr>
    </w:lvl>
    <w:lvl w:ilvl="4">
      <w:start w:val="1"/>
      <w:numFmt w:val="bullet"/>
      <w:lvlText w:val=""/>
      <w:lvlJc w:val="left"/>
      <w:pPr>
        <w:ind w:left="1703" w:hanging="283"/>
      </w:pPr>
      <w:rPr>
        <w:rFonts w:ascii="Symbol" w:hAnsi="Symbol" w:hint="default"/>
        <w:color w:val="000000" w:themeColor="text1"/>
      </w:rPr>
    </w:lvl>
    <w:lvl w:ilvl="5">
      <w:start w:val="1"/>
      <w:numFmt w:val="bullet"/>
      <w:lvlText w:val=""/>
      <w:lvlJc w:val="left"/>
      <w:pPr>
        <w:ind w:left="1987" w:hanging="283"/>
      </w:pPr>
      <w:rPr>
        <w:rFonts w:ascii="Symbol" w:hAnsi="Symbol" w:hint="default"/>
        <w:color w:val="8064A2" w:themeColor="accent4"/>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17">
    <w:nsid w:val="2D415C0F"/>
    <w:multiLevelType w:val="hybridMultilevel"/>
    <w:tmpl w:val="CBA6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0E2769"/>
    <w:multiLevelType w:val="hybridMultilevel"/>
    <w:tmpl w:val="329C0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1276408"/>
    <w:multiLevelType w:val="hybridMultilevel"/>
    <w:tmpl w:val="AE64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3A4234"/>
    <w:multiLevelType w:val="hybridMultilevel"/>
    <w:tmpl w:val="F59AC966"/>
    <w:lvl w:ilvl="0" w:tplc="872E674A">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845C47"/>
    <w:multiLevelType w:val="hybridMultilevel"/>
    <w:tmpl w:val="9A7E50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371A1C59"/>
    <w:multiLevelType w:val="hybridMultilevel"/>
    <w:tmpl w:val="73F4BA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nsid w:val="38804637"/>
    <w:multiLevelType w:val="hybridMultilevel"/>
    <w:tmpl w:val="D26E5C8E"/>
    <w:lvl w:ilvl="0" w:tplc="872E674A">
      <w:start w:val="1"/>
      <w:numFmt w:val="bullet"/>
      <w:lvlText w:val=""/>
      <w:lvlJc w:val="left"/>
      <w:pPr>
        <w:ind w:left="720" w:hanging="360"/>
      </w:pPr>
      <w:rPr>
        <w:rFonts w:ascii="Symbol" w:hAnsi="Symbol" w:hint="default"/>
        <w:color w:val="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DC16BE"/>
    <w:multiLevelType w:val="hybridMultilevel"/>
    <w:tmpl w:val="3FB42B42"/>
    <w:lvl w:ilvl="0" w:tplc="5B0C562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9663B2E"/>
    <w:multiLevelType w:val="hybridMultilevel"/>
    <w:tmpl w:val="1DAA7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C9F6409"/>
    <w:multiLevelType w:val="hybridMultilevel"/>
    <w:tmpl w:val="0B0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nsid w:val="3CF012E9"/>
    <w:multiLevelType w:val="multilevel"/>
    <w:tmpl w:val="73FE5190"/>
    <w:lvl w:ilvl="0">
      <w:start w:val="1"/>
      <w:numFmt w:val="bullet"/>
      <w:lvlText w:val=""/>
      <w:lvlJc w:val="left"/>
      <w:pPr>
        <w:ind w:left="567" w:hanging="283"/>
      </w:pPr>
      <w:rPr>
        <w:rFonts w:ascii="Symbol" w:hAnsi="Symbol" w:hint="default"/>
        <w:color w:val="4F81BD" w:themeColor="accent1"/>
      </w:rPr>
    </w:lvl>
    <w:lvl w:ilvl="1">
      <w:start w:val="1"/>
      <w:numFmt w:val="bullet"/>
      <w:lvlText w:val=""/>
      <w:lvlJc w:val="left"/>
      <w:pPr>
        <w:ind w:left="709" w:hanging="283"/>
      </w:pPr>
      <w:rPr>
        <w:rFonts w:ascii="Symbol" w:hAnsi="Symbol" w:hint="default"/>
        <w:color w:val="1F497D" w:themeColor="text2"/>
      </w:rPr>
    </w:lvl>
    <w:lvl w:ilvl="2">
      <w:start w:val="1"/>
      <w:numFmt w:val="bullet"/>
      <w:lvlText w:val=""/>
      <w:lvlJc w:val="left"/>
      <w:pPr>
        <w:ind w:left="1135" w:hanging="283"/>
      </w:pPr>
      <w:rPr>
        <w:rFonts w:ascii="Symbol" w:hAnsi="Symbol" w:hint="default"/>
        <w:color w:val="EEECE1" w:themeColor="background2"/>
      </w:rPr>
    </w:lvl>
    <w:lvl w:ilvl="3">
      <w:start w:val="1"/>
      <w:numFmt w:val="bullet"/>
      <w:lvlText w:val=""/>
      <w:lvlJc w:val="left"/>
      <w:pPr>
        <w:ind w:left="1419" w:hanging="283"/>
      </w:pPr>
      <w:rPr>
        <w:rFonts w:ascii="Symbol" w:hAnsi="Symbol" w:hint="default"/>
        <w:color w:val="C0504D" w:themeColor="accent2"/>
      </w:rPr>
    </w:lvl>
    <w:lvl w:ilvl="4">
      <w:start w:val="1"/>
      <w:numFmt w:val="bullet"/>
      <w:lvlText w:val=""/>
      <w:lvlJc w:val="left"/>
      <w:pPr>
        <w:ind w:left="1703" w:hanging="283"/>
      </w:pPr>
      <w:rPr>
        <w:rFonts w:ascii="Symbol" w:hAnsi="Symbol" w:hint="default"/>
        <w:color w:val="000000" w:themeColor="text1"/>
      </w:rPr>
    </w:lvl>
    <w:lvl w:ilvl="5">
      <w:start w:val="1"/>
      <w:numFmt w:val="bullet"/>
      <w:lvlText w:val=""/>
      <w:lvlJc w:val="left"/>
      <w:pPr>
        <w:ind w:left="1987" w:hanging="283"/>
      </w:pPr>
      <w:rPr>
        <w:rFonts w:ascii="Symbol" w:hAnsi="Symbol" w:hint="default"/>
        <w:color w:val="8064A2" w:themeColor="accent4"/>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29">
    <w:nsid w:val="3DAE0228"/>
    <w:multiLevelType w:val="hybridMultilevel"/>
    <w:tmpl w:val="D01EC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E7554E9"/>
    <w:multiLevelType w:val="hybridMultilevel"/>
    <w:tmpl w:val="3DA42C76"/>
    <w:lvl w:ilvl="0" w:tplc="0F70A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5A0E9C"/>
    <w:multiLevelType w:val="hybridMultilevel"/>
    <w:tmpl w:val="67A245E8"/>
    <w:lvl w:ilvl="0" w:tplc="08090001">
      <w:start w:val="1"/>
      <w:numFmt w:val="bullet"/>
      <w:lvlText w:val=""/>
      <w:lvlJc w:val="left"/>
      <w:pPr>
        <w:ind w:left="720" w:hanging="360"/>
      </w:pPr>
      <w:rPr>
        <w:rFonts w:ascii="Symbol" w:hAnsi="Symbol" w:hint="default"/>
        <w:color w:val="4F81BD" w:themeColor="accent1"/>
      </w:rPr>
    </w:lvl>
    <w:lvl w:ilvl="1" w:tplc="872E674A">
      <w:start w:val="1"/>
      <w:numFmt w:val="bullet"/>
      <w:lvlText w:val=""/>
      <w:lvlJc w:val="left"/>
      <w:pPr>
        <w:ind w:left="1440" w:hanging="360"/>
      </w:pPr>
      <w:rPr>
        <w:rFonts w:ascii="Symbol" w:hAnsi="Symbol" w:hint="default"/>
        <w:color w:val="4F81BD"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7F2528"/>
    <w:multiLevelType w:val="hybridMultilevel"/>
    <w:tmpl w:val="571055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95209B8"/>
    <w:multiLevelType w:val="hybridMultilevel"/>
    <w:tmpl w:val="4F5259F0"/>
    <w:lvl w:ilvl="0" w:tplc="B42812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F57BDB"/>
    <w:multiLevelType w:val="hybridMultilevel"/>
    <w:tmpl w:val="B12A1BDA"/>
    <w:lvl w:ilvl="0" w:tplc="872E674A">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072987"/>
    <w:multiLevelType w:val="multilevel"/>
    <w:tmpl w:val="C1487538"/>
    <w:lvl w:ilvl="0">
      <w:start w:val="1"/>
      <w:numFmt w:val="bullet"/>
      <w:lvlText w:val=""/>
      <w:lvlJc w:val="left"/>
      <w:pPr>
        <w:ind w:left="567" w:hanging="283"/>
      </w:pPr>
      <w:rPr>
        <w:rFonts w:ascii="Symbol" w:hAnsi="Symbol" w:hint="default"/>
        <w:color w:val="4F81BD" w:themeColor="accent1"/>
      </w:rPr>
    </w:lvl>
    <w:lvl w:ilvl="1">
      <w:start w:val="1"/>
      <w:numFmt w:val="bullet"/>
      <w:lvlText w:val=""/>
      <w:lvlJc w:val="left"/>
      <w:pPr>
        <w:ind w:left="709" w:hanging="283"/>
      </w:pPr>
      <w:rPr>
        <w:rFonts w:ascii="Symbol" w:hAnsi="Symbol" w:hint="default"/>
        <w:color w:val="1F497D" w:themeColor="text2"/>
      </w:rPr>
    </w:lvl>
    <w:lvl w:ilvl="2">
      <w:start w:val="1"/>
      <w:numFmt w:val="bullet"/>
      <w:lvlText w:val=""/>
      <w:lvlJc w:val="left"/>
      <w:pPr>
        <w:ind w:left="1135" w:hanging="283"/>
      </w:pPr>
      <w:rPr>
        <w:rFonts w:ascii="Symbol" w:hAnsi="Symbol" w:hint="default"/>
        <w:color w:val="EEECE1" w:themeColor="background2"/>
      </w:rPr>
    </w:lvl>
    <w:lvl w:ilvl="3">
      <w:start w:val="1"/>
      <w:numFmt w:val="bullet"/>
      <w:lvlText w:val=""/>
      <w:lvlJc w:val="left"/>
      <w:pPr>
        <w:ind w:left="1419" w:hanging="283"/>
      </w:pPr>
      <w:rPr>
        <w:rFonts w:ascii="Symbol" w:hAnsi="Symbol" w:hint="default"/>
        <w:color w:val="C0504D" w:themeColor="accent2"/>
      </w:rPr>
    </w:lvl>
    <w:lvl w:ilvl="4">
      <w:start w:val="1"/>
      <w:numFmt w:val="bullet"/>
      <w:lvlText w:val=""/>
      <w:lvlJc w:val="left"/>
      <w:pPr>
        <w:ind w:left="1703" w:hanging="283"/>
      </w:pPr>
      <w:rPr>
        <w:rFonts w:ascii="Symbol" w:hAnsi="Symbol" w:hint="default"/>
        <w:color w:val="000000" w:themeColor="text1"/>
      </w:rPr>
    </w:lvl>
    <w:lvl w:ilvl="5">
      <w:start w:val="1"/>
      <w:numFmt w:val="bullet"/>
      <w:lvlText w:val=""/>
      <w:lvlJc w:val="left"/>
      <w:pPr>
        <w:ind w:left="1987" w:hanging="283"/>
      </w:pPr>
      <w:rPr>
        <w:rFonts w:ascii="Symbol" w:hAnsi="Symbol" w:hint="default"/>
        <w:color w:val="8064A2" w:themeColor="accent4"/>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36">
    <w:nsid w:val="52C504CC"/>
    <w:multiLevelType w:val="hybridMultilevel"/>
    <w:tmpl w:val="6D92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3010585"/>
    <w:multiLevelType w:val="hybridMultilevel"/>
    <w:tmpl w:val="015EB2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3134616"/>
    <w:multiLevelType w:val="hybridMultilevel"/>
    <w:tmpl w:val="AECAFA92"/>
    <w:lvl w:ilvl="0" w:tplc="872E674A">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3B22AA9"/>
    <w:multiLevelType w:val="hybridMultilevel"/>
    <w:tmpl w:val="BA7A69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D3C2548">
      <w:numFmt w:val="bullet"/>
      <w:lvlText w:val="•"/>
      <w:lvlJc w:val="left"/>
      <w:pPr>
        <w:ind w:left="2340" w:hanging="360"/>
      </w:pPr>
      <w:rPr>
        <w:rFonts w:ascii="Times New Roman" w:eastAsiaTheme="minorHAnsi"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41A1FC6"/>
    <w:multiLevelType w:val="hybridMultilevel"/>
    <w:tmpl w:val="65087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AEF53E3"/>
    <w:multiLevelType w:val="hybridMultilevel"/>
    <w:tmpl w:val="EDB03378"/>
    <w:lvl w:ilvl="0" w:tplc="872E674A">
      <w:start w:val="1"/>
      <w:numFmt w:val="bullet"/>
      <w:lvlText w:val=""/>
      <w:lvlJc w:val="left"/>
      <w:pPr>
        <w:ind w:left="720" w:hanging="360"/>
      </w:pPr>
      <w:rPr>
        <w:rFonts w:ascii="Symbol" w:hAnsi="Symbol" w:hint="default"/>
        <w:color w:val="4F81BD" w:themeColor="accent1"/>
      </w:rPr>
    </w:lvl>
    <w:lvl w:ilvl="1" w:tplc="872E674A">
      <w:start w:val="1"/>
      <w:numFmt w:val="bullet"/>
      <w:lvlText w:val=""/>
      <w:lvlJc w:val="left"/>
      <w:pPr>
        <w:ind w:left="1440" w:hanging="360"/>
      </w:pPr>
      <w:rPr>
        <w:rFonts w:ascii="Symbol" w:hAnsi="Symbol" w:hint="default"/>
        <w:color w:val="4F81BD"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336092"/>
    <w:multiLevelType w:val="hybridMultilevel"/>
    <w:tmpl w:val="0BB4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4">
    <w:nsid w:val="673E09C2"/>
    <w:multiLevelType w:val="hybridMultilevel"/>
    <w:tmpl w:val="3550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8ED2554"/>
    <w:multiLevelType w:val="hybridMultilevel"/>
    <w:tmpl w:val="4688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A162CEF"/>
    <w:multiLevelType w:val="multilevel"/>
    <w:tmpl w:val="ADFE72FE"/>
    <w:lvl w:ilvl="0">
      <w:start w:val="1"/>
      <w:numFmt w:val="bullet"/>
      <w:lvlText w:val=""/>
      <w:lvlJc w:val="left"/>
      <w:pPr>
        <w:ind w:left="567" w:hanging="283"/>
      </w:pPr>
      <w:rPr>
        <w:rFonts w:ascii="Symbol" w:hAnsi="Symbol" w:hint="default"/>
        <w:color w:val="4F81BD" w:themeColor="accent1"/>
      </w:rPr>
    </w:lvl>
    <w:lvl w:ilvl="1">
      <w:start w:val="1"/>
      <w:numFmt w:val="bullet"/>
      <w:lvlText w:val=""/>
      <w:lvlJc w:val="left"/>
      <w:pPr>
        <w:ind w:left="709" w:hanging="283"/>
      </w:pPr>
      <w:rPr>
        <w:rFonts w:ascii="Symbol" w:hAnsi="Symbol" w:hint="default"/>
        <w:color w:val="1F497D" w:themeColor="text2"/>
      </w:rPr>
    </w:lvl>
    <w:lvl w:ilvl="2">
      <w:start w:val="1"/>
      <w:numFmt w:val="bullet"/>
      <w:lvlText w:val=""/>
      <w:lvlJc w:val="left"/>
      <w:pPr>
        <w:ind w:left="1135" w:hanging="283"/>
      </w:pPr>
      <w:rPr>
        <w:rFonts w:ascii="Symbol" w:hAnsi="Symbol" w:hint="default"/>
        <w:color w:val="EEECE1" w:themeColor="background2"/>
      </w:rPr>
    </w:lvl>
    <w:lvl w:ilvl="3">
      <w:start w:val="1"/>
      <w:numFmt w:val="bullet"/>
      <w:lvlText w:val=""/>
      <w:lvlJc w:val="left"/>
      <w:pPr>
        <w:ind w:left="1419" w:hanging="283"/>
      </w:pPr>
      <w:rPr>
        <w:rFonts w:ascii="Symbol" w:hAnsi="Symbol" w:hint="default"/>
        <w:color w:val="C0504D" w:themeColor="accent2"/>
      </w:rPr>
    </w:lvl>
    <w:lvl w:ilvl="4">
      <w:start w:val="1"/>
      <w:numFmt w:val="bullet"/>
      <w:lvlText w:val=""/>
      <w:lvlJc w:val="left"/>
      <w:pPr>
        <w:ind w:left="1703" w:hanging="283"/>
      </w:pPr>
      <w:rPr>
        <w:rFonts w:ascii="Symbol" w:hAnsi="Symbol" w:hint="default"/>
        <w:color w:val="000000" w:themeColor="text1"/>
      </w:rPr>
    </w:lvl>
    <w:lvl w:ilvl="5">
      <w:start w:val="1"/>
      <w:numFmt w:val="bullet"/>
      <w:lvlText w:val=""/>
      <w:lvlJc w:val="left"/>
      <w:pPr>
        <w:ind w:left="1987" w:hanging="283"/>
      </w:pPr>
      <w:rPr>
        <w:rFonts w:ascii="Symbol" w:hAnsi="Symbol" w:hint="default"/>
        <w:color w:val="8064A2" w:themeColor="accent4"/>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47">
    <w:nsid w:val="6E2C5B8E"/>
    <w:multiLevelType w:val="hybridMultilevel"/>
    <w:tmpl w:val="51686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7A4B5B3F"/>
    <w:multiLevelType w:val="hybridMultilevel"/>
    <w:tmpl w:val="895034AE"/>
    <w:lvl w:ilvl="0" w:tplc="872E674A">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0A03A6"/>
    <w:multiLevelType w:val="hybridMultilevel"/>
    <w:tmpl w:val="516CF3E6"/>
    <w:lvl w:ilvl="0" w:tplc="872E674A">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C6C15AA"/>
    <w:multiLevelType w:val="hybridMultilevel"/>
    <w:tmpl w:val="BFDE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C7D13A2"/>
    <w:multiLevelType w:val="hybridMultilevel"/>
    <w:tmpl w:val="DA18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CE64503"/>
    <w:multiLevelType w:val="hybridMultilevel"/>
    <w:tmpl w:val="70A0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43"/>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9"/>
  </w:num>
  <w:num w:numId="7">
    <w:abstractNumId w:val="4"/>
  </w:num>
  <w:num w:numId="8">
    <w:abstractNumId w:val="11"/>
  </w:num>
  <w:num w:numId="9">
    <w:abstractNumId w:val="3"/>
  </w:num>
  <w:num w:numId="10">
    <w:abstractNumId w:val="15"/>
  </w:num>
  <w:num w:numId="11">
    <w:abstractNumId w:val="8"/>
  </w:num>
  <w:num w:numId="12">
    <w:abstractNumId w:val="50"/>
  </w:num>
  <w:num w:numId="13">
    <w:abstractNumId w:val="38"/>
  </w:num>
  <w:num w:numId="14">
    <w:abstractNumId w:val="49"/>
  </w:num>
  <w:num w:numId="15">
    <w:abstractNumId w:val="20"/>
  </w:num>
  <w:num w:numId="16">
    <w:abstractNumId w:val="48"/>
  </w:num>
  <w:num w:numId="17">
    <w:abstractNumId w:val="34"/>
  </w:num>
  <w:num w:numId="18">
    <w:abstractNumId w:val="23"/>
  </w:num>
  <w:num w:numId="19">
    <w:abstractNumId w:val="5"/>
  </w:num>
  <w:num w:numId="20">
    <w:abstractNumId w:val="33"/>
  </w:num>
  <w:num w:numId="21">
    <w:abstractNumId w:val="30"/>
  </w:num>
  <w:num w:numId="22">
    <w:abstractNumId w:val="41"/>
  </w:num>
  <w:num w:numId="23">
    <w:abstractNumId w:val="0"/>
  </w:num>
  <w:num w:numId="24">
    <w:abstractNumId w:val="6"/>
  </w:num>
  <w:num w:numId="25">
    <w:abstractNumId w:val="28"/>
  </w:num>
  <w:num w:numId="26">
    <w:abstractNumId w:val="19"/>
  </w:num>
  <w:num w:numId="27">
    <w:abstractNumId w:val="52"/>
  </w:num>
  <w:num w:numId="28">
    <w:abstractNumId w:val="10"/>
  </w:num>
  <w:num w:numId="29">
    <w:abstractNumId w:val="1"/>
  </w:num>
  <w:num w:numId="30">
    <w:abstractNumId w:val="9"/>
  </w:num>
  <w:num w:numId="31">
    <w:abstractNumId w:val="44"/>
  </w:num>
  <w:num w:numId="32">
    <w:abstractNumId w:val="51"/>
  </w:num>
  <w:num w:numId="33">
    <w:abstractNumId w:val="46"/>
  </w:num>
  <w:num w:numId="34">
    <w:abstractNumId w:val="45"/>
  </w:num>
  <w:num w:numId="35">
    <w:abstractNumId w:val="40"/>
  </w:num>
  <w:num w:numId="36">
    <w:abstractNumId w:val="21"/>
  </w:num>
  <w:num w:numId="37">
    <w:abstractNumId w:val="31"/>
  </w:num>
  <w:num w:numId="38">
    <w:abstractNumId w:val="47"/>
  </w:num>
  <w:num w:numId="39">
    <w:abstractNumId w:val="18"/>
  </w:num>
  <w:num w:numId="40">
    <w:abstractNumId w:val="35"/>
  </w:num>
  <w:num w:numId="41">
    <w:abstractNumId w:val="26"/>
  </w:num>
  <w:num w:numId="42">
    <w:abstractNumId w:val="16"/>
  </w:num>
  <w:num w:numId="43">
    <w:abstractNumId w:val="24"/>
  </w:num>
  <w:num w:numId="44">
    <w:abstractNumId w:val="14"/>
  </w:num>
  <w:num w:numId="45">
    <w:abstractNumId w:val="17"/>
  </w:num>
  <w:num w:numId="46">
    <w:abstractNumId w:val="12"/>
  </w:num>
  <w:num w:numId="47">
    <w:abstractNumId w:val="7"/>
  </w:num>
  <w:num w:numId="48">
    <w:abstractNumId w:val="42"/>
  </w:num>
  <w:num w:numId="49">
    <w:abstractNumId w:val="29"/>
  </w:num>
  <w:num w:numId="50">
    <w:abstractNumId w:val="2"/>
  </w:num>
  <w:num w:numId="51">
    <w:abstractNumId w:val="32"/>
  </w:num>
  <w:num w:numId="52">
    <w:abstractNumId w:val="37"/>
  </w:num>
  <w:num w:numId="53">
    <w:abstractNumId w:val="25"/>
  </w:num>
  <w:num w:numId="54">
    <w:abstractNumId w:val="3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DENKAMP Johan (CNECT)">
    <w15:presenceInfo w15:providerId="None" w15:userId="BODENKAMP Johan (CNE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E35CD1D7-FFCE-4DA2-A402-ADADDC7E798A"/>
    <w:docVar w:name="LW_COVERPAGE_TYPE" w:val="1"/>
    <w:docVar w:name="LW_CROSSREFERENCE" w:val="{COM(2018) 234 final}_x000d__x000a_{SWD(2018) 145 final}"/>
    <w:docVar w:name="LW_DocType" w:val="NORMAL"/>
    <w:docVar w:name="LW_EMISSION" w:val="25.4.2018"/>
    <w:docVar w:name="LW_EMISSION_ISODATE" w:val="2018-04-25"/>
    <w:docVar w:name="LW_EMISSION_LOCATION" w:val="BRX"/>
    <w:docVar w:name="LW_EMISSION_PREFIX" w:val="Brussels,"/>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lt;UNUSED&gt;"/>
    <w:docVar w:name="LW_PART_NBR" w:val="1"/>
    <w:docVar w:name="LW_PART_NBR_TOTAL" w:val="1"/>
    <w:docVar w:name="LW_REF.INST.NEW" w:val="SWD"/>
    <w:docVar w:name="LW_REF.INST.NEW_ADOPTED" w:val="final"/>
    <w:docVar w:name="LW_REF.INST.NEW_TEXT" w:val="(2018) 1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EXECUTIVE SUMMARY OF THE EVALUATION"/>
    <w:docVar w:name="LW_TYPE.DOC.CP" w:val="COMMISSION STAFF WORKING DOCUMENT"/>
    <w:docVar w:name="LW_TYPEACTEPRINCIPAL.CP" w:val="Proposal for a Directive of the European Parliament and of the Council on the re-use of public sector information"/>
  </w:docVars>
  <w:rsids>
    <w:rsidRoot w:val="005D702F"/>
    <w:rsid w:val="005D702F"/>
    <w:rsid w:val="00FE3BD8"/>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Text1"/>
    <w:link w:val="Heading1Char"/>
    <w:qFormat/>
    <w:pPr>
      <w:keepNext/>
      <w:spacing w:before="240" w:after="240" w:line="240" w:lineRule="auto"/>
      <w:jc w:val="both"/>
      <w:outlineLvl w:val="0"/>
    </w:pPr>
    <w:rPr>
      <w:rFonts w:ascii="Times New Roman" w:eastAsia="Times New Roman" w:hAnsi="Times New Roman" w:cs="Times New Roman"/>
      <w:b/>
      <w:smallCaps/>
      <w:sz w:val="24"/>
      <w:szCs w:val="20"/>
      <w:lang w:val="en-GB"/>
    </w:rPr>
  </w:style>
  <w:style w:type="paragraph" w:styleId="Heading2">
    <w:name w:val="heading 2"/>
    <w:basedOn w:val="Normal"/>
    <w:next w:val="Normal"/>
    <w:link w:val="Heading2Char"/>
    <w:qFormat/>
    <w:pPr>
      <w:keepNext/>
      <w:spacing w:after="240" w:line="240" w:lineRule="auto"/>
      <w:jc w:val="both"/>
      <w:outlineLvl w:val="1"/>
    </w:pPr>
    <w:rPr>
      <w:rFonts w:ascii="Times New Roman" w:eastAsia="Times New Roman" w:hAnsi="Times New Roman" w:cs="Times New Roman"/>
      <w:b/>
      <w:sz w:val="24"/>
      <w:szCs w:val="20"/>
      <w:lang w:val="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val="en-GB"/>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en-GB"/>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lang w:val="en-GB"/>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Car,Fotnotstext1,9 p"/>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rFonts w:ascii="Times New Roman" w:eastAsia="Times New Roman" w:hAnsi="Times New Roman" w:cs="Times New Roman"/>
      <w:sz w:val="20"/>
      <w:szCs w:val="20"/>
      <w:lang w:val="en-GB"/>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lang w:val="en-GB"/>
    </w:rPr>
  </w:style>
  <w:style w:type="paragraph" w:customStyle="1" w:styleId="NumPar1">
    <w:name w:val="NumPar 1"/>
    <w:basedOn w:val="Heading1"/>
    <w:next w:val="Text1"/>
    <w:pPr>
      <w:keepNext w:val="0"/>
      <w:spacing w:before="0"/>
      <w:outlineLvl w:val="9"/>
    </w:pPr>
    <w:rPr>
      <w:b w:val="0"/>
      <w:smallCaps w:val="0"/>
    </w:rPr>
  </w:style>
  <w:style w:type="paragraph" w:customStyle="1" w:styleId="SubTitle1">
    <w:name w:val="SubTitle 1"/>
    <w:basedOn w:val="Normal"/>
    <w:next w:val="Normal"/>
    <w:pPr>
      <w:spacing w:after="240" w:line="240" w:lineRule="auto"/>
      <w:jc w:val="center"/>
    </w:pPr>
    <w:rPr>
      <w:rFonts w:ascii="Times New Roman" w:eastAsia="Times New Roman" w:hAnsi="Times New Roman" w:cs="Times New Roman"/>
      <w:b/>
      <w:sz w:val="40"/>
      <w:szCs w:val="20"/>
      <w:lang w:val="en-GB"/>
    </w:r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lang w:val="en-GB"/>
    </w:rPr>
  </w:style>
  <w:style w:type="paragraph" w:customStyle="1" w:styleId="ListDash1">
    <w:name w:val="List Dash 1"/>
    <w:basedOn w:val="Text1"/>
    <w:pPr>
      <w:numPr>
        <w:numId w:val="2"/>
      </w:numPr>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lang w:val="en-GB"/>
    </w:rPr>
  </w:style>
  <w:style w:type="table" w:styleId="TableGrid">
    <w:name w:val="Table Grid"/>
    <w:aliases w:val="Document Table,CV1,Deloitte"/>
    <w:basedOn w:val="TableNormal"/>
    <w:uiPriority w:val="3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lang w:val="en-GB"/>
    </w:rPr>
  </w:style>
  <w:style w:type="character" w:styleId="Hyperlink">
    <w:name w:val="Hyperlink"/>
    <w:basedOn w:val="DefaultParagraphFont"/>
    <w:uiPriority w:val="99"/>
    <w:unhideWhenUsed/>
    <w:rPr>
      <w:color w:val="0000FF" w:themeColor="hyperlink"/>
      <w:u w:val="single"/>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lang w:val="en-GB"/>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 BVI fnr,FR"/>
    <w:link w:val="FootnotesymbolCharCharCharChar"/>
    <w:uiPriority w:val="99"/>
    <w:unhideWhenUsed/>
    <w:qFormat/>
    <w:rPr>
      <w:sz w:val="20"/>
      <w:vertAlign w:val="superscript"/>
    </w:rPr>
  </w:style>
  <w:style w:type="paragraph" w:styleId="ListParagraph">
    <w:name w:val="List Paragraph"/>
    <w:aliases w:val="List,List1,1st level - Bullet List Paragraph,List Paragraph1,Lettre d'introduction,Paragrafo elenco,Normal bullet 2,Medium Grid 1 - Accent 21,List Paragraph11,FooterText,Paragraphe de liste1,Bullet list,Bullet List Paragraph"/>
    <w:basedOn w:val="Normal"/>
    <w:link w:val="ListParagraphChar"/>
    <w:uiPriority w:val="34"/>
    <w:qFormat/>
    <w:pPr>
      <w:spacing w:after="240" w:line="240" w:lineRule="auto"/>
      <w:ind w:left="720"/>
      <w:contextualSpacing/>
      <w:jc w:val="both"/>
    </w:pPr>
    <w:rPr>
      <w:rFonts w:ascii="Times New Roman" w:eastAsia="Times New Roman" w:hAnsi="Times New Roman" w:cs="Times New Roman"/>
      <w:sz w:val="24"/>
      <w:szCs w:val="20"/>
      <w:lang w:val="en-GB"/>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ListParagraphChar">
    <w:name w:val="List Paragraph Char"/>
    <w:aliases w:val="List Char,List1 Char,1st level - Bullet List Paragraph Char,List Paragraph1 Char,Lettre d'introduction Char,Paragrafo elenco Char,Normal bullet 2 Char,Medium Grid 1 - Accent 21 Char,List Paragraph11 Char,FooterText Char"/>
    <w:basedOn w:val="DefaultParagraphFont"/>
    <w:link w:val="ListParagraph"/>
    <w:uiPriority w:val="34"/>
    <w:qFormat/>
    <w:rPr>
      <w:rFonts w:ascii="Times New Roman" w:eastAsia="Times New Roman" w:hAnsi="Times New Roman" w:cs="Times New Roman"/>
      <w:sz w:val="24"/>
      <w:szCs w:val="20"/>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paragraph" w:styleId="Caption">
    <w:name w:val="caption"/>
    <w:aliases w:val="Caption PSP,Caption - Centre Graphic,Char Char Char,Caption1 Char Char Char Char Char Char Char Char,Caption1 Char Char Char Char Char Char Char Char Tegn Tegn Tegn Tegn Tegn,Caption1 Char Char Char Char Char Char Char Char Tegn Tegn Tegn,C"/>
    <w:basedOn w:val="Normal"/>
    <w:next w:val="Normal"/>
    <w:uiPriority w:val="99"/>
    <w:unhideWhenUsed/>
    <w:qFormat/>
    <w:pPr>
      <w:spacing w:before="120" w:line="240" w:lineRule="auto"/>
      <w:jc w:val="center"/>
    </w:pPr>
    <w:rPr>
      <w:rFonts w:ascii="Calibri" w:eastAsiaTheme="minorEastAsia" w:hAnsi="Calibri"/>
      <w:i/>
      <w:iCs/>
      <w:color w:val="4F81BD" w:themeColor="accent1"/>
      <w:sz w:val="20"/>
      <w:szCs w:val="18"/>
      <w:lang w:val="nl-BE"/>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pPr>
      <w:spacing w:after="160" w:line="240" w:lineRule="exact"/>
    </w:pPr>
    <w:rPr>
      <w:sz w:val="20"/>
      <w:vertAlign w:val="superscript"/>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table" w:customStyle="1" w:styleId="GridTable4-Accent11">
    <w:name w:val="Grid Table 4 - Accent 11"/>
    <w:basedOn w:val="TableNormal"/>
    <w:uiPriority w:val="49"/>
    <w:pPr>
      <w:spacing w:after="0" w:line="240" w:lineRule="auto"/>
    </w:pPr>
    <w:rPr>
      <w:rFonts w:eastAsiaTheme="minorEastAsia"/>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yperlink1">
    <w:name w:val="Hyperlink1"/>
    <w:basedOn w:val="DefaultParagraphFont"/>
    <w:uiPriority w:val="99"/>
    <w:rPr>
      <w:color w:val="0097A9"/>
      <w:u w:val="single"/>
    </w:rPr>
  </w:style>
  <w:style w:type="table" w:customStyle="1" w:styleId="ListTable2-Accent11">
    <w:name w:val="List Table 2 - Accent 11"/>
    <w:basedOn w:val="TableNormal"/>
    <w:next w:val="TableNormal"/>
    <w:uiPriority w:val="47"/>
    <w:pPr>
      <w:spacing w:after="0" w:line="240" w:lineRule="auto"/>
    </w:pPr>
    <w:rPr>
      <w:rFonts w:eastAsiaTheme="minorEastAsia"/>
      <w:lang w:val="en-GB"/>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Deloitte51">
    <w:name w:val="Deloitte51"/>
    <w:basedOn w:val="TableNormal"/>
    <w:next w:val="TableGrid"/>
    <w:uiPriority w:val="39"/>
    <w:pPr>
      <w:spacing w:after="0" w:line="240" w:lineRule="auto"/>
    </w:pPr>
    <w:rPr>
      <w:rFonts w:eastAsiaTheme="minorEastAsia"/>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pPr>
      <w:pBdr>
        <w:top w:val="nil"/>
        <w:left w:val="nil"/>
        <w:bottom w:val="nil"/>
        <w:right w:val="nil"/>
        <w:between w:val="nil"/>
      </w:pBdr>
      <w:spacing w:after="0"/>
    </w:pPr>
    <w:rPr>
      <w:rFonts w:ascii="Arial" w:eastAsia="Arial" w:hAnsi="Arial" w:cs="Arial"/>
      <w:color w:val="000000"/>
      <w:lang w:val="uz-Cyrl-UZ"/>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Revision">
    <w:name w:val="Revision"/>
    <w:hidden/>
    <w:uiPriority w:val="99"/>
    <w:semiHidden/>
    <w:pPr>
      <w:spacing w:after="0" w:line="240" w:lineRule="auto"/>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qFormat/>
    <w:pPr>
      <w:spacing w:after="160" w:line="240" w:lineRule="exact"/>
      <w:jc w:val="both"/>
    </w:pPr>
    <w:rPr>
      <w:vertAlign w:val="superscript"/>
      <w:lang w:val="en-GB"/>
    </w:rPr>
  </w:style>
  <w:style w:type="paragraph" w:customStyle="1" w:styleId="BodY">
    <w:name w:val="BodY"/>
    <w:basedOn w:val="Normal"/>
    <w:link w:val="BodYChar"/>
    <w:autoRedefine/>
    <w:qFormat/>
    <w:pPr>
      <w:tabs>
        <w:tab w:val="left" w:pos="993"/>
      </w:tabs>
      <w:spacing w:after="120" w:line="360" w:lineRule="auto"/>
      <w:jc w:val="both"/>
    </w:pPr>
    <w:rPr>
      <w:rFonts w:ascii="Times New Roman" w:eastAsia="Times New Roman" w:hAnsi="Times New Roman" w:cs="Times New Roman"/>
      <w:sz w:val="24"/>
      <w:szCs w:val="16"/>
      <w:lang w:val="en-GB" w:eastAsia="nl-BE"/>
    </w:rPr>
  </w:style>
  <w:style w:type="character" w:customStyle="1" w:styleId="BodYChar">
    <w:name w:val="BodY Char"/>
    <w:link w:val="BodY"/>
    <w:rPr>
      <w:rFonts w:ascii="Times New Roman" w:eastAsia="Times New Roman" w:hAnsi="Times New Roman" w:cs="Times New Roman"/>
      <w:sz w:val="24"/>
      <w:szCs w:val="16"/>
      <w:lang w:val="en-GB" w:eastAsia="nl-B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Text1"/>
    <w:link w:val="Heading1Char"/>
    <w:qFormat/>
    <w:pPr>
      <w:keepNext/>
      <w:spacing w:before="240" w:after="240" w:line="240" w:lineRule="auto"/>
      <w:jc w:val="both"/>
      <w:outlineLvl w:val="0"/>
    </w:pPr>
    <w:rPr>
      <w:rFonts w:ascii="Times New Roman" w:eastAsia="Times New Roman" w:hAnsi="Times New Roman" w:cs="Times New Roman"/>
      <w:b/>
      <w:smallCaps/>
      <w:sz w:val="24"/>
      <w:szCs w:val="20"/>
      <w:lang w:val="en-GB"/>
    </w:rPr>
  </w:style>
  <w:style w:type="paragraph" w:styleId="Heading2">
    <w:name w:val="heading 2"/>
    <w:basedOn w:val="Normal"/>
    <w:next w:val="Normal"/>
    <w:link w:val="Heading2Char"/>
    <w:qFormat/>
    <w:pPr>
      <w:keepNext/>
      <w:spacing w:after="240" w:line="240" w:lineRule="auto"/>
      <w:jc w:val="both"/>
      <w:outlineLvl w:val="1"/>
    </w:pPr>
    <w:rPr>
      <w:rFonts w:ascii="Times New Roman" w:eastAsia="Times New Roman" w:hAnsi="Times New Roman" w:cs="Times New Roman"/>
      <w:b/>
      <w:sz w:val="24"/>
      <w:szCs w:val="20"/>
      <w:lang w:val="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val="en-GB"/>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en-GB"/>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lang w:val="en-GB"/>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Car,Fotnotstext1,9 p"/>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rFonts w:ascii="Times New Roman" w:eastAsia="Times New Roman" w:hAnsi="Times New Roman" w:cs="Times New Roman"/>
      <w:sz w:val="20"/>
      <w:szCs w:val="20"/>
      <w:lang w:val="en-GB"/>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lang w:val="en-GB"/>
    </w:rPr>
  </w:style>
  <w:style w:type="paragraph" w:customStyle="1" w:styleId="NumPar1">
    <w:name w:val="NumPar 1"/>
    <w:basedOn w:val="Heading1"/>
    <w:next w:val="Text1"/>
    <w:pPr>
      <w:keepNext w:val="0"/>
      <w:spacing w:before="0"/>
      <w:outlineLvl w:val="9"/>
    </w:pPr>
    <w:rPr>
      <w:b w:val="0"/>
      <w:smallCaps w:val="0"/>
    </w:rPr>
  </w:style>
  <w:style w:type="paragraph" w:customStyle="1" w:styleId="SubTitle1">
    <w:name w:val="SubTitle 1"/>
    <w:basedOn w:val="Normal"/>
    <w:next w:val="Normal"/>
    <w:pPr>
      <w:spacing w:after="240" w:line="240" w:lineRule="auto"/>
      <w:jc w:val="center"/>
    </w:pPr>
    <w:rPr>
      <w:rFonts w:ascii="Times New Roman" w:eastAsia="Times New Roman" w:hAnsi="Times New Roman" w:cs="Times New Roman"/>
      <w:b/>
      <w:sz w:val="40"/>
      <w:szCs w:val="20"/>
      <w:lang w:val="en-GB"/>
    </w:r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lang w:val="en-GB"/>
    </w:rPr>
  </w:style>
  <w:style w:type="paragraph" w:customStyle="1" w:styleId="ListDash1">
    <w:name w:val="List Dash 1"/>
    <w:basedOn w:val="Text1"/>
    <w:pPr>
      <w:numPr>
        <w:numId w:val="2"/>
      </w:numPr>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lang w:val="en-GB"/>
    </w:rPr>
  </w:style>
  <w:style w:type="table" w:styleId="TableGrid">
    <w:name w:val="Table Grid"/>
    <w:aliases w:val="Document Table,CV1,Deloitte"/>
    <w:basedOn w:val="TableNormal"/>
    <w:uiPriority w:val="3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lang w:val="en-GB"/>
    </w:rPr>
  </w:style>
  <w:style w:type="character" w:styleId="Hyperlink">
    <w:name w:val="Hyperlink"/>
    <w:basedOn w:val="DefaultParagraphFont"/>
    <w:uiPriority w:val="99"/>
    <w:unhideWhenUsed/>
    <w:rPr>
      <w:color w:val="0000FF" w:themeColor="hyperlink"/>
      <w:u w:val="single"/>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lang w:val="en-GB"/>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 BVI fnr,FR"/>
    <w:link w:val="FootnotesymbolCharCharCharChar"/>
    <w:uiPriority w:val="99"/>
    <w:unhideWhenUsed/>
    <w:qFormat/>
    <w:rPr>
      <w:sz w:val="20"/>
      <w:vertAlign w:val="superscript"/>
    </w:rPr>
  </w:style>
  <w:style w:type="paragraph" w:styleId="ListParagraph">
    <w:name w:val="List Paragraph"/>
    <w:aliases w:val="List,List1,1st level - Bullet List Paragraph,List Paragraph1,Lettre d'introduction,Paragrafo elenco,Normal bullet 2,Medium Grid 1 - Accent 21,List Paragraph11,FooterText,Paragraphe de liste1,Bullet list,Bullet List Paragraph"/>
    <w:basedOn w:val="Normal"/>
    <w:link w:val="ListParagraphChar"/>
    <w:uiPriority w:val="34"/>
    <w:qFormat/>
    <w:pPr>
      <w:spacing w:after="240" w:line="240" w:lineRule="auto"/>
      <w:ind w:left="720"/>
      <w:contextualSpacing/>
      <w:jc w:val="both"/>
    </w:pPr>
    <w:rPr>
      <w:rFonts w:ascii="Times New Roman" w:eastAsia="Times New Roman" w:hAnsi="Times New Roman" w:cs="Times New Roman"/>
      <w:sz w:val="24"/>
      <w:szCs w:val="20"/>
      <w:lang w:val="en-GB"/>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ListParagraphChar">
    <w:name w:val="List Paragraph Char"/>
    <w:aliases w:val="List Char,List1 Char,1st level - Bullet List Paragraph Char,List Paragraph1 Char,Lettre d'introduction Char,Paragrafo elenco Char,Normal bullet 2 Char,Medium Grid 1 - Accent 21 Char,List Paragraph11 Char,FooterText Char"/>
    <w:basedOn w:val="DefaultParagraphFont"/>
    <w:link w:val="ListParagraph"/>
    <w:uiPriority w:val="34"/>
    <w:qFormat/>
    <w:rPr>
      <w:rFonts w:ascii="Times New Roman" w:eastAsia="Times New Roman" w:hAnsi="Times New Roman" w:cs="Times New Roman"/>
      <w:sz w:val="24"/>
      <w:szCs w:val="20"/>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paragraph" w:styleId="Caption">
    <w:name w:val="caption"/>
    <w:aliases w:val="Caption PSP,Caption - Centre Graphic,Char Char Char,Caption1 Char Char Char Char Char Char Char Char,Caption1 Char Char Char Char Char Char Char Char Tegn Tegn Tegn Tegn Tegn,Caption1 Char Char Char Char Char Char Char Char Tegn Tegn Tegn,C"/>
    <w:basedOn w:val="Normal"/>
    <w:next w:val="Normal"/>
    <w:uiPriority w:val="99"/>
    <w:unhideWhenUsed/>
    <w:qFormat/>
    <w:pPr>
      <w:spacing w:before="120" w:line="240" w:lineRule="auto"/>
      <w:jc w:val="center"/>
    </w:pPr>
    <w:rPr>
      <w:rFonts w:ascii="Calibri" w:eastAsiaTheme="minorEastAsia" w:hAnsi="Calibri"/>
      <w:i/>
      <w:iCs/>
      <w:color w:val="4F81BD" w:themeColor="accent1"/>
      <w:sz w:val="20"/>
      <w:szCs w:val="18"/>
      <w:lang w:val="nl-BE"/>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pPr>
      <w:spacing w:after="160" w:line="240" w:lineRule="exact"/>
    </w:pPr>
    <w:rPr>
      <w:sz w:val="20"/>
      <w:vertAlign w:val="superscript"/>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table" w:customStyle="1" w:styleId="GridTable4-Accent11">
    <w:name w:val="Grid Table 4 - Accent 11"/>
    <w:basedOn w:val="TableNormal"/>
    <w:uiPriority w:val="49"/>
    <w:pPr>
      <w:spacing w:after="0" w:line="240" w:lineRule="auto"/>
    </w:pPr>
    <w:rPr>
      <w:rFonts w:eastAsiaTheme="minorEastAsia"/>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yperlink1">
    <w:name w:val="Hyperlink1"/>
    <w:basedOn w:val="DefaultParagraphFont"/>
    <w:uiPriority w:val="99"/>
    <w:rPr>
      <w:color w:val="0097A9"/>
      <w:u w:val="single"/>
    </w:rPr>
  </w:style>
  <w:style w:type="table" w:customStyle="1" w:styleId="ListTable2-Accent11">
    <w:name w:val="List Table 2 - Accent 11"/>
    <w:basedOn w:val="TableNormal"/>
    <w:next w:val="TableNormal"/>
    <w:uiPriority w:val="47"/>
    <w:pPr>
      <w:spacing w:after="0" w:line="240" w:lineRule="auto"/>
    </w:pPr>
    <w:rPr>
      <w:rFonts w:eastAsiaTheme="minorEastAsia"/>
      <w:lang w:val="en-GB"/>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Deloitte51">
    <w:name w:val="Deloitte51"/>
    <w:basedOn w:val="TableNormal"/>
    <w:next w:val="TableGrid"/>
    <w:uiPriority w:val="39"/>
    <w:pPr>
      <w:spacing w:after="0" w:line="240" w:lineRule="auto"/>
    </w:pPr>
    <w:rPr>
      <w:rFonts w:eastAsiaTheme="minorEastAsia"/>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pPr>
      <w:pBdr>
        <w:top w:val="nil"/>
        <w:left w:val="nil"/>
        <w:bottom w:val="nil"/>
        <w:right w:val="nil"/>
        <w:between w:val="nil"/>
      </w:pBdr>
      <w:spacing w:after="0"/>
    </w:pPr>
    <w:rPr>
      <w:rFonts w:ascii="Arial" w:eastAsia="Arial" w:hAnsi="Arial" w:cs="Arial"/>
      <w:color w:val="000000"/>
      <w:lang w:val="uz-Cyrl-UZ"/>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Revision">
    <w:name w:val="Revision"/>
    <w:hidden/>
    <w:uiPriority w:val="99"/>
    <w:semiHidden/>
    <w:pPr>
      <w:spacing w:after="0" w:line="240" w:lineRule="auto"/>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qFormat/>
    <w:pPr>
      <w:spacing w:after="160" w:line="240" w:lineRule="exact"/>
      <w:jc w:val="both"/>
    </w:pPr>
    <w:rPr>
      <w:vertAlign w:val="superscript"/>
      <w:lang w:val="en-GB"/>
    </w:rPr>
  </w:style>
  <w:style w:type="paragraph" w:customStyle="1" w:styleId="BodY">
    <w:name w:val="BodY"/>
    <w:basedOn w:val="Normal"/>
    <w:link w:val="BodYChar"/>
    <w:autoRedefine/>
    <w:qFormat/>
    <w:pPr>
      <w:tabs>
        <w:tab w:val="left" w:pos="993"/>
      </w:tabs>
      <w:spacing w:after="120" w:line="360" w:lineRule="auto"/>
      <w:jc w:val="both"/>
    </w:pPr>
    <w:rPr>
      <w:rFonts w:ascii="Times New Roman" w:eastAsia="Times New Roman" w:hAnsi="Times New Roman" w:cs="Times New Roman"/>
      <w:sz w:val="24"/>
      <w:szCs w:val="16"/>
      <w:lang w:val="en-GB" w:eastAsia="nl-BE"/>
    </w:rPr>
  </w:style>
  <w:style w:type="character" w:customStyle="1" w:styleId="BodYChar">
    <w:name w:val="BodY Char"/>
    <w:link w:val="BodY"/>
    <w:rPr>
      <w:rFonts w:ascii="Times New Roman" w:eastAsia="Times New Roman" w:hAnsi="Times New Roman" w:cs="Times New Roman"/>
      <w:sz w:val="24"/>
      <w:szCs w:val="16"/>
      <w:lang w:val="en-GB" w:eastAsia="nl-B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794913">
      <w:bodyDiv w:val="1"/>
      <w:marLeft w:val="0"/>
      <w:marRight w:val="0"/>
      <w:marTop w:val="0"/>
      <w:marBottom w:val="0"/>
      <w:divBdr>
        <w:top w:val="none" w:sz="0" w:space="0" w:color="auto"/>
        <w:left w:val="none" w:sz="0" w:space="0" w:color="auto"/>
        <w:bottom w:val="none" w:sz="0" w:space="0" w:color="auto"/>
        <w:right w:val="none" w:sz="0" w:space="0" w:color="auto"/>
      </w:divBdr>
      <w:divsChild>
        <w:div w:id="1976622">
          <w:marLeft w:val="0"/>
          <w:marRight w:val="0"/>
          <w:marTop w:val="0"/>
          <w:marBottom w:val="0"/>
          <w:divBdr>
            <w:top w:val="none" w:sz="0" w:space="0" w:color="auto"/>
            <w:left w:val="none" w:sz="0" w:space="0" w:color="auto"/>
            <w:bottom w:val="none" w:sz="0" w:space="0" w:color="auto"/>
            <w:right w:val="none" w:sz="0" w:space="0" w:color="auto"/>
          </w:divBdr>
          <w:divsChild>
            <w:div w:id="387535651">
              <w:marLeft w:val="0"/>
              <w:marRight w:val="0"/>
              <w:marTop w:val="0"/>
              <w:marBottom w:val="0"/>
              <w:divBdr>
                <w:top w:val="none" w:sz="0" w:space="0" w:color="auto"/>
                <w:left w:val="none" w:sz="0" w:space="0" w:color="auto"/>
                <w:bottom w:val="none" w:sz="0" w:space="0" w:color="auto"/>
                <w:right w:val="none" w:sz="0" w:space="0" w:color="auto"/>
              </w:divBdr>
              <w:divsChild>
                <w:div w:id="926891340">
                  <w:marLeft w:val="0"/>
                  <w:marRight w:val="0"/>
                  <w:marTop w:val="0"/>
                  <w:marBottom w:val="0"/>
                  <w:divBdr>
                    <w:top w:val="none" w:sz="0" w:space="0" w:color="auto"/>
                    <w:left w:val="none" w:sz="0" w:space="0" w:color="auto"/>
                    <w:bottom w:val="none" w:sz="0" w:space="0" w:color="auto"/>
                    <w:right w:val="none" w:sz="0" w:space="0" w:color="auto"/>
                  </w:divBdr>
                  <w:divsChild>
                    <w:div w:id="901529099">
                      <w:marLeft w:val="1"/>
                      <w:marRight w:val="1"/>
                      <w:marTop w:val="0"/>
                      <w:marBottom w:val="0"/>
                      <w:divBdr>
                        <w:top w:val="none" w:sz="0" w:space="0" w:color="auto"/>
                        <w:left w:val="none" w:sz="0" w:space="0" w:color="auto"/>
                        <w:bottom w:val="none" w:sz="0" w:space="0" w:color="auto"/>
                        <w:right w:val="none" w:sz="0" w:space="0" w:color="auto"/>
                      </w:divBdr>
                      <w:divsChild>
                        <w:div w:id="1489441851">
                          <w:marLeft w:val="0"/>
                          <w:marRight w:val="0"/>
                          <w:marTop w:val="0"/>
                          <w:marBottom w:val="0"/>
                          <w:divBdr>
                            <w:top w:val="none" w:sz="0" w:space="0" w:color="auto"/>
                            <w:left w:val="none" w:sz="0" w:space="0" w:color="auto"/>
                            <w:bottom w:val="none" w:sz="0" w:space="0" w:color="auto"/>
                            <w:right w:val="none" w:sz="0" w:space="0" w:color="auto"/>
                          </w:divBdr>
                          <w:divsChild>
                            <w:div w:id="1035539760">
                              <w:marLeft w:val="0"/>
                              <w:marRight w:val="0"/>
                              <w:marTop w:val="0"/>
                              <w:marBottom w:val="360"/>
                              <w:divBdr>
                                <w:top w:val="none" w:sz="0" w:space="0" w:color="auto"/>
                                <w:left w:val="none" w:sz="0" w:space="0" w:color="auto"/>
                                <w:bottom w:val="none" w:sz="0" w:space="0" w:color="auto"/>
                                <w:right w:val="none" w:sz="0" w:space="0" w:color="auto"/>
                              </w:divBdr>
                              <w:divsChild>
                                <w:div w:id="1853565866">
                                  <w:marLeft w:val="0"/>
                                  <w:marRight w:val="0"/>
                                  <w:marTop w:val="0"/>
                                  <w:marBottom w:val="0"/>
                                  <w:divBdr>
                                    <w:top w:val="none" w:sz="0" w:space="0" w:color="auto"/>
                                    <w:left w:val="none" w:sz="0" w:space="0" w:color="auto"/>
                                    <w:bottom w:val="none" w:sz="0" w:space="0" w:color="auto"/>
                                    <w:right w:val="none" w:sz="0" w:space="0" w:color="auto"/>
                                  </w:divBdr>
                                  <w:divsChild>
                                    <w:div w:id="903490522">
                                      <w:marLeft w:val="0"/>
                                      <w:marRight w:val="0"/>
                                      <w:marTop w:val="0"/>
                                      <w:marBottom w:val="0"/>
                                      <w:divBdr>
                                        <w:top w:val="none" w:sz="0" w:space="0" w:color="auto"/>
                                        <w:left w:val="none" w:sz="0" w:space="0" w:color="auto"/>
                                        <w:bottom w:val="none" w:sz="0" w:space="0" w:color="auto"/>
                                        <w:right w:val="none" w:sz="0" w:space="0" w:color="auto"/>
                                      </w:divBdr>
                                      <w:divsChild>
                                        <w:div w:id="35933528">
                                          <w:marLeft w:val="0"/>
                                          <w:marRight w:val="0"/>
                                          <w:marTop w:val="0"/>
                                          <w:marBottom w:val="0"/>
                                          <w:divBdr>
                                            <w:top w:val="none" w:sz="0" w:space="0" w:color="auto"/>
                                            <w:left w:val="none" w:sz="0" w:space="0" w:color="auto"/>
                                            <w:bottom w:val="none" w:sz="0" w:space="0" w:color="auto"/>
                                            <w:right w:val="none" w:sz="0" w:space="0" w:color="auto"/>
                                          </w:divBdr>
                                          <w:divsChild>
                                            <w:div w:id="207953825">
                                              <w:marLeft w:val="0"/>
                                              <w:marRight w:val="0"/>
                                              <w:marTop w:val="0"/>
                                              <w:marBottom w:val="0"/>
                                              <w:divBdr>
                                                <w:top w:val="none" w:sz="0" w:space="0" w:color="auto"/>
                                                <w:left w:val="none" w:sz="0" w:space="0" w:color="auto"/>
                                                <w:bottom w:val="none" w:sz="0" w:space="0" w:color="auto"/>
                                                <w:right w:val="none" w:sz="0" w:space="0" w:color="auto"/>
                                              </w:divBdr>
                                              <w:divsChild>
                                                <w:div w:id="1185828166">
                                                  <w:marLeft w:val="0"/>
                                                  <w:marRight w:val="0"/>
                                                  <w:marTop w:val="0"/>
                                                  <w:marBottom w:val="0"/>
                                                  <w:divBdr>
                                                    <w:top w:val="none" w:sz="0" w:space="0" w:color="auto"/>
                                                    <w:left w:val="none" w:sz="0" w:space="0" w:color="auto"/>
                                                    <w:bottom w:val="none" w:sz="0" w:space="0" w:color="auto"/>
                                                    <w:right w:val="none" w:sz="0" w:space="0" w:color="auto"/>
                                                  </w:divBdr>
                                                  <w:divsChild>
                                                    <w:div w:id="1221210934">
                                                      <w:marLeft w:val="0"/>
                                                      <w:marRight w:val="0"/>
                                                      <w:marTop w:val="0"/>
                                                      <w:marBottom w:val="0"/>
                                                      <w:divBdr>
                                                        <w:top w:val="none" w:sz="0" w:space="0" w:color="auto"/>
                                                        <w:left w:val="none" w:sz="0" w:space="0" w:color="auto"/>
                                                        <w:bottom w:val="none" w:sz="0" w:space="0" w:color="auto"/>
                                                        <w:right w:val="none" w:sz="0" w:space="0" w:color="auto"/>
                                                      </w:divBdr>
                                                      <w:divsChild>
                                                        <w:div w:id="5414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011856">
      <w:bodyDiv w:val="1"/>
      <w:marLeft w:val="0"/>
      <w:marRight w:val="0"/>
      <w:marTop w:val="0"/>
      <w:marBottom w:val="0"/>
      <w:divBdr>
        <w:top w:val="none" w:sz="0" w:space="0" w:color="auto"/>
        <w:left w:val="none" w:sz="0" w:space="0" w:color="auto"/>
        <w:bottom w:val="none" w:sz="0" w:space="0" w:color="auto"/>
        <w:right w:val="none" w:sz="0" w:space="0" w:color="auto"/>
      </w:divBdr>
    </w:div>
    <w:div w:id="1870339606">
      <w:bodyDiv w:val="1"/>
      <w:marLeft w:val="0"/>
      <w:marRight w:val="0"/>
      <w:marTop w:val="0"/>
      <w:marBottom w:val="0"/>
      <w:divBdr>
        <w:top w:val="none" w:sz="0" w:space="0" w:color="auto"/>
        <w:left w:val="none" w:sz="0" w:space="0" w:color="auto"/>
        <w:bottom w:val="none" w:sz="0" w:space="0" w:color="auto"/>
        <w:right w:val="none" w:sz="0" w:space="0" w:color="auto"/>
      </w:divBdr>
    </w:div>
    <w:div w:id="2128501330">
      <w:bodyDiv w:val="1"/>
      <w:marLeft w:val="0"/>
      <w:marRight w:val="0"/>
      <w:marTop w:val="0"/>
      <w:marBottom w:val="0"/>
      <w:divBdr>
        <w:top w:val="none" w:sz="0" w:space="0" w:color="auto"/>
        <w:left w:val="none" w:sz="0" w:space="0" w:color="auto"/>
        <w:bottom w:val="none" w:sz="0" w:space="0" w:color="auto"/>
        <w:right w:val="none" w:sz="0" w:space="0" w:color="auto"/>
      </w:divBdr>
      <w:divsChild>
        <w:div w:id="1389958619">
          <w:marLeft w:val="0"/>
          <w:marRight w:val="0"/>
          <w:marTop w:val="0"/>
          <w:marBottom w:val="0"/>
          <w:divBdr>
            <w:top w:val="none" w:sz="0" w:space="0" w:color="auto"/>
            <w:left w:val="none" w:sz="0" w:space="0" w:color="auto"/>
            <w:bottom w:val="none" w:sz="0" w:space="0" w:color="auto"/>
            <w:right w:val="none" w:sz="0" w:space="0" w:color="auto"/>
          </w:divBdr>
          <w:divsChild>
            <w:div w:id="394008156">
              <w:marLeft w:val="0"/>
              <w:marRight w:val="0"/>
              <w:marTop w:val="0"/>
              <w:marBottom w:val="0"/>
              <w:divBdr>
                <w:top w:val="none" w:sz="0" w:space="0" w:color="auto"/>
                <w:left w:val="none" w:sz="0" w:space="0" w:color="auto"/>
                <w:bottom w:val="none" w:sz="0" w:space="0" w:color="auto"/>
                <w:right w:val="none" w:sz="0" w:space="0" w:color="auto"/>
              </w:divBdr>
              <w:divsChild>
                <w:div w:id="2097558405">
                  <w:marLeft w:val="0"/>
                  <w:marRight w:val="0"/>
                  <w:marTop w:val="0"/>
                  <w:marBottom w:val="0"/>
                  <w:divBdr>
                    <w:top w:val="none" w:sz="0" w:space="0" w:color="auto"/>
                    <w:left w:val="none" w:sz="0" w:space="0" w:color="auto"/>
                    <w:bottom w:val="none" w:sz="0" w:space="0" w:color="auto"/>
                    <w:right w:val="none" w:sz="0" w:space="0" w:color="auto"/>
                  </w:divBdr>
                  <w:divsChild>
                    <w:div w:id="2112163594">
                      <w:marLeft w:val="1"/>
                      <w:marRight w:val="1"/>
                      <w:marTop w:val="0"/>
                      <w:marBottom w:val="0"/>
                      <w:divBdr>
                        <w:top w:val="none" w:sz="0" w:space="0" w:color="auto"/>
                        <w:left w:val="none" w:sz="0" w:space="0" w:color="auto"/>
                        <w:bottom w:val="none" w:sz="0" w:space="0" w:color="auto"/>
                        <w:right w:val="none" w:sz="0" w:space="0" w:color="auto"/>
                      </w:divBdr>
                      <w:divsChild>
                        <w:div w:id="1836803075">
                          <w:marLeft w:val="0"/>
                          <w:marRight w:val="0"/>
                          <w:marTop w:val="0"/>
                          <w:marBottom w:val="0"/>
                          <w:divBdr>
                            <w:top w:val="none" w:sz="0" w:space="0" w:color="auto"/>
                            <w:left w:val="none" w:sz="0" w:space="0" w:color="auto"/>
                            <w:bottom w:val="none" w:sz="0" w:space="0" w:color="auto"/>
                            <w:right w:val="none" w:sz="0" w:space="0" w:color="auto"/>
                          </w:divBdr>
                          <w:divsChild>
                            <w:div w:id="464466393">
                              <w:marLeft w:val="0"/>
                              <w:marRight w:val="0"/>
                              <w:marTop w:val="0"/>
                              <w:marBottom w:val="360"/>
                              <w:divBdr>
                                <w:top w:val="none" w:sz="0" w:space="0" w:color="auto"/>
                                <w:left w:val="none" w:sz="0" w:space="0" w:color="auto"/>
                                <w:bottom w:val="none" w:sz="0" w:space="0" w:color="auto"/>
                                <w:right w:val="none" w:sz="0" w:space="0" w:color="auto"/>
                              </w:divBdr>
                              <w:divsChild>
                                <w:div w:id="1389953782">
                                  <w:marLeft w:val="0"/>
                                  <w:marRight w:val="0"/>
                                  <w:marTop w:val="0"/>
                                  <w:marBottom w:val="0"/>
                                  <w:divBdr>
                                    <w:top w:val="none" w:sz="0" w:space="0" w:color="auto"/>
                                    <w:left w:val="none" w:sz="0" w:space="0" w:color="auto"/>
                                    <w:bottom w:val="none" w:sz="0" w:space="0" w:color="auto"/>
                                    <w:right w:val="none" w:sz="0" w:space="0" w:color="auto"/>
                                  </w:divBdr>
                                  <w:divsChild>
                                    <w:div w:id="1127964767">
                                      <w:marLeft w:val="0"/>
                                      <w:marRight w:val="0"/>
                                      <w:marTop w:val="0"/>
                                      <w:marBottom w:val="0"/>
                                      <w:divBdr>
                                        <w:top w:val="none" w:sz="0" w:space="0" w:color="auto"/>
                                        <w:left w:val="none" w:sz="0" w:space="0" w:color="auto"/>
                                        <w:bottom w:val="none" w:sz="0" w:space="0" w:color="auto"/>
                                        <w:right w:val="none" w:sz="0" w:space="0" w:color="auto"/>
                                      </w:divBdr>
                                      <w:divsChild>
                                        <w:div w:id="936982517">
                                          <w:marLeft w:val="0"/>
                                          <w:marRight w:val="0"/>
                                          <w:marTop w:val="0"/>
                                          <w:marBottom w:val="0"/>
                                          <w:divBdr>
                                            <w:top w:val="none" w:sz="0" w:space="0" w:color="auto"/>
                                            <w:left w:val="none" w:sz="0" w:space="0" w:color="auto"/>
                                            <w:bottom w:val="none" w:sz="0" w:space="0" w:color="auto"/>
                                            <w:right w:val="none" w:sz="0" w:space="0" w:color="auto"/>
                                          </w:divBdr>
                                          <w:divsChild>
                                            <w:div w:id="1012218508">
                                              <w:marLeft w:val="0"/>
                                              <w:marRight w:val="0"/>
                                              <w:marTop w:val="0"/>
                                              <w:marBottom w:val="0"/>
                                              <w:divBdr>
                                                <w:top w:val="none" w:sz="0" w:space="0" w:color="auto"/>
                                                <w:left w:val="none" w:sz="0" w:space="0" w:color="auto"/>
                                                <w:bottom w:val="none" w:sz="0" w:space="0" w:color="auto"/>
                                                <w:right w:val="none" w:sz="0" w:space="0" w:color="auto"/>
                                              </w:divBdr>
                                              <w:divsChild>
                                                <w:div w:id="1746603901">
                                                  <w:marLeft w:val="0"/>
                                                  <w:marRight w:val="0"/>
                                                  <w:marTop w:val="0"/>
                                                  <w:marBottom w:val="0"/>
                                                  <w:divBdr>
                                                    <w:top w:val="none" w:sz="0" w:space="0" w:color="auto"/>
                                                    <w:left w:val="none" w:sz="0" w:space="0" w:color="auto"/>
                                                    <w:bottom w:val="none" w:sz="0" w:space="0" w:color="auto"/>
                                                    <w:right w:val="none" w:sz="0" w:space="0" w:color="auto"/>
                                                  </w:divBdr>
                                                  <w:divsChild>
                                                    <w:div w:id="336544485">
                                                      <w:marLeft w:val="0"/>
                                                      <w:marRight w:val="0"/>
                                                      <w:marTop w:val="0"/>
                                                      <w:marBottom w:val="0"/>
                                                      <w:divBdr>
                                                        <w:top w:val="none" w:sz="0" w:space="0" w:color="auto"/>
                                                        <w:left w:val="none" w:sz="0" w:space="0" w:color="auto"/>
                                                        <w:bottom w:val="none" w:sz="0" w:space="0" w:color="auto"/>
                                                        <w:right w:val="none" w:sz="0" w:space="0" w:color="auto"/>
                                                      </w:divBdr>
                                                      <w:divsChild>
                                                        <w:div w:id="12545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63"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 Id="rId64"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s://www.europeandataportal.eu/sites/default/files/edp_landscaping_insight_report_n3_2017.pdf" TargetMode="External"/><Relationship Id="rId1" Type="http://schemas.openxmlformats.org/officeDocument/2006/relationships/hyperlink" Target="https://ec.europa.eu/digital-single-market/news-redirect/623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8a4779a7-a821-41bc-9264-6a7285c3b1da" xsi:nil="true"/>
    <EC_Collab_DocumentLanguage xmlns="8a4779a7-a821-41bc-9264-6a7285c3b1da">EN</EC_Collab_DocumentLanguage>
    <_dlc_DocId xmlns="866aabb8-7ec2-447a-a7ff-f911015037e7">UVNUSV5RWJH5-815657195-512</_dlc_DocId>
    <_dlc_DocIdUrl xmlns="866aabb8-7ec2-447a-a7ff-f911015037e7">
      <Url>https://myintracomm-collab.ec.europa.eu/dg/CONNECT/directorateG/UnitG1/_layouts/15/DocIdRedir.aspx?ID=UVNUSV5RWJH5-815657195-512</Url>
      <Description>UVNUSV5RWJH5-815657195-512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CE8E76DF1EC14FB803D6FF12E6DEFF" ma:contentTypeVersion="9" ma:contentTypeDescription="Create a new document." ma:contentTypeScope="" ma:versionID="bce2b482114eb32cf30f053350693ec4">
  <xsd:schema xmlns:xsd="http://www.w3.org/2001/XMLSchema" xmlns:xs="http://www.w3.org/2001/XMLSchema" xmlns:p="http://schemas.microsoft.com/office/2006/metadata/properties" xmlns:ns3="8a4779a7-a821-41bc-9264-6a7285c3b1da" xmlns:ns4="866aabb8-7ec2-447a-a7ff-f911015037e7" targetNamespace="http://schemas.microsoft.com/office/2006/metadata/properties" ma:root="true" ma:fieldsID="4838d94350bd37eefc22bf8610b88a32" ns3:_="" ns4:_="">
    <xsd:import namespace="8a4779a7-a821-41bc-9264-6a7285c3b1da"/>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779a7-a821-41bc-9264-6a7285c3b1d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2F000-0BFD-435B-864D-2D5A04003E35}">
  <ds:schemaRefs>
    <ds:schemaRef ds:uri="http://schemas.microsoft.com/sharepoint/events"/>
  </ds:schemaRefs>
</ds:datastoreItem>
</file>

<file path=customXml/itemProps2.xml><?xml version="1.0" encoding="utf-8"?>
<ds:datastoreItem xmlns:ds="http://schemas.openxmlformats.org/officeDocument/2006/customXml" ds:itemID="{412B792A-65AF-46C7-ABC4-4AE197DEFA7E}">
  <ds:schemaRefs>
    <ds:schemaRef ds:uri="http://purl.org/dc/terms/"/>
    <ds:schemaRef ds:uri="http://schemas.microsoft.com/office/2006/metadata/properties"/>
    <ds:schemaRef ds:uri="http://schemas.microsoft.com/office/2006/documentManagement/types"/>
    <ds:schemaRef ds:uri="866aabb8-7ec2-447a-a7ff-f911015037e7"/>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8a4779a7-a821-41bc-9264-6a7285c3b1da"/>
  </ds:schemaRefs>
</ds:datastoreItem>
</file>

<file path=customXml/itemProps3.xml><?xml version="1.0" encoding="utf-8"?>
<ds:datastoreItem xmlns:ds="http://schemas.openxmlformats.org/officeDocument/2006/customXml" ds:itemID="{86322B97-455F-4A15-8A50-A626B6251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779a7-a821-41bc-9264-6a7285c3b1da"/>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8A3F7-8628-4A5B-891D-24E4CD247D12}">
  <ds:schemaRefs>
    <ds:schemaRef ds:uri="http://schemas.microsoft.com/sharepoint/v3/contenttype/forms"/>
  </ds:schemaRefs>
</ds:datastoreItem>
</file>

<file path=customXml/itemProps5.xml><?xml version="1.0" encoding="utf-8"?>
<ds:datastoreItem xmlns:ds="http://schemas.openxmlformats.org/officeDocument/2006/customXml" ds:itemID="{60D846A8-D2B0-4C76-8D91-F1789ED7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878</Words>
  <Characters>4791</Characters>
  <Application>Microsoft Office Word</Application>
  <DocSecurity>0</DocSecurity>
  <Lines>72</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Evaluation Report 2013 PSI Directive</vt:lpstr>
      <vt:lpstr>Evaluation Report 2013 PSI Directive</vt:lpstr>
    </vt:vector>
  </TitlesOfParts>
  <Manager/>
  <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Report 2013 PSI Directive</dc:title>
  <dc:creator/>
  <cp:lastModifiedBy/>
  <cp:revision>17</cp:revision>
  <cp:lastPrinted>2018-04-16T08:26:00Z</cp:lastPrinted>
  <dcterms:created xsi:type="dcterms:W3CDTF">2018-04-20T10:39:00Z</dcterms:created>
  <dcterms:modified xsi:type="dcterms:W3CDTF">2018-04-24T12:02:00Z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ontentTypeId">
    <vt:lpwstr>0x010100258AA79CEB83498886A3A086811232500033CE8E76DF1EC14FB803D6FF12E6DEFF</vt:lpwstr>
  </property>
  <property fmtid="{D5CDD505-2E9C-101B-9397-08002B2CF9AE}" pid="5" name="_dlc_DocIdItemGuid">
    <vt:lpwstr>7d411eb7-453a-45d7-a0a2-b850a1afd94c</vt:lpwstr>
  </property>
  <property fmtid="{D5CDD505-2E9C-101B-9397-08002B2CF9AE}" pid="6" name="Level of sensitivity">
    <vt:lpwstr>Standard treatment</vt:lpwstr>
  </property>
  <property fmtid="{D5CDD505-2E9C-101B-9397-08002B2CF9AE}" pid="7" name="DocStatus">
    <vt:lpwstr>Green</vt:lpwstr>
  </property>
  <property name="OP_sanitized" fmtid="{D5CDD505-2E9C-101B-9397-08002B2CF9AE}" pid="8">
    <vt:lpwstr>True</vt:lpwstr>
  </property>
</Properties>
</file>