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FC0E65171D804588A005DA04A5BABC2B" style="width:450.7pt;height:338.5pt">
            <v:imagedata r:id="rId9" o:title=""/>
          </v:shape>
        </w:pict>
      </w:r>
    </w:p>
    <w:p>
      <w:pPr>
        <w:rPr>
          <w:noProof/>
          <w:color w:val="000000" w:themeColor="text1"/>
        </w:rPr>
        <w:sectPr>
          <w:footerReference w:type="default" r:id="rId10"/>
          <w:pgSz w:w="11907" w:h="16839"/>
          <w:pgMar w:top="1134" w:right="1417" w:bottom="1134" w:left="1417" w:header="709" w:footer="709" w:gutter="0"/>
          <w:pgNumType w:start="1"/>
          <w:cols w:space="720"/>
          <w:docGrid w:linePitch="360"/>
        </w:sectPr>
      </w:pPr>
    </w:p>
    <w:p>
      <w:pPr>
        <w:pStyle w:val="Exposdesmotifstitre"/>
        <w:rPr>
          <w:noProof/>
          <w:color w:val="000000" w:themeColor="text1"/>
        </w:rPr>
      </w:pPr>
      <w:bookmarkStart w:id="0" w:name="_GoBack"/>
      <w:bookmarkEnd w:id="0"/>
      <w:r>
        <w:rPr>
          <w:noProof/>
          <w:color w:val="000000" w:themeColor="text1"/>
        </w:rPr>
        <w:lastRenderedPageBreak/>
        <w:t>EXPLANATORY MEMORANDUM</w:t>
      </w:r>
    </w:p>
    <w:p>
      <w:pPr>
        <w:pStyle w:val="ManualHeading1"/>
        <w:rPr>
          <w:noProof/>
          <w:color w:val="000000" w:themeColor="text1"/>
        </w:rPr>
      </w:pPr>
      <w:r>
        <w:rPr>
          <w:noProof/>
          <w:color w:val="000000" w:themeColor="text1"/>
        </w:rPr>
        <w:t>1.</w:t>
      </w:r>
      <w:r>
        <w:rPr>
          <w:noProof/>
          <w:color w:val="000000" w:themeColor="text1"/>
        </w:rPr>
        <w:tab/>
        <w:t>CONTEXT OF THE PROPOSAL</w:t>
      </w:r>
    </w:p>
    <w:p>
      <w:pPr>
        <w:pStyle w:val="ManualHeading2"/>
        <w:rPr>
          <w:rFonts w:eastAsia="Arial Unicode MS"/>
          <w:noProof/>
          <w:color w:val="000000" w:themeColor="text1"/>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r>
      <w:r>
        <w:rPr>
          <w:rFonts w:eastAsia="Arial Unicode MS"/>
          <w:noProof/>
          <w:color w:val="000000" w:themeColor="text1"/>
        </w:rPr>
        <w:t>Reasons for and objectives of the proposal</w:t>
      </w:r>
    </w:p>
    <w:p>
      <w:pPr>
        <w:rPr>
          <w:noProof/>
        </w:rPr>
      </w:pPr>
      <w:r>
        <w:rPr>
          <w:noProof/>
        </w:rPr>
        <w:t>The ideals, principles and values embedded in the European cultural heritage constitute a shared source of remembrance, understanding, identity, dialogue, cohesion and creativity for Europe. Since the adoption of the European Agenda for Culture</w:t>
      </w:r>
      <w:r>
        <w:rPr>
          <w:rStyle w:val="FootnoteReference"/>
          <w:rFonts w:eastAsiaTheme="majorEastAsia"/>
          <w:noProof/>
        </w:rPr>
        <w:footnoteReference w:id="1"/>
      </w:r>
      <w:r>
        <w:rPr>
          <w:noProof/>
        </w:rPr>
        <w:t xml:space="preserve"> in 2007, cultural heritage has been a priority under successive Council Work Plans for Culture, including the current plan for the period 2015-2018</w:t>
      </w:r>
      <w:r>
        <w:rPr>
          <w:rStyle w:val="FootnoteReference"/>
          <w:noProof/>
        </w:rPr>
        <w:footnoteReference w:id="2"/>
      </w:r>
      <w:r>
        <w:rPr>
          <w:noProof/>
        </w:rPr>
        <w:t>. Cooperation at European level has taken place mainly through the open method of coordination. In 2014, the role of heritage policies for delivering social and economic benefits was highlighted in the Council conclusions on cultural heritage as a strategic resource for a sustainable Europe</w:t>
      </w:r>
      <w:r>
        <w:rPr>
          <w:rStyle w:val="FootnoteReference"/>
          <w:rFonts w:eastAsiaTheme="majorEastAsia"/>
          <w:noProof/>
        </w:rPr>
        <w:footnoteReference w:id="3"/>
      </w:r>
      <w:r>
        <w:rPr>
          <w:noProof/>
        </w:rPr>
        <w:t xml:space="preserve"> (21 May 2014), and in the Commission Communication </w:t>
      </w:r>
      <w:r>
        <w:rPr>
          <w:i/>
          <w:noProof/>
        </w:rPr>
        <w:t>Towards an integrated approach to cultural heritage for Europe</w:t>
      </w:r>
      <w:r>
        <w:rPr>
          <w:noProof/>
        </w:rPr>
        <w:t>.</w:t>
      </w:r>
      <w:r>
        <w:rPr>
          <w:rStyle w:val="FootnoteReference"/>
          <w:rFonts w:eastAsiaTheme="majorEastAsia"/>
          <w:noProof/>
        </w:rPr>
        <w:footnoteReference w:id="4"/>
      </w:r>
      <w:r>
        <w:rPr>
          <w:noProof/>
        </w:rPr>
        <w:t xml:space="preserve"> The Communication was welcomed by the Committee of the Regions in its Opinion of 16 April 2015</w:t>
      </w:r>
      <w:r>
        <w:rPr>
          <w:rStyle w:val="FootnoteReference"/>
          <w:rFonts w:eastAsiaTheme="majorEastAsia"/>
          <w:noProof/>
        </w:rPr>
        <w:footnoteReference w:id="5"/>
      </w:r>
      <w:r>
        <w:rPr>
          <w:noProof/>
        </w:rPr>
        <w:t>, and by the European Parliament, which adopted a Resolution on 8 September 2015</w:t>
      </w:r>
      <w:r>
        <w:rPr>
          <w:rStyle w:val="FootnoteReference"/>
          <w:rFonts w:eastAsiaTheme="majorEastAsia"/>
          <w:noProof/>
        </w:rPr>
        <w:footnoteReference w:id="6"/>
      </w:r>
      <w:r>
        <w:rPr>
          <w:noProof/>
        </w:rPr>
        <w:t>.</w:t>
      </w:r>
    </w:p>
    <w:p>
      <w:pPr>
        <w:rPr>
          <w:noProof/>
        </w:rPr>
      </w:pPr>
      <w:r>
        <w:rPr>
          <w:noProof/>
        </w:rPr>
        <w:t>In particular, an invitation to the Commission to propose a ‘European Year of Cultural Heritage’ was included in the Council conclusions on participatory governance of cultural heritage, adopted on 25 November 2014</w:t>
      </w:r>
      <w:r>
        <w:rPr>
          <w:rStyle w:val="FootnoteReference"/>
          <w:noProof/>
        </w:rPr>
        <w:footnoteReference w:id="7"/>
      </w:r>
      <w:r>
        <w:rPr>
          <w:noProof/>
        </w:rPr>
        <w:t>. The European Parliament made a similar invitation in its resolution and invited the Commission ‘to designate, preferably for 2018, a European Year of Cultural Heritage’. The Committee of the Regions also echoed that call in its opinion and stressed that a European Year of Cultural Heritage would contribute to the attainment of shared goals in the pan-European context.</w:t>
      </w:r>
    </w:p>
    <w:p>
      <w:pPr>
        <w:rPr>
          <w:noProof/>
        </w:rPr>
      </w:pPr>
      <w:r>
        <w:rPr>
          <w:noProof/>
        </w:rPr>
        <w:t>As highlighted in the Commission Communication, the contribution of cultural heritage to economic growth and social cohesion in Europe is insufficiently known and often undervalued. At the same time, the heritage sector in Europe is facing many challenges. These include: decreasing public budgets; declining participation in traditional cultural activities; increasing environmental and physical pressures on heritage sites; transforming value chains and expectations as a result of the digital shift; and the illegal trafficking of cultural artefacts.</w:t>
      </w:r>
    </w:p>
    <w:p>
      <w:pPr>
        <w:rPr>
          <w:noProof/>
        </w:rPr>
      </w:pPr>
      <w:r>
        <w:rPr>
          <w:noProof/>
        </w:rPr>
        <w:t>As with all European Years, the main objective is to raise awareness of the challenges and opportunities and highlight the role of the EU in promoting shared solutions. In line with the objectives of the European Agenda for Culture, the European Year of Cultural Heritage should have the following overall objectives:</w:t>
      </w:r>
    </w:p>
    <w:p>
      <w:pPr>
        <w:pStyle w:val="Tiret0"/>
        <w:numPr>
          <w:ilvl w:val="0"/>
          <w:numId w:val="13"/>
        </w:numPr>
        <w:ind w:left="426" w:hanging="284"/>
        <w:rPr>
          <w:noProof/>
          <w:color w:val="000000" w:themeColor="text1"/>
        </w:rPr>
      </w:pPr>
      <w:r>
        <w:rPr>
          <w:noProof/>
          <w:color w:val="000000" w:themeColor="text1"/>
        </w:rPr>
        <w:lastRenderedPageBreak/>
        <w:t>It shall contribute to promoting the role of European cultural heritage as a pivotal component of cultural diversity and intercultural dialogue. It should highlight the best means to ensure its conservation and safeguarding and its enjoyment by a wider and more diversified public. This includes through audience development measures and heritage education, in full respect of the competences of the Member States, thereby promoting social inclusion and integration.</w:t>
      </w:r>
    </w:p>
    <w:p>
      <w:pPr>
        <w:pStyle w:val="Tiret0"/>
        <w:numPr>
          <w:ilvl w:val="0"/>
          <w:numId w:val="13"/>
        </w:numPr>
        <w:ind w:left="426" w:hanging="284"/>
        <w:rPr>
          <w:noProof/>
          <w:color w:val="000000" w:themeColor="text1"/>
        </w:rPr>
      </w:pPr>
      <w:r>
        <w:rPr>
          <w:noProof/>
          <w:color w:val="000000" w:themeColor="text1"/>
        </w:rPr>
        <w:t>It should enhance the contribution of European cultural heritage to the economy and society, through its direct and indirect economic potential. This includes the capacity to underpin the cultural and creative industries and inspire creation and innovation, promote sustainable tourism, and generate long-term local employment.</w:t>
      </w:r>
    </w:p>
    <w:p>
      <w:pPr>
        <w:pStyle w:val="Tiret0"/>
        <w:numPr>
          <w:ilvl w:val="0"/>
          <w:numId w:val="13"/>
        </w:numPr>
        <w:ind w:left="426" w:hanging="284"/>
        <w:rPr>
          <w:noProof/>
          <w:color w:val="000000" w:themeColor="text1"/>
        </w:rPr>
      </w:pPr>
      <w:r>
        <w:rPr>
          <w:noProof/>
          <w:color w:val="000000" w:themeColor="text1"/>
        </w:rPr>
        <w:t>It should contribute to promoting cultural heritage as an important element of the EU’s international dimension, building on the interest in partner countries for Europe’s heritage and expertise. Heritage plays a major role in several programmes in the area of external relations, mainly — but not exclusively — in the Middle East. The promotion of the value of cultural heritage is also a response to the deliberate destruction of cultural treasures in conflict zones</w:t>
      </w:r>
      <w:r>
        <w:rPr>
          <w:rStyle w:val="FootnoteReference"/>
          <w:rFonts w:eastAsiaTheme="majorEastAsia"/>
          <w:noProof/>
          <w:color w:val="000000" w:themeColor="text1"/>
        </w:rPr>
        <w:footnoteReference w:id="8"/>
      </w:r>
      <w:r>
        <w:rPr>
          <w:noProof/>
          <w:color w:val="000000" w:themeColor="text1"/>
        </w:rPr>
        <w:t>.</w:t>
      </w:r>
    </w:p>
    <w:p>
      <w:pPr>
        <w:rPr>
          <w:noProof/>
        </w:rPr>
      </w:pPr>
      <w:r>
        <w:rPr>
          <w:noProof/>
        </w:rPr>
        <w:t>The European Year of Cultural Heritage will offer opportunities for European citizens to better understand the present through a richer and shared interpretation of the past. It will stimulate a better evaluation of the social and economic benefits of cultural heritage and of its contribution to economic growth and social cohesion. This can be assessed, for instance, in terms of the promotion of sustainable tourism and urban regeneration. It will highlight the challenges and opportunities linked to digitisation. It will also contribute to addressing the identified challenges, through the dissemination of best practices concerning: safeguarding; management; enhancement; governance; and research and innovation activities. Recent breakthroughs in terms of technological and social innovation in the field of cultural heritage, as well as the EU's initiatives in these domains, will be highlighted.</w:t>
      </w:r>
    </w:p>
    <w:p>
      <w:pPr>
        <w:pBdr>
          <w:top w:val="nil"/>
          <w:left w:val="nil"/>
          <w:bottom w:val="nil"/>
          <w:right w:val="nil"/>
          <w:between w:val="nil"/>
          <w:bar w:val="nil"/>
        </w:pBdr>
        <w:spacing w:before="0" w:after="240"/>
        <w:rPr>
          <w:rFonts w:eastAsia="Arial Unicode MS"/>
          <w:noProof/>
          <w:color w:val="000000" w:themeColor="text1"/>
        </w:rPr>
      </w:pP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r>
      <w:r>
        <w:rPr>
          <w:rFonts w:eastAsia="Arial Unicode MS"/>
          <w:noProof/>
          <w:color w:val="000000" w:themeColor="text1"/>
        </w:rPr>
        <w:t>Consistency with existing policy provisions in the policy area</w:t>
      </w:r>
    </w:p>
    <w:p>
      <w:pPr>
        <w:rPr>
          <w:noProof/>
        </w:rPr>
      </w:pPr>
      <w:r>
        <w:rPr>
          <w:noProof/>
        </w:rPr>
        <w:t>The European Year of Cultural Heritage will be implemented using existing EU programmes. Cultural heritage is currently eligible for significant EU funding under several EU programmes for conservation, digitisation, infrastructure, research and innovation, enhancement and skills. These programmes include: Creative Europe; the European structural and investment funds; Horizon 2020; Erasmus+; and Europe for Citizens. Three EU actions specifically dedicated to cultural heritage are funded under Creative Europe: European Heritage Days; the EU Prize for Cultural Heritage; and the European Heritage Label.</w:t>
      </w:r>
    </w:p>
    <w:p>
      <w:pPr>
        <w:rPr>
          <w:noProof/>
        </w:rPr>
      </w:pPr>
      <w:r>
        <w:rPr>
          <w:noProof/>
        </w:rPr>
        <w:t>The European Year will be an opportunity to encourage Member States and stakeholders to work together to develop a stronger and more integrated approach to cultural heritage. This approach would aim to promote and protect Europe’s cultural heritage, and maximise its intrinsic and societal value, and its contribution to jobs and growth. This will be pursued in full respect of the subsidiarity principle.</w:t>
      </w:r>
    </w:p>
    <w:p>
      <w:pPr>
        <w:rPr>
          <w:noProof/>
        </w:rPr>
      </w:pPr>
      <w:r>
        <w:rPr>
          <w:noProof/>
        </w:rPr>
        <w:lastRenderedPageBreak/>
        <w:t>Similar to other European Years, measures will include information and promotion campaigns, events and initiatives at European, national, regional and local levels. They will serve to convey key messages and disseminate information about examples of good practice.</w:t>
      </w:r>
    </w:p>
    <w:p>
      <w:pPr>
        <w:rPr>
          <w:noProof/>
          <w:color w:val="000000" w:themeColor="text1"/>
        </w:rPr>
      </w:pPr>
      <w:r>
        <w:rPr>
          <w:noProof/>
        </w:rPr>
        <w:t>Every effort will be made to ensure that the activities organised in the course of the European Year are tailored to meet the needs and circumstances of each Member State. Member States are therefore invited to appoint a national coordinator responsible for organising</w:t>
      </w:r>
      <w:r>
        <w:rPr>
          <w:noProof/>
          <w:color w:val="000000" w:themeColor="text1"/>
        </w:rPr>
        <w:t xml:space="preserve"> their participation in the European Year of Cultural Heritage. A European steering group, including representatives of the national coordinators, will be set up. The Commission shall convene meetings of the national coordinators in order to coordinate the running of the European Year and to exchange information regarding its implementation at national and European level.</w:t>
      </w:r>
    </w:p>
    <w:p>
      <w:pPr>
        <w:pBdr>
          <w:top w:val="nil"/>
          <w:left w:val="nil"/>
          <w:bottom w:val="nil"/>
          <w:right w:val="nil"/>
          <w:between w:val="nil"/>
          <w:bar w:val="nil"/>
        </w:pBdr>
        <w:spacing w:before="0" w:after="240"/>
        <w:rPr>
          <w:rFonts w:eastAsia="Arial Unicode MS"/>
          <w:noProof/>
          <w:color w:val="000000" w:themeColor="text1"/>
        </w:rPr>
      </w:pPr>
    </w:p>
    <w:p>
      <w:pPr>
        <w:pStyle w:val="ManualHeading1"/>
        <w:rPr>
          <w:noProof/>
          <w:color w:val="000000" w:themeColor="text1"/>
        </w:rPr>
      </w:pPr>
      <w:r>
        <w:rPr>
          <w:noProof/>
          <w:color w:val="000000" w:themeColor="text1"/>
        </w:rPr>
        <w:t>2.</w:t>
      </w:r>
      <w:r>
        <w:rPr>
          <w:noProof/>
          <w:color w:val="000000" w:themeColor="text1"/>
        </w:rPr>
        <w:tab/>
        <w:t>LEGAL BASIS, SUBSIDIARITY AND PROPORTIONALITY</w:t>
      </w: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Legal basis</w:t>
      </w:r>
    </w:p>
    <w:p>
      <w:pPr>
        <w:rPr>
          <w:noProof/>
        </w:rPr>
      </w:pPr>
      <w:r>
        <w:rPr>
          <w:noProof/>
        </w:rPr>
        <w:t>The legal basis of the proposal is Article 167 of the Treaty on the Functioning of the European Union (TFEU). This states that the EU ‘shall contribute to the flowering of the cultures of the Member States, while respecting their national and regional diversity and at the same time bringing the common cultural heritage to the fore’. The Union shall also encourage 'cooperation between Member States' in the field of culture and if necessary, support and supplement their action.</w:t>
      </w:r>
    </w:p>
    <w:p>
      <w:pPr>
        <w:rPr>
          <w:noProof/>
        </w:rPr>
      </w:pP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 xml:space="preserve">Subsidiarity </w:t>
      </w:r>
    </w:p>
    <w:p>
      <w:pPr>
        <w:rPr>
          <w:noProof/>
        </w:rPr>
      </w:pPr>
      <w:r>
        <w:rPr>
          <w:noProof/>
        </w:rPr>
        <w:t>The objectives of the proposal cannot be achieved to a sufficient extent solely by action undertaken by the Member States. This is because action at national level alone would not benefit from the European dimension of exchange of experience and good practice between Member States. Article 3 of the Treaty on European Union states that the European Union shall respect the Member States' rich cultural and linguistic diversity, and ensure that Europe's cultural heritage is safeguarded and enhanced. The Union shall pursue its objectives by appropriate means commensurate with the competences which are conferred upon it by the Treaties. In addition, Member States' action would benefit from the awareness and visibility created within and beyond the EU.</w:t>
      </w:r>
    </w:p>
    <w:p>
      <w:pPr>
        <w:rPr>
          <w:noProof/>
        </w:rPr>
      </w:pP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Proportionality</w:t>
      </w:r>
    </w:p>
    <w:p>
      <w:pPr>
        <w:rPr>
          <w:noProof/>
        </w:rPr>
      </w:pPr>
      <w:r>
        <w:rPr>
          <w:noProof/>
        </w:rPr>
        <w:t>The proposed course of action is simple. It relies on existing programmes and on refocusing communication activities on the themes of the European Year. It imposes no disproportionate management constraints on administrations implementing the proposal.</w:t>
      </w:r>
    </w:p>
    <w:p>
      <w:pPr>
        <w:rPr>
          <w:noProof/>
        </w:rPr>
      </w:pPr>
      <w:r>
        <w:rPr>
          <w:noProof/>
        </w:rPr>
        <w:t>EU action will support and complement the efforts of Member States. This action will firstly improve the effectiveness of the EU’s own instruments. Secondly, it will act as an enabler by encouraging synergies and cooperation among Member States, cultural organisations and foundations, and private and public enterprises.</w:t>
      </w:r>
    </w:p>
    <w:p>
      <w:pPr>
        <w:rPr>
          <w:noProof/>
        </w:rPr>
      </w:pPr>
      <w:r>
        <w:rPr>
          <w:noProof/>
        </w:rPr>
        <w:t>EU action would not go beyond what is necessary to address the identified problems.</w:t>
      </w:r>
    </w:p>
    <w:p>
      <w:pPr>
        <w:pBdr>
          <w:top w:val="nil"/>
          <w:left w:val="nil"/>
          <w:bottom w:val="nil"/>
          <w:right w:val="nil"/>
          <w:between w:val="nil"/>
          <w:bar w:val="nil"/>
        </w:pBdr>
        <w:spacing w:before="0" w:after="240"/>
        <w:rPr>
          <w:rFonts w:eastAsia="Arial Unicode MS"/>
          <w:noProof/>
          <w:color w:val="000000" w:themeColor="text1"/>
        </w:rPr>
      </w:pP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lastRenderedPageBreak/>
        <w:t>•</w:t>
      </w:r>
      <w:r>
        <w:rPr>
          <w:rFonts w:eastAsia="Arial Unicode MS"/>
          <w:noProof/>
          <w:color w:val="000000" w:themeColor="text1"/>
          <w:u w:color="000000"/>
          <w:bdr w:val="nil"/>
          <w:lang w:val="en-US" w:eastAsia="en-GB"/>
        </w:rPr>
        <w:tab/>
        <w:t>Choice of the instrument</w:t>
      </w:r>
    </w:p>
    <w:p>
      <w:pPr>
        <w:pStyle w:val="Corpo"/>
        <w:spacing w:before="0" w:after="240"/>
        <w:rPr>
          <w:noProof/>
          <w:color w:val="000000" w:themeColor="text1"/>
        </w:rPr>
      </w:pPr>
      <w:r>
        <w:rPr>
          <w:noProof/>
          <w:color w:val="000000" w:themeColor="text1"/>
        </w:rPr>
        <w:t>A decision of the European Parliament and of the Council is the most appropriate instrument to ensure the full involvement of the legislative authority in designating 2018 as the European Year of Cultural Heritage.</w:t>
      </w:r>
    </w:p>
    <w:p>
      <w:pPr>
        <w:pBdr>
          <w:top w:val="nil"/>
          <w:left w:val="nil"/>
          <w:bottom w:val="nil"/>
          <w:right w:val="nil"/>
          <w:between w:val="nil"/>
          <w:bar w:val="nil"/>
        </w:pBdr>
        <w:spacing w:before="0" w:after="240"/>
        <w:rPr>
          <w:rFonts w:eastAsia="Arial Unicode MS"/>
          <w:noProof/>
          <w:color w:val="000000" w:themeColor="text1"/>
        </w:rPr>
      </w:pPr>
    </w:p>
    <w:p>
      <w:pPr>
        <w:pStyle w:val="ManualHeading1"/>
        <w:rPr>
          <w:noProof/>
          <w:color w:val="000000" w:themeColor="text1"/>
        </w:rPr>
      </w:pPr>
      <w:r>
        <w:rPr>
          <w:noProof/>
          <w:color w:val="000000" w:themeColor="text1"/>
        </w:rPr>
        <w:t>3.</w:t>
      </w:r>
      <w:r>
        <w:rPr>
          <w:noProof/>
          <w:color w:val="000000" w:themeColor="text1"/>
        </w:rPr>
        <w:tab/>
        <w:t>RESULTS OF EX-POST EVALUATIONS, STAKEHOLDER CONSULTATIONS AND IMPACT ASSESSMENTS</w:t>
      </w: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Stakeholder consultations</w:t>
      </w:r>
    </w:p>
    <w:p>
      <w:pPr>
        <w:rPr>
          <w:noProof/>
        </w:rPr>
      </w:pPr>
      <w:r>
        <w:rPr>
          <w:noProof/>
        </w:rPr>
        <w:t>In preparing its proposal, the Commission conducted a series of targeted consultations involving a wide range of stakeholders, reflecting the nature of the cultural heritage sector and its high level of organisation and specialisation, the competences of the Member States and the role of professional bodies and international organisations. In addition, the Commission took special account of the above-mentioned Council conclusions, the resolution of the European Parliament and the opinion of the Committee of the Regions.</w:t>
      </w:r>
    </w:p>
    <w:p>
      <w:pPr>
        <w:rPr>
          <w:noProof/>
        </w:rPr>
      </w:pPr>
      <w:r>
        <w:rPr>
          <w:noProof/>
        </w:rPr>
        <w:t>At EU level, policy developments on cultural heritage have recently benefited from a rich debate. This has been facilitated by bodies bringing together authorities in charge of heritage policies in Member States. These include the Reflection Group ‘EU and cultural heritage’, and the European Heritage Heads Forum. Other intergovernmental and non-governmental organisations include the International Council of Museums (ICOM), the International Council on Monuments and Sites (ICOMOS), the International Centre for the Study of the Preservation and Restoration of Cultural Property (ICCROM), the Council of Europe. Other major networks active in the field include Europa Nostra, the European Heritage Alliance 3.3</w:t>
      </w:r>
      <w:r>
        <w:rPr>
          <w:rStyle w:val="FootnoteReference"/>
          <w:noProof/>
        </w:rPr>
        <w:footnoteReference w:id="9"/>
      </w:r>
      <w:r>
        <w:rPr>
          <w:noProof/>
        </w:rPr>
        <w:t>, and the Network of European Museum Organisations (NEMO).</w:t>
      </w:r>
    </w:p>
    <w:p>
      <w:pPr>
        <w:rPr>
          <w:noProof/>
          <w:color w:val="000000" w:themeColor="text1"/>
        </w:rPr>
      </w:pPr>
      <w:r>
        <w:rPr>
          <w:noProof/>
          <w:color w:val="000000" w:themeColor="text1"/>
        </w:rPr>
        <w:t>There have been various other developments. In April 2015, the Ministers of Culture of the Council of Europe adopted the Namur Declaration. In this, they welcomed the idea of the Council of the European Union to organise a European Heritage Year. They asked that the Council of Europe, and all States Parties to the European Cultural Convention, be invited to participate.</w:t>
      </w:r>
    </w:p>
    <w:p>
      <w:pPr>
        <w:rPr>
          <w:noProof/>
          <w:color w:val="000000" w:themeColor="text1"/>
        </w:rPr>
      </w:pPr>
      <w:r>
        <w:rPr>
          <w:noProof/>
          <w:color w:val="000000" w:themeColor="text1"/>
        </w:rPr>
        <w:t>On 29 June 2015, on the eve of the 40th anniversary of the European Year of Architectural Heritage that was organised in 1975 under the auspices of the Council of Europe, the German Cultural Heritage Committee (</w:t>
      </w:r>
      <w:r>
        <w:rPr>
          <w:i/>
          <w:noProof/>
          <w:color w:val="000000" w:themeColor="text1"/>
        </w:rPr>
        <w:t>Deutsches Nationalkomitee für Denkmalschutz</w:t>
      </w:r>
      <w:r>
        <w:rPr>
          <w:noProof/>
          <w:color w:val="000000" w:themeColor="text1"/>
        </w:rPr>
        <w:t>) hosted a public discussion in Bonn on the proposal for a European Year, in conjunction with the session of the World Heritage Committee.</w:t>
      </w:r>
    </w:p>
    <w:p>
      <w:pPr>
        <w:rPr>
          <w:noProof/>
        </w:rPr>
      </w:pPr>
      <w:r>
        <w:rPr>
          <w:noProof/>
        </w:rPr>
        <w:t>Another relevant discussion was organised in April 2015 by Europa Nostra’s Brussels Office with a selected group of chief executive officers of member organisations. At its June 2015 General Assembly, the entire membership of Europa Nostra discussed the purpose of a European Year for Cultural Heritage and the main actions that could be developed. This was organised in Oslo, in the presence of the European Commission.</w:t>
      </w:r>
    </w:p>
    <w:p>
      <w:pPr>
        <w:rPr>
          <w:noProof/>
        </w:rPr>
      </w:pPr>
      <w:r>
        <w:rPr>
          <w:noProof/>
        </w:rPr>
        <w:t xml:space="preserve">Stakeholders were also consulted in the framework of the open working group ‘EYCH 2018’, organised by the German Cultural Heritage Committee and the Federal Government </w:t>
      </w:r>
      <w:r>
        <w:rPr>
          <w:noProof/>
        </w:rPr>
        <w:lastRenderedPageBreak/>
        <w:t>Commissioner for Culture and the Media. This resulted in a concept paper (</w:t>
      </w:r>
      <w:r>
        <w:rPr>
          <w:i/>
          <w:noProof/>
        </w:rPr>
        <w:t>Sharing Heritage’</w:t>
      </w:r>
      <w:r>
        <w:rPr>
          <w:rStyle w:val="FootnoteReference"/>
          <w:i/>
          <w:noProof/>
        </w:rPr>
        <w:footnoteReference w:id="10"/>
      </w:r>
      <w:r>
        <w:rPr>
          <w:noProof/>
        </w:rPr>
        <w:t>) that was taken into account in preparing this proposal. The discussion was conducted with members of the Reflection Group ‘EU and Cultural Heritage’, including experts from the national administrations of Belgium, Bulgaria, Germany, France, Greece, Italy, Luxembourg, Latvia, Lithuania, the Netherlands, Norway, Poland, Spain, Sweden, Switzerland, and the United Kingdom. Additional experts came from Estonia, Austria, Portugal, and Slovakia; and from various organisations with observer status, including the European network on cultural management and policy (ENCATC), Europa Nostra, and the Network of European Museum Organisations and others.</w:t>
      </w:r>
    </w:p>
    <w:p>
      <w:pPr>
        <w:rPr>
          <w:noProof/>
        </w:rPr>
      </w:pPr>
      <w:r>
        <w:rPr>
          <w:noProof/>
        </w:rPr>
        <w:t>A seminar on ‘A European Year for Cultural Heritage: sharing heritage, a common challenge’ was organised in Brussels on 28 October 2015 by the Permanent Representations of Italy and Spain to the EU. Stakeholder organisations such as Europa Nostra, national authorities and experts also participated.</w:t>
      </w:r>
    </w:p>
    <w:p>
      <w:pPr>
        <w:rPr>
          <w:noProof/>
        </w:rPr>
      </w:pPr>
      <w:r>
        <w:rPr>
          <w:noProof/>
        </w:rPr>
        <w:t>The proposal was further discussed at meetings of the above-mentioned Reflection Group in Luxembourg on 23-24 September 2015, in Rome on 30 November – 1 December 2015, in The Hague on 9 May 2016, and at the meeting of the European Heritage Heads Forum in Bern on 19-20 May 2016. Finally, another discussion took place in the framework of the European Culture Forum 2016 on 19 April 2016.</w:t>
      </w:r>
    </w:p>
    <w:p>
      <w:pPr>
        <w:pBdr>
          <w:top w:val="nil"/>
          <w:left w:val="nil"/>
          <w:bottom w:val="nil"/>
          <w:right w:val="nil"/>
          <w:between w:val="nil"/>
          <w:bar w:val="nil"/>
        </w:pBdr>
        <w:spacing w:before="0" w:after="240"/>
        <w:rPr>
          <w:rFonts w:eastAsia="Arial Unicode MS"/>
          <w:noProof/>
          <w:color w:val="000000" w:themeColor="text1"/>
        </w:rPr>
      </w:pP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Collection and use of expertise</w:t>
      </w:r>
    </w:p>
    <w:p>
      <w:pPr>
        <w:rPr>
          <w:noProof/>
        </w:rPr>
      </w:pPr>
      <w:r>
        <w:rPr>
          <w:noProof/>
        </w:rPr>
        <w:t xml:space="preserve">The initiative will draw on independent analyses and studies, in particular the report </w:t>
      </w:r>
      <w:r>
        <w:rPr>
          <w:i/>
          <w:noProof/>
        </w:rPr>
        <w:t>Cultural Heritage Counts for Europe</w:t>
      </w:r>
      <w:r>
        <w:rPr>
          <w:noProof/>
        </w:rPr>
        <w:t>.</w:t>
      </w:r>
      <w:r>
        <w:rPr>
          <w:rStyle w:val="FootnoteReference"/>
          <w:rFonts w:eastAsiaTheme="majorEastAsia"/>
          <w:noProof/>
        </w:rPr>
        <w:footnoteReference w:id="11"/>
      </w:r>
      <w:r>
        <w:rPr>
          <w:noProof/>
        </w:rPr>
        <w:t xml:space="preserve"> This was the result of a two-year comprehensive project, funded by the EU Culture Programme, to gather evidence of the value of cultural heritage and of its impact on Europe’s economy, culture and society, and the environment.</w:t>
      </w:r>
    </w:p>
    <w:p>
      <w:pPr>
        <w:rPr>
          <w:noProof/>
        </w:rPr>
      </w:pPr>
      <w:r>
        <w:rPr>
          <w:noProof/>
        </w:rPr>
        <w:t xml:space="preserve">It will also draw on the report of the Horizon 2020 expert group on cultural heritage </w:t>
      </w:r>
      <w:r>
        <w:rPr>
          <w:rFonts w:ascii="Arial Unicode MS" w:eastAsia="Arial Unicode MS" w:hAnsi="Arial Unicode MS" w:cs="Arial Unicode MS"/>
          <w:noProof/>
        </w:rPr>
        <w:br/>
      </w:r>
      <w:r>
        <w:rPr>
          <w:i/>
          <w:noProof/>
        </w:rPr>
        <w:t>Getting cultural heritage to work for Europe</w:t>
      </w:r>
      <w:r>
        <w:rPr>
          <w:rStyle w:val="FootnoteReference"/>
          <w:rFonts w:eastAsiaTheme="majorEastAsia"/>
          <w:i/>
          <w:noProof/>
        </w:rPr>
        <w:footnoteReference w:id="12"/>
      </w:r>
      <w:r>
        <w:rPr>
          <w:noProof/>
        </w:rPr>
        <w:t xml:space="preserve"> and the </w:t>
      </w:r>
      <w:r>
        <w:rPr>
          <w:i/>
          <w:noProof/>
        </w:rPr>
        <w:t>Strategic Research Agenda</w:t>
      </w:r>
      <w:r>
        <w:rPr>
          <w:noProof/>
        </w:rPr>
        <w:t xml:space="preserve"> developed by the Joint Programming Initiative Cultural Heritage and Global Change.</w:t>
      </w:r>
      <w:r>
        <w:rPr>
          <w:rStyle w:val="FootnoteReference"/>
          <w:rFonts w:eastAsiaTheme="majorEastAsia"/>
          <w:noProof/>
        </w:rPr>
        <w:footnoteReference w:id="13"/>
      </w:r>
      <w:r>
        <w:rPr>
          <w:noProof/>
        </w:rPr>
        <w:t xml:space="preserve"> The initiative will eventually draw on the Horizon 2020 Social Platform on Cultural Heritage and European Identities, CULTURALBASE, a multiannual stakeholder consultation initiative</w:t>
      </w:r>
      <w:r>
        <w:rPr>
          <w:rStyle w:val="FootnoteReference"/>
          <w:rFonts w:eastAsiaTheme="majorEastAsia"/>
          <w:noProof/>
        </w:rPr>
        <w:footnoteReference w:id="14"/>
      </w:r>
      <w:r>
        <w:rPr>
          <w:noProof/>
        </w:rPr>
        <w:t>, as well as drawing on the establishment of new European Research Infrastructures, such as DARIAH- ERIC (Digital Research Infrastructure for Art and Humanities) and E-RIHS (European Research Infrastructure for Heritage Science)</w:t>
      </w:r>
      <w:r>
        <w:rPr>
          <w:rStyle w:val="FootnoteReference"/>
          <w:rFonts w:eastAsiaTheme="majorEastAsia"/>
          <w:noProof/>
        </w:rPr>
        <w:footnoteReference w:id="15"/>
      </w:r>
      <w:r>
        <w:rPr>
          <w:noProof/>
        </w:rPr>
        <w:t>.</w:t>
      </w:r>
    </w:p>
    <w:p>
      <w:pPr>
        <w:rPr>
          <w:noProof/>
        </w:rPr>
      </w:pPr>
      <w:r>
        <w:rPr>
          <w:noProof/>
        </w:rPr>
        <w:t xml:space="preserve">Work Package 9: Culture and Tourism of the </w:t>
      </w:r>
      <w:r>
        <w:rPr>
          <w:i/>
          <w:noProof/>
        </w:rPr>
        <w:t>Ex post evaluation of Cohesion Policy programmes 2007-2013, focusing on the European Regional Development Fund (ERDF) and Cohesion Fund (CF)</w:t>
      </w:r>
      <w:r>
        <w:rPr>
          <w:noProof/>
        </w:rPr>
        <w:t xml:space="preserve"> found that investing in culture and tourism can boost a region’s economy and improve social inclusion.</w:t>
      </w:r>
    </w:p>
    <w:p>
      <w:pPr>
        <w:rPr>
          <w:noProof/>
        </w:rPr>
      </w:pPr>
      <w:r>
        <w:rPr>
          <w:noProof/>
        </w:rPr>
        <w:t xml:space="preserve">The </w:t>
      </w:r>
      <w:r>
        <w:rPr>
          <w:i/>
          <w:noProof/>
        </w:rPr>
        <w:t>Ex post evaluation of the 7th EU Framework Programme 2007-2013 (FP7)</w:t>
      </w:r>
      <w:r>
        <w:rPr>
          <w:noProof/>
        </w:rPr>
        <w:t xml:space="preserve">, the EU’s research funding programme between 2007 and 2013, concluded that the programme was effective in boosting excellent science and strengthening Europe’s industrial competitiveness. In so doing, it contributed to growth and jobs in Europe in areas that are typically a national endeavour. </w:t>
      </w:r>
      <w:r>
        <w:rPr>
          <w:noProof/>
          <w:lang w:val="en-US"/>
        </w:rPr>
        <w:t xml:space="preserve">FP7 </w:t>
      </w:r>
      <w:r>
        <w:rPr>
          <w:noProof/>
        </w:rPr>
        <w:t>supported research, more than 180 M€, in various aspects of European cultural heritage (tangible, intangible and digital)</w:t>
      </w:r>
      <w:r>
        <w:rPr>
          <w:noProof/>
          <w:lang w:val="en-US"/>
        </w:rPr>
        <w:t xml:space="preserve"> under </w:t>
      </w:r>
      <w:r>
        <w:rPr>
          <w:noProof/>
        </w:rPr>
        <w:t>the themes Environment, Social Sciences and Humanities, Digital Cultural Heritage, Industrial Technologies, International cooperation and (E)-infrastructure. This existing body of knowledge should be further exploited</w:t>
      </w:r>
      <w:r>
        <w:rPr>
          <w:noProof/>
          <w:lang w:val="en-US"/>
        </w:rPr>
        <w:t xml:space="preserve">. </w:t>
      </w:r>
    </w:p>
    <w:p>
      <w:pPr>
        <w:pBdr>
          <w:top w:val="nil"/>
          <w:left w:val="nil"/>
          <w:bottom w:val="nil"/>
          <w:right w:val="nil"/>
          <w:between w:val="nil"/>
          <w:bar w:val="nil"/>
        </w:pBdr>
        <w:spacing w:before="0" w:after="240"/>
        <w:rPr>
          <w:rFonts w:eastAsia="Arial Unicode MS"/>
          <w:noProof/>
          <w:color w:val="000000" w:themeColor="text1"/>
        </w:rPr>
      </w:pPr>
    </w:p>
    <w:p>
      <w:pPr>
        <w:pStyle w:val="ManualHeading2"/>
        <w:rPr>
          <w:rFonts w:eastAsia="Arial Unicode MS"/>
          <w:noProof/>
          <w:color w:val="000000" w:themeColor="text1"/>
          <w:u w:color="000000"/>
          <w:bdr w:val="nil"/>
          <w:lang w:val="en-US" w:eastAsia="en-GB"/>
        </w:rPr>
      </w:pPr>
      <w:r>
        <w:rPr>
          <w:rFonts w:eastAsia="Arial Unicode MS"/>
          <w:noProof/>
          <w:color w:val="000000" w:themeColor="text1"/>
          <w:u w:color="000000"/>
          <w:bdr w:val="nil"/>
          <w:lang w:val="en-US" w:eastAsia="en-GB"/>
        </w:rPr>
        <w:t>•</w:t>
      </w:r>
      <w:r>
        <w:rPr>
          <w:rFonts w:eastAsia="Arial Unicode MS"/>
          <w:noProof/>
          <w:color w:val="000000" w:themeColor="text1"/>
          <w:u w:color="000000"/>
          <w:bdr w:val="nil"/>
          <w:lang w:val="en-US" w:eastAsia="en-GB"/>
        </w:rPr>
        <w:tab/>
        <w:t>Impact assessment</w:t>
      </w:r>
    </w:p>
    <w:p>
      <w:pPr>
        <w:rPr>
          <w:noProof/>
        </w:rPr>
      </w:pPr>
      <w:r>
        <w:rPr>
          <w:noProof/>
        </w:rPr>
        <w:t>No impact assessment is needed, since the objectives of the proposed initiative fall within the objectives of existing Union programmes. The European Year of Cultural Heritage can be implemented within existing budget limits by using those programmes that provide for setting funding priorities on an annual or multiannual basis. The proposed initiative would not commit the Commission to any specific actions of a legislative nature. Nor would it have any significant social, economic or environmental impact beyond that of the existing instruments.</w:t>
      </w:r>
    </w:p>
    <w:p>
      <w:pPr>
        <w:rPr>
          <w:rFonts w:eastAsia="Arial Unicode MS"/>
          <w:noProof/>
        </w:rPr>
      </w:pPr>
    </w:p>
    <w:p>
      <w:pPr>
        <w:pStyle w:val="ManualHeading1"/>
        <w:rPr>
          <w:noProof/>
          <w:color w:val="000000" w:themeColor="text1"/>
        </w:rPr>
      </w:pPr>
      <w:r>
        <w:rPr>
          <w:noProof/>
          <w:color w:val="000000" w:themeColor="text1"/>
        </w:rPr>
        <w:t>4.</w:t>
      </w:r>
      <w:r>
        <w:rPr>
          <w:noProof/>
          <w:color w:val="000000" w:themeColor="text1"/>
        </w:rPr>
        <w:tab/>
        <w:t>BUDGETARY IMPLICATIONS</w:t>
      </w:r>
    </w:p>
    <w:p>
      <w:pPr>
        <w:pBdr>
          <w:top w:val="nil"/>
          <w:left w:val="nil"/>
          <w:bottom w:val="nil"/>
          <w:right w:val="nil"/>
          <w:between w:val="nil"/>
          <w:bar w:val="nil"/>
        </w:pBdr>
        <w:spacing w:before="0" w:after="240"/>
        <w:rPr>
          <w:rFonts w:eastAsia="Arial Unicode MS"/>
          <w:noProof/>
          <w:color w:val="000000" w:themeColor="text1"/>
        </w:rPr>
      </w:pPr>
      <w:r>
        <w:rPr>
          <w:rFonts w:eastAsia="Arial Unicode MS" w:cs="Arial Unicode MS"/>
          <w:noProof/>
          <w:color w:val="000000" w:themeColor="text1"/>
        </w:rPr>
        <w:t>No additional funding is sought for the European Year. This initiative does not require additional EU budget. The flexibility for setting priorities on an annual or multiannual basis in the relevant programmes is sufficient to envisage an awareness-raising campaign on a scale similar to previous European Years</w:t>
      </w:r>
    </w:p>
    <w:p>
      <w:pPr>
        <w:pBdr>
          <w:top w:val="nil"/>
          <w:left w:val="nil"/>
          <w:bottom w:val="nil"/>
          <w:right w:val="nil"/>
          <w:between w:val="nil"/>
          <w:bar w:val="nil"/>
        </w:pBdr>
        <w:spacing w:before="0" w:after="240"/>
        <w:rPr>
          <w:noProof/>
        </w:rPr>
      </w:pPr>
    </w:p>
    <w:p>
      <w:pPr>
        <w:rPr>
          <w:noProof/>
          <w:color w:val="000000" w:themeColor="text1"/>
        </w:rPr>
        <w:sectPr>
          <w:footerReference w:type="default" r:id="rId11"/>
          <w:footerReference w:type="first" r:id="rId12"/>
          <w:pgSz w:w="11907" w:h="16839"/>
          <w:pgMar w:top="1134" w:right="1417" w:bottom="1134" w:left="1417" w:header="709" w:footer="709" w:gutter="0"/>
          <w:cols w:space="708"/>
          <w:docGrid w:linePitch="360"/>
        </w:sectPr>
      </w:pPr>
    </w:p>
    <w:p>
      <w:pPr>
        <w:pStyle w:val="Rfrenceinterinstitutionnelle"/>
        <w:rPr>
          <w:noProof/>
        </w:rPr>
      </w:pPr>
      <w:r>
        <w:rPr>
          <w:noProof/>
        </w:rPr>
        <w:t>2016/0259 (COD)</w:t>
      </w:r>
    </w:p>
    <w:p>
      <w:pPr>
        <w:pStyle w:val="Statut"/>
        <w:rPr>
          <w:noProof/>
          <w:color w:val="000000" w:themeColor="text1"/>
        </w:rPr>
      </w:pPr>
      <w:r>
        <w:rPr>
          <w:noProof/>
          <w:color w:val="000000" w:themeColor="text1"/>
        </w:rPr>
        <w:t>Proposal for a</w:t>
      </w:r>
    </w:p>
    <w:p>
      <w:pPr>
        <w:pStyle w:val="Typedudocument"/>
        <w:rPr>
          <w:noProof/>
          <w:color w:val="000000" w:themeColor="text1"/>
        </w:rPr>
      </w:pPr>
      <w:r>
        <w:rPr>
          <w:noProof/>
          <w:color w:val="000000" w:themeColor="text1"/>
        </w:rPr>
        <w:t>DECISION OF THE EUROPEAN PARLIAMENT AND OF THE COUNCIL</w:t>
      </w:r>
    </w:p>
    <w:p>
      <w:pPr>
        <w:pStyle w:val="Titreobjet"/>
        <w:rPr>
          <w:noProof/>
          <w:color w:val="000000" w:themeColor="text1"/>
        </w:rPr>
      </w:pPr>
      <w:r>
        <w:rPr>
          <w:noProof/>
          <w:color w:val="000000" w:themeColor="text1"/>
        </w:rPr>
        <w:t>on a European Year of Cultural Heritage</w:t>
      </w:r>
    </w:p>
    <w:p>
      <w:pPr>
        <w:pStyle w:val="Institutionquiagit"/>
        <w:rPr>
          <w:noProof/>
          <w:color w:val="000000" w:themeColor="text1"/>
        </w:rPr>
      </w:pPr>
      <w:r>
        <w:rPr>
          <w:noProof/>
          <w:color w:val="000000" w:themeColor="text1"/>
        </w:rPr>
        <w:t xml:space="preserve">THE EUROPEAN PARLIAMENT AND THE COUNCIL OF THE EUROPEAN </w:t>
      </w:r>
      <w:smartTag w:uri="urn:schemas-microsoft-com:office:smarttags" w:element="place">
        <w:r>
          <w:rPr>
            <w:noProof/>
            <w:color w:val="000000" w:themeColor="text1"/>
          </w:rPr>
          <w:t>UNION</w:t>
        </w:r>
      </w:smartTag>
      <w:r>
        <w:rPr>
          <w:noProof/>
          <w:color w:val="000000" w:themeColor="text1"/>
        </w:rPr>
        <w:t>,</w:t>
      </w:r>
    </w:p>
    <w:p>
      <w:pPr>
        <w:rPr>
          <w:noProof/>
          <w:color w:val="000000" w:themeColor="text1"/>
        </w:rPr>
      </w:pPr>
      <w:r>
        <w:rPr>
          <w:noProof/>
          <w:color w:val="000000" w:themeColor="text1"/>
        </w:rPr>
        <w:t>Having regard to the Treaty on the Functioning of the European Union (TFEU), and in particular Article 167 thereof,</w:t>
      </w:r>
    </w:p>
    <w:p>
      <w:pPr>
        <w:rPr>
          <w:noProof/>
          <w:color w:val="000000" w:themeColor="text1"/>
        </w:rPr>
      </w:pPr>
      <w:r>
        <w:rPr>
          <w:noProof/>
          <w:color w:val="000000" w:themeColor="text1"/>
        </w:rPr>
        <w:t>Having regard to the proposal from the European Commission,</w:t>
      </w:r>
    </w:p>
    <w:p>
      <w:pPr>
        <w:rPr>
          <w:noProof/>
          <w:color w:val="000000" w:themeColor="text1"/>
        </w:rPr>
      </w:pPr>
      <w:r>
        <w:rPr>
          <w:noProof/>
          <w:color w:val="000000" w:themeColor="text1"/>
        </w:rPr>
        <w:t>After transmission of the draft legislative act to the national parliaments,</w:t>
      </w:r>
    </w:p>
    <w:p>
      <w:pPr>
        <w:rPr>
          <w:noProof/>
          <w:color w:val="000000" w:themeColor="text1"/>
        </w:rPr>
      </w:pPr>
      <w:r>
        <w:rPr>
          <w:noProof/>
          <w:color w:val="000000" w:themeColor="text1"/>
        </w:rPr>
        <w:t>Having regard to the opinion of the Committee of the Regions</w:t>
      </w:r>
      <w:r>
        <w:rPr>
          <w:rStyle w:val="FootnoteReference"/>
          <w:noProof/>
          <w:color w:val="000000" w:themeColor="text1"/>
        </w:rPr>
        <w:footnoteReference w:id="16"/>
      </w:r>
      <w:r>
        <w:rPr>
          <w:noProof/>
          <w:color w:val="000000" w:themeColor="text1"/>
        </w:rPr>
        <w:t xml:space="preserve">, </w:t>
      </w:r>
    </w:p>
    <w:p>
      <w:pPr>
        <w:rPr>
          <w:noProof/>
          <w:color w:val="000000" w:themeColor="text1"/>
        </w:rPr>
      </w:pPr>
      <w:r>
        <w:rPr>
          <w:noProof/>
          <w:color w:val="000000" w:themeColor="text1"/>
        </w:rPr>
        <w:t>Acting in accordance with the ordinary legislative procedure,</w:t>
      </w:r>
    </w:p>
    <w:p>
      <w:pPr>
        <w:rPr>
          <w:noProof/>
          <w:color w:val="000000" w:themeColor="text1"/>
        </w:rPr>
      </w:pPr>
      <w:r>
        <w:rPr>
          <w:noProof/>
          <w:color w:val="000000" w:themeColor="text1"/>
        </w:rPr>
        <w:t>Whereas:</w:t>
      </w:r>
    </w:p>
    <w:p>
      <w:pPr>
        <w:pStyle w:val="ManualConsidrant"/>
        <w:rPr>
          <w:noProof/>
        </w:rPr>
      </w:pPr>
      <w:r>
        <w:t>(1)</w:t>
      </w:r>
      <w:r>
        <w:tab/>
      </w:r>
      <w:r>
        <w:rPr>
          <w:noProof/>
        </w:rPr>
        <w:t>The ideals, principles and values embedded in the European cultural heritage constitute a shared source of remembrance, understanding, identity, dialogue, cohesion and creativity for Europe. Cultural heritage plays a role in the European Union, as stated in the preamble to the Treaty on European Union (TEU), which states that the signatories draw ‘inspiration from the cultural, religious and humanist inheritance of Europe’.</w:t>
      </w:r>
    </w:p>
    <w:p>
      <w:pPr>
        <w:pStyle w:val="ManualConsidrant"/>
        <w:rPr>
          <w:noProof/>
        </w:rPr>
      </w:pPr>
      <w:r>
        <w:t>(2)</w:t>
      </w:r>
      <w:r>
        <w:tab/>
      </w:r>
      <w:r>
        <w:rPr>
          <w:noProof/>
        </w:rPr>
        <w:t>Article 3.3 TEU states that the European Union shall respect its rich cultural and linguistic diversity, and ensure that Europe’s cultural heritage is safeguarded and enhanced.</w:t>
      </w:r>
    </w:p>
    <w:p>
      <w:pPr>
        <w:pStyle w:val="ManualConsidrant"/>
        <w:rPr>
          <w:noProof/>
        </w:rPr>
      </w:pPr>
      <w:r>
        <w:t>(3)</w:t>
      </w:r>
      <w:r>
        <w:tab/>
      </w:r>
      <w:r>
        <w:rPr>
          <w:noProof/>
        </w:rPr>
        <w:t>Article 167(1) TFEU gives the European Union the task of contributing ‘to the flowering of the cultures of the Member States, while respecting their national and regional diversity and at the same time bringing the common cultural heritage to the fore’. Union action is to be aimed at encouraging cooperation between Member States and, if necessary, supporting and supplementing their action, inter alia, in the area of improving the knowledge and dissemination of the culture and history of the European peoples, and in the area of conservation and safeguarding of cultural heritage of European significance (Article 167(2) TFEU).</w:t>
      </w:r>
    </w:p>
    <w:p>
      <w:pPr>
        <w:pStyle w:val="ManualConsidrant"/>
        <w:rPr>
          <w:noProof/>
        </w:rPr>
      </w:pPr>
      <w:r>
        <w:t>(4)</w:t>
      </w:r>
      <w:r>
        <w:tab/>
      </w:r>
      <w:r>
        <w:rPr>
          <w:noProof/>
        </w:rPr>
        <w:t>As highlighted by the European Commission in its Communication ‘Towards an integrated approach to cultural heritage for Europe’</w:t>
      </w:r>
      <w:r>
        <w:rPr>
          <w:rStyle w:val="FootnoteReference"/>
          <w:rFonts w:eastAsia="Times New Roman"/>
          <w:noProof/>
          <w:color w:val="000000" w:themeColor="text1"/>
        </w:rPr>
        <w:footnoteReference w:id="17"/>
      </w:r>
      <w:r>
        <w:rPr>
          <w:noProof/>
        </w:rPr>
        <w:t>, cultural heritage is to be considered a shared resource and a common good held in trust for future generations, whose care is a common responsibility of all stakeholders.</w:t>
      </w:r>
    </w:p>
    <w:p>
      <w:pPr>
        <w:pStyle w:val="ManualConsidrant"/>
        <w:rPr>
          <w:noProof/>
        </w:rPr>
      </w:pPr>
      <w:r>
        <w:t>(5)</w:t>
      </w:r>
      <w:r>
        <w:tab/>
      </w:r>
      <w:r>
        <w:rPr>
          <w:noProof/>
        </w:rPr>
        <w:t>Cultural heritage is of great value to European society from a cultural, environmental, social and economic point of view. Thus, its sustainable management constitutes a strategic choice for the 21st century, as stressed by the Council in its Conclusions of 21 May 2014 on 'cultural heritage as a strategic resource for a sustainable Europe'.</w:t>
      </w:r>
      <w:r>
        <w:rPr>
          <w:rStyle w:val="FootnoteReference"/>
          <w:rFonts w:eastAsia="Times New Roman"/>
          <w:noProof/>
          <w:color w:val="000000" w:themeColor="text1"/>
        </w:rPr>
        <w:footnoteReference w:id="18"/>
      </w:r>
      <w:r>
        <w:rPr>
          <w:noProof/>
        </w:rPr>
        <w:t xml:space="preserve"> Its contribution in terms of value creation, skills and jobs, and quality of life is undervalued.</w:t>
      </w:r>
    </w:p>
    <w:p>
      <w:pPr>
        <w:pStyle w:val="ManualConsidrant"/>
        <w:rPr>
          <w:noProof/>
        </w:rPr>
      </w:pPr>
      <w:r>
        <w:t>(6)</w:t>
      </w:r>
      <w:r>
        <w:tab/>
      </w:r>
      <w:r>
        <w:rPr>
          <w:noProof/>
        </w:rPr>
        <w:t>Cultural heritage is central to the European Agenda for Culture</w:t>
      </w:r>
      <w:r>
        <w:rPr>
          <w:rStyle w:val="FootnoteReference"/>
          <w:rFonts w:eastAsia="Times New Roman"/>
          <w:noProof/>
          <w:color w:val="000000" w:themeColor="text1"/>
        </w:rPr>
        <w:footnoteReference w:id="19"/>
      </w:r>
      <w:r>
        <w:rPr>
          <w:noProof/>
        </w:rPr>
        <w:t>. It is one of the four priorities for European cooperation on culture for the period 2015-2018, as set out in the current Work Plan for Culture, adopted by the Council on 25 November 2014.</w:t>
      </w:r>
      <w:r>
        <w:rPr>
          <w:rStyle w:val="FootnoteReference"/>
          <w:rFonts w:eastAsia="Times New Roman"/>
          <w:noProof/>
          <w:color w:val="000000" w:themeColor="text1"/>
        </w:rPr>
        <w:footnoteReference w:id="20"/>
      </w:r>
    </w:p>
    <w:p>
      <w:pPr>
        <w:pStyle w:val="ManualConsidrant"/>
        <w:rPr>
          <w:noProof/>
        </w:rPr>
      </w:pPr>
      <w:r>
        <w:t>(7)</w:t>
      </w:r>
      <w:r>
        <w:tab/>
      </w:r>
      <w:r>
        <w:rPr>
          <w:noProof/>
        </w:rPr>
        <w:t>Cultural heritage encompasses a broad spectrum of ‘resources inherited from the past in all forms and aspects — tangible, intangible and digital (born digital and digitised), including monuments, sites, landscapes, skills, practices, knowledge and expressions of human creativity, as well as collections conserved and managed by public and private bodies such as museums, libraries and archives’, as stated in the aforementioned Conclusions of 21 May 2014.</w:t>
      </w:r>
    </w:p>
    <w:p>
      <w:pPr>
        <w:pStyle w:val="ManualConsidrant"/>
        <w:rPr>
          <w:noProof/>
        </w:rPr>
      </w:pPr>
      <w:r>
        <w:t>(8)</w:t>
      </w:r>
      <w:r>
        <w:tab/>
      </w:r>
      <w:r>
        <w:rPr>
          <w:noProof/>
        </w:rPr>
        <w:t>Cultural heritage has been forged over time by the synthesis and combination of cultural expressions of the various civilisations that have populated Europe. A European Year will help to encourage and promote understanding of the importance of the protection and promotion of the diversity of cultural expressions. One way to achieve this would be through educational and greater public awareness programmes, in line with the obligations of the Convention on the Protection and Promotion of the Diversity of Cultural Expressions</w:t>
      </w:r>
      <w:r>
        <w:rPr>
          <w:rStyle w:val="FootnoteReference"/>
          <w:noProof/>
          <w:color w:val="000000" w:themeColor="text1"/>
        </w:rPr>
        <w:footnoteReference w:id="21"/>
      </w:r>
      <w:r>
        <w:rPr>
          <w:noProof/>
        </w:rPr>
        <w:t xml:space="preserve"> adopted by UNESCO on 20 October 2005, to which the EU is a party.</w:t>
      </w:r>
    </w:p>
    <w:p>
      <w:pPr>
        <w:pStyle w:val="ManualConsidrant"/>
        <w:rPr>
          <w:noProof/>
        </w:rPr>
      </w:pPr>
      <w:r>
        <w:t>(9)</w:t>
      </w:r>
      <w:r>
        <w:tab/>
      </w:r>
      <w:r>
        <w:rPr>
          <w:noProof/>
        </w:rPr>
        <w:t>The UN Convention on the Rights of Persons with Disabilities, to which the EU and most of Member States are party, states in Article 30 on participation in cultural life, recreation, leisure and sport that States Parties recognise the right of persons with disabilities to take part on an equal basis with others in cultural life, and that they shall take all appropriate measures to ensure that persons with disabilities inter alia enjoy access to places for cultural performances or services, such as theatres, museums, cinemas, libraries and tourism services, and, as far as possible, enjoy access to monuments and sites of national cultural importance.</w:t>
      </w:r>
    </w:p>
    <w:p>
      <w:pPr>
        <w:pStyle w:val="ManualConsidrant"/>
        <w:rPr>
          <w:noProof/>
          <w:u w:color="000000"/>
          <w:lang w:eastAsia="en-GB"/>
        </w:rPr>
      </w:pPr>
      <w:r>
        <w:t>(10)</w:t>
      </w:r>
      <w:r>
        <w:tab/>
      </w:r>
      <w:r>
        <w:rPr>
          <w:noProof/>
          <w:u w:color="000000"/>
          <w:lang w:eastAsia="en-GB"/>
        </w:rPr>
        <w:t xml:space="preserve">The European Access City Award has shown the feasibility and good practices of making cities cultural heritage accessible for people with disabilities, </w:t>
      </w:r>
      <w:r>
        <w:rPr>
          <w:noProof/>
          <w:color w:val="000000" w:themeColor="text1"/>
          <w:u w:color="000000"/>
          <w:lang w:eastAsia="en-GB"/>
        </w:rPr>
        <w:t xml:space="preserve">elderly people, and those with reduced mobility or other types of temporary impairments, </w:t>
      </w:r>
      <w:r>
        <w:rPr>
          <w:noProof/>
          <w:u w:color="000000"/>
          <w:lang w:eastAsia="en-GB"/>
        </w:rPr>
        <w:t>in ways which respect their nature and values.</w:t>
      </w:r>
    </w:p>
    <w:p>
      <w:pPr>
        <w:pStyle w:val="ManualConsidrant"/>
        <w:rPr>
          <w:noProof/>
        </w:rPr>
      </w:pPr>
      <w:r>
        <w:t>(11)</w:t>
      </w:r>
      <w:r>
        <w:tab/>
      </w:r>
      <w:r>
        <w:rPr>
          <w:noProof/>
        </w:rPr>
        <w:t>Cultural heritage can have an important role for community cohesion at a time when cultural diversity is increasing in European societies. New participatory and intercultural approaches to heritage policies and educational initiatives that attribute equal dignity to all cultural heritages have the potential to increase trust, mutual recognition and social cohesion.</w:t>
      </w:r>
    </w:p>
    <w:p>
      <w:pPr>
        <w:pStyle w:val="ManualConsidrant"/>
        <w:rPr>
          <w:noProof/>
        </w:rPr>
      </w:pPr>
      <w:r>
        <w:t>(12)</w:t>
      </w:r>
      <w:r>
        <w:tab/>
      </w:r>
      <w:r>
        <w:rPr>
          <w:noProof/>
          <w:u w:color="000000"/>
          <w:lang w:eastAsia="en-GB"/>
        </w:rPr>
        <w:t>This is also recognised in the Agenda 2030 for Sustainable Development</w:t>
      </w:r>
      <w:r>
        <w:rPr>
          <w:rStyle w:val="FootnoteReference"/>
          <w:noProof/>
          <w:color w:val="000000" w:themeColor="text1"/>
          <w:u w:color="000000"/>
          <w:lang w:eastAsia="en-GB"/>
        </w:rPr>
        <w:footnoteReference w:id="22"/>
      </w:r>
      <w:r>
        <w:rPr>
          <w:noProof/>
          <w:u w:color="000000"/>
          <w:lang w:eastAsia="en-GB"/>
        </w:rPr>
        <w:t xml:space="preserve"> which acknowledges global citizenship, cultural diversity and intercultural dialogue as overarching principles of sustainable development. It recognises that all cultures and civilizations can contribute to, and are crucial enablers of, sustainable development. Culture is explicitly mentioned in several Sustainable Development Goals of the 2030 Agenda: for example Goal 4 (Education), Goal 5 (Gender), Goal 8 and Goal 12 in relation to tourism (Sustainable growth/Consumption patterns) and in particular Goal 11 (Cities-Heritage).</w:t>
      </w:r>
    </w:p>
    <w:p>
      <w:pPr>
        <w:pStyle w:val="ManualConsidrant"/>
        <w:rPr>
          <w:noProof/>
        </w:rPr>
      </w:pPr>
      <w:r>
        <w:t>(13)</w:t>
      </w:r>
      <w:r>
        <w:tab/>
      </w:r>
      <w:r>
        <w:rPr>
          <w:noProof/>
        </w:rPr>
        <w:t>The increased recognition at international level of the need to put people and human values at the centre of an enlarged and cross-disciplinary concept of cultural heritage reinforces the need to foster wider access to cultural heritage. This can be achieved by reaching out to different audiences and by increasing accessibility to places, buildings, products, and services, taking into account special needs and the implications of demographic change.</w:t>
      </w:r>
    </w:p>
    <w:p>
      <w:pPr>
        <w:pStyle w:val="ManualConsidrant"/>
        <w:rPr>
          <w:noProof/>
        </w:rPr>
      </w:pPr>
      <w:r>
        <w:t>(14)</w:t>
      </w:r>
      <w:r>
        <w:tab/>
      </w:r>
      <w:r>
        <w:rPr>
          <w:noProof/>
        </w:rPr>
        <w:t>Policies for the maintenance, restoration, conservation, re-use, accessibility, and promotion of cultural heritage, and cultural heritage related services, are primarily national, regional or local responsibilities. Nonetheless, cultural heritage has a clear European dimension and is addressed in several EU policies beyond the cultural ones. These include the following policies: education, agriculture and rural development, regional development, social cohesion, maritime affairs, environment, tourism, the digital agenda, research and innovation, and communication.</w:t>
      </w:r>
    </w:p>
    <w:p>
      <w:pPr>
        <w:pStyle w:val="ManualConsidrant"/>
        <w:rPr>
          <w:noProof/>
        </w:rPr>
      </w:pPr>
      <w:r>
        <w:t>(15)</w:t>
      </w:r>
      <w:r>
        <w:tab/>
      </w:r>
      <w:r>
        <w:rPr>
          <w:noProof/>
        </w:rPr>
        <w:t>In order to fully realise their potential for European economies and societies, the safeguarding, enhancement and management of heritage resources, which cut across several public policies, need effective multilevel governance and better cross-sectoral cooperation. This involves all stakeholders, including public authorities, private individuals, civil society organisations, NGOs and the voluntary sector.</w:t>
      </w:r>
    </w:p>
    <w:p>
      <w:pPr>
        <w:pStyle w:val="ManualConsidrant"/>
        <w:rPr>
          <w:noProof/>
        </w:rPr>
      </w:pPr>
      <w:r>
        <w:t>(16)</w:t>
      </w:r>
      <w:r>
        <w:tab/>
      </w:r>
      <w:r>
        <w:rPr>
          <w:noProof/>
        </w:rPr>
        <w:t>The Council, in its Conclusions of 25 November 2014</w:t>
      </w:r>
      <w:r>
        <w:rPr>
          <w:rStyle w:val="FootnoteReference"/>
          <w:noProof/>
          <w:color w:val="000000" w:themeColor="text1"/>
        </w:rPr>
        <w:footnoteReference w:id="23"/>
      </w:r>
      <w:r>
        <w:rPr>
          <w:noProof/>
        </w:rPr>
        <w:t>, invited the Commission to consider presenting a proposal for a ‘European Year of Cultural Heritage’.</w:t>
      </w:r>
    </w:p>
    <w:p>
      <w:pPr>
        <w:pStyle w:val="ManualConsidrant"/>
        <w:rPr>
          <w:noProof/>
        </w:rPr>
      </w:pPr>
      <w:r>
        <w:t>(17)</w:t>
      </w:r>
      <w:r>
        <w:tab/>
      </w:r>
      <w:r>
        <w:rPr>
          <w:noProof/>
        </w:rPr>
        <w:t>The European Parliament, in its resolution of 8 September 2015, recommended designating, preferably for 2018, a European Year of Cultural Heritage.</w:t>
      </w:r>
      <w:r>
        <w:rPr>
          <w:rStyle w:val="FootnoteReference"/>
          <w:rFonts w:eastAsia="Times New Roman"/>
          <w:noProof/>
          <w:color w:val="000000" w:themeColor="text1"/>
        </w:rPr>
        <w:footnoteReference w:id="24"/>
      </w:r>
    </w:p>
    <w:p>
      <w:pPr>
        <w:pStyle w:val="ManualConsidrant"/>
        <w:rPr>
          <w:noProof/>
        </w:rPr>
      </w:pPr>
      <w:r>
        <w:t>(18)</w:t>
      </w:r>
      <w:r>
        <w:tab/>
      </w:r>
      <w:r>
        <w:rPr>
          <w:noProof/>
        </w:rPr>
        <w:t>The European Committee of the Regions, in its opinion of 16 April 2014</w:t>
      </w:r>
      <w:r>
        <w:rPr>
          <w:rStyle w:val="FootnoteReference"/>
          <w:noProof/>
          <w:color w:val="000000" w:themeColor="text1"/>
        </w:rPr>
        <w:footnoteReference w:id="25"/>
      </w:r>
      <w:r>
        <w:rPr>
          <w:noProof/>
        </w:rPr>
        <w:t>, welcomed the proposal of the Council for a 'European Year of Cultural Heritage', stressing its contribution to the attainment of shared goals in the pan-European context.</w:t>
      </w:r>
    </w:p>
    <w:p>
      <w:pPr>
        <w:pStyle w:val="ManualConsidrant"/>
        <w:rPr>
          <w:noProof/>
        </w:rPr>
      </w:pPr>
      <w:r>
        <w:t>(19)</w:t>
      </w:r>
      <w:r>
        <w:tab/>
      </w:r>
      <w:r>
        <w:rPr>
          <w:noProof/>
        </w:rPr>
        <w:t>Declaring a European Year of Cultural Heritage is an effective way of raising public awareness, disseminating information about good practices and promoting research and innovation as well as policy debate. By creating an environment for simultaneously promoting these objectives at Union, national, regional and local levels, it can achieve greater synergy and a better use of resources.</w:t>
      </w:r>
    </w:p>
    <w:p>
      <w:pPr>
        <w:pStyle w:val="ManualConsidrant"/>
        <w:rPr>
          <w:noProof/>
        </w:rPr>
      </w:pPr>
      <w:r>
        <w:t>(20)</w:t>
      </w:r>
      <w:r>
        <w:tab/>
      </w:r>
      <w:r>
        <w:rPr>
          <w:noProof/>
        </w:rPr>
        <w:t>Heritage is also a field of intervention in several programmes in the area of external relations — mainly but not exclusively in the Middle East. The promotion of the value of cultural heritage is also a response to the deliberate destruction of cultural treasures in conflict zones</w:t>
      </w:r>
      <w:r>
        <w:rPr>
          <w:rStyle w:val="FootnoteReference"/>
          <w:noProof/>
          <w:color w:val="000000" w:themeColor="text1"/>
        </w:rPr>
        <w:footnoteReference w:id="26"/>
      </w:r>
      <w:r>
        <w:rPr>
          <w:noProof/>
        </w:rPr>
        <w:t>. It will be important to ensure complementarity between the European Year of Cultural Heritage and all external relations initiatives developed within appropriate frameworks. Actions to protect and promote cultural heritage under relevant external relations instruments should, amongst other things, reflect the mutual interest associated with the exchange of experiences and values with third countries. It will promote mutual knowledge, respect and understanding of the respective cultures.</w:t>
      </w:r>
    </w:p>
    <w:p>
      <w:pPr>
        <w:pStyle w:val="ManualConsidrant"/>
        <w:rPr>
          <w:noProof/>
        </w:rPr>
      </w:pPr>
      <w:r>
        <w:t>(21)</w:t>
      </w:r>
      <w:r>
        <w:tab/>
      </w:r>
      <w:r>
        <w:rPr>
          <w:noProof/>
        </w:rPr>
        <w:t>While this Decision is addressed to Member States, Enlargement countries should nevertheless be closely associated with actions under the European Year of Cultural Heritage. The involvement of European Neighbourhood Policy countries and other partner countries should also be sought, as appropriate. This can be pursued under the relevant frameworks for cooperation and dialogue, particularly in the context of the civil society dialogue between the EU and these countries.</w:t>
      </w:r>
    </w:p>
    <w:p>
      <w:pPr>
        <w:pStyle w:val="ManualConsidrant"/>
        <w:rPr>
          <w:noProof/>
        </w:rPr>
      </w:pPr>
      <w:r>
        <w:t>(22)</w:t>
      </w:r>
      <w:r>
        <w:tab/>
      </w:r>
      <w:r>
        <w:rPr>
          <w:noProof/>
        </w:rPr>
        <w:t>The safeguarding, conservation and enhancement of the European cultural heritage comes under the objectives of existing Union programmes. Therefore, a European Year can be implemented by using these programmes under their existing provisions and setting funding priorities on an annual or multiannual basis. Programmes and policies in fields such as culture, education, agriculture and rural development, regional development, social cohesion, maritime affairs, environment, tourism, the Digital Single Market Strategy, research and innovation, and communication contribute directly and indirectly to the protection, enhancement, innovative re-use and promotion of the European cultural heritage, and may support the initiative in accordance with their respective legal frameworks.</w:t>
      </w:r>
    </w:p>
    <w:p>
      <w:pPr>
        <w:pStyle w:val="ManualConsidrant"/>
        <w:rPr>
          <w:noProof/>
        </w:rPr>
      </w:pPr>
      <w:r>
        <w:t>(23)</w:t>
      </w:r>
      <w:r>
        <w:tab/>
      </w:r>
      <w:r>
        <w:rPr>
          <w:noProof/>
        </w:rPr>
        <w:t>The objective of this Decision is to support the efforts of Member States to protect, safeguard, enhance, re-use and promote the European cultural heritage. Since this cannot be sufficiently achieved by Member States alone, given the need for transnational exchange of information and the Union-wide dissemination of good practice, but can be better achieved at Union level, the European Union may adopt measures, in accordance with the principle of subsidiarity, as set out in Article 5 of the Treaty on European Union. In accordance with the principle of proportionality, as set out in that Article, this Decision does not go beyond what is necessary in order to achieve that objective.</w:t>
      </w:r>
    </w:p>
    <w:p>
      <w:pPr>
        <w:pStyle w:val="Formuledadoption"/>
        <w:rPr>
          <w:noProof/>
          <w:color w:val="000000" w:themeColor="text1"/>
        </w:rPr>
      </w:pPr>
      <w:r>
        <w:rPr>
          <w:noProof/>
          <w:color w:val="000000" w:themeColor="text1"/>
        </w:rPr>
        <w:t>HAVE ADOPTED THIS DECISION:</w:t>
      </w:r>
    </w:p>
    <w:p>
      <w:pPr>
        <w:pStyle w:val="Titrearticle"/>
        <w:rPr>
          <w:noProof/>
          <w:color w:val="000000" w:themeColor="text1"/>
        </w:rPr>
      </w:pPr>
      <w:r>
        <w:rPr>
          <w:noProof/>
          <w:color w:val="000000" w:themeColor="text1"/>
        </w:rPr>
        <w:t>Article 1</w:t>
      </w:r>
    </w:p>
    <w:p>
      <w:pPr>
        <w:pStyle w:val="Corpo"/>
        <w:jc w:val="center"/>
        <w:rPr>
          <w:noProof/>
          <w:color w:val="000000" w:themeColor="text1"/>
        </w:rPr>
      </w:pPr>
      <w:r>
        <w:rPr>
          <w:b/>
          <w:bCs/>
          <w:noProof/>
          <w:color w:val="000000" w:themeColor="text1"/>
        </w:rPr>
        <w:t>Subject matter</w:t>
      </w:r>
    </w:p>
    <w:p>
      <w:pPr>
        <w:pStyle w:val="Corpo"/>
        <w:rPr>
          <w:rFonts w:eastAsia="Arial Unicode MS" w:cs="Arial Unicode MS"/>
          <w:noProof/>
          <w:color w:val="000000" w:themeColor="text1"/>
        </w:rPr>
      </w:pPr>
      <w:r>
        <w:rPr>
          <w:rFonts w:eastAsia="Arial Unicode MS" w:cs="Arial Unicode MS"/>
          <w:noProof/>
          <w:color w:val="000000" w:themeColor="text1"/>
        </w:rPr>
        <w:t>The year 2018 shall be designated as the ‘European Year of Cultural Heritage’ (hereinafter referred to as the ‘European Year’).</w:t>
      </w:r>
    </w:p>
    <w:p>
      <w:pPr>
        <w:pStyle w:val="Titrearticle"/>
        <w:rPr>
          <w:i w:val="0"/>
          <w:iCs/>
          <w:noProof/>
          <w:color w:val="000000" w:themeColor="text1"/>
        </w:rPr>
      </w:pPr>
      <w:r>
        <w:rPr>
          <w:noProof/>
          <w:color w:val="000000" w:themeColor="text1"/>
        </w:rPr>
        <w:t>Article 2</w:t>
      </w:r>
    </w:p>
    <w:p>
      <w:pPr>
        <w:pStyle w:val="Corpo"/>
        <w:jc w:val="center"/>
        <w:rPr>
          <w:noProof/>
          <w:color w:val="000000" w:themeColor="text1"/>
        </w:rPr>
      </w:pPr>
      <w:r>
        <w:rPr>
          <w:b/>
          <w:bCs/>
          <w:noProof/>
          <w:color w:val="000000" w:themeColor="text1"/>
        </w:rPr>
        <w:t>Objectives</w:t>
      </w:r>
    </w:p>
    <w:p>
      <w:pPr>
        <w:pStyle w:val="Corpo"/>
        <w:rPr>
          <w:noProof/>
          <w:color w:val="000000" w:themeColor="text1"/>
        </w:rPr>
      </w:pPr>
      <w:r>
        <w:rPr>
          <w:rFonts w:eastAsia="Arial Unicode MS" w:cs="Arial Unicode MS"/>
          <w:noProof/>
          <w:color w:val="000000" w:themeColor="text1"/>
        </w:rPr>
        <w:t>1. In line with the objectives of the European Agenda for Culture, the overall objectives of the European Year shall be to encourage and support — notably through the exchange of experience and good practices — the efforts of the Union, the Member States, regional and local authorities to protect, safeguard, re-use, enhance, valorise and promote the European cultural heritage in the European Union (EU). In particular:</w:t>
      </w:r>
    </w:p>
    <w:p>
      <w:pPr>
        <w:pStyle w:val="Point0"/>
        <w:rPr>
          <w:noProof/>
          <w:color w:val="000000" w:themeColor="text1"/>
        </w:rPr>
      </w:pPr>
      <w:r>
        <w:rPr>
          <w:noProof/>
          <w:color w:val="000000" w:themeColor="text1"/>
        </w:rPr>
        <w:t>(a)</w:t>
      </w:r>
      <w:r>
        <w:rPr>
          <w:noProof/>
          <w:color w:val="000000" w:themeColor="text1"/>
        </w:rPr>
        <w:tab/>
        <w:t>It shall contribute to promoting the role of European cultural heritage as a pivotal component of cultural diversity and intercultural dialogue. It should highlight the best means to ensure its conservation and safeguarding and its enjoyment by a wider and more diversified public. This includes through audience development measures and heritage education, in full respect of the competences of the Member States, thereby promoting social inclusion and integration.</w:t>
      </w:r>
    </w:p>
    <w:p>
      <w:pPr>
        <w:pStyle w:val="Point0"/>
        <w:rPr>
          <w:noProof/>
          <w:color w:val="000000" w:themeColor="text1"/>
        </w:rPr>
      </w:pPr>
      <w:r>
        <w:rPr>
          <w:noProof/>
          <w:color w:val="000000" w:themeColor="text1"/>
        </w:rPr>
        <w:t>(b)</w:t>
      </w:r>
      <w:r>
        <w:rPr>
          <w:noProof/>
          <w:color w:val="000000" w:themeColor="text1"/>
        </w:rPr>
        <w:tab/>
        <w:t>It shall enhance the contribution of European cultural heritage to the economy and the society, through its direct and indirect economic potential. This includes the capacity to underpin the cultural and creative industries and inspire creation and innovation, promote sustainable tourism, enhance social cohesion and generate long-term employment.</w:t>
      </w:r>
    </w:p>
    <w:p>
      <w:pPr>
        <w:pStyle w:val="Point0"/>
        <w:rPr>
          <w:noProof/>
          <w:color w:val="000000" w:themeColor="text1"/>
          <w:u w:color="0000FF"/>
        </w:rPr>
      </w:pPr>
      <w:r>
        <w:rPr>
          <w:noProof/>
          <w:color w:val="000000" w:themeColor="text1"/>
        </w:rPr>
        <w:t>(c)</w:t>
      </w:r>
      <w:r>
        <w:rPr>
          <w:noProof/>
          <w:color w:val="000000" w:themeColor="text1"/>
        </w:rPr>
        <w:tab/>
        <w:t>It shall contribute to promoting cultural heritage as an important element of the Union’s international dimension, building on the interest in partner countries for Europe’s heritage and expertise.</w:t>
      </w:r>
    </w:p>
    <w:p>
      <w:pPr>
        <w:pStyle w:val="Corpo"/>
        <w:rPr>
          <w:noProof/>
          <w:color w:val="000000" w:themeColor="text1"/>
        </w:rPr>
      </w:pPr>
      <w:r>
        <w:rPr>
          <w:rFonts w:eastAsia="Arial Unicode MS" w:cs="Arial Unicode MS"/>
          <w:noProof/>
          <w:color w:val="000000" w:themeColor="text1"/>
        </w:rPr>
        <w:t>2. The specific objectives of the European Year of Cultural Heritage shall be to:</w:t>
      </w:r>
    </w:p>
    <w:p>
      <w:pPr>
        <w:pStyle w:val="Point0"/>
        <w:rPr>
          <w:noProof/>
          <w:color w:val="000000" w:themeColor="text1"/>
        </w:rPr>
      </w:pPr>
      <w:r>
        <w:rPr>
          <w:noProof/>
          <w:color w:val="000000" w:themeColor="text1"/>
        </w:rPr>
        <w:t>(a)</w:t>
      </w:r>
      <w:r>
        <w:rPr>
          <w:noProof/>
          <w:color w:val="000000" w:themeColor="text1"/>
        </w:rPr>
        <w:tab/>
        <w:t>encourage approaches that are people-centred, inclusive, forward-looking, more integrated, and cross-sectoral, to make heritage accessible to all and to ensure the safeguarding, conservation, innovative re-use and enhancement of cultural heritage;</w:t>
      </w:r>
    </w:p>
    <w:p>
      <w:pPr>
        <w:pStyle w:val="Point0"/>
        <w:rPr>
          <w:noProof/>
          <w:color w:val="000000" w:themeColor="text1"/>
        </w:rPr>
      </w:pPr>
      <w:r>
        <w:rPr>
          <w:noProof/>
          <w:color w:val="000000" w:themeColor="text1"/>
        </w:rPr>
        <w:t>(b)</w:t>
      </w:r>
      <w:r>
        <w:rPr>
          <w:noProof/>
          <w:color w:val="000000" w:themeColor="text1"/>
        </w:rPr>
        <w:tab/>
        <w:t>promote innovative models of multilevel governance and management of cultural heritage, involving all stakeholders, including public authorities, private individuals, civil society organisations, NGOs and the voluntary sector;</w:t>
      </w:r>
    </w:p>
    <w:p>
      <w:pPr>
        <w:pStyle w:val="Point0"/>
        <w:rPr>
          <w:noProof/>
          <w:color w:val="000000" w:themeColor="text1"/>
        </w:rPr>
      </w:pPr>
      <w:r>
        <w:rPr>
          <w:noProof/>
          <w:color w:val="000000" w:themeColor="text1"/>
        </w:rPr>
        <w:t>(c)</w:t>
      </w:r>
      <w:r>
        <w:rPr>
          <w:noProof/>
          <w:color w:val="000000" w:themeColor="text1"/>
        </w:rPr>
        <w:tab/>
        <w:t>promote debate, research and innovation activities and exchange of good practices on the quality of conservation and safeguarding of cultural heritage and on contemporary interventions in the historical environment as well as promoting solutions which are accessible for all, including for persons with disabilities;</w:t>
      </w:r>
    </w:p>
    <w:p>
      <w:pPr>
        <w:pStyle w:val="Point0"/>
        <w:rPr>
          <w:noProof/>
          <w:color w:val="000000" w:themeColor="text1"/>
        </w:rPr>
      </w:pPr>
      <w:r>
        <w:rPr>
          <w:noProof/>
          <w:color w:val="000000" w:themeColor="text1"/>
        </w:rPr>
        <w:t>(d)</w:t>
      </w:r>
      <w:r>
        <w:rPr>
          <w:noProof/>
          <w:color w:val="000000" w:themeColor="text1"/>
        </w:rPr>
        <w:tab/>
        <w:t>highlight and stimulate the positive contribution of cultural heritage to society and the economy through research and innovation, including an EU level evidence base and through the development of indicators and benchmarks;</w:t>
      </w:r>
    </w:p>
    <w:p>
      <w:pPr>
        <w:pStyle w:val="Point0"/>
        <w:rPr>
          <w:noProof/>
          <w:color w:val="000000" w:themeColor="text1"/>
        </w:rPr>
      </w:pPr>
      <w:r>
        <w:rPr>
          <w:noProof/>
          <w:color w:val="000000" w:themeColor="text1"/>
        </w:rPr>
        <w:t>(e)</w:t>
      </w:r>
      <w:r>
        <w:rPr>
          <w:noProof/>
          <w:color w:val="000000" w:themeColor="text1"/>
        </w:rPr>
        <w:tab/>
        <w:t>encourage local development strategies that tap into the potential of heritage, including through the promotion of sustainable cultural tourism;</w:t>
      </w:r>
    </w:p>
    <w:p>
      <w:pPr>
        <w:pStyle w:val="Point0"/>
        <w:rPr>
          <w:noProof/>
          <w:color w:val="000000" w:themeColor="text1"/>
        </w:rPr>
      </w:pPr>
      <w:r>
        <w:rPr>
          <w:noProof/>
          <w:color w:val="000000" w:themeColor="text1"/>
        </w:rPr>
        <w:t>(f)</w:t>
      </w:r>
      <w:r>
        <w:rPr>
          <w:noProof/>
          <w:color w:val="000000" w:themeColor="text1"/>
        </w:rPr>
        <w:tab/>
        <w:t>support the development of specialised skills and improve knowledge management and knowledge transfer in the heritage sector, taking into account the implications of the digital shift;</w:t>
      </w:r>
    </w:p>
    <w:p>
      <w:pPr>
        <w:pStyle w:val="Point0"/>
        <w:rPr>
          <w:noProof/>
          <w:color w:val="000000" w:themeColor="text1"/>
        </w:rPr>
      </w:pPr>
      <w:r>
        <w:rPr>
          <w:noProof/>
          <w:color w:val="000000" w:themeColor="text1"/>
        </w:rPr>
        <w:t>(g)</w:t>
      </w:r>
      <w:r>
        <w:rPr>
          <w:noProof/>
          <w:color w:val="000000" w:themeColor="text1"/>
        </w:rPr>
        <w:tab/>
        <w:t>promote heritage as a source of inspiration for contemporary creation and innovation, and highlight the potential for cross-fertilisation and stronger interaction between the cultural and creative sectors and communities and the heritage sector;</w:t>
      </w:r>
    </w:p>
    <w:p>
      <w:pPr>
        <w:pStyle w:val="Point0"/>
        <w:rPr>
          <w:noProof/>
          <w:color w:val="000000" w:themeColor="text1"/>
        </w:rPr>
      </w:pPr>
      <w:r>
        <w:rPr>
          <w:noProof/>
          <w:color w:val="000000" w:themeColor="text1"/>
        </w:rPr>
        <w:t>(h)</w:t>
      </w:r>
      <w:r>
        <w:rPr>
          <w:noProof/>
          <w:color w:val="000000" w:themeColor="text1"/>
        </w:rPr>
        <w:tab/>
        <w:t>raise awareness of the importance of the European cultural heritage through education and lifelong learning, in particular by targeting young people and local communities;</w:t>
      </w:r>
    </w:p>
    <w:p>
      <w:pPr>
        <w:pStyle w:val="Point0"/>
        <w:rPr>
          <w:noProof/>
          <w:color w:val="000000" w:themeColor="text1"/>
        </w:rPr>
      </w:pPr>
      <w:r>
        <w:rPr>
          <w:noProof/>
          <w:color w:val="000000" w:themeColor="text1"/>
        </w:rPr>
        <w:t>(i)</w:t>
      </w:r>
      <w:r>
        <w:rPr>
          <w:noProof/>
          <w:color w:val="000000" w:themeColor="text1"/>
        </w:rPr>
        <w:tab/>
        <w:t xml:space="preserve">highlight the potential of international cooperation in matters of cultural heritage for developing stronger ties with countries outside the EU, and encourage intercultural dialogue, post-conflict reconciliation and conflict prevention; </w:t>
      </w:r>
    </w:p>
    <w:p>
      <w:pPr>
        <w:pStyle w:val="Point0"/>
        <w:rPr>
          <w:noProof/>
          <w:color w:val="000000" w:themeColor="text1"/>
        </w:rPr>
      </w:pPr>
      <w:r>
        <w:rPr>
          <w:noProof/>
          <w:color w:val="000000" w:themeColor="text1"/>
        </w:rPr>
        <w:t>(j)</w:t>
      </w:r>
      <w:r>
        <w:rPr>
          <w:noProof/>
          <w:color w:val="000000" w:themeColor="text1"/>
        </w:rPr>
        <w:tab/>
        <w:t>promote research and innovation on cultural heritage; facilitate the uptake and exploitation of research results by all stakeholders, in particular public authorities and the private sector, and facilitate the dissemination of research results to a broader audience; and</w:t>
      </w:r>
    </w:p>
    <w:p>
      <w:pPr>
        <w:pStyle w:val="Point0"/>
        <w:rPr>
          <w:noProof/>
          <w:color w:val="000000" w:themeColor="text1"/>
        </w:rPr>
      </w:pPr>
      <w:r>
        <w:rPr>
          <w:noProof/>
          <w:color w:val="000000" w:themeColor="text1"/>
        </w:rPr>
        <w:t>(k)</w:t>
      </w:r>
      <w:r>
        <w:rPr>
          <w:noProof/>
          <w:color w:val="000000" w:themeColor="text1"/>
        </w:rPr>
        <w:tab/>
        <w:t>encourage synergies between the Union and Member States, including strengthening initiatives to prevent the illegal trafficking of cultural goods.</w:t>
      </w:r>
    </w:p>
    <w:p>
      <w:pPr>
        <w:pStyle w:val="Titrearticle"/>
        <w:rPr>
          <w:i w:val="0"/>
          <w:iCs/>
          <w:noProof/>
          <w:color w:val="000000" w:themeColor="text1"/>
        </w:rPr>
      </w:pPr>
      <w:r>
        <w:rPr>
          <w:noProof/>
          <w:color w:val="000000" w:themeColor="text1"/>
        </w:rPr>
        <w:t>Article 3</w:t>
      </w:r>
    </w:p>
    <w:p>
      <w:pPr>
        <w:pStyle w:val="Corpo"/>
        <w:jc w:val="center"/>
        <w:rPr>
          <w:noProof/>
          <w:color w:val="000000" w:themeColor="text1"/>
        </w:rPr>
      </w:pPr>
      <w:r>
        <w:rPr>
          <w:b/>
          <w:bCs/>
          <w:noProof/>
          <w:color w:val="000000" w:themeColor="text1"/>
        </w:rPr>
        <w:t>Content of measures</w:t>
      </w:r>
    </w:p>
    <w:p>
      <w:pPr>
        <w:pStyle w:val="Corpo"/>
        <w:rPr>
          <w:noProof/>
          <w:color w:val="000000" w:themeColor="text1"/>
        </w:rPr>
      </w:pPr>
      <w:r>
        <w:rPr>
          <w:rFonts w:eastAsia="Arial Unicode MS" w:cs="Arial Unicode MS"/>
          <w:noProof/>
          <w:color w:val="000000" w:themeColor="text1"/>
        </w:rPr>
        <w:t>1. The measures to be taken to achieve the objectives set out in Article 2 shall include the following activities at European, national, regional or local level linked to the objectives of the European Year:</w:t>
      </w:r>
    </w:p>
    <w:p>
      <w:pPr>
        <w:pStyle w:val="Point0letter"/>
        <w:numPr>
          <w:ilvl w:val="1"/>
          <w:numId w:val="3"/>
        </w:numPr>
        <w:pBdr>
          <w:top w:val="nil"/>
          <w:left w:val="nil"/>
          <w:bottom w:val="nil"/>
          <w:right w:val="nil"/>
          <w:between w:val="nil"/>
          <w:bar w:val="nil"/>
        </w:pBdr>
        <w:tabs>
          <w:tab w:val="left" w:pos="850"/>
        </w:tabs>
        <w:rPr>
          <w:noProof/>
          <w:color w:val="000000" w:themeColor="text1"/>
        </w:rPr>
      </w:pPr>
      <w:r>
        <w:rPr>
          <w:noProof/>
          <w:color w:val="000000" w:themeColor="text1"/>
        </w:rPr>
        <w:t>conferences, events and initiatives to promote debate and raise awareness of the importance and value of cultural heritage and to facilitate engagement with citizens and stakeholders;</w:t>
      </w:r>
      <w:r>
        <w:rPr>
          <w:noProof/>
          <w:color w:val="1F497D"/>
        </w:rPr>
        <w:t xml:space="preserve"> </w:t>
      </w:r>
    </w:p>
    <w:p>
      <w:pPr>
        <w:pStyle w:val="Point0letter"/>
        <w:numPr>
          <w:ilvl w:val="1"/>
          <w:numId w:val="3"/>
        </w:numPr>
        <w:pBdr>
          <w:top w:val="nil"/>
          <w:left w:val="nil"/>
          <w:bottom w:val="nil"/>
          <w:right w:val="nil"/>
          <w:between w:val="nil"/>
          <w:bar w:val="nil"/>
        </w:pBdr>
        <w:tabs>
          <w:tab w:val="left" w:pos="850"/>
        </w:tabs>
        <w:rPr>
          <w:noProof/>
          <w:color w:val="000000" w:themeColor="text1"/>
        </w:rPr>
      </w:pPr>
      <w:r>
        <w:rPr>
          <w:noProof/>
          <w:color w:val="000000" w:themeColor="text1"/>
        </w:rPr>
        <w:t>information, education and awareness-raising campaigns to convey values such as diversity and intercultural dialogue using evidence from Europe’s rich heritage and to stimulate the general public’s contribution in heritage protection and management and more generally in achieving the objectives of the European Year;</w:t>
      </w:r>
    </w:p>
    <w:p>
      <w:pPr>
        <w:pStyle w:val="Point0letter"/>
        <w:numPr>
          <w:ilvl w:val="1"/>
          <w:numId w:val="3"/>
        </w:numPr>
        <w:pBdr>
          <w:top w:val="nil"/>
          <w:left w:val="nil"/>
          <w:bottom w:val="nil"/>
          <w:right w:val="nil"/>
          <w:between w:val="nil"/>
          <w:bar w:val="nil"/>
        </w:pBdr>
        <w:tabs>
          <w:tab w:val="left" w:pos="850"/>
        </w:tabs>
        <w:rPr>
          <w:noProof/>
          <w:color w:val="000000" w:themeColor="text1"/>
        </w:rPr>
      </w:pPr>
      <w:r>
        <w:rPr>
          <w:noProof/>
          <w:color w:val="000000" w:themeColor="text1"/>
        </w:rPr>
        <w:t>sharing of experience and good practices of national, regional and local administrations, and other organisations, to disseminate information about cultural heritage; and</w:t>
      </w:r>
    </w:p>
    <w:p>
      <w:pPr>
        <w:pStyle w:val="Point0letter"/>
        <w:numPr>
          <w:ilvl w:val="1"/>
          <w:numId w:val="3"/>
        </w:numPr>
        <w:pBdr>
          <w:top w:val="nil"/>
          <w:left w:val="nil"/>
          <w:bottom w:val="nil"/>
          <w:right w:val="nil"/>
          <w:between w:val="nil"/>
          <w:bar w:val="nil"/>
        </w:pBdr>
        <w:tabs>
          <w:tab w:val="left" w:pos="850"/>
        </w:tabs>
        <w:rPr>
          <w:noProof/>
          <w:color w:val="000000" w:themeColor="text1"/>
        </w:rPr>
      </w:pPr>
      <w:r>
        <w:rPr>
          <w:noProof/>
          <w:color w:val="000000" w:themeColor="text1"/>
        </w:rPr>
        <w:t>undertaking studies and research and innovation activities and the dissemination of their results on European or national scale.</w:t>
      </w:r>
    </w:p>
    <w:p>
      <w:pPr>
        <w:pStyle w:val="Corpo"/>
        <w:rPr>
          <w:noProof/>
          <w:color w:val="000000" w:themeColor="text1"/>
        </w:rPr>
      </w:pPr>
      <w:r>
        <w:rPr>
          <w:rFonts w:eastAsia="Arial Unicode MS" w:cs="Arial Unicode MS"/>
          <w:noProof/>
          <w:color w:val="000000" w:themeColor="text1"/>
        </w:rPr>
        <w:t>2. The Commission and the Member States may identify other activities which could contribute to the objectives of the European Year set out in Article 2 and allow references to the European Year to be used in promoting those activities in so far as they contribute to achieving those objectives.</w:t>
      </w:r>
    </w:p>
    <w:p>
      <w:pPr>
        <w:pStyle w:val="Titrearticle"/>
        <w:rPr>
          <w:i w:val="0"/>
          <w:iCs/>
          <w:noProof/>
          <w:color w:val="000000" w:themeColor="text1"/>
        </w:rPr>
      </w:pPr>
      <w:r>
        <w:rPr>
          <w:noProof/>
          <w:color w:val="000000" w:themeColor="text1"/>
        </w:rPr>
        <w:t>Article 4</w:t>
      </w:r>
    </w:p>
    <w:p>
      <w:pPr>
        <w:pStyle w:val="Corpo"/>
        <w:jc w:val="center"/>
        <w:rPr>
          <w:noProof/>
          <w:color w:val="000000" w:themeColor="text1"/>
        </w:rPr>
      </w:pPr>
      <w:r>
        <w:rPr>
          <w:b/>
          <w:bCs/>
          <w:noProof/>
          <w:color w:val="000000" w:themeColor="text1"/>
        </w:rPr>
        <w:t>Coordination at national level</w:t>
      </w:r>
    </w:p>
    <w:p>
      <w:pPr>
        <w:pStyle w:val="Corpo"/>
        <w:rPr>
          <w:noProof/>
          <w:color w:val="000000" w:themeColor="text1"/>
        </w:rPr>
      </w:pPr>
      <w:r>
        <w:rPr>
          <w:rFonts w:eastAsia="Arial Unicode MS" w:cs="Arial Unicode MS"/>
          <w:noProof/>
          <w:color w:val="000000" w:themeColor="text1"/>
        </w:rPr>
        <w:t>Each Member State shall appoint a national coordinator responsible for organising its participation in the European Year. The coordinator shall ensure the coordination of relevant activities at national level.</w:t>
      </w:r>
    </w:p>
    <w:p>
      <w:pPr>
        <w:pStyle w:val="Titrearticle"/>
        <w:rPr>
          <w:i w:val="0"/>
          <w:iCs/>
          <w:noProof/>
          <w:color w:val="000000" w:themeColor="text1"/>
        </w:rPr>
      </w:pPr>
      <w:r>
        <w:rPr>
          <w:noProof/>
          <w:color w:val="000000" w:themeColor="text1"/>
        </w:rPr>
        <w:t>Article 5</w:t>
      </w:r>
    </w:p>
    <w:p>
      <w:pPr>
        <w:pStyle w:val="Corpo"/>
        <w:jc w:val="center"/>
        <w:rPr>
          <w:noProof/>
          <w:color w:val="000000" w:themeColor="text1"/>
        </w:rPr>
      </w:pPr>
      <w:r>
        <w:rPr>
          <w:b/>
          <w:bCs/>
          <w:noProof/>
          <w:color w:val="000000" w:themeColor="text1"/>
        </w:rPr>
        <w:t>Coordination at Union level</w:t>
      </w:r>
    </w:p>
    <w:p>
      <w:pPr>
        <w:pStyle w:val="Corpo"/>
        <w:rPr>
          <w:noProof/>
          <w:color w:val="000000" w:themeColor="text1"/>
        </w:rPr>
      </w:pPr>
      <w:r>
        <w:rPr>
          <w:rFonts w:eastAsia="Arial Unicode MS" w:cs="Arial Unicode MS"/>
          <w:noProof/>
          <w:color w:val="000000" w:themeColor="text1"/>
        </w:rPr>
        <w:t>The Commission shall convene meetings of the national coordinators in order to coordinate the running of the European Year and to exchange information regarding its implementation at national and European level.</w:t>
      </w:r>
    </w:p>
    <w:p>
      <w:pPr>
        <w:pStyle w:val="Titrearticle"/>
        <w:rPr>
          <w:i w:val="0"/>
          <w:iCs/>
          <w:noProof/>
          <w:color w:val="000000" w:themeColor="text1"/>
        </w:rPr>
      </w:pPr>
      <w:r>
        <w:rPr>
          <w:noProof/>
          <w:color w:val="000000" w:themeColor="text1"/>
        </w:rPr>
        <w:t>Article 6</w:t>
      </w:r>
    </w:p>
    <w:p>
      <w:pPr>
        <w:pStyle w:val="Corpo"/>
        <w:jc w:val="center"/>
        <w:rPr>
          <w:noProof/>
          <w:color w:val="000000" w:themeColor="text1"/>
        </w:rPr>
      </w:pPr>
      <w:r>
        <w:rPr>
          <w:b/>
          <w:bCs/>
          <w:noProof/>
          <w:color w:val="000000" w:themeColor="text1"/>
        </w:rPr>
        <w:t>International Cooperation</w:t>
      </w:r>
    </w:p>
    <w:p>
      <w:pPr>
        <w:pStyle w:val="Corpo"/>
        <w:rPr>
          <w:noProof/>
          <w:color w:val="000000" w:themeColor="text1"/>
        </w:rPr>
      </w:pPr>
      <w:r>
        <w:rPr>
          <w:rFonts w:eastAsia="Arial Unicode MS" w:cs="Arial Unicode MS"/>
          <w:noProof/>
          <w:color w:val="000000" w:themeColor="text1"/>
        </w:rPr>
        <w:t>For the purpose of the European Year, the Commission shall cooperate with competent international organisations, in particular with UNESCO and the Council of Europe, while ensuring the visibility of the EU’s participation.</w:t>
      </w:r>
    </w:p>
    <w:p>
      <w:pPr>
        <w:pStyle w:val="Titrearticle"/>
        <w:rPr>
          <w:i w:val="0"/>
          <w:iCs/>
          <w:noProof/>
          <w:color w:val="000000" w:themeColor="text1"/>
        </w:rPr>
      </w:pPr>
      <w:r>
        <w:rPr>
          <w:noProof/>
          <w:color w:val="000000" w:themeColor="text1"/>
        </w:rPr>
        <w:t>Article 7</w:t>
      </w:r>
    </w:p>
    <w:p>
      <w:pPr>
        <w:pStyle w:val="Corpo"/>
        <w:jc w:val="center"/>
        <w:rPr>
          <w:noProof/>
          <w:color w:val="000000" w:themeColor="text1"/>
        </w:rPr>
      </w:pPr>
      <w:r>
        <w:rPr>
          <w:b/>
          <w:bCs/>
          <w:noProof/>
          <w:color w:val="000000" w:themeColor="text1"/>
        </w:rPr>
        <w:t>Funding</w:t>
      </w:r>
    </w:p>
    <w:p>
      <w:pPr>
        <w:pStyle w:val="Corpo"/>
        <w:rPr>
          <w:rFonts w:eastAsia="Arial Unicode MS" w:cs="Arial Unicode MS"/>
          <w:noProof/>
          <w:color w:val="000000" w:themeColor="text1"/>
        </w:rPr>
      </w:pPr>
      <w:r>
        <w:rPr>
          <w:rFonts w:eastAsia="Arial Unicode MS" w:cs="Arial Unicode MS"/>
          <w:noProof/>
          <w:color w:val="000000" w:themeColor="text1"/>
        </w:rPr>
        <w:t>Co-financing at European level of activities in support of the European Year shall be in accordance with the applicable rules, and within the existing possibilities for priority setting on an annual or multiannual basis, to existing programmes, in particular the Creative Europe programme. Where appropriate, other programmes and policies, within their existing legal and financial provisions, may also support the European Year.</w:t>
      </w:r>
    </w:p>
    <w:p>
      <w:pPr>
        <w:pStyle w:val="Titrearticle"/>
        <w:rPr>
          <w:noProof/>
          <w:color w:val="000000" w:themeColor="text1"/>
        </w:rPr>
      </w:pPr>
      <w:r>
        <w:rPr>
          <w:noProof/>
          <w:color w:val="000000" w:themeColor="text1"/>
        </w:rPr>
        <w:t>Article 8</w:t>
      </w:r>
    </w:p>
    <w:p>
      <w:pPr>
        <w:pStyle w:val="Corpo"/>
        <w:jc w:val="center"/>
        <w:rPr>
          <w:b/>
          <w:bCs/>
          <w:noProof/>
          <w:color w:val="000000" w:themeColor="text1"/>
        </w:rPr>
      </w:pPr>
      <w:r>
        <w:rPr>
          <w:b/>
          <w:bCs/>
          <w:noProof/>
          <w:color w:val="000000" w:themeColor="text1"/>
        </w:rPr>
        <w:t>Monitoring and evaluation</w:t>
      </w:r>
    </w:p>
    <w:p>
      <w:pPr>
        <w:pStyle w:val="Corpo"/>
        <w:rPr>
          <w:rFonts w:eastAsia="Arial Unicode MS" w:cs="Arial Unicode MS"/>
          <w:noProof/>
          <w:color w:val="000000" w:themeColor="text1"/>
        </w:rPr>
      </w:pPr>
      <w:r>
        <w:rPr>
          <w:rFonts w:eastAsia="Arial Unicode MS" w:cs="Arial Unicode MS"/>
          <w:noProof/>
          <w:color w:val="000000" w:themeColor="text1"/>
        </w:rPr>
        <w:t xml:space="preserve"> By 31 December 2019, the Commission shall submit a report to the European Parliament, the Council, the European Economic and Social Committee and the Committee of the Regions on the implementation, results and overall assessment of the initiatives provided for in this Decision.</w:t>
      </w:r>
    </w:p>
    <w:p>
      <w:pPr>
        <w:pStyle w:val="Titrearticle"/>
        <w:rPr>
          <w:noProof/>
          <w:color w:val="000000" w:themeColor="text1"/>
        </w:rPr>
      </w:pPr>
      <w:r>
        <w:rPr>
          <w:noProof/>
          <w:color w:val="000000" w:themeColor="text1"/>
        </w:rPr>
        <w:t>Article 9</w:t>
      </w:r>
    </w:p>
    <w:p>
      <w:pPr>
        <w:rPr>
          <w:noProof/>
          <w:color w:val="000000" w:themeColor="text1"/>
        </w:rPr>
      </w:pPr>
      <w:r>
        <w:rPr>
          <w:noProof/>
          <w:color w:val="000000" w:themeColor="text1"/>
        </w:rPr>
        <w:t xml:space="preserve">This Decision shall enter into force on the </w:t>
      </w:r>
      <w:r>
        <w:rPr>
          <w:rFonts w:eastAsia="Arial Unicode MS" w:cs="Arial Unicode MS"/>
          <w:noProof/>
          <w:color w:val="000000" w:themeColor="text1"/>
        </w:rPr>
        <w:t xml:space="preserve">twentieth </w:t>
      </w:r>
      <w:r>
        <w:rPr>
          <w:noProof/>
          <w:color w:val="000000" w:themeColor="text1"/>
        </w:rPr>
        <w:t xml:space="preserve">day following that of its publication in the </w:t>
      </w:r>
      <w:r>
        <w:rPr>
          <w:i/>
          <w:noProof/>
          <w:color w:val="000000" w:themeColor="text1"/>
        </w:rPr>
        <w:t>Official Journal of the European Union</w:t>
      </w:r>
      <w:r>
        <w:rPr>
          <w:noProof/>
          <w:color w:val="000000" w:themeColor="text1"/>
        </w:rPr>
        <w:t>.</w:t>
      </w:r>
    </w:p>
    <w:p>
      <w:pPr>
        <w:pStyle w:val="Titrearticle"/>
        <w:rPr>
          <w:noProof/>
          <w:color w:val="000000" w:themeColor="text1"/>
        </w:rPr>
      </w:pPr>
      <w:r>
        <w:rPr>
          <w:noProof/>
          <w:color w:val="000000" w:themeColor="text1"/>
        </w:rPr>
        <w:t>Article 10</w:t>
      </w:r>
    </w:p>
    <w:p>
      <w:pPr>
        <w:keepNext/>
        <w:keepLines/>
        <w:rPr>
          <w:noProof/>
          <w:color w:val="000000" w:themeColor="text1"/>
        </w:rPr>
      </w:pPr>
      <w:r>
        <w:rPr>
          <w:noProof/>
          <w:color w:val="000000" w:themeColor="text1"/>
        </w:rPr>
        <w:t>This Decision is addressed to the Member States.</w:t>
      </w:r>
    </w:p>
    <w:p>
      <w:pPr>
        <w:pStyle w:val="Fait"/>
        <w:rPr>
          <w:noProof/>
          <w:color w:val="000000" w:themeColor="text1"/>
        </w:rPr>
      </w:pPr>
      <w:r>
        <w:rPr>
          <w:noProof/>
          <w:color w:val="000000" w:themeColor="text1"/>
        </w:rPr>
        <w:t>Done at Brussels,</w:t>
      </w:r>
    </w:p>
    <w:p>
      <w:pPr>
        <w:pStyle w:val="Institutionquisigne"/>
        <w:rPr>
          <w:noProof/>
          <w:color w:val="000000" w:themeColor="text1"/>
        </w:rPr>
      </w:pPr>
      <w:r>
        <w:rPr>
          <w:noProof/>
          <w:color w:val="000000" w:themeColor="text1"/>
        </w:rPr>
        <w:t>For the European Parliament</w:t>
      </w:r>
      <w:r>
        <w:rPr>
          <w:noProof/>
          <w:color w:val="000000" w:themeColor="text1"/>
        </w:rPr>
        <w:tab/>
        <w:t>For the Council</w:t>
      </w:r>
    </w:p>
    <w:p>
      <w:pPr>
        <w:pStyle w:val="Personnequisigne"/>
        <w:rPr>
          <w:noProof/>
          <w:color w:val="000000" w:themeColor="text1"/>
        </w:rPr>
      </w:pPr>
      <w:r>
        <w:rPr>
          <w:noProof/>
          <w:color w:val="000000" w:themeColor="text1"/>
        </w:rPr>
        <w:t>The President</w:t>
      </w:r>
      <w:r>
        <w:rPr>
          <w:noProof/>
          <w:color w:val="000000" w:themeColor="text1"/>
        </w:rPr>
        <w:tab/>
        <w:t>The President</w:t>
      </w:r>
    </w:p>
    <w:p>
      <w:pPr>
        <w:rPr>
          <w:noProof/>
          <w:color w:val="000000" w:themeColor="text1"/>
        </w:rPr>
        <w:sectPr>
          <w:pgSz w:w="11907" w:h="16839"/>
          <w:pgMar w:top="1134" w:right="1417" w:bottom="1134" w:left="1417" w:header="709" w:footer="709" w:gutter="0"/>
          <w:cols w:space="708"/>
          <w:docGrid w:linePitch="360"/>
        </w:sectPr>
      </w:pPr>
    </w:p>
    <w:p>
      <w:pPr>
        <w:pStyle w:val="Fichefinanciretitre"/>
        <w:rPr>
          <w:noProof/>
          <w:color w:val="000000" w:themeColor="text1"/>
        </w:rPr>
      </w:pPr>
      <w:r>
        <w:rPr>
          <w:noProof/>
          <w:color w:val="000000" w:themeColor="text1"/>
        </w:rPr>
        <w:t>LEGISLATIVE FINANCIAL STATEMENT</w:t>
      </w:r>
    </w:p>
    <w:p>
      <w:pPr>
        <w:pStyle w:val="ManualHeading1"/>
        <w:rPr>
          <w:noProof/>
          <w:color w:val="000000" w:themeColor="text1"/>
        </w:rPr>
      </w:pPr>
      <w:r>
        <w:rPr>
          <w:noProof/>
          <w:color w:val="000000" w:themeColor="text1"/>
        </w:rPr>
        <w:t>1.</w:t>
      </w:r>
      <w:r>
        <w:rPr>
          <w:noProof/>
          <w:color w:val="000000" w:themeColor="text1"/>
        </w:rPr>
        <w:tab/>
        <w:t xml:space="preserve">FRAMEWORK OF THE PROPOSAL/INITIATIVE </w:t>
      </w:r>
    </w:p>
    <w:p>
      <w:pPr>
        <w:pStyle w:val="ManualHeading2"/>
        <w:rPr>
          <w:b w:val="0"/>
          <w:noProof/>
          <w:color w:val="000000" w:themeColor="text1"/>
        </w:rPr>
      </w:pPr>
      <w:r>
        <w:rPr>
          <w:noProof/>
          <w:color w:val="000000" w:themeColor="text1"/>
        </w:rPr>
        <w:tab/>
      </w:r>
      <w:r>
        <w:rPr>
          <w:b w:val="0"/>
          <w:noProof/>
          <w:color w:val="000000" w:themeColor="text1"/>
        </w:rPr>
        <w:t>1.1.</w:t>
      </w:r>
      <w:r>
        <w:rPr>
          <w:b w:val="0"/>
          <w:noProof/>
          <w:color w:val="000000" w:themeColor="text1"/>
        </w:rPr>
        <w:tab/>
        <w:t xml:space="preserve">Title of the proposal/initiative </w:t>
      </w:r>
    </w:p>
    <w:p>
      <w:pPr>
        <w:pStyle w:val="ManualHeading2"/>
        <w:rPr>
          <w:b w:val="0"/>
          <w:noProof/>
          <w:color w:val="000000" w:themeColor="text1"/>
        </w:rPr>
      </w:pPr>
      <w:r>
        <w:rPr>
          <w:b w:val="0"/>
          <w:noProof/>
          <w:color w:val="000000" w:themeColor="text1"/>
        </w:rPr>
        <w:tab/>
        <w:t>1.2.</w:t>
      </w:r>
      <w:r>
        <w:rPr>
          <w:b w:val="0"/>
          <w:noProof/>
          <w:color w:val="000000" w:themeColor="text1"/>
        </w:rPr>
        <w:tab/>
        <w:t>Policy area(s) concerned in the ABM/ABB structure</w:t>
      </w:r>
    </w:p>
    <w:p>
      <w:pPr>
        <w:pStyle w:val="ManualHeading2"/>
        <w:rPr>
          <w:b w:val="0"/>
          <w:noProof/>
          <w:color w:val="000000" w:themeColor="text1"/>
        </w:rPr>
      </w:pPr>
      <w:r>
        <w:rPr>
          <w:b w:val="0"/>
          <w:noProof/>
          <w:color w:val="000000" w:themeColor="text1"/>
        </w:rPr>
        <w:tab/>
        <w:t>1.3.</w:t>
      </w:r>
      <w:r>
        <w:rPr>
          <w:b w:val="0"/>
          <w:noProof/>
          <w:color w:val="000000" w:themeColor="text1"/>
        </w:rPr>
        <w:tab/>
        <w:t xml:space="preserve">Nature of the proposal/initiative </w:t>
      </w:r>
    </w:p>
    <w:p>
      <w:pPr>
        <w:pStyle w:val="ManualHeading2"/>
        <w:rPr>
          <w:b w:val="0"/>
          <w:noProof/>
          <w:color w:val="000000" w:themeColor="text1"/>
        </w:rPr>
      </w:pPr>
      <w:r>
        <w:rPr>
          <w:b w:val="0"/>
          <w:noProof/>
          <w:color w:val="000000" w:themeColor="text1"/>
        </w:rPr>
        <w:tab/>
        <w:t>1.4.</w:t>
      </w:r>
      <w:r>
        <w:rPr>
          <w:b w:val="0"/>
          <w:noProof/>
          <w:color w:val="000000" w:themeColor="text1"/>
        </w:rPr>
        <w:tab/>
        <w:t xml:space="preserve">Objective(s) </w:t>
      </w:r>
    </w:p>
    <w:p>
      <w:pPr>
        <w:pStyle w:val="ManualHeading2"/>
        <w:rPr>
          <w:b w:val="0"/>
          <w:noProof/>
          <w:color w:val="000000" w:themeColor="text1"/>
        </w:rPr>
      </w:pPr>
      <w:r>
        <w:rPr>
          <w:b w:val="0"/>
          <w:noProof/>
          <w:color w:val="000000" w:themeColor="text1"/>
        </w:rPr>
        <w:tab/>
        <w:t>1.5.</w:t>
      </w:r>
      <w:r>
        <w:rPr>
          <w:b w:val="0"/>
          <w:noProof/>
          <w:color w:val="000000" w:themeColor="text1"/>
        </w:rPr>
        <w:tab/>
        <w:t xml:space="preserve">Grounds for the proposal/initiative </w:t>
      </w:r>
    </w:p>
    <w:p>
      <w:pPr>
        <w:pStyle w:val="ManualHeading2"/>
        <w:rPr>
          <w:b w:val="0"/>
          <w:noProof/>
          <w:color w:val="000000" w:themeColor="text1"/>
        </w:rPr>
      </w:pPr>
      <w:r>
        <w:rPr>
          <w:b w:val="0"/>
          <w:noProof/>
          <w:color w:val="000000" w:themeColor="text1"/>
        </w:rPr>
        <w:tab/>
        <w:t>1.6.</w:t>
      </w:r>
      <w:r>
        <w:rPr>
          <w:b w:val="0"/>
          <w:noProof/>
          <w:color w:val="000000" w:themeColor="text1"/>
        </w:rPr>
        <w:tab/>
        <w:t xml:space="preserve">Duration and financial impact </w:t>
      </w:r>
    </w:p>
    <w:p>
      <w:pPr>
        <w:pStyle w:val="ManualHeading2"/>
        <w:rPr>
          <w:b w:val="0"/>
          <w:noProof/>
          <w:color w:val="000000" w:themeColor="text1"/>
        </w:rPr>
      </w:pPr>
      <w:r>
        <w:rPr>
          <w:b w:val="0"/>
          <w:noProof/>
          <w:color w:val="000000" w:themeColor="text1"/>
        </w:rPr>
        <w:tab/>
        <w:t>1.7.</w:t>
      </w:r>
      <w:r>
        <w:rPr>
          <w:b w:val="0"/>
          <w:noProof/>
          <w:color w:val="000000" w:themeColor="text1"/>
        </w:rPr>
        <w:tab/>
        <w:t xml:space="preserve">Management mode(s) planned </w:t>
      </w:r>
    </w:p>
    <w:p>
      <w:pPr>
        <w:pStyle w:val="ManualHeading1"/>
        <w:rPr>
          <w:noProof/>
          <w:color w:val="000000" w:themeColor="text1"/>
        </w:rPr>
      </w:pPr>
      <w:r>
        <w:rPr>
          <w:noProof/>
          <w:color w:val="000000" w:themeColor="text1"/>
        </w:rPr>
        <w:t>2.</w:t>
      </w:r>
      <w:r>
        <w:rPr>
          <w:noProof/>
          <w:color w:val="000000" w:themeColor="text1"/>
        </w:rPr>
        <w:tab/>
        <w:t xml:space="preserve">MANAGEMENT MEASURES </w:t>
      </w:r>
    </w:p>
    <w:p>
      <w:pPr>
        <w:pStyle w:val="ManualHeading2"/>
        <w:rPr>
          <w:b w:val="0"/>
          <w:noProof/>
          <w:color w:val="000000" w:themeColor="text1"/>
        </w:rPr>
      </w:pPr>
      <w:r>
        <w:rPr>
          <w:b w:val="0"/>
          <w:noProof/>
          <w:color w:val="000000" w:themeColor="text1"/>
        </w:rPr>
        <w:tab/>
        <w:t>2.1.</w:t>
      </w:r>
      <w:r>
        <w:rPr>
          <w:b w:val="0"/>
          <w:noProof/>
          <w:color w:val="000000" w:themeColor="text1"/>
        </w:rPr>
        <w:tab/>
        <w:t xml:space="preserve">Monitoring and reporting rules </w:t>
      </w:r>
    </w:p>
    <w:p>
      <w:pPr>
        <w:pStyle w:val="ManualHeading2"/>
        <w:rPr>
          <w:b w:val="0"/>
          <w:noProof/>
          <w:color w:val="000000" w:themeColor="text1"/>
        </w:rPr>
      </w:pPr>
      <w:r>
        <w:rPr>
          <w:b w:val="0"/>
          <w:noProof/>
          <w:color w:val="000000" w:themeColor="text1"/>
        </w:rPr>
        <w:tab/>
        <w:t>2.2.</w:t>
      </w:r>
      <w:r>
        <w:rPr>
          <w:b w:val="0"/>
          <w:noProof/>
          <w:color w:val="000000" w:themeColor="text1"/>
        </w:rPr>
        <w:tab/>
        <w:t xml:space="preserve">Management and control system </w:t>
      </w:r>
    </w:p>
    <w:p>
      <w:pPr>
        <w:pStyle w:val="ManualHeading2"/>
        <w:rPr>
          <w:b w:val="0"/>
          <w:noProof/>
          <w:color w:val="000000" w:themeColor="text1"/>
        </w:rPr>
      </w:pPr>
      <w:r>
        <w:rPr>
          <w:b w:val="0"/>
          <w:noProof/>
          <w:color w:val="000000" w:themeColor="text1"/>
        </w:rPr>
        <w:tab/>
        <w:t>2.3.</w:t>
      </w:r>
      <w:r>
        <w:rPr>
          <w:b w:val="0"/>
          <w:noProof/>
          <w:color w:val="000000" w:themeColor="text1"/>
        </w:rPr>
        <w:tab/>
        <w:t xml:space="preserve">Measures to prevent fraud and irregularities </w:t>
      </w:r>
    </w:p>
    <w:p>
      <w:pPr>
        <w:pStyle w:val="ManualHeading1"/>
        <w:rPr>
          <w:noProof/>
          <w:color w:val="000000" w:themeColor="text1"/>
        </w:rPr>
      </w:pPr>
      <w:r>
        <w:rPr>
          <w:noProof/>
          <w:color w:val="000000" w:themeColor="text1"/>
        </w:rPr>
        <w:t>3.</w:t>
      </w:r>
      <w:r>
        <w:rPr>
          <w:noProof/>
          <w:color w:val="000000" w:themeColor="text1"/>
        </w:rPr>
        <w:tab/>
        <w:t xml:space="preserve">ESTIMATED FINANCIAL IMPACT OF THE PROPOSAL/INITIATIVE </w:t>
      </w:r>
    </w:p>
    <w:p>
      <w:pPr>
        <w:pStyle w:val="ManualHeading2"/>
        <w:rPr>
          <w:b w:val="0"/>
          <w:noProof/>
          <w:color w:val="000000" w:themeColor="text1"/>
        </w:rPr>
      </w:pPr>
      <w:r>
        <w:rPr>
          <w:b w:val="0"/>
          <w:noProof/>
          <w:color w:val="000000" w:themeColor="text1"/>
        </w:rPr>
        <w:tab/>
        <w:t>3.1.</w:t>
      </w:r>
      <w:r>
        <w:rPr>
          <w:b w:val="0"/>
          <w:noProof/>
          <w:color w:val="000000" w:themeColor="text1"/>
        </w:rPr>
        <w:tab/>
        <w:t xml:space="preserve">Heading(s) of the multiannual financial framework and expenditure budget line(s) affected </w:t>
      </w:r>
    </w:p>
    <w:p>
      <w:pPr>
        <w:pStyle w:val="ManualHeading2"/>
        <w:rPr>
          <w:noProof/>
          <w:color w:val="000000" w:themeColor="text1"/>
        </w:rPr>
      </w:pPr>
      <w:r>
        <w:rPr>
          <w:b w:val="0"/>
          <w:noProof/>
          <w:color w:val="000000" w:themeColor="text1"/>
        </w:rPr>
        <w:tab/>
        <w:t>3.2.</w:t>
      </w:r>
      <w:r>
        <w:rPr>
          <w:b w:val="0"/>
          <w:noProof/>
          <w:color w:val="000000" w:themeColor="text1"/>
        </w:rPr>
        <w:tab/>
        <w:t>Estimated impact on expenditure</w:t>
      </w:r>
      <w:r>
        <w:rPr>
          <w:noProof/>
          <w:color w:val="000000" w:themeColor="text1"/>
        </w:rPr>
        <w:t xml:space="preserve"> </w:t>
      </w:r>
    </w:p>
    <w:p>
      <w:pPr>
        <w:pStyle w:val="ManualHeading3"/>
        <w:rPr>
          <w:noProof/>
          <w:color w:val="000000" w:themeColor="text1"/>
        </w:rPr>
      </w:pPr>
      <w:r>
        <w:rPr>
          <w:noProof/>
          <w:color w:val="000000" w:themeColor="text1"/>
        </w:rPr>
        <w:tab/>
        <w:t>3.2.1.</w:t>
      </w:r>
      <w:r>
        <w:rPr>
          <w:noProof/>
          <w:color w:val="000000" w:themeColor="text1"/>
        </w:rPr>
        <w:tab/>
        <w:t xml:space="preserve">Summary of estimated impact on expenditure </w:t>
      </w:r>
    </w:p>
    <w:p>
      <w:pPr>
        <w:pStyle w:val="ManualHeading3"/>
        <w:rPr>
          <w:noProof/>
          <w:color w:val="000000" w:themeColor="text1"/>
        </w:rPr>
      </w:pPr>
      <w:r>
        <w:rPr>
          <w:noProof/>
          <w:color w:val="000000" w:themeColor="text1"/>
        </w:rPr>
        <w:tab/>
        <w:t>3.2.2.</w:t>
      </w:r>
      <w:r>
        <w:rPr>
          <w:noProof/>
          <w:color w:val="000000" w:themeColor="text1"/>
        </w:rPr>
        <w:tab/>
        <w:t xml:space="preserve">Estimated impact on operational appropriations </w:t>
      </w:r>
    </w:p>
    <w:p>
      <w:pPr>
        <w:pStyle w:val="ManualHeading3"/>
        <w:rPr>
          <w:noProof/>
          <w:color w:val="000000" w:themeColor="text1"/>
        </w:rPr>
      </w:pPr>
      <w:r>
        <w:rPr>
          <w:noProof/>
          <w:color w:val="000000" w:themeColor="text1"/>
        </w:rPr>
        <w:tab/>
        <w:t>3.2.3.</w:t>
      </w:r>
      <w:r>
        <w:rPr>
          <w:noProof/>
          <w:color w:val="000000" w:themeColor="text1"/>
        </w:rPr>
        <w:tab/>
        <w:t>Estimated impact on appropriations of an administrative nature</w:t>
      </w:r>
    </w:p>
    <w:p>
      <w:pPr>
        <w:pStyle w:val="ManualHeading3"/>
        <w:rPr>
          <w:noProof/>
          <w:color w:val="000000" w:themeColor="text1"/>
        </w:rPr>
      </w:pPr>
      <w:r>
        <w:rPr>
          <w:noProof/>
          <w:color w:val="000000" w:themeColor="text1"/>
        </w:rPr>
        <w:tab/>
        <w:t>3.2.4.</w:t>
      </w:r>
      <w:r>
        <w:rPr>
          <w:noProof/>
          <w:color w:val="000000" w:themeColor="text1"/>
        </w:rPr>
        <w:tab/>
        <w:t>Compatibility with the current multiannual financial framework</w:t>
      </w:r>
    </w:p>
    <w:p>
      <w:pPr>
        <w:pStyle w:val="ManualHeading3"/>
        <w:rPr>
          <w:noProof/>
          <w:color w:val="000000" w:themeColor="text1"/>
        </w:rPr>
      </w:pPr>
      <w:r>
        <w:rPr>
          <w:noProof/>
          <w:color w:val="000000" w:themeColor="text1"/>
        </w:rPr>
        <w:tab/>
        <w:t>3.2.5.</w:t>
      </w:r>
      <w:r>
        <w:rPr>
          <w:noProof/>
          <w:color w:val="000000" w:themeColor="text1"/>
        </w:rPr>
        <w:tab/>
        <w:t xml:space="preserve">Third-party contributions </w:t>
      </w:r>
    </w:p>
    <w:p>
      <w:pPr>
        <w:pStyle w:val="ManualHeading2"/>
        <w:jc w:val="left"/>
        <w:rPr>
          <w:b w:val="0"/>
          <w:noProof/>
          <w:color w:val="000000" w:themeColor="text1"/>
        </w:rPr>
        <w:sectPr>
          <w:pgSz w:w="11907" w:h="16840" w:code="9"/>
          <w:pgMar w:top="1134" w:right="1418" w:bottom="1134" w:left="1418" w:header="709" w:footer="709" w:gutter="0"/>
          <w:cols w:space="708"/>
          <w:docGrid w:linePitch="360"/>
        </w:sectPr>
      </w:pPr>
      <w:r>
        <w:rPr>
          <w:b w:val="0"/>
          <w:noProof/>
          <w:color w:val="000000" w:themeColor="text1"/>
        </w:rPr>
        <w:tab/>
        <w:t>3.3.</w:t>
      </w:r>
      <w:r>
        <w:rPr>
          <w:b w:val="0"/>
          <w:noProof/>
          <w:color w:val="000000" w:themeColor="text1"/>
        </w:rPr>
        <w:tab/>
        <w:t>Estimated impact on revenue</w:t>
      </w:r>
    </w:p>
    <w:p>
      <w:pPr>
        <w:jc w:val="center"/>
        <w:rPr>
          <w:noProof/>
          <w:color w:val="000000" w:themeColor="text1"/>
        </w:rPr>
      </w:pPr>
      <w:r>
        <w:rPr>
          <w:b/>
          <w:noProof/>
          <w:color w:val="000000" w:themeColor="text1"/>
          <w:u w:val="single"/>
        </w:rPr>
        <w:t>LEGISLATIVE FINANCIAL STATEMENT</w:t>
      </w:r>
    </w:p>
    <w:p>
      <w:pPr>
        <w:pStyle w:val="ManualHeading1"/>
        <w:rPr>
          <w:noProof/>
        </w:rPr>
      </w:pPr>
      <w:r>
        <w:t>1.</w:t>
      </w:r>
      <w:r>
        <w:tab/>
      </w:r>
      <w:r>
        <w:rPr>
          <w:noProof/>
        </w:rPr>
        <w:t xml:space="preserve">FRAMEWORK OF THE PROPOSAL/INITIATIVE </w:t>
      </w:r>
    </w:p>
    <w:p>
      <w:pPr>
        <w:pStyle w:val="ManualHeading2"/>
        <w:rPr>
          <w:noProof/>
        </w:rPr>
      </w:pPr>
      <w:r>
        <w:t>1.1.</w:t>
      </w:r>
      <w:r>
        <w:tab/>
      </w:r>
      <w:r>
        <w:rPr>
          <w:noProof/>
        </w:rPr>
        <w:t xml:space="preserve">Title of the proposal/initiative </w:t>
      </w:r>
    </w:p>
    <w:p>
      <w:pPr>
        <w:pStyle w:val="Text1"/>
        <w:pBdr>
          <w:top w:val="single" w:sz="4" w:space="1" w:color="auto"/>
          <w:left w:val="single" w:sz="4" w:space="4" w:color="auto"/>
          <w:bottom w:val="single" w:sz="4" w:space="1" w:color="auto"/>
          <w:right w:val="single" w:sz="4" w:space="4" w:color="auto"/>
        </w:pBdr>
        <w:rPr>
          <w:noProof/>
        </w:rPr>
      </w:pPr>
      <w:r>
        <w:rPr>
          <w:noProof/>
        </w:rPr>
        <w:t>European Year of Cultural Heritage</w:t>
      </w:r>
    </w:p>
    <w:p>
      <w:pPr>
        <w:pStyle w:val="ManualHeading2"/>
        <w:rPr>
          <w:noProof/>
          <w:szCs w:val="24"/>
        </w:rPr>
      </w:pPr>
      <w:r>
        <w:t>1.2.</w:t>
      </w:r>
      <w:r>
        <w:tab/>
      </w:r>
      <w:r>
        <w:rPr>
          <w:noProof/>
        </w:rPr>
        <w:t>Policy area(s) concerned in the ABM/ABB structure</w:t>
      </w:r>
      <w:r>
        <w:rPr>
          <w:rStyle w:val="FootnoteReference"/>
          <w:noProof/>
          <w:color w:val="000000" w:themeColor="text1"/>
        </w:rPr>
        <w:footnoteReference w:id="27"/>
      </w:r>
      <w:r>
        <w:rPr>
          <w:i/>
          <w:noProof/>
        </w:rPr>
        <w:t xml:space="preserve"> </w:t>
      </w:r>
    </w:p>
    <w:p>
      <w:pPr>
        <w:pStyle w:val="Text1"/>
        <w:pBdr>
          <w:top w:val="single" w:sz="4" w:space="1" w:color="auto"/>
          <w:left w:val="single" w:sz="4" w:space="4" w:color="auto"/>
          <w:bottom w:val="single" w:sz="4" w:space="1" w:color="auto"/>
          <w:right w:val="single" w:sz="4" w:space="4" w:color="auto"/>
        </w:pBdr>
        <w:rPr>
          <w:noProof/>
        </w:rPr>
      </w:pPr>
      <w:r>
        <w:rPr>
          <w:noProof/>
        </w:rPr>
        <w:t>POLICY AREA(S): EDUCATION AND CULTURE ACTIVITY (-IES): CREATIVE EUROPE</w:t>
      </w:r>
    </w:p>
    <w:p>
      <w:pPr>
        <w:pStyle w:val="ManualHeading2"/>
        <w:rPr>
          <w:bCs/>
          <w:noProof/>
          <w:szCs w:val="24"/>
        </w:rPr>
      </w:pPr>
      <w:r>
        <w:t>1.3.</w:t>
      </w:r>
      <w:r>
        <w:tab/>
      </w:r>
      <w:r>
        <w:rPr>
          <w:noProof/>
        </w:rPr>
        <w:t xml:space="preserve">Nature of the proposal/initiative </w:t>
      </w:r>
    </w:p>
    <w:p>
      <w:pPr>
        <w:pStyle w:val="Text1"/>
        <w:rPr>
          <w:b/>
          <w:noProof/>
          <w:color w:val="000000" w:themeColor="text1"/>
          <w:sz w:val="22"/>
        </w:rPr>
      </w:pPr>
      <w:r>
        <w:rPr>
          <w:b/>
          <w:noProof/>
          <w:color w:val="000000" w:themeColor="text1"/>
          <w:sz w:val="22"/>
        </w:rPr>
        <w:t>X</w:t>
      </w:r>
      <w:r>
        <w:rPr>
          <w:b/>
          <w:i/>
          <w:noProof/>
          <w:color w:val="000000" w:themeColor="text1"/>
          <w:sz w:val="22"/>
        </w:rPr>
        <w:t xml:space="preserve"> </w:t>
      </w:r>
      <w:r>
        <w:rPr>
          <w:noProof/>
          <w:color w:val="000000" w:themeColor="text1"/>
        </w:rPr>
        <w:t xml:space="preserve">The proposal/initiative relates to </w:t>
      </w:r>
      <w:r>
        <w:rPr>
          <w:b/>
          <w:noProof/>
          <w:color w:val="000000" w:themeColor="text1"/>
        </w:rPr>
        <w:t>a new action</w:t>
      </w:r>
      <w:r>
        <w:rPr>
          <w:b/>
          <w:noProof/>
          <w:color w:val="000000" w:themeColor="text1"/>
          <w:sz w:val="22"/>
        </w:rPr>
        <w:t xml:space="preserve"> </w:t>
      </w:r>
    </w:p>
    <w:p>
      <w:pPr>
        <w:pStyle w:val="Text1"/>
        <w:rPr>
          <w:noProof/>
          <w:color w:val="000000" w:themeColor="text1"/>
          <w:sz w:val="22"/>
        </w:rPr>
      </w:pPr>
      <w:r>
        <w:rPr>
          <w:noProof/>
          <w:color w:val="000000" w:themeColor="text1"/>
          <w:sz w:val="22"/>
        </w:rPr>
        <w:sym w:font="Wingdings" w:char="F0A8"/>
      </w:r>
      <w:r>
        <w:rPr>
          <w:i/>
          <w:noProof/>
          <w:color w:val="000000" w:themeColor="text1"/>
          <w:sz w:val="22"/>
        </w:rPr>
        <w:t xml:space="preserve"> </w:t>
      </w:r>
      <w:r>
        <w:rPr>
          <w:noProof/>
          <w:color w:val="000000" w:themeColor="text1"/>
        </w:rPr>
        <w:t xml:space="preserve">The proposal/initiative relates to </w:t>
      </w:r>
      <w:r>
        <w:rPr>
          <w:b/>
          <w:noProof/>
          <w:color w:val="000000" w:themeColor="text1"/>
        </w:rPr>
        <w:t>a new action following a pilot project/preparatory action</w:t>
      </w:r>
      <w:r>
        <w:rPr>
          <w:rStyle w:val="FootnoteReference"/>
          <w:b/>
          <w:noProof/>
          <w:color w:val="000000" w:themeColor="text1"/>
        </w:rPr>
        <w:footnoteReference w:id="28"/>
      </w:r>
      <w:r>
        <w:rPr>
          <w:noProof/>
          <w:color w:val="000000" w:themeColor="text1"/>
          <w:sz w:val="22"/>
        </w:rPr>
        <w:t xml:space="preserve"> </w:t>
      </w:r>
    </w:p>
    <w:p>
      <w:pPr>
        <w:pStyle w:val="Text1"/>
        <w:rPr>
          <w:noProof/>
          <w:color w:val="000000" w:themeColor="text1"/>
          <w:sz w:val="22"/>
        </w:rPr>
      </w:pPr>
      <w:r>
        <w:rPr>
          <w:noProof/>
          <w:color w:val="000000" w:themeColor="text1"/>
          <w:sz w:val="22"/>
        </w:rPr>
        <w:sym w:font="Wingdings" w:char="F0A8"/>
      </w:r>
      <w:r>
        <w:rPr>
          <w:i/>
          <w:noProof/>
          <w:color w:val="000000" w:themeColor="text1"/>
          <w:sz w:val="22"/>
        </w:rPr>
        <w:t xml:space="preserve"> </w:t>
      </w:r>
      <w:r>
        <w:rPr>
          <w:noProof/>
          <w:color w:val="000000" w:themeColor="text1"/>
        </w:rPr>
        <w:t xml:space="preserve">The proposal/initiative relates to </w:t>
      </w:r>
      <w:r>
        <w:rPr>
          <w:b/>
          <w:noProof/>
          <w:color w:val="000000" w:themeColor="text1"/>
        </w:rPr>
        <w:t>the extension of an existing action</w:t>
      </w:r>
      <w:r>
        <w:rPr>
          <w:noProof/>
          <w:color w:val="000000" w:themeColor="text1"/>
          <w:sz w:val="22"/>
        </w:rPr>
        <w:t xml:space="preserve"> </w:t>
      </w:r>
    </w:p>
    <w:p>
      <w:pPr>
        <w:pStyle w:val="Text1"/>
        <w:rPr>
          <w:noProof/>
          <w:color w:val="000000" w:themeColor="text1"/>
        </w:rPr>
      </w:pPr>
      <w:r>
        <w:rPr>
          <w:noProof/>
          <w:color w:val="000000" w:themeColor="text1"/>
          <w:sz w:val="22"/>
        </w:rPr>
        <w:sym w:font="Wingdings" w:char="F0A8"/>
      </w:r>
      <w:r>
        <w:rPr>
          <w:i/>
          <w:noProof/>
          <w:color w:val="000000" w:themeColor="text1"/>
          <w:sz w:val="22"/>
        </w:rPr>
        <w:t xml:space="preserve"> </w:t>
      </w:r>
      <w:r>
        <w:rPr>
          <w:noProof/>
          <w:color w:val="000000" w:themeColor="text1"/>
        </w:rPr>
        <w:t xml:space="preserve">The proposal/initiative relates to </w:t>
      </w:r>
      <w:r>
        <w:rPr>
          <w:b/>
          <w:noProof/>
          <w:color w:val="000000" w:themeColor="text1"/>
        </w:rPr>
        <w:t>an action redirected towards a new action</w:t>
      </w:r>
      <w:r>
        <w:rPr>
          <w:noProof/>
          <w:color w:val="000000" w:themeColor="text1"/>
        </w:rPr>
        <w:t xml:space="preserve"> </w:t>
      </w:r>
    </w:p>
    <w:p>
      <w:pPr>
        <w:pStyle w:val="ManualHeading2"/>
        <w:rPr>
          <w:bCs/>
          <w:noProof/>
          <w:szCs w:val="24"/>
        </w:rPr>
      </w:pPr>
      <w:r>
        <w:t>1.4.</w:t>
      </w:r>
      <w:r>
        <w:tab/>
      </w:r>
      <w:r>
        <w:rPr>
          <w:noProof/>
        </w:rPr>
        <w:t>Objective(s)</w:t>
      </w:r>
    </w:p>
    <w:p>
      <w:pPr>
        <w:pStyle w:val="ManualHeading3"/>
        <w:rPr>
          <w:noProof/>
        </w:rPr>
      </w:pPr>
      <w:r>
        <w:t>1.4.1.</w:t>
      </w:r>
      <w:r>
        <w:tab/>
      </w:r>
      <w:r>
        <w:rPr>
          <w:noProof/>
        </w:rPr>
        <w:t xml:space="preserve">The Commission's multiannual strategic objective(s) targeted by the proposal/initiative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No multiannual strategic objective considering the specificity of the initiative which is a European Year </w:t>
      </w:r>
    </w:p>
    <w:p>
      <w:pPr>
        <w:pStyle w:val="ManualHeading3"/>
        <w:rPr>
          <w:bCs/>
          <w:noProof/>
          <w:szCs w:val="24"/>
        </w:rPr>
      </w:pPr>
      <w:r>
        <w:t>1.4.2.</w:t>
      </w:r>
      <w:r>
        <w:tab/>
      </w:r>
      <w:r>
        <w:rPr>
          <w:noProof/>
        </w:rPr>
        <w:t xml:space="preserve">Specific objective(s) and ABM/ABB activity(ies) concerned </w:t>
      </w:r>
    </w:p>
    <w:p>
      <w:pPr>
        <w:pStyle w:val="Text1"/>
        <w:pBdr>
          <w:top w:val="single" w:sz="4" w:space="1" w:color="auto"/>
          <w:left w:val="single" w:sz="4" w:space="4" w:color="auto"/>
          <w:bottom w:val="single" w:sz="4" w:space="1" w:color="auto"/>
          <w:right w:val="single" w:sz="4" w:space="4" w:color="auto"/>
        </w:pBdr>
        <w:rPr>
          <w:noProof/>
          <w:color w:val="000000" w:themeColor="text1"/>
          <w:u w:val="single"/>
        </w:rPr>
      </w:pPr>
      <w:r>
        <w:rPr>
          <w:noProof/>
          <w:color w:val="000000" w:themeColor="text1"/>
          <w:u w:val="single"/>
        </w:rPr>
        <w:t>Specific objective No</w:t>
      </w:r>
    </w:p>
    <w:p>
      <w:pPr>
        <w:pStyle w:val="Text1"/>
        <w:pBdr>
          <w:top w:val="single" w:sz="4" w:space="1" w:color="auto"/>
          <w:left w:val="single" w:sz="4" w:space="4" w:color="auto"/>
          <w:bottom w:val="single" w:sz="4" w:space="1" w:color="auto"/>
          <w:right w:val="single" w:sz="4" w:space="4" w:color="auto"/>
        </w:pBdr>
        <w:rPr>
          <w:noProof/>
        </w:rPr>
      </w:pPr>
      <w:r>
        <w:rPr>
          <w:noProof/>
        </w:rPr>
        <w:t>(a) It shall contribute to promoting the role of European cultural heritage as a pivotal component of cultural diversity and intercultural dialogue. It should highlight the best means to ensure its conservation and safeguarding and its enjoyment by a wider and more diversified public. This includes through audience development measures and heritage education, in full respect of the competences of the Member States, thereby promoting social inclusion and integration.</w:t>
      </w:r>
    </w:p>
    <w:p>
      <w:pPr>
        <w:pStyle w:val="Text1"/>
        <w:pBdr>
          <w:top w:val="single" w:sz="4" w:space="1" w:color="auto"/>
          <w:left w:val="single" w:sz="4" w:space="4" w:color="auto"/>
          <w:bottom w:val="single" w:sz="4" w:space="1" w:color="auto"/>
          <w:right w:val="single" w:sz="4" w:space="4" w:color="auto"/>
        </w:pBdr>
        <w:rPr>
          <w:noProof/>
        </w:rPr>
      </w:pPr>
      <w:r>
        <w:rPr>
          <w:noProof/>
        </w:rPr>
        <w:t>(b)</w:t>
      </w:r>
      <w:r>
        <w:rPr>
          <w:noProof/>
        </w:rPr>
        <w:tab/>
        <w:t>It shall enhance the contribution of European cultural heritage to the economy and the society, through its direct and indirect economic potential. This includes the capacity to underpin the cultural and creative industries and inspire creation and innovation, promote sustainable tourism, enhance social cohesion and generate long-term employment.</w:t>
      </w:r>
    </w:p>
    <w:p>
      <w:pPr>
        <w:pStyle w:val="Text1"/>
        <w:pBdr>
          <w:top w:val="single" w:sz="4" w:space="1" w:color="auto"/>
          <w:left w:val="single" w:sz="4" w:space="4" w:color="auto"/>
          <w:bottom w:val="single" w:sz="4" w:space="1" w:color="auto"/>
          <w:right w:val="single" w:sz="4" w:space="4" w:color="auto"/>
        </w:pBdr>
        <w:rPr>
          <w:noProof/>
        </w:rPr>
      </w:pPr>
      <w:r>
        <w:rPr>
          <w:noProof/>
        </w:rPr>
        <w:t>(c)</w:t>
      </w:r>
      <w:r>
        <w:rPr>
          <w:noProof/>
        </w:rPr>
        <w:tab/>
        <w:t>It shall contribute to promoting cultural heritage as an important element of the Union’s international dimension, building on the interest in partner countries for Europe’s heritage and expertise.</w:t>
      </w:r>
    </w:p>
    <w:p>
      <w:pPr>
        <w:pStyle w:val="Text1"/>
        <w:pBdr>
          <w:top w:val="single" w:sz="4" w:space="1" w:color="auto"/>
          <w:left w:val="single" w:sz="4" w:space="4" w:color="auto"/>
          <w:bottom w:val="single" w:sz="4" w:space="1" w:color="auto"/>
          <w:right w:val="single" w:sz="4" w:space="4" w:color="auto"/>
        </w:pBdr>
        <w:rPr>
          <w:noProof/>
          <w:color w:val="000000" w:themeColor="text1"/>
          <w:u w:val="single"/>
        </w:rPr>
      </w:pPr>
      <w:r>
        <w:rPr>
          <w:noProof/>
          <w:color w:val="000000" w:themeColor="text1"/>
          <w:u w:val="single"/>
        </w:rPr>
        <w:t>ABM/ABB activity(ies) concerned</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15.04 – Creative Europe</w:t>
      </w:r>
    </w:p>
    <w:p>
      <w:pPr>
        <w:pStyle w:val="ManualHeading3"/>
        <w:rPr>
          <w:bCs/>
          <w:noProof/>
          <w:szCs w:val="24"/>
        </w:rPr>
      </w:pPr>
      <w:r>
        <w:rPr>
          <w:noProof/>
        </w:rPr>
        <w:br w:type="page"/>
      </w:r>
      <w:r>
        <w:t>1.4.3.</w:t>
      </w:r>
      <w:r>
        <w:tab/>
      </w:r>
      <w:r>
        <w:rPr>
          <w:noProof/>
        </w:rPr>
        <w:t>Expected result(s) and impact</w:t>
      </w:r>
    </w:p>
    <w:p>
      <w:pPr>
        <w:pStyle w:val="Text1"/>
        <w:rPr>
          <w:i/>
          <w:noProof/>
          <w:color w:val="000000" w:themeColor="text1"/>
          <w:sz w:val="20"/>
        </w:rPr>
      </w:pPr>
      <w:r>
        <w:rPr>
          <w:i/>
          <w:noProof/>
          <w:color w:val="000000" w:themeColor="text1"/>
          <w:sz w:val="20"/>
        </w:rPr>
        <w:t>Specify the effects which the proposal/initiative should have on the beneficiaries/groups targeted.</w:t>
      </w:r>
    </w:p>
    <w:p>
      <w:pPr>
        <w:pStyle w:val="Text1"/>
        <w:pBdr>
          <w:top w:val="single" w:sz="4" w:space="1" w:color="auto"/>
          <w:left w:val="single" w:sz="4" w:space="4" w:color="auto"/>
          <w:bottom w:val="single" w:sz="4" w:space="1" w:color="auto"/>
          <w:right w:val="single" w:sz="4" w:space="4" w:color="auto"/>
        </w:pBdr>
        <w:rPr>
          <w:noProof/>
        </w:rPr>
      </w:pPr>
      <w:r>
        <w:rPr>
          <w:noProof/>
        </w:rPr>
        <w:t>- Information and promotion campaigns, events and initiatives at European, national, regional and local levels to convey key messages and disseminate information about examples of good practice, including of the role of the EU in promoting shared solutions.</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 Raising awareness of the importance of cultural heritage for EU citizens and  strengthening its contribution to growth and jobs and social cohesion at national and European level -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Highlight the challenges and enhance the opportunities concerning safeguarding, conservation and management of cultural heritage, including those linked to digitisation</w:t>
      </w:r>
    </w:p>
    <w:p>
      <w:pPr>
        <w:pStyle w:val="ManualHeading3"/>
        <w:rPr>
          <w:bCs/>
          <w:noProof/>
          <w:szCs w:val="24"/>
        </w:rPr>
      </w:pPr>
      <w:r>
        <w:t>1.4.4.</w:t>
      </w:r>
      <w:r>
        <w:tab/>
      </w:r>
      <w:r>
        <w:rPr>
          <w:noProof/>
        </w:rPr>
        <w:t xml:space="preserve">Indicators of results and impact </w:t>
      </w:r>
    </w:p>
    <w:p>
      <w:pPr>
        <w:pStyle w:val="Text1"/>
        <w:rPr>
          <w:i/>
          <w:noProof/>
          <w:color w:val="000000" w:themeColor="text1"/>
          <w:sz w:val="20"/>
        </w:rPr>
      </w:pPr>
      <w:r>
        <w:rPr>
          <w:i/>
          <w:noProof/>
          <w:color w:val="000000" w:themeColor="text1"/>
          <w:sz w:val="20"/>
        </w:rPr>
        <w:t>Specify the indicators for monitoring implementation of the proposal/initiative.</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Number of outputs in the framework of the information campaign </w:t>
      </w:r>
    </w:p>
    <w:p>
      <w:pPr>
        <w:pStyle w:val="ManualHeading2"/>
        <w:rPr>
          <w:bCs/>
          <w:noProof/>
          <w:szCs w:val="24"/>
        </w:rPr>
      </w:pPr>
      <w:r>
        <w:t>1.5.</w:t>
      </w:r>
      <w:r>
        <w:tab/>
      </w:r>
      <w:r>
        <w:rPr>
          <w:noProof/>
        </w:rPr>
        <w:t xml:space="preserve">Grounds for the proposal/initiative </w:t>
      </w:r>
    </w:p>
    <w:p>
      <w:pPr>
        <w:pStyle w:val="ManualHeading3"/>
        <w:rPr>
          <w:noProof/>
        </w:rPr>
      </w:pPr>
      <w:r>
        <w:t>1.5.1.</w:t>
      </w:r>
      <w:r>
        <w:tab/>
      </w:r>
      <w:r>
        <w:rPr>
          <w:noProof/>
        </w:rPr>
        <w:t xml:space="preserve">Requirement(s) to be met in the short or long term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Short-term: Better information on the importance of cultural heritage as an asset for the EU as well as of the role of the EU in safeguarding it</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Long-term: Greater awareness among the citizens of the importance of cultural heritage and greater recognition of the positive role of the EU  </w:t>
      </w:r>
    </w:p>
    <w:p>
      <w:pPr>
        <w:pStyle w:val="ManualHeading3"/>
        <w:rPr>
          <w:bCs/>
          <w:noProof/>
          <w:szCs w:val="24"/>
        </w:rPr>
      </w:pPr>
      <w:r>
        <w:t>1.5.2.</w:t>
      </w:r>
      <w:r>
        <w:tab/>
      </w:r>
      <w:r>
        <w:rPr>
          <w:noProof/>
        </w:rPr>
        <w:t>Added value of EU involvement</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Strengthening the awareness of the importance of the European cultural heritage in terms of economic growth  and social cohesion</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Raise awareness of the challenges and opportunities and highlight the role of the EU in promoting shared solutions</w:t>
      </w:r>
    </w:p>
    <w:p>
      <w:pPr>
        <w:pStyle w:val="ManualHeading3"/>
        <w:rPr>
          <w:bCs/>
          <w:noProof/>
          <w:szCs w:val="24"/>
        </w:rPr>
      </w:pPr>
      <w:r>
        <w:t>1.5.3.</w:t>
      </w:r>
      <w:r>
        <w:tab/>
      </w:r>
      <w:r>
        <w:rPr>
          <w:noProof/>
        </w:rPr>
        <w:t>Lessons learned from similar experiences in the past</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The European Years organised over the last 10 years have proven their value as effective awareness raising instruments which had an impact on both the general public and multipliers and have created synergies between different areas of intervention at EU and Member States level.</w:t>
      </w:r>
    </w:p>
    <w:p>
      <w:pPr>
        <w:pStyle w:val="ManualHeading3"/>
        <w:rPr>
          <w:bCs/>
          <w:noProof/>
          <w:szCs w:val="24"/>
        </w:rPr>
      </w:pPr>
      <w:r>
        <w:t>1.5.4.</w:t>
      </w:r>
      <w:r>
        <w:tab/>
      </w:r>
      <w:r>
        <w:rPr>
          <w:noProof/>
        </w:rPr>
        <w:t>Compatibility and possible synergy with other appropriate instruments</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The European Year of cultural heritage will act as a reference point for several Union programmes such as the Creative Europe programme,</w:t>
      </w:r>
      <w:r>
        <w:rPr>
          <w:noProof/>
          <w:color w:val="000000" w:themeColor="text1"/>
        </w:rPr>
        <w:t xml:space="preserve"> </w:t>
      </w:r>
      <w:r>
        <w:rPr>
          <w:noProof/>
        </w:rPr>
        <w:t>the European Structural &amp; Investment Funds, Horizon 2020 (including the digital elements of heritage preservation and valorisation), Erasmus+ and Europe for Citizens. Creative Europe also funds three EU actions specifically dedicated to cultural heritage:  European Heritage Days; the EU Prize for Cultural Heritage; and the European Heritage Label.</w:t>
      </w:r>
      <w:r>
        <w:rPr>
          <w:noProof/>
          <w:color w:val="000000" w:themeColor="text1"/>
        </w:rPr>
        <w:t xml:space="preserve"> </w:t>
      </w:r>
    </w:p>
    <w:p>
      <w:pPr>
        <w:pStyle w:val="ManualHeading2"/>
        <w:rPr>
          <w:bCs/>
          <w:noProof/>
          <w:szCs w:val="24"/>
        </w:rPr>
      </w:pPr>
      <w:r>
        <w:rPr>
          <w:noProof/>
        </w:rPr>
        <w:br w:type="page"/>
      </w:r>
      <w:r>
        <w:t>1.6.</w:t>
      </w:r>
      <w:r>
        <w:tab/>
      </w:r>
      <w:r>
        <w:rPr>
          <w:noProof/>
        </w:rPr>
        <w:t xml:space="preserve">Duration and financial impact </w:t>
      </w:r>
    </w:p>
    <w:p>
      <w:pPr>
        <w:pStyle w:val="Text1"/>
        <w:rPr>
          <w:noProof/>
          <w:color w:val="000000" w:themeColor="text1"/>
        </w:rPr>
      </w:pPr>
      <w:r>
        <w:rPr>
          <w:noProof/>
          <w:color w:val="000000" w:themeColor="text1"/>
        </w:rPr>
        <w:t xml:space="preserve">X Proposal/initiative of </w:t>
      </w:r>
      <w:r>
        <w:rPr>
          <w:b/>
          <w:noProof/>
          <w:color w:val="000000" w:themeColor="text1"/>
        </w:rPr>
        <w:t xml:space="preserve">limited duration </w:t>
      </w:r>
    </w:p>
    <w:p>
      <w:pPr>
        <w:pStyle w:val="ListDash2"/>
        <w:rPr>
          <w:noProof/>
          <w:color w:val="000000" w:themeColor="text1"/>
        </w:rPr>
      </w:pPr>
      <w:r>
        <w:rPr>
          <w:noProof/>
          <w:color w:val="000000" w:themeColor="text1"/>
        </w:rPr>
        <w:t>X</w:t>
      </w:r>
      <w:r>
        <w:rPr>
          <w:noProof/>
          <w:color w:val="000000" w:themeColor="text1"/>
        </w:rPr>
        <w:tab/>
        <w:t>Proposal/initiative in effect from 01/01/2018 to 31/12/2018</w:t>
      </w:r>
    </w:p>
    <w:p>
      <w:pPr>
        <w:pStyle w:val="ListDash2"/>
        <w:rPr>
          <w:noProof/>
          <w:color w:val="000000" w:themeColor="text1"/>
        </w:rPr>
      </w:pPr>
      <w:r>
        <w:rPr>
          <w:noProof/>
          <w:color w:val="000000" w:themeColor="text1"/>
        </w:rPr>
        <w:t>X</w:t>
      </w:r>
      <w:r>
        <w:rPr>
          <w:noProof/>
          <w:color w:val="000000" w:themeColor="text1"/>
        </w:rPr>
        <w:tab/>
        <w:t>Financial impact from 2017  to 2018</w:t>
      </w:r>
    </w:p>
    <w:p>
      <w:pPr>
        <w:pStyle w:val="Text1"/>
        <w:rPr>
          <w:noProof/>
          <w:color w:val="000000" w:themeColor="text1"/>
        </w:rPr>
      </w:pPr>
      <w:r>
        <w:rPr>
          <w:noProof/>
          <w:color w:val="000000" w:themeColor="text1"/>
        </w:rPr>
        <w:sym w:font="Wingdings" w:char="F0A8"/>
      </w:r>
      <w:r>
        <w:rPr>
          <w:b/>
          <w:i/>
          <w:noProof/>
          <w:color w:val="000000" w:themeColor="text1"/>
        </w:rPr>
        <w:t xml:space="preserve"> </w:t>
      </w:r>
      <w:r>
        <w:rPr>
          <w:noProof/>
          <w:color w:val="000000" w:themeColor="text1"/>
        </w:rPr>
        <w:t xml:space="preserve">Proposal/initiative of </w:t>
      </w:r>
      <w:r>
        <w:rPr>
          <w:b/>
          <w:noProof/>
          <w:color w:val="000000" w:themeColor="text1"/>
        </w:rPr>
        <w:t>unlimited duration</w:t>
      </w:r>
    </w:p>
    <w:p>
      <w:pPr>
        <w:pStyle w:val="ListDash1"/>
        <w:rPr>
          <w:noProof/>
          <w:color w:val="000000" w:themeColor="text1"/>
        </w:rPr>
      </w:pPr>
      <w:r>
        <w:rPr>
          <w:noProof/>
          <w:color w:val="000000" w:themeColor="text1"/>
        </w:rPr>
        <w:t>Implementation with a start-up period from YYYY to YYYY,</w:t>
      </w:r>
    </w:p>
    <w:p>
      <w:pPr>
        <w:pStyle w:val="ListDash1"/>
        <w:rPr>
          <w:noProof/>
          <w:color w:val="000000" w:themeColor="text1"/>
        </w:rPr>
      </w:pPr>
      <w:r>
        <w:rPr>
          <w:noProof/>
          <w:color w:val="000000" w:themeColor="text1"/>
        </w:rPr>
        <w:t>followed by full-scale operation.</w:t>
      </w:r>
    </w:p>
    <w:p>
      <w:pPr>
        <w:pStyle w:val="ManualHeading2"/>
        <w:rPr>
          <w:bCs/>
          <w:noProof/>
          <w:szCs w:val="24"/>
        </w:rPr>
      </w:pPr>
      <w:r>
        <w:t>1.7.</w:t>
      </w:r>
      <w:r>
        <w:tab/>
      </w:r>
      <w:r>
        <w:rPr>
          <w:noProof/>
        </w:rPr>
        <w:t>Management mode(s) planned</w:t>
      </w:r>
      <w:r>
        <w:rPr>
          <w:rStyle w:val="FootnoteReference"/>
          <w:noProof/>
          <w:color w:val="000000" w:themeColor="text1"/>
        </w:rPr>
        <w:footnoteReference w:id="29"/>
      </w:r>
      <w:r>
        <w:rPr>
          <w:rStyle w:val="FootnoteReference"/>
          <w:noProof/>
          <w:color w:val="000000" w:themeColor="text1"/>
        </w:rPr>
        <w:t xml:space="preserve"> </w:t>
      </w:r>
    </w:p>
    <w:p>
      <w:pPr>
        <w:pStyle w:val="Text1"/>
        <w:rPr>
          <w:noProof/>
          <w:color w:val="000000" w:themeColor="text1"/>
        </w:rPr>
      </w:pPr>
      <w:r>
        <w:rPr>
          <w:b/>
          <w:noProof/>
          <w:color w:val="000000" w:themeColor="text1"/>
        </w:rPr>
        <w:t>X Direct management</w:t>
      </w:r>
      <w:r>
        <w:rPr>
          <w:noProof/>
          <w:color w:val="000000" w:themeColor="text1"/>
        </w:rPr>
        <w:t xml:space="preserve"> by the Commission</w:t>
      </w:r>
    </w:p>
    <w:p>
      <w:pPr>
        <w:pStyle w:val="ListDash2"/>
        <w:rPr>
          <w:rFonts w:cs="EUAlbertina"/>
          <w:noProof/>
          <w:color w:val="000000" w:themeColor="text1"/>
        </w:rPr>
      </w:pPr>
      <w:r>
        <w:rPr>
          <w:noProof/>
          <w:color w:val="000000" w:themeColor="text1"/>
        </w:rPr>
        <w:sym w:font="Wingdings" w:char="F0A8"/>
      </w:r>
      <w:r>
        <w:rPr>
          <w:noProof/>
          <w:color w:val="000000" w:themeColor="text1"/>
        </w:rPr>
        <w:t xml:space="preserve"> by its departments, including by its staff in the Union delegations; </w:t>
      </w:r>
    </w:p>
    <w:p>
      <w:pPr>
        <w:pStyle w:val="ListDash2"/>
        <w:rPr>
          <w:noProof/>
          <w:color w:val="000000" w:themeColor="text1"/>
        </w:rPr>
      </w:pPr>
      <w:r>
        <w:rPr>
          <w:noProof/>
          <w:color w:val="000000" w:themeColor="text1"/>
        </w:rPr>
        <w:sym w:font="Wingdings" w:char="F0A8"/>
      </w:r>
      <w:r>
        <w:rPr>
          <w:noProof/>
          <w:color w:val="000000" w:themeColor="text1"/>
        </w:rPr>
        <w:tab/>
        <w:t xml:space="preserve">by the executive agencies </w:t>
      </w:r>
    </w:p>
    <w:p>
      <w:pPr>
        <w:pStyle w:val="Text1"/>
        <w:rPr>
          <w:noProof/>
          <w:color w:val="000000" w:themeColor="text1"/>
        </w:rPr>
      </w:pPr>
      <w:r>
        <w:rPr>
          <w:noProof/>
          <w:color w:val="000000" w:themeColor="text1"/>
        </w:rPr>
        <w:sym w:font="Wingdings" w:char="F0A8"/>
      </w:r>
      <w:r>
        <w:rPr>
          <w:b/>
          <w:i/>
          <w:noProof/>
          <w:color w:val="000000" w:themeColor="text1"/>
        </w:rPr>
        <w:t xml:space="preserve"> </w:t>
      </w:r>
      <w:r>
        <w:rPr>
          <w:b/>
          <w:noProof/>
          <w:color w:val="000000" w:themeColor="text1"/>
        </w:rPr>
        <w:t>Shared management</w:t>
      </w:r>
      <w:r>
        <w:rPr>
          <w:noProof/>
          <w:color w:val="000000" w:themeColor="text1"/>
        </w:rPr>
        <w:t xml:space="preserve"> with the Member States </w:t>
      </w:r>
    </w:p>
    <w:p>
      <w:pPr>
        <w:pStyle w:val="Text1"/>
        <w:rPr>
          <w:noProof/>
          <w:color w:val="000000" w:themeColor="text1"/>
        </w:rPr>
      </w:pPr>
      <w:r>
        <w:rPr>
          <w:noProof/>
          <w:color w:val="000000" w:themeColor="text1"/>
        </w:rPr>
        <w:sym w:font="Wingdings" w:char="F0A8"/>
      </w:r>
      <w:r>
        <w:rPr>
          <w:i/>
          <w:noProof/>
          <w:color w:val="000000" w:themeColor="text1"/>
        </w:rPr>
        <w:t xml:space="preserve"> </w:t>
      </w:r>
      <w:r>
        <w:rPr>
          <w:b/>
          <w:noProof/>
          <w:color w:val="000000" w:themeColor="text1"/>
        </w:rPr>
        <w:t>Indirect management</w:t>
      </w:r>
      <w:r>
        <w:rPr>
          <w:noProof/>
          <w:color w:val="000000" w:themeColor="text1"/>
        </w:rPr>
        <w:t xml:space="preserve"> by entrusting budget implementation tasks to:</w:t>
      </w:r>
    </w:p>
    <w:p>
      <w:pPr>
        <w:pStyle w:val="ListDash2"/>
        <w:rPr>
          <w:noProof/>
          <w:color w:val="000000" w:themeColor="text1"/>
        </w:rPr>
      </w:pPr>
      <w:r>
        <w:rPr>
          <w:noProof/>
          <w:color w:val="000000" w:themeColor="text1"/>
        </w:rPr>
        <w:sym w:font="Wingdings" w:char="F0A8"/>
      </w:r>
      <w:r>
        <w:rPr>
          <w:noProof/>
          <w:color w:val="000000" w:themeColor="text1"/>
        </w:rPr>
        <w:t xml:space="preserve"> third countries or the bodies they have designated;</w:t>
      </w:r>
    </w:p>
    <w:p>
      <w:pPr>
        <w:pStyle w:val="ListDash2"/>
        <w:rPr>
          <w:noProof/>
          <w:color w:val="000000" w:themeColor="text1"/>
        </w:rPr>
      </w:pPr>
      <w:r>
        <w:rPr>
          <w:noProof/>
          <w:color w:val="000000" w:themeColor="text1"/>
        </w:rPr>
        <w:sym w:font="Wingdings" w:char="F0A8"/>
      </w:r>
      <w:r>
        <w:rPr>
          <w:noProof/>
          <w:color w:val="000000" w:themeColor="text1"/>
        </w:rPr>
        <w:t xml:space="preserve"> international organisations and their agencies (to be specified);</w:t>
      </w:r>
    </w:p>
    <w:p>
      <w:pPr>
        <w:pStyle w:val="ListDash2"/>
        <w:rPr>
          <w:noProof/>
          <w:color w:val="000000" w:themeColor="text1"/>
        </w:rPr>
      </w:pPr>
      <w:r>
        <w:rPr>
          <w:noProof/>
          <w:color w:val="000000" w:themeColor="text1"/>
        </w:rPr>
        <w:sym w:font="Wingdings" w:char="F0A8"/>
      </w:r>
      <w:r>
        <w:rPr>
          <w:noProof/>
          <w:color w:val="000000" w:themeColor="text1"/>
        </w:rPr>
        <w:t>the EIB and the European Investment Fund;</w:t>
      </w:r>
    </w:p>
    <w:p>
      <w:pPr>
        <w:pStyle w:val="ListDash2"/>
        <w:rPr>
          <w:noProof/>
          <w:color w:val="000000" w:themeColor="text1"/>
        </w:rPr>
      </w:pPr>
      <w:r>
        <w:rPr>
          <w:noProof/>
          <w:color w:val="000000" w:themeColor="text1"/>
        </w:rPr>
        <w:sym w:font="Wingdings" w:char="F0A8"/>
      </w:r>
      <w:r>
        <w:rPr>
          <w:noProof/>
          <w:color w:val="000000" w:themeColor="text1"/>
        </w:rPr>
        <w:t xml:space="preserve"> bodies referred to in Articles 208 and 209 of the Financial Regulation;</w:t>
      </w:r>
    </w:p>
    <w:p>
      <w:pPr>
        <w:pStyle w:val="ListDash2"/>
        <w:rPr>
          <w:noProof/>
          <w:color w:val="000000" w:themeColor="text1"/>
        </w:rPr>
      </w:pPr>
      <w:r>
        <w:rPr>
          <w:noProof/>
          <w:color w:val="000000" w:themeColor="text1"/>
        </w:rPr>
        <w:sym w:font="Wingdings" w:char="F0A8"/>
      </w:r>
      <w:r>
        <w:rPr>
          <w:noProof/>
          <w:color w:val="000000" w:themeColor="text1"/>
        </w:rPr>
        <w:t xml:space="preserve"> public law bodies;</w:t>
      </w:r>
    </w:p>
    <w:p>
      <w:pPr>
        <w:pStyle w:val="ListDash2"/>
        <w:rPr>
          <w:noProof/>
          <w:color w:val="000000" w:themeColor="text1"/>
        </w:rPr>
      </w:pPr>
      <w:r>
        <w:rPr>
          <w:noProof/>
          <w:color w:val="000000" w:themeColor="text1"/>
        </w:rPr>
        <w:sym w:font="Wingdings" w:char="F0A8"/>
      </w:r>
      <w:r>
        <w:rPr>
          <w:noProof/>
          <w:color w:val="000000" w:themeColor="text1"/>
        </w:rPr>
        <w:t xml:space="preserve"> bodies governed by private law with a public service mission to the extent that they provide adequate financial guarantees;</w:t>
      </w:r>
    </w:p>
    <w:p>
      <w:pPr>
        <w:pStyle w:val="ListDash2"/>
        <w:rPr>
          <w:noProof/>
          <w:color w:val="000000" w:themeColor="text1"/>
        </w:rPr>
      </w:pPr>
      <w:r>
        <w:rPr>
          <w:noProof/>
          <w:color w:val="000000" w:themeColor="text1"/>
        </w:rPr>
        <w:sym w:font="Wingdings" w:char="F0A8"/>
      </w:r>
      <w:r>
        <w:rPr>
          <w:noProof/>
          <w:color w:val="000000" w:themeColor="text1"/>
        </w:rPr>
        <w:t xml:space="preserve"> bodies governed by the private law of a </w:t>
      </w:r>
      <w:smartTag w:uri="urn:schemas-microsoft-com:office:smarttags" w:element="place">
        <w:smartTag w:uri="urn:schemas-microsoft-com:office:smarttags" w:element="PlaceName">
          <w:r>
            <w:rPr>
              <w:noProof/>
              <w:color w:val="000000" w:themeColor="text1"/>
            </w:rPr>
            <w:t>Member</w:t>
          </w:r>
        </w:smartTag>
        <w:r>
          <w:rPr>
            <w:noProof/>
            <w:color w:val="000000" w:themeColor="text1"/>
          </w:rPr>
          <w:t xml:space="preserve"> </w:t>
        </w:r>
        <w:smartTag w:uri="urn:schemas-microsoft-com:office:smarttags" w:element="PlaceType">
          <w:r>
            <w:rPr>
              <w:noProof/>
              <w:color w:val="000000" w:themeColor="text1"/>
            </w:rPr>
            <w:t>State</w:t>
          </w:r>
        </w:smartTag>
      </w:smartTag>
      <w:r>
        <w:rPr>
          <w:noProof/>
          <w:color w:val="000000" w:themeColor="text1"/>
        </w:rPr>
        <w:t xml:space="preserve"> that are entrusted with the implementation of a public-private partnership and that provide adequate financial guarantees;</w:t>
      </w:r>
    </w:p>
    <w:p>
      <w:pPr>
        <w:pStyle w:val="ListDash2"/>
        <w:rPr>
          <w:noProof/>
          <w:color w:val="000000" w:themeColor="text1"/>
        </w:rPr>
      </w:pPr>
      <w:r>
        <w:rPr>
          <w:noProof/>
          <w:color w:val="000000" w:themeColor="text1"/>
        </w:rPr>
        <w:sym w:font="Wingdings" w:char="F0A8"/>
      </w:r>
      <w:r>
        <w:rPr>
          <w:noProof/>
          <w:color w:val="000000" w:themeColor="text1"/>
        </w:rPr>
        <w:t xml:space="preserve"> persons entrusted with the implementation of specific actions in the CFSP pursuant to Title V of the TEU, and identified in the relevant basic act.</w:t>
      </w:r>
    </w:p>
    <w:p>
      <w:pPr>
        <w:pStyle w:val="ListDash2"/>
        <w:rPr>
          <w:i/>
          <w:noProof/>
          <w:color w:val="000000" w:themeColor="text1"/>
          <w:sz w:val="18"/>
          <w:u w:val="single"/>
        </w:rPr>
      </w:pPr>
      <w:r>
        <w:rPr>
          <w:i/>
          <w:noProof/>
          <w:color w:val="000000" w:themeColor="text1"/>
          <w:sz w:val="18"/>
        </w:rPr>
        <w:t>If more than one management mode is indicated, please provide details in the ‘Comments’ section.</w:t>
      </w:r>
    </w:p>
    <w:p>
      <w:pPr>
        <w:rPr>
          <w:noProof/>
          <w:color w:val="000000" w:themeColor="text1"/>
        </w:rPr>
      </w:pPr>
      <w:r>
        <w:rPr>
          <w:noProof/>
          <w:color w:val="000000" w:themeColor="text1"/>
        </w:rPr>
        <w:t xml:space="preserve">Comments </w:t>
      </w:r>
    </w:p>
    <w:p>
      <w:pPr>
        <w:pBdr>
          <w:top w:val="single" w:sz="4" w:space="1" w:color="auto"/>
          <w:left w:val="single" w:sz="4" w:space="4" w:color="auto"/>
          <w:bottom w:val="single" w:sz="4" w:space="1" w:color="auto"/>
          <w:right w:val="single" w:sz="4" w:space="4" w:color="auto"/>
        </w:pBdr>
        <w:rPr>
          <w:noProof/>
          <w:color w:val="000000" w:themeColor="text1"/>
        </w:rPr>
      </w:pPr>
      <w:r>
        <w:rPr>
          <w:noProof/>
        </w:rPr>
        <w:t>[…]</w:t>
      </w:r>
    </w:p>
    <w:p>
      <w:pPr>
        <w:pBdr>
          <w:top w:val="single" w:sz="4" w:space="1" w:color="auto"/>
          <w:left w:val="single" w:sz="4" w:space="4" w:color="auto"/>
          <w:bottom w:val="single" w:sz="4" w:space="1" w:color="auto"/>
          <w:right w:val="single" w:sz="4" w:space="4" w:color="auto"/>
        </w:pBdr>
        <w:rPr>
          <w:noProof/>
          <w:color w:val="000000" w:themeColor="text1"/>
        </w:rPr>
      </w:pPr>
      <w:r>
        <w:rPr>
          <w:noProof/>
        </w:rPr>
        <w:t>[…]</w:t>
      </w:r>
    </w:p>
    <w:p>
      <w:pPr>
        <w:rPr>
          <w:noProof/>
          <w:color w:val="000000" w:themeColor="text1"/>
        </w:rPr>
        <w:sectPr>
          <w:pgSz w:w="11907" w:h="16840" w:code="9"/>
          <w:pgMar w:top="1134" w:right="1418" w:bottom="1134" w:left="1418" w:header="709" w:footer="709" w:gutter="0"/>
          <w:cols w:space="708"/>
          <w:docGrid w:linePitch="360"/>
        </w:sectPr>
      </w:pPr>
    </w:p>
    <w:p>
      <w:pPr>
        <w:pStyle w:val="ManualHeading1"/>
        <w:rPr>
          <w:bCs/>
          <w:noProof/>
          <w:szCs w:val="24"/>
        </w:rPr>
      </w:pPr>
      <w:r>
        <w:t>2.</w:t>
      </w:r>
      <w:r>
        <w:tab/>
      </w:r>
      <w:r>
        <w:rPr>
          <w:noProof/>
        </w:rPr>
        <w:t xml:space="preserve">MANAGEMENT MEASURES </w:t>
      </w:r>
    </w:p>
    <w:p>
      <w:pPr>
        <w:pStyle w:val="ManualHeading2"/>
        <w:rPr>
          <w:noProof/>
        </w:rPr>
      </w:pPr>
      <w:r>
        <w:t>2.1.</w:t>
      </w:r>
      <w:r>
        <w:tab/>
      </w:r>
      <w:r>
        <w:rPr>
          <w:noProof/>
        </w:rPr>
        <w:t xml:space="preserve">Monitoring and reporting rules </w:t>
      </w:r>
    </w:p>
    <w:p>
      <w:pPr>
        <w:pStyle w:val="Text1"/>
        <w:rPr>
          <w:i/>
          <w:noProof/>
          <w:color w:val="000000" w:themeColor="text1"/>
          <w:sz w:val="20"/>
          <w:u w:val="single"/>
        </w:rPr>
      </w:pPr>
      <w:r>
        <w:rPr>
          <w:i/>
          <w:noProof/>
          <w:color w:val="000000" w:themeColor="text1"/>
          <w:sz w:val="20"/>
        </w:rPr>
        <w:t>Specify frequency and conditions.</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Work Programme of the European Year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Establishment of a Steering Committee </w:t>
      </w:r>
    </w:p>
    <w:p>
      <w:pPr>
        <w:pStyle w:val="ManualHeading2"/>
        <w:rPr>
          <w:bCs/>
          <w:noProof/>
          <w:szCs w:val="24"/>
        </w:rPr>
      </w:pPr>
      <w:r>
        <w:t>2.2.</w:t>
      </w:r>
      <w:r>
        <w:tab/>
      </w:r>
      <w:r>
        <w:rPr>
          <w:noProof/>
        </w:rPr>
        <w:t xml:space="preserve">Management and control system </w:t>
      </w:r>
    </w:p>
    <w:p>
      <w:pPr>
        <w:pStyle w:val="ManualHeading3"/>
        <w:rPr>
          <w:noProof/>
        </w:rPr>
      </w:pPr>
      <w:r>
        <w:t>2.2.1.</w:t>
      </w:r>
      <w:r>
        <w:tab/>
      </w:r>
      <w:r>
        <w:rPr>
          <w:noProof/>
        </w:rPr>
        <w:t xml:space="preserve">Risk(s) identified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Lack of visibility of the initiatives</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 Too high expectations with regard to the limited budget </w:t>
      </w:r>
    </w:p>
    <w:p>
      <w:pPr>
        <w:pStyle w:val="ManualHeading3"/>
        <w:rPr>
          <w:bCs/>
          <w:noProof/>
          <w:szCs w:val="24"/>
        </w:rPr>
      </w:pPr>
      <w:r>
        <w:t>2.2.2.</w:t>
      </w:r>
      <w:r>
        <w:tab/>
      </w:r>
      <w:r>
        <w:rPr>
          <w:noProof/>
        </w:rPr>
        <w:t>Information concerning the internal control system set up</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 xml:space="preserve">Regular risk assessment in the framework of Steering Committee  </w:t>
      </w:r>
    </w:p>
    <w:p>
      <w:pPr>
        <w:pStyle w:val="ManualHeading3"/>
        <w:rPr>
          <w:noProof/>
        </w:rPr>
      </w:pPr>
      <w:r>
        <w:t>2.2.3.</w:t>
      </w:r>
      <w:r>
        <w:tab/>
      </w:r>
      <w:r>
        <w:rPr>
          <w:noProof/>
        </w:rPr>
        <w:t xml:space="preserve">Estimate of the costs and benefits of the controls and assessment of the expected level of risk of error </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w:t>
      </w:r>
      <w:r>
        <w:rPr>
          <w:noProof/>
          <w:color w:val="1F497D"/>
        </w:rPr>
        <w:t>Pour mémoire</w:t>
      </w:r>
      <w:r>
        <w:rPr>
          <w:noProof/>
        </w:rPr>
        <w:t>]</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w:t>
      </w:r>
      <w:r>
        <w:rPr>
          <w:noProof/>
          <w:color w:val="1F497D"/>
        </w:rPr>
        <w:t>Pour mémoire</w:t>
      </w:r>
      <w:r>
        <w:rPr>
          <w:noProof/>
        </w:rPr>
        <w:t>]</w:t>
      </w:r>
    </w:p>
    <w:p>
      <w:pPr>
        <w:pStyle w:val="ManualHeading2"/>
        <w:rPr>
          <w:bCs/>
          <w:noProof/>
          <w:szCs w:val="24"/>
        </w:rPr>
      </w:pPr>
      <w:r>
        <w:t>2.3.</w:t>
      </w:r>
      <w:r>
        <w:tab/>
      </w:r>
      <w:r>
        <w:rPr>
          <w:noProof/>
        </w:rPr>
        <w:t xml:space="preserve">Measures to prevent fraud and irregularities </w:t>
      </w:r>
    </w:p>
    <w:p>
      <w:pPr>
        <w:pStyle w:val="Text1"/>
        <w:rPr>
          <w:i/>
          <w:noProof/>
          <w:color w:val="000000" w:themeColor="text1"/>
          <w:sz w:val="20"/>
        </w:rPr>
      </w:pPr>
      <w:r>
        <w:rPr>
          <w:i/>
          <w:noProof/>
          <w:color w:val="000000" w:themeColor="text1"/>
          <w:sz w:val="20"/>
        </w:rPr>
        <w:t>Specify existing or envisaged prevention and protection measures.</w:t>
      </w:r>
    </w:p>
    <w:p>
      <w:pPr>
        <w:pStyle w:val="Text1"/>
        <w:pBdr>
          <w:top w:val="single" w:sz="4" w:space="1" w:color="auto"/>
          <w:left w:val="single" w:sz="4" w:space="4" w:color="auto"/>
          <w:bottom w:val="single" w:sz="4" w:space="1" w:color="auto"/>
          <w:right w:val="single" w:sz="4" w:space="4" w:color="auto"/>
        </w:pBdr>
        <w:rPr>
          <w:noProof/>
          <w:color w:val="000000" w:themeColor="text1"/>
        </w:rPr>
      </w:pPr>
      <w:r>
        <w:rPr>
          <w:noProof/>
        </w:rPr>
        <w:t>The Commission shall ensure that, when actions financed under this Decision are implemented, the financial interests of the Union are protected by the application of preventive measures against fraud, corruption and any other illegal activities, by effective checks and by the recovery of the amounts unduly paid and, if irregularities are detected, by effective, proportional and dissuasive penalties. The Commission is authorised to carry out checks and verifications in situ under this Decision, in compliance Council Regulation (Euratom, EC) No 2185/96 of 11 November 1996 concerning on-the-spot checks and inspections carried out by the Commission in order to protect the European Communities' financial interests against fraud and other irregularities. If need be, investigations shall be carried out by the European Anti-Fraud Office and shall be governed by Regulation (EC) No 1073/1999 of the European Parliament and of the Council of 25 May 1999 concerning investigations conducted by the European Anti-Fraud Office (OLAF)</w:t>
      </w:r>
      <w:r>
        <w:rPr>
          <w:noProof/>
          <w:color w:val="000000" w:themeColor="text1"/>
        </w:rPr>
        <w:t xml:space="preserve"> </w:t>
      </w:r>
    </w:p>
    <w:p>
      <w:pPr>
        <w:rPr>
          <w:noProof/>
          <w:color w:val="000000" w:themeColor="text1"/>
        </w:rPr>
        <w:sectPr>
          <w:pgSz w:w="11907" w:h="16840" w:code="9"/>
          <w:pgMar w:top="1134" w:right="1418" w:bottom="1134" w:left="1418" w:header="709" w:footer="709" w:gutter="0"/>
          <w:cols w:space="708"/>
          <w:docGrid w:linePitch="360"/>
        </w:sectPr>
      </w:pPr>
    </w:p>
    <w:p>
      <w:pPr>
        <w:pStyle w:val="ManualHeading1"/>
        <w:rPr>
          <w:bCs/>
          <w:noProof/>
          <w:szCs w:val="24"/>
        </w:rPr>
      </w:pPr>
      <w:r>
        <w:t>3.</w:t>
      </w:r>
      <w:r>
        <w:tab/>
      </w:r>
      <w:r>
        <w:rPr>
          <w:noProof/>
        </w:rPr>
        <w:t xml:space="preserve">ESTIMATED FINANCIAL IMPACT OF THE PROPOSAL/INITIATIVE </w:t>
      </w:r>
    </w:p>
    <w:p>
      <w:pPr>
        <w:pStyle w:val="ManualHeading2"/>
        <w:rPr>
          <w:noProof/>
        </w:rPr>
      </w:pPr>
      <w:r>
        <w:t>3.1.</w:t>
      </w:r>
      <w:r>
        <w:tab/>
      </w:r>
      <w:r>
        <w:rPr>
          <w:noProof/>
        </w:rPr>
        <w:t xml:space="preserve">Heading(s) of the multiannual financial framework and expenditure budget line(s) affected </w:t>
      </w:r>
    </w:p>
    <w:p>
      <w:pPr>
        <w:pStyle w:val="ListBullet1"/>
        <w:rPr>
          <w:noProof/>
          <w:color w:val="000000" w:themeColor="text1"/>
        </w:rPr>
      </w:pPr>
      <w:r>
        <w:rPr>
          <w:noProof/>
          <w:color w:val="000000" w:themeColor="text1"/>
        </w:rPr>
        <w:t xml:space="preserve">Existing budget lines </w:t>
      </w:r>
    </w:p>
    <w:p>
      <w:pPr>
        <w:pStyle w:val="Text1"/>
        <w:rPr>
          <w:noProof/>
          <w:color w:val="000000" w:themeColor="text1"/>
        </w:rPr>
      </w:pPr>
      <w:r>
        <w:rPr>
          <w:noProof/>
          <w:color w:val="000000" w:themeColor="text1"/>
          <w:u w:val="single"/>
        </w:rPr>
        <w:t>In order</w:t>
      </w:r>
      <w:r>
        <w:rPr>
          <w:noProof/>
          <w:color w:val="000000" w:themeColor="text1"/>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color w:val="000000" w:themeColor="text1"/>
                <w:sz w:val="22"/>
              </w:rPr>
            </w:pPr>
            <w:r>
              <w:rPr>
                <w:noProof/>
                <w:color w:val="000000" w:themeColor="text1"/>
                <w:sz w:val="18"/>
              </w:rPr>
              <w:t>Heading of multiannual financial framework</w:t>
            </w:r>
          </w:p>
        </w:tc>
        <w:tc>
          <w:tcPr>
            <w:tcW w:w="3960" w:type="dxa"/>
            <w:vAlign w:val="center"/>
          </w:tcPr>
          <w:p>
            <w:pPr>
              <w:spacing w:before="60" w:after="60"/>
              <w:jc w:val="center"/>
              <w:rPr>
                <w:noProof/>
                <w:color w:val="000000" w:themeColor="text1"/>
                <w:sz w:val="22"/>
              </w:rPr>
            </w:pPr>
            <w:r>
              <w:rPr>
                <w:noProof/>
                <w:color w:val="000000" w:themeColor="text1"/>
                <w:sz w:val="20"/>
              </w:rPr>
              <w:t>Budget line</w:t>
            </w:r>
          </w:p>
        </w:tc>
        <w:tc>
          <w:tcPr>
            <w:tcW w:w="1080" w:type="dxa"/>
            <w:vAlign w:val="center"/>
          </w:tcPr>
          <w:p>
            <w:pPr>
              <w:spacing w:before="60" w:after="60"/>
              <w:jc w:val="center"/>
              <w:rPr>
                <w:noProof/>
                <w:color w:val="000000" w:themeColor="text1"/>
                <w:sz w:val="22"/>
              </w:rPr>
            </w:pPr>
            <w:r>
              <w:rPr>
                <w:noProof/>
                <w:color w:val="000000" w:themeColor="text1"/>
                <w:sz w:val="18"/>
              </w:rPr>
              <w:t xml:space="preserve">Type of </w:t>
            </w:r>
            <w:r>
              <w:rPr>
                <w:noProof/>
                <w:color w:val="000000" w:themeColor="text1"/>
                <w:sz w:val="22"/>
              </w:rPr>
              <w:br/>
            </w:r>
            <w:r>
              <w:rPr>
                <w:noProof/>
                <w:color w:val="000000" w:themeColor="text1"/>
                <w:sz w:val="18"/>
              </w:rPr>
              <w:t>expenditure</w:t>
            </w:r>
          </w:p>
        </w:tc>
        <w:tc>
          <w:tcPr>
            <w:tcW w:w="4440" w:type="dxa"/>
            <w:gridSpan w:val="4"/>
            <w:vAlign w:val="center"/>
          </w:tcPr>
          <w:p>
            <w:pPr>
              <w:spacing w:before="60" w:after="60"/>
              <w:jc w:val="center"/>
              <w:rPr>
                <w:noProof/>
                <w:color w:val="000000" w:themeColor="text1"/>
                <w:sz w:val="22"/>
              </w:rPr>
            </w:pPr>
            <w:r>
              <w:rPr>
                <w:noProof/>
                <w:color w:val="000000" w:themeColor="text1"/>
                <w:sz w:val="20"/>
              </w:rPr>
              <w:t xml:space="preserve">Contribution </w:t>
            </w:r>
          </w:p>
        </w:tc>
      </w:tr>
      <w:tr>
        <w:tc>
          <w:tcPr>
            <w:tcW w:w="1080" w:type="dxa"/>
            <w:vMerge/>
            <w:vAlign w:val="center"/>
          </w:tcPr>
          <w:p>
            <w:pPr>
              <w:jc w:val="center"/>
              <w:rPr>
                <w:noProof/>
                <w:color w:val="000000" w:themeColor="text1"/>
                <w:sz w:val="22"/>
              </w:rPr>
            </w:pPr>
          </w:p>
        </w:tc>
        <w:tc>
          <w:tcPr>
            <w:tcW w:w="3960" w:type="dxa"/>
            <w:vAlign w:val="center"/>
          </w:tcPr>
          <w:p>
            <w:pPr>
              <w:rPr>
                <w:noProof/>
                <w:color w:val="000000" w:themeColor="text1"/>
                <w:sz w:val="22"/>
              </w:rPr>
            </w:pPr>
            <w:r>
              <w:rPr>
                <w:noProof/>
                <w:color w:val="000000" w:themeColor="text1"/>
                <w:sz w:val="20"/>
              </w:rPr>
              <w:t>Heading 3: Security and citizenship</w:t>
            </w:r>
          </w:p>
        </w:tc>
        <w:tc>
          <w:tcPr>
            <w:tcW w:w="1080" w:type="dxa"/>
            <w:vAlign w:val="center"/>
          </w:tcPr>
          <w:p>
            <w:pPr>
              <w:jc w:val="center"/>
              <w:rPr>
                <w:noProof/>
                <w:color w:val="000000" w:themeColor="text1"/>
                <w:sz w:val="22"/>
              </w:rPr>
            </w:pPr>
            <w:r>
              <w:rPr>
                <w:noProof/>
                <w:color w:val="000000" w:themeColor="text1"/>
                <w:sz w:val="18"/>
              </w:rPr>
              <w:t>Diff./Non-diff.</w:t>
            </w:r>
            <w:r>
              <w:rPr>
                <w:rStyle w:val="FootnoteReference"/>
                <w:noProof/>
                <w:color w:val="000000" w:themeColor="text1"/>
                <w:sz w:val="18"/>
              </w:rPr>
              <w:footnoteReference w:id="30"/>
            </w:r>
          </w:p>
        </w:tc>
        <w:tc>
          <w:tcPr>
            <w:tcW w:w="956" w:type="dxa"/>
            <w:vAlign w:val="center"/>
          </w:tcPr>
          <w:p>
            <w:pPr>
              <w:jc w:val="center"/>
              <w:rPr>
                <w:noProof/>
                <w:color w:val="000000" w:themeColor="text1"/>
                <w:sz w:val="22"/>
              </w:rPr>
            </w:pPr>
            <w:r>
              <w:rPr>
                <w:noProof/>
                <w:color w:val="000000" w:themeColor="text1"/>
                <w:sz w:val="18"/>
              </w:rPr>
              <w:t>from EFTA countries</w:t>
            </w:r>
            <w:r>
              <w:rPr>
                <w:rStyle w:val="FootnoteReference"/>
                <w:noProof/>
                <w:color w:val="000000" w:themeColor="text1"/>
                <w:sz w:val="18"/>
              </w:rPr>
              <w:footnoteReference w:id="31"/>
            </w:r>
          </w:p>
          <w:p>
            <w:pPr>
              <w:spacing w:before="0" w:after="0"/>
              <w:jc w:val="center"/>
              <w:rPr>
                <w:b/>
                <w:noProof/>
                <w:color w:val="000000" w:themeColor="text1"/>
                <w:sz w:val="18"/>
              </w:rPr>
            </w:pPr>
          </w:p>
        </w:tc>
        <w:tc>
          <w:tcPr>
            <w:tcW w:w="1080" w:type="dxa"/>
            <w:vAlign w:val="center"/>
          </w:tcPr>
          <w:p>
            <w:pPr>
              <w:jc w:val="center"/>
              <w:rPr>
                <w:noProof/>
                <w:color w:val="000000" w:themeColor="text1"/>
                <w:sz w:val="22"/>
              </w:rPr>
            </w:pPr>
            <w:r>
              <w:rPr>
                <w:noProof/>
                <w:color w:val="000000" w:themeColor="text1"/>
                <w:sz w:val="18"/>
              </w:rPr>
              <w:t>from candidate countries</w:t>
            </w:r>
            <w:r>
              <w:rPr>
                <w:rStyle w:val="FootnoteReference"/>
                <w:noProof/>
                <w:color w:val="000000" w:themeColor="text1"/>
                <w:sz w:val="18"/>
              </w:rPr>
              <w:footnoteReference w:id="32"/>
            </w:r>
          </w:p>
          <w:p>
            <w:pPr>
              <w:spacing w:before="0" w:after="0"/>
              <w:jc w:val="center"/>
              <w:rPr>
                <w:noProof/>
                <w:color w:val="000000" w:themeColor="text1"/>
                <w:sz w:val="18"/>
              </w:rPr>
            </w:pPr>
          </w:p>
        </w:tc>
        <w:tc>
          <w:tcPr>
            <w:tcW w:w="956" w:type="dxa"/>
            <w:vAlign w:val="center"/>
          </w:tcPr>
          <w:p>
            <w:pPr>
              <w:jc w:val="center"/>
              <w:rPr>
                <w:noProof/>
                <w:color w:val="000000" w:themeColor="text1"/>
                <w:sz w:val="18"/>
              </w:rPr>
            </w:pPr>
            <w:r>
              <w:rPr>
                <w:noProof/>
                <w:color w:val="000000" w:themeColor="text1"/>
                <w:sz w:val="18"/>
              </w:rPr>
              <w:t>from third countries</w:t>
            </w:r>
          </w:p>
        </w:tc>
        <w:tc>
          <w:tcPr>
            <w:tcW w:w="1448" w:type="dxa"/>
            <w:vAlign w:val="center"/>
          </w:tcPr>
          <w:p>
            <w:pPr>
              <w:jc w:val="center"/>
              <w:rPr>
                <w:noProof/>
                <w:color w:val="000000" w:themeColor="text1"/>
                <w:sz w:val="22"/>
              </w:rPr>
            </w:pPr>
            <w:r>
              <w:rPr>
                <w:noProof/>
                <w:color w:val="000000" w:themeColor="text1"/>
                <w:sz w:val="16"/>
              </w:rPr>
              <w:t xml:space="preserve">within the meaning of Article 21(2)(b) of the Financial Regulation </w:t>
            </w:r>
          </w:p>
        </w:tc>
      </w:tr>
      <w:tr>
        <w:tc>
          <w:tcPr>
            <w:tcW w:w="1080" w:type="dxa"/>
            <w:vAlign w:val="center"/>
          </w:tcPr>
          <w:p>
            <w:pPr>
              <w:jc w:val="center"/>
              <w:rPr>
                <w:noProof/>
                <w:color w:val="000000" w:themeColor="text1"/>
                <w:sz w:val="22"/>
              </w:rPr>
            </w:pPr>
            <w:r>
              <w:rPr>
                <w:noProof/>
                <w:color w:val="000000" w:themeColor="text1"/>
                <w:sz w:val="22"/>
              </w:rPr>
              <w:t>3</w:t>
            </w:r>
          </w:p>
        </w:tc>
        <w:tc>
          <w:tcPr>
            <w:tcW w:w="3960" w:type="dxa"/>
            <w:vAlign w:val="center"/>
          </w:tcPr>
          <w:p>
            <w:pPr>
              <w:spacing w:after="60"/>
              <w:rPr>
                <w:noProof/>
                <w:color w:val="000000" w:themeColor="text1"/>
                <w:sz w:val="22"/>
              </w:rPr>
            </w:pPr>
            <w:r>
              <w:rPr>
                <w:noProof/>
                <w:color w:val="000000" w:themeColor="text1"/>
                <w:sz w:val="22"/>
              </w:rPr>
              <w:t xml:space="preserve">15 04 02- Culture sub-programme — Supporting cross-border actions and promoting transnational circulation and mobility </w:t>
            </w:r>
          </w:p>
        </w:tc>
        <w:tc>
          <w:tcPr>
            <w:tcW w:w="1080" w:type="dxa"/>
            <w:vAlign w:val="center"/>
          </w:tcPr>
          <w:p>
            <w:pPr>
              <w:jc w:val="center"/>
              <w:rPr>
                <w:noProof/>
                <w:color w:val="000000" w:themeColor="text1"/>
                <w:sz w:val="22"/>
              </w:rPr>
            </w:pPr>
            <w:r>
              <w:rPr>
                <w:noProof/>
                <w:color w:val="000000" w:themeColor="text1"/>
                <w:sz w:val="22"/>
              </w:rPr>
              <w:t>Diff.</w:t>
            </w:r>
          </w:p>
        </w:tc>
        <w:tc>
          <w:tcPr>
            <w:tcW w:w="956" w:type="dxa"/>
            <w:vAlign w:val="center"/>
          </w:tcPr>
          <w:p>
            <w:pPr>
              <w:jc w:val="center"/>
              <w:rPr>
                <w:noProof/>
                <w:color w:val="000000" w:themeColor="text1"/>
                <w:sz w:val="22"/>
              </w:rPr>
            </w:pPr>
            <w:r>
              <w:rPr>
                <w:noProof/>
                <w:color w:val="000000" w:themeColor="text1"/>
                <w:sz w:val="22"/>
              </w:rPr>
              <w:t>NO</w:t>
            </w:r>
          </w:p>
        </w:tc>
        <w:tc>
          <w:tcPr>
            <w:tcW w:w="1080" w:type="dxa"/>
            <w:vAlign w:val="center"/>
          </w:tcPr>
          <w:p>
            <w:pPr>
              <w:jc w:val="center"/>
              <w:rPr>
                <w:noProof/>
                <w:color w:val="000000" w:themeColor="text1"/>
                <w:sz w:val="22"/>
              </w:rPr>
            </w:pPr>
            <w:r>
              <w:rPr>
                <w:noProof/>
                <w:color w:val="000000" w:themeColor="text1"/>
                <w:sz w:val="22"/>
              </w:rPr>
              <w:t>NO</w:t>
            </w:r>
          </w:p>
        </w:tc>
        <w:tc>
          <w:tcPr>
            <w:tcW w:w="956" w:type="dxa"/>
            <w:vAlign w:val="center"/>
          </w:tcPr>
          <w:p>
            <w:pPr>
              <w:jc w:val="center"/>
              <w:rPr>
                <w:noProof/>
                <w:color w:val="000000" w:themeColor="text1"/>
                <w:sz w:val="22"/>
              </w:rPr>
            </w:pPr>
            <w:r>
              <w:rPr>
                <w:noProof/>
                <w:color w:val="000000" w:themeColor="text1"/>
                <w:sz w:val="22"/>
              </w:rPr>
              <w:t>NO</w:t>
            </w:r>
          </w:p>
        </w:tc>
        <w:tc>
          <w:tcPr>
            <w:tcW w:w="1448" w:type="dxa"/>
            <w:vAlign w:val="center"/>
          </w:tcPr>
          <w:p>
            <w:pPr>
              <w:jc w:val="center"/>
              <w:rPr>
                <w:noProof/>
                <w:color w:val="000000" w:themeColor="text1"/>
                <w:sz w:val="22"/>
              </w:rPr>
            </w:pPr>
            <w:r>
              <w:rPr>
                <w:noProof/>
                <w:color w:val="000000" w:themeColor="text1"/>
                <w:sz w:val="22"/>
              </w:rPr>
              <w:t>NO</w:t>
            </w:r>
          </w:p>
        </w:tc>
      </w:tr>
    </w:tbl>
    <w:p>
      <w:pPr>
        <w:pStyle w:val="ListBullet1"/>
        <w:rPr>
          <w:noProof/>
          <w:color w:val="000000" w:themeColor="text1"/>
        </w:rPr>
      </w:pPr>
      <w:r>
        <w:rPr>
          <w:noProof/>
          <w:color w:val="000000" w:themeColor="text1"/>
        </w:rPr>
        <w:t xml:space="preserve">New budget lines requested </w:t>
      </w:r>
    </w:p>
    <w:p>
      <w:pPr>
        <w:pStyle w:val="Text1"/>
        <w:rPr>
          <w:i/>
          <w:noProof/>
          <w:color w:val="000000" w:themeColor="text1"/>
          <w:sz w:val="20"/>
        </w:rPr>
      </w:pPr>
      <w:r>
        <w:rPr>
          <w:i/>
          <w:noProof/>
          <w:color w:val="000000" w:themeColor="text1"/>
          <w:u w:val="single"/>
        </w:rPr>
        <w:t>In order</w:t>
      </w:r>
      <w:r>
        <w:rPr>
          <w:i/>
          <w:noProof/>
          <w:color w:val="000000" w:themeColor="text1"/>
        </w:rPr>
        <w:t xml:space="preserve"> of multiannual financial framework headings and budget lines.</w:t>
      </w:r>
    </w:p>
    <w:tbl>
      <w:tblPr>
        <w:tblW w:w="1056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960"/>
        <w:gridCol w:w="1080"/>
        <w:gridCol w:w="956"/>
        <w:gridCol w:w="1080"/>
        <w:gridCol w:w="956"/>
        <w:gridCol w:w="1448"/>
      </w:tblGrid>
      <w:tr>
        <w:tc>
          <w:tcPr>
            <w:tcW w:w="1080" w:type="dxa"/>
            <w:vMerge w:val="restart"/>
            <w:vAlign w:val="center"/>
          </w:tcPr>
          <w:p>
            <w:pPr>
              <w:spacing w:before="60" w:after="60"/>
              <w:jc w:val="center"/>
              <w:rPr>
                <w:noProof/>
                <w:color w:val="000000" w:themeColor="text1"/>
                <w:sz w:val="18"/>
                <w:szCs w:val="18"/>
              </w:rPr>
            </w:pPr>
            <w:r>
              <w:rPr>
                <w:noProof/>
                <w:color w:val="000000" w:themeColor="text1"/>
                <w:sz w:val="18"/>
              </w:rPr>
              <w:t>Heading of multiannual financial framework</w:t>
            </w:r>
          </w:p>
        </w:tc>
        <w:tc>
          <w:tcPr>
            <w:tcW w:w="3960" w:type="dxa"/>
            <w:vAlign w:val="center"/>
          </w:tcPr>
          <w:p>
            <w:pPr>
              <w:spacing w:before="60" w:after="60"/>
              <w:jc w:val="center"/>
              <w:rPr>
                <w:noProof/>
                <w:color w:val="000000" w:themeColor="text1"/>
                <w:sz w:val="22"/>
              </w:rPr>
            </w:pPr>
            <w:r>
              <w:rPr>
                <w:noProof/>
                <w:color w:val="000000" w:themeColor="text1"/>
                <w:sz w:val="20"/>
              </w:rPr>
              <w:t>Budget line</w:t>
            </w:r>
          </w:p>
        </w:tc>
        <w:tc>
          <w:tcPr>
            <w:tcW w:w="1080" w:type="dxa"/>
            <w:vAlign w:val="center"/>
          </w:tcPr>
          <w:p>
            <w:pPr>
              <w:spacing w:before="60" w:after="60"/>
              <w:jc w:val="center"/>
              <w:rPr>
                <w:noProof/>
                <w:color w:val="000000" w:themeColor="text1"/>
                <w:sz w:val="22"/>
              </w:rPr>
            </w:pPr>
            <w:r>
              <w:rPr>
                <w:noProof/>
                <w:color w:val="000000" w:themeColor="text1"/>
                <w:sz w:val="18"/>
              </w:rPr>
              <w:t>Type of</w:t>
            </w:r>
            <w:r>
              <w:rPr>
                <w:noProof/>
                <w:color w:val="000000" w:themeColor="text1"/>
                <w:sz w:val="22"/>
              </w:rPr>
              <w:br/>
            </w:r>
            <w:r>
              <w:rPr>
                <w:noProof/>
                <w:color w:val="000000" w:themeColor="text1"/>
                <w:sz w:val="18"/>
              </w:rPr>
              <w:t>expenditure</w:t>
            </w:r>
          </w:p>
        </w:tc>
        <w:tc>
          <w:tcPr>
            <w:tcW w:w="4440" w:type="dxa"/>
            <w:gridSpan w:val="4"/>
            <w:vAlign w:val="center"/>
          </w:tcPr>
          <w:p>
            <w:pPr>
              <w:spacing w:before="60" w:after="60"/>
              <w:jc w:val="center"/>
              <w:rPr>
                <w:noProof/>
                <w:color w:val="000000" w:themeColor="text1"/>
                <w:sz w:val="22"/>
              </w:rPr>
            </w:pPr>
            <w:r>
              <w:rPr>
                <w:noProof/>
                <w:color w:val="000000" w:themeColor="text1"/>
                <w:sz w:val="20"/>
              </w:rPr>
              <w:t xml:space="preserve">Contribution </w:t>
            </w:r>
          </w:p>
        </w:tc>
      </w:tr>
      <w:tr>
        <w:tc>
          <w:tcPr>
            <w:tcW w:w="1080" w:type="dxa"/>
            <w:vMerge/>
            <w:vAlign w:val="center"/>
          </w:tcPr>
          <w:p>
            <w:pPr>
              <w:jc w:val="center"/>
              <w:rPr>
                <w:noProof/>
                <w:color w:val="000000" w:themeColor="text1"/>
                <w:sz w:val="22"/>
              </w:rPr>
            </w:pPr>
          </w:p>
        </w:tc>
        <w:tc>
          <w:tcPr>
            <w:tcW w:w="3960" w:type="dxa"/>
            <w:vAlign w:val="center"/>
          </w:tcPr>
          <w:p>
            <w:pPr>
              <w:rPr>
                <w:noProof/>
                <w:color w:val="000000" w:themeColor="text1"/>
                <w:sz w:val="22"/>
              </w:rPr>
            </w:pPr>
          </w:p>
        </w:tc>
        <w:tc>
          <w:tcPr>
            <w:tcW w:w="1080" w:type="dxa"/>
            <w:vAlign w:val="center"/>
          </w:tcPr>
          <w:p>
            <w:pPr>
              <w:jc w:val="center"/>
              <w:rPr>
                <w:noProof/>
                <w:color w:val="000000" w:themeColor="text1"/>
                <w:sz w:val="22"/>
              </w:rPr>
            </w:pPr>
            <w:r>
              <w:rPr>
                <w:noProof/>
                <w:color w:val="000000" w:themeColor="text1"/>
                <w:sz w:val="18"/>
              </w:rPr>
              <w:t>Diff./Non-diff.</w:t>
            </w:r>
          </w:p>
        </w:tc>
        <w:tc>
          <w:tcPr>
            <w:tcW w:w="956" w:type="dxa"/>
            <w:vAlign w:val="center"/>
          </w:tcPr>
          <w:p>
            <w:pPr>
              <w:jc w:val="center"/>
              <w:rPr>
                <w:noProof/>
                <w:color w:val="000000" w:themeColor="text1"/>
                <w:sz w:val="18"/>
              </w:rPr>
            </w:pPr>
            <w:r>
              <w:rPr>
                <w:noProof/>
                <w:color w:val="000000" w:themeColor="text1"/>
                <w:sz w:val="18"/>
              </w:rPr>
              <w:t>from EFTA countries</w:t>
            </w:r>
          </w:p>
        </w:tc>
        <w:tc>
          <w:tcPr>
            <w:tcW w:w="1080" w:type="dxa"/>
            <w:vAlign w:val="center"/>
          </w:tcPr>
          <w:p>
            <w:pPr>
              <w:jc w:val="center"/>
              <w:rPr>
                <w:noProof/>
                <w:color w:val="000000" w:themeColor="text1"/>
                <w:sz w:val="18"/>
              </w:rPr>
            </w:pPr>
            <w:r>
              <w:rPr>
                <w:noProof/>
                <w:color w:val="000000" w:themeColor="text1"/>
                <w:sz w:val="18"/>
              </w:rPr>
              <w:t>from candidate countries</w:t>
            </w:r>
          </w:p>
        </w:tc>
        <w:tc>
          <w:tcPr>
            <w:tcW w:w="956" w:type="dxa"/>
            <w:vAlign w:val="center"/>
          </w:tcPr>
          <w:p>
            <w:pPr>
              <w:jc w:val="center"/>
              <w:rPr>
                <w:noProof/>
                <w:color w:val="000000" w:themeColor="text1"/>
                <w:sz w:val="18"/>
              </w:rPr>
            </w:pPr>
            <w:r>
              <w:rPr>
                <w:noProof/>
                <w:color w:val="000000" w:themeColor="text1"/>
                <w:sz w:val="18"/>
              </w:rPr>
              <w:t>from third countries</w:t>
            </w:r>
          </w:p>
        </w:tc>
        <w:tc>
          <w:tcPr>
            <w:tcW w:w="1448" w:type="dxa"/>
            <w:vAlign w:val="center"/>
          </w:tcPr>
          <w:p>
            <w:pPr>
              <w:jc w:val="center"/>
              <w:rPr>
                <w:noProof/>
                <w:color w:val="000000" w:themeColor="text1"/>
                <w:sz w:val="22"/>
              </w:rPr>
            </w:pPr>
            <w:r>
              <w:rPr>
                <w:noProof/>
                <w:color w:val="000000" w:themeColor="text1"/>
                <w:sz w:val="16"/>
              </w:rPr>
              <w:t xml:space="preserve">within the meaning of Article 21(2)(b) of the Financial Regulation </w:t>
            </w:r>
          </w:p>
        </w:tc>
      </w:tr>
      <w:tr>
        <w:tc>
          <w:tcPr>
            <w:tcW w:w="1080" w:type="dxa"/>
            <w:vAlign w:val="center"/>
          </w:tcPr>
          <w:p>
            <w:pPr>
              <w:jc w:val="center"/>
              <w:rPr>
                <w:noProof/>
                <w:color w:val="000000" w:themeColor="text1"/>
                <w:sz w:val="22"/>
              </w:rPr>
            </w:pPr>
          </w:p>
        </w:tc>
        <w:tc>
          <w:tcPr>
            <w:tcW w:w="3960" w:type="dxa"/>
            <w:vAlign w:val="center"/>
          </w:tcPr>
          <w:p>
            <w:pPr>
              <w:spacing w:before="60"/>
              <w:rPr>
                <w:noProof/>
                <w:color w:val="000000" w:themeColor="text1"/>
                <w:sz w:val="22"/>
              </w:rPr>
            </w:pPr>
          </w:p>
        </w:tc>
        <w:tc>
          <w:tcPr>
            <w:tcW w:w="1080" w:type="dxa"/>
            <w:vAlign w:val="center"/>
          </w:tcPr>
          <w:p>
            <w:pPr>
              <w:jc w:val="center"/>
              <w:rPr>
                <w:noProof/>
                <w:color w:val="000000" w:themeColor="text1"/>
                <w:sz w:val="22"/>
              </w:rPr>
            </w:pPr>
          </w:p>
        </w:tc>
        <w:tc>
          <w:tcPr>
            <w:tcW w:w="956" w:type="dxa"/>
            <w:vAlign w:val="center"/>
          </w:tcPr>
          <w:p>
            <w:pPr>
              <w:jc w:val="center"/>
              <w:rPr>
                <w:noProof/>
                <w:color w:val="000000" w:themeColor="text1"/>
                <w:sz w:val="22"/>
              </w:rPr>
            </w:pPr>
          </w:p>
        </w:tc>
        <w:tc>
          <w:tcPr>
            <w:tcW w:w="1080" w:type="dxa"/>
            <w:vAlign w:val="center"/>
          </w:tcPr>
          <w:p>
            <w:pPr>
              <w:jc w:val="center"/>
              <w:rPr>
                <w:noProof/>
                <w:color w:val="000000" w:themeColor="text1"/>
                <w:sz w:val="18"/>
              </w:rPr>
            </w:pPr>
          </w:p>
        </w:tc>
        <w:tc>
          <w:tcPr>
            <w:tcW w:w="956" w:type="dxa"/>
            <w:vAlign w:val="center"/>
          </w:tcPr>
          <w:p>
            <w:pPr>
              <w:jc w:val="center"/>
              <w:rPr>
                <w:noProof/>
                <w:color w:val="000000" w:themeColor="text1"/>
                <w:sz w:val="18"/>
              </w:rPr>
            </w:pPr>
          </w:p>
        </w:tc>
        <w:tc>
          <w:tcPr>
            <w:tcW w:w="1448" w:type="dxa"/>
            <w:vAlign w:val="center"/>
          </w:tcPr>
          <w:p>
            <w:pPr>
              <w:jc w:val="center"/>
              <w:rPr>
                <w:noProof/>
                <w:color w:val="000000" w:themeColor="text1"/>
                <w:sz w:val="22"/>
              </w:rPr>
            </w:pPr>
          </w:p>
          <w:p>
            <w:pPr>
              <w:jc w:val="center"/>
              <w:rPr>
                <w:noProof/>
                <w:color w:val="000000" w:themeColor="text1"/>
                <w:sz w:val="22"/>
              </w:rPr>
            </w:pPr>
          </w:p>
        </w:tc>
      </w:tr>
    </w:tbl>
    <w:p>
      <w:pPr>
        <w:rPr>
          <w:noProof/>
          <w:color w:val="000000" w:themeColor="text1"/>
        </w:rPr>
        <w:sectPr>
          <w:pgSz w:w="11907" w:h="16840" w:code="1"/>
          <w:pgMar w:top="1134" w:right="1418" w:bottom="1134" w:left="1418" w:header="709" w:footer="709" w:gutter="0"/>
          <w:cols w:space="708"/>
          <w:docGrid w:linePitch="360"/>
        </w:sectPr>
      </w:pPr>
    </w:p>
    <w:p>
      <w:pPr>
        <w:pStyle w:val="ManualHeading2"/>
        <w:rPr>
          <w:bCs/>
          <w:noProof/>
          <w:szCs w:val="24"/>
        </w:rPr>
      </w:pPr>
      <w:r>
        <w:t>3.2.</w:t>
      </w:r>
      <w:r>
        <w:tab/>
      </w:r>
      <w:r>
        <w:rPr>
          <w:noProof/>
        </w:rPr>
        <w:t xml:space="preserve">Estimated impact on expenditure </w:t>
      </w:r>
    </w:p>
    <w:p>
      <w:pPr>
        <w:pStyle w:val="Text1"/>
        <w:rPr>
          <w:noProof/>
          <w:color w:val="000000" w:themeColor="text1"/>
        </w:rPr>
      </w:pPr>
      <w:r>
        <w:rPr>
          <w:noProof/>
          <w:color w:val="000000" w:themeColor="text1"/>
          <w:highlight w:val="lightGray"/>
        </w:rPr>
        <w:t xml:space="preserve">[This section should be filled in using the </w:t>
      </w:r>
      <w:hyperlink r:id="rId13" w:history="1">
        <w:r>
          <w:rPr>
            <w:rStyle w:val="Hyperlink"/>
            <w:noProof/>
            <w:color w:val="000000" w:themeColor="text1"/>
            <w:highlight w:val="lightGray"/>
          </w:rPr>
          <w:t>spreadsheet on budget data of an administrative nature</w:t>
        </w:r>
      </w:hyperlink>
      <w:r>
        <w:rPr>
          <w:noProof/>
          <w:color w:val="000000" w:themeColor="text1"/>
          <w:highlight w:val="lightGray"/>
        </w:rPr>
        <w:t xml:space="preserve"> (second document in annex to this financial statement) and uploaded to CISNET for interservice consultation purposes.]</w:t>
      </w:r>
    </w:p>
    <w:p>
      <w:pPr>
        <w:pStyle w:val="ManualHeading3"/>
        <w:rPr>
          <w:noProof/>
          <w:u w:val="single"/>
        </w:rPr>
      </w:pPr>
      <w:r>
        <w:t>3.2.1.</w:t>
      </w:r>
      <w:r>
        <w:tab/>
      </w:r>
      <w:r>
        <w:rPr>
          <w:noProof/>
        </w:rPr>
        <w:t xml:space="preserve">Summary of estimated impact on expenditure </w:t>
      </w:r>
    </w:p>
    <w:p>
      <w:pPr>
        <w:jc w:val="right"/>
        <w:rPr>
          <w:noProof/>
          <w:color w:val="000000" w:themeColor="text1"/>
          <w:sz w:val="20"/>
        </w:rPr>
      </w:pPr>
      <w:r>
        <w:rPr>
          <w:noProof/>
          <w:color w:val="000000" w:themeColor="text1"/>
          <w:sz w:val="20"/>
        </w:rPr>
        <w:t>EUR million (to three decimal places)</w:t>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color w:val="000000" w:themeColor="text1"/>
                <w:sz w:val="22"/>
              </w:rPr>
            </w:pPr>
            <w:r>
              <w:rPr>
                <w:b/>
                <w:noProof/>
                <w:color w:val="000000" w:themeColor="text1"/>
                <w:sz w:val="22"/>
              </w:rPr>
              <w:t xml:space="preserve">Heading of multiannual financial </w:t>
            </w:r>
            <w:r>
              <w:rPr>
                <w:noProof/>
                <w:color w:val="000000" w:themeColor="text1"/>
                <w:sz w:val="22"/>
              </w:rPr>
              <w:br/>
            </w:r>
            <w:r>
              <w:rPr>
                <w:b/>
                <w:noProof/>
                <w:color w:val="000000" w:themeColor="text1"/>
                <w:sz w:val="22"/>
              </w:rPr>
              <w:t xml:space="preserve">framework </w:t>
            </w:r>
          </w:p>
        </w:tc>
        <w:tc>
          <w:tcPr>
            <w:tcW w:w="1080" w:type="dxa"/>
            <w:vAlign w:val="center"/>
          </w:tcPr>
          <w:p>
            <w:pPr>
              <w:spacing w:before="60" w:after="60"/>
              <w:jc w:val="center"/>
              <w:rPr>
                <w:noProof/>
                <w:color w:val="000000" w:themeColor="text1"/>
                <w:sz w:val="22"/>
              </w:rPr>
            </w:pPr>
            <w:r>
              <w:rPr>
                <w:noProof/>
                <w:color w:val="000000" w:themeColor="text1"/>
                <w:sz w:val="22"/>
              </w:rPr>
              <w:t>Number</w:t>
            </w:r>
          </w:p>
        </w:tc>
        <w:tc>
          <w:tcPr>
            <w:tcW w:w="7817" w:type="dxa"/>
            <w:vAlign w:val="center"/>
          </w:tcPr>
          <w:p>
            <w:pPr>
              <w:spacing w:before="60" w:after="60"/>
              <w:rPr>
                <w:noProof/>
                <w:color w:val="000000" w:themeColor="text1"/>
                <w:sz w:val="22"/>
              </w:rPr>
            </w:pPr>
            <w:r>
              <w:rPr>
                <w:noProof/>
              </w:rPr>
              <w:t>[3</w:t>
            </w:r>
            <w:r>
              <w:rPr>
                <w:noProof/>
                <w:color w:val="000000" w:themeColor="text1"/>
                <w:sz w:val="22"/>
              </w:rPr>
              <w:t>] Heading</w:t>
            </w:r>
            <w:r>
              <w:rPr>
                <w:noProof/>
                <w:color w:val="000000" w:themeColor="text1"/>
              </w:rPr>
              <w:t xml:space="preserve"> </w:t>
            </w:r>
            <w:r>
              <w:rPr>
                <w:noProof/>
                <w:color w:val="000000" w:themeColor="text1"/>
                <w:sz w:val="22"/>
              </w:rPr>
              <w:t>Security and citizenship</w:t>
            </w:r>
          </w:p>
        </w:tc>
      </w:tr>
    </w:tbl>
    <w:p>
      <w:pPr>
        <w:rPr>
          <w:noProof/>
          <w:color w:val="000000" w:themeColor="text1"/>
          <w:sz w:val="16"/>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120"/>
        <w:gridCol w:w="534"/>
        <w:gridCol w:w="868"/>
        <w:gridCol w:w="868"/>
        <w:gridCol w:w="868"/>
        <w:gridCol w:w="868"/>
        <w:gridCol w:w="868"/>
        <w:gridCol w:w="868"/>
        <w:gridCol w:w="868"/>
        <w:gridCol w:w="1777"/>
      </w:tblGrid>
      <w:tr>
        <w:tc>
          <w:tcPr>
            <w:tcW w:w="3960" w:type="dxa"/>
            <w:vAlign w:val="center"/>
          </w:tcPr>
          <w:p>
            <w:pPr>
              <w:jc w:val="center"/>
              <w:rPr>
                <w:noProof/>
                <w:color w:val="000000" w:themeColor="text1"/>
                <w:sz w:val="22"/>
              </w:rPr>
            </w:pPr>
            <w:r>
              <w:rPr>
                <w:noProof/>
                <w:color w:val="000000" w:themeColor="text1"/>
                <w:sz w:val="22"/>
              </w:rPr>
              <w:t>DG: EAC</w:t>
            </w:r>
          </w:p>
        </w:tc>
        <w:tc>
          <w:tcPr>
            <w:tcW w:w="1560" w:type="dxa"/>
            <w:gridSpan w:val="2"/>
          </w:tcPr>
          <w:p>
            <w:pPr>
              <w:rPr>
                <w:noProof/>
                <w:color w:val="000000" w:themeColor="text1"/>
                <w:sz w:val="20"/>
              </w:rPr>
            </w:pPr>
          </w:p>
        </w:tc>
        <w:tc>
          <w:tcPr>
            <w:tcW w:w="534" w:type="dxa"/>
          </w:tcPr>
          <w:p>
            <w:pPr>
              <w:jc w:val="center"/>
              <w:rPr>
                <w:noProof/>
                <w:color w:val="000000" w:themeColor="text1"/>
                <w:sz w:val="20"/>
              </w:rPr>
            </w:pPr>
          </w:p>
        </w:tc>
        <w:tc>
          <w:tcPr>
            <w:tcW w:w="868"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w:t>
            </w:r>
            <w:r>
              <w:rPr>
                <w:rStyle w:val="FootnoteReference"/>
                <w:b/>
                <w:noProof/>
                <w:color w:val="000000" w:themeColor="text1"/>
                <w:sz w:val="20"/>
              </w:rPr>
              <w:footnoteReference w:id="33"/>
            </w:r>
          </w:p>
        </w:tc>
        <w:tc>
          <w:tcPr>
            <w:tcW w:w="868"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N+1</w:t>
            </w:r>
          </w:p>
        </w:tc>
        <w:tc>
          <w:tcPr>
            <w:tcW w:w="868"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N+2</w:t>
            </w:r>
          </w:p>
        </w:tc>
        <w:tc>
          <w:tcPr>
            <w:tcW w:w="868"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N+3</w:t>
            </w:r>
          </w:p>
        </w:tc>
        <w:tc>
          <w:tcPr>
            <w:tcW w:w="2604" w:type="dxa"/>
            <w:gridSpan w:val="3"/>
            <w:vAlign w:val="center"/>
          </w:tcPr>
          <w:p>
            <w:pPr>
              <w:jc w:val="center"/>
              <w:rPr>
                <w:b/>
                <w:noProof/>
                <w:color w:val="000000" w:themeColor="text1"/>
                <w:sz w:val="18"/>
              </w:rPr>
            </w:pPr>
            <w:r>
              <w:rPr>
                <w:noProof/>
                <w:color w:val="000000" w:themeColor="text1"/>
                <w:sz w:val="18"/>
              </w:rPr>
              <w:t>Enter as many years as necessary to show the duration of the impact (see point 1.6)</w:t>
            </w:r>
          </w:p>
        </w:tc>
        <w:tc>
          <w:tcPr>
            <w:tcW w:w="1777" w:type="dxa"/>
            <w:vAlign w:val="center"/>
          </w:tcPr>
          <w:p>
            <w:pPr>
              <w:jc w:val="center"/>
              <w:rPr>
                <w:b/>
                <w:noProof/>
                <w:color w:val="000000" w:themeColor="text1"/>
                <w:sz w:val="20"/>
              </w:rPr>
            </w:pPr>
            <w:r>
              <w:rPr>
                <w:b/>
                <w:noProof/>
                <w:color w:val="000000" w:themeColor="text1"/>
                <w:sz w:val="20"/>
              </w:rPr>
              <w:t>TOTAL</w:t>
            </w:r>
          </w:p>
        </w:tc>
      </w:tr>
      <w:tr>
        <w:trPr>
          <w:trHeight w:val="213"/>
        </w:trPr>
        <w:tc>
          <w:tcPr>
            <w:tcW w:w="6054" w:type="dxa"/>
            <w:gridSpan w:val="4"/>
            <w:vAlign w:val="center"/>
          </w:tcPr>
          <w:p>
            <w:pPr>
              <w:spacing w:before="20" w:after="20"/>
              <w:rPr>
                <w:noProof/>
                <w:color w:val="000000" w:themeColor="text1"/>
                <w:sz w:val="21"/>
              </w:rPr>
            </w:pPr>
            <w:r>
              <w:rPr>
                <w:noProof/>
                <w:color w:val="000000" w:themeColor="text1"/>
                <w:sz w:val="21"/>
              </w:rPr>
              <w:sym w:font="Wingdings" w:char="F09F"/>
            </w:r>
            <w:r>
              <w:rPr>
                <w:noProof/>
                <w:color w:val="000000" w:themeColor="text1"/>
                <w:sz w:val="21"/>
              </w:rPr>
              <w:t xml:space="preserve"> Operational appropriations </w:t>
            </w: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noProof/>
                <w:color w:val="000000" w:themeColor="text1"/>
                <w:sz w:val="20"/>
              </w:rPr>
            </w:pPr>
          </w:p>
        </w:tc>
        <w:tc>
          <w:tcPr>
            <w:tcW w:w="868" w:type="dxa"/>
            <w:vAlign w:val="center"/>
          </w:tcPr>
          <w:p>
            <w:pPr>
              <w:rPr>
                <w:b/>
                <w:noProof/>
                <w:color w:val="000000" w:themeColor="text1"/>
                <w:sz w:val="20"/>
              </w:rPr>
            </w:pPr>
          </w:p>
        </w:tc>
        <w:tc>
          <w:tcPr>
            <w:tcW w:w="1777" w:type="dxa"/>
            <w:vAlign w:val="center"/>
          </w:tcPr>
          <w:p>
            <w:pPr>
              <w:rPr>
                <w:b/>
                <w:noProof/>
                <w:color w:val="000000" w:themeColor="text1"/>
                <w:sz w:val="20"/>
              </w:rPr>
            </w:pPr>
          </w:p>
        </w:tc>
      </w:tr>
      <w:tr>
        <w:trPr>
          <w:trHeight w:val="277"/>
        </w:trPr>
        <w:tc>
          <w:tcPr>
            <w:tcW w:w="3960" w:type="dxa"/>
            <w:vMerge w:val="restart"/>
            <w:vAlign w:val="center"/>
          </w:tcPr>
          <w:p>
            <w:pPr>
              <w:rPr>
                <w:noProof/>
                <w:color w:val="000000" w:themeColor="text1"/>
                <w:sz w:val="22"/>
              </w:rPr>
            </w:pPr>
          </w:p>
        </w:tc>
        <w:tc>
          <w:tcPr>
            <w:tcW w:w="1440" w:type="dxa"/>
            <w:vAlign w:val="center"/>
          </w:tcPr>
          <w:p>
            <w:pPr>
              <w:spacing w:before="20" w:after="20"/>
              <w:rPr>
                <w:noProof/>
                <w:color w:val="000000" w:themeColor="text1"/>
                <w:sz w:val="18"/>
              </w:rPr>
            </w:pPr>
          </w:p>
        </w:tc>
        <w:tc>
          <w:tcPr>
            <w:tcW w:w="654" w:type="dxa"/>
            <w:gridSpan w:val="2"/>
            <w:vAlign w:val="center"/>
          </w:tcPr>
          <w:p>
            <w:pPr>
              <w:spacing w:before="20" w:after="20"/>
              <w:jc w:val="center"/>
              <w:rPr>
                <w:noProof/>
                <w:color w:val="000000" w:themeColor="text1"/>
                <w:sz w:val="14"/>
              </w:rPr>
            </w:pPr>
            <w:r>
              <w:rPr>
                <w:noProof/>
                <w:color w:val="000000" w:themeColor="text1"/>
                <w:sz w:val="14"/>
              </w:rPr>
              <w:t>(1)</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tcPr>
          <w:p>
            <w:pPr>
              <w:jc w:val="center"/>
              <w:rPr>
                <w:noProof/>
                <w:color w:val="000000" w:themeColor="text1"/>
                <w:sz w:val="20"/>
              </w:rPr>
            </w:pPr>
          </w:p>
        </w:tc>
        <w:tc>
          <w:tcPr>
            <w:tcW w:w="1440" w:type="dxa"/>
            <w:vAlign w:val="center"/>
          </w:tcPr>
          <w:p>
            <w:pPr>
              <w:spacing w:before="20" w:after="20"/>
              <w:rPr>
                <w:noProof/>
                <w:color w:val="000000" w:themeColor="text1"/>
                <w:sz w:val="18"/>
              </w:rPr>
            </w:pPr>
          </w:p>
        </w:tc>
        <w:tc>
          <w:tcPr>
            <w:tcW w:w="654" w:type="dxa"/>
            <w:gridSpan w:val="2"/>
            <w:vAlign w:val="center"/>
          </w:tcPr>
          <w:p>
            <w:pPr>
              <w:spacing w:before="20" w:after="20"/>
              <w:jc w:val="center"/>
              <w:rPr>
                <w:noProof/>
                <w:color w:val="000000" w:themeColor="text1"/>
                <w:sz w:val="14"/>
              </w:rPr>
            </w:pPr>
            <w:r>
              <w:rPr>
                <w:noProof/>
                <w:color w:val="000000" w:themeColor="text1"/>
                <w:sz w:val="14"/>
              </w:rPr>
              <w:t>(2)</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val="restart"/>
            <w:vAlign w:val="center"/>
          </w:tcPr>
          <w:p>
            <w:pPr>
              <w:rPr>
                <w:noProof/>
                <w:color w:val="000000" w:themeColor="text1"/>
                <w:sz w:val="22"/>
              </w:rPr>
            </w:pPr>
            <w:r>
              <w:rPr>
                <w:noProof/>
                <w:color w:val="000000" w:themeColor="text1"/>
                <w:sz w:val="20"/>
              </w:rPr>
              <w:t>15 04 02 – creative Europe – Culture Sub-programme</w:t>
            </w:r>
          </w:p>
        </w:tc>
        <w:tc>
          <w:tcPr>
            <w:tcW w:w="1440" w:type="dxa"/>
            <w:vAlign w:val="center"/>
          </w:tcPr>
          <w:p>
            <w:pPr>
              <w:spacing w:before="20" w:after="20"/>
              <w:rPr>
                <w:noProof/>
                <w:color w:val="000000" w:themeColor="text1"/>
                <w:sz w:val="18"/>
              </w:rPr>
            </w:pPr>
            <w:r>
              <w:rPr>
                <w:noProof/>
                <w:color w:val="000000" w:themeColor="text1"/>
                <w:sz w:val="18"/>
              </w:rPr>
              <w:t>Commitments</w:t>
            </w:r>
          </w:p>
        </w:tc>
        <w:tc>
          <w:tcPr>
            <w:tcW w:w="654" w:type="dxa"/>
            <w:gridSpan w:val="2"/>
            <w:vAlign w:val="center"/>
          </w:tcPr>
          <w:p>
            <w:pPr>
              <w:spacing w:before="20" w:after="20"/>
              <w:jc w:val="center"/>
              <w:rPr>
                <w:noProof/>
                <w:color w:val="000000" w:themeColor="text1"/>
                <w:sz w:val="14"/>
              </w:rPr>
            </w:pPr>
            <w:r>
              <w:rPr>
                <w:noProof/>
                <w:color w:val="000000" w:themeColor="text1"/>
                <w:sz w:val="14"/>
              </w:rPr>
              <w:t>(1a)</w:t>
            </w:r>
          </w:p>
        </w:tc>
        <w:tc>
          <w:tcPr>
            <w:tcW w:w="868" w:type="dxa"/>
            <w:vAlign w:val="center"/>
          </w:tcPr>
          <w:p>
            <w:pPr>
              <w:spacing w:before="20" w:after="20"/>
              <w:jc w:val="right"/>
              <w:rPr>
                <w:noProof/>
                <w:color w:val="000000" w:themeColor="text1"/>
                <w:sz w:val="20"/>
              </w:rPr>
            </w:pPr>
            <w:r>
              <w:rPr>
                <w:noProof/>
                <w:color w:val="000000" w:themeColor="text1"/>
                <w:sz w:val="20"/>
              </w:rPr>
              <w:t>1.000</w:t>
            </w:r>
          </w:p>
        </w:tc>
        <w:tc>
          <w:tcPr>
            <w:tcW w:w="868" w:type="dxa"/>
            <w:vAlign w:val="center"/>
          </w:tcPr>
          <w:p>
            <w:pPr>
              <w:spacing w:before="20" w:after="20"/>
              <w:jc w:val="right"/>
              <w:rPr>
                <w:noProof/>
                <w:color w:val="000000" w:themeColor="text1"/>
                <w:sz w:val="20"/>
              </w:rPr>
            </w:pPr>
            <w:r>
              <w:rPr>
                <w:noProof/>
                <w:color w:val="000000" w:themeColor="text1"/>
                <w:sz w:val="20"/>
              </w:rPr>
              <w:t>3.000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4.000</w:t>
            </w:r>
          </w:p>
        </w:tc>
      </w:tr>
      <w:tr>
        <w:tc>
          <w:tcPr>
            <w:tcW w:w="3960" w:type="dxa"/>
            <w:vMerge/>
          </w:tcPr>
          <w:p>
            <w:pPr>
              <w:jc w:val="center"/>
              <w:rPr>
                <w:noProof/>
                <w:color w:val="000000" w:themeColor="text1"/>
                <w:sz w:val="20"/>
              </w:rPr>
            </w:pPr>
          </w:p>
        </w:tc>
        <w:tc>
          <w:tcPr>
            <w:tcW w:w="1440" w:type="dxa"/>
            <w:vAlign w:val="center"/>
          </w:tcPr>
          <w:p>
            <w:pPr>
              <w:spacing w:before="20" w:after="20"/>
              <w:rPr>
                <w:noProof/>
                <w:color w:val="000000" w:themeColor="text1"/>
                <w:sz w:val="18"/>
              </w:rPr>
            </w:pPr>
            <w:r>
              <w:rPr>
                <w:noProof/>
                <w:color w:val="000000" w:themeColor="text1"/>
                <w:sz w:val="18"/>
              </w:rPr>
              <w:t>Payments</w:t>
            </w:r>
          </w:p>
        </w:tc>
        <w:tc>
          <w:tcPr>
            <w:tcW w:w="654" w:type="dxa"/>
            <w:gridSpan w:val="2"/>
            <w:vAlign w:val="center"/>
          </w:tcPr>
          <w:p>
            <w:pPr>
              <w:spacing w:before="20" w:after="20"/>
              <w:jc w:val="center"/>
              <w:rPr>
                <w:noProof/>
                <w:color w:val="000000" w:themeColor="text1"/>
                <w:sz w:val="14"/>
              </w:rPr>
            </w:pPr>
            <w:r>
              <w:rPr>
                <w:noProof/>
                <w:color w:val="000000" w:themeColor="text1"/>
                <w:sz w:val="14"/>
              </w:rPr>
              <w:t>(2a)</w:t>
            </w:r>
          </w:p>
        </w:tc>
        <w:tc>
          <w:tcPr>
            <w:tcW w:w="868" w:type="dxa"/>
            <w:vAlign w:val="center"/>
          </w:tcPr>
          <w:p>
            <w:pPr>
              <w:spacing w:before="20" w:after="20"/>
              <w:jc w:val="right"/>
              <w:rPr>
                <w:noProof/>
                <w:color w:val="000000" w:themeColor="text1"/>
                <w:sz w:val="20"/>
              </w:rPr>
            </w:pPr>
            <w:r>
              <w:rPr>
                <w:noProof/>
                <w:color w:val="000000" w:themeColor="text1"/>
                <w:sz w:val="20"/>
              </w:rPr>
              <w:t>0.500</w:t>
            </w:r>
          </w:p>
        </w:tc>
        <w:tc>
          <w:tcPr>
            <w:tcW w:w="868" w:type="dxa"/>
            <w:vAlign w:val="center"/>
          </w:tcPr>
          <w:p>
            <w:pPr>
              <w:spacing w:before="20" w:after="20"/>
              <w:jc w:val="right"/>
              <w:rPr>
                <w:noProof/>
                <w:color w:val="000000" w:themeColor="text1"/>
                <w:sz w:val="20"/>
              </w:rPr>
            </w:pPr>
            <w:r>
              <w:rPr>
                <w:noProof/>
                <w:color w:val="000000" w:themeColor="text1"/>
                <w:sz w:val="20"/>
              </w:rPr>
              <w:t>1.900</w:t>
            </w:r>
          </w:p>
        </w:tc>
        <w:tc>
          <w:tcPr>
            <w:tcW w:w="868" w:type="dxa"/>
            <w:vAlign w:val="center"/>
          </w:tcPr>
          <w:p>
            <w:pPr>
              <w:spacing w:before="20" w:after="20"/>
              <w:jc w:val="right"/>
              <w:rPr>
                <w:noProof/>
                <w:color w:val="000000" w:themeColor="text1"/>
                <w:sz w:val="20"/>
              </w:rPr>
            </w:pPr>
            <w:r>
              <w:rPr>
                <w:noProof/>
                <w:color w:val="000000" w:themeColor="text1"/>
                <w:sz w:val="20"/>
              </w:rPr>
              <w:t>1.100</w:t>
            </w:r>
          </w:p>
        </w:tc>
        <w:tc>
          <w:tcPr>
            <w:tcW w:w="868" w:type="dxa"/>
            <w:vAlign w:val="center"/>
          </w:tcPr>
          <w:p>
            <w:pPr>
              <w:spacing w:before="20" w:after="20"/>
              <w:jc w:val="right"/>
              <w:rPr>
                <w:noProof/>
                <w:color w:val="000000" w:themeColor="text1"/>
                <w:sz w:val="20"/>
              </w:rPr>
            </w:pPr>
            <w:r>
              <w:rPr>
                <w:noProof/>
                <w:color w:val="000000" w:themeColor="text1"/>
                <w:sz w:val="20"/>
              </w:rPr>
              <w:t>0.500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4.000</w:t>
            </w:r>
          </w:p>
        </w:tc>
      </w:tr>
      <w:tr>
        <w:trPr>
          <w:trHeight w:val="231"/>
        </w:trPr>
        <w:tc>
          <w:tcPr>
            <w:tcW w:w="6054" w:type="dxa"/>
            <w:gridSpan w:val="4"/>
            <w:vAlign w:val="center"/>
          </w:tcPr>
          <w:p>
            <w:pPr>
              <w:spacing w:before="20" w:after="20"/>
              <w:rPr>
                <w:noProof/>
                <w:color w:val="000000" w:themeColor="text1"/>
                <w:sz w:val="22"/>
              </w:rPr>
            </w:pPr>
            <w:r>
              <w:rPr>
                <w:noProof/>
                <w:color w:val="000000" w:themeColor="text1"/>
                <w:sz w:val="21"/>
              </w:rPr>
              <w:t>Appropriations of an administrative nature financed from the envelope of specific programmes</w:t>
            </w:r>
            <w:r>
              <w:rPr>
                <w:rStyle w:val="FootnoteReference"/>
                <w:noProof/>
                <w:color w:val="000000" w:themeColor="text1"/>
                <w:sz w:val="21"/>
              </w:rPr>
              <w:footnoteReference w:id="34"/>
            </w:r>
            <w:r>
              <w:rPr>
                <w:noProof/>
                <w:color w:val="000000" w:themeColor="text1"/>
                <w:sz w:val="21"/>
              </w:rPr>
              <w:t xml:space="preserve"> </w:t>
            </w:r>
          </w:p>
          <w:p>
            <w:pPr>
              <w:spacing w:before="0" w:after="0"/>
              <w:rPr>
                <w:noProof/>
                <w:color w:val="000000" w:themeColor="text1"/>
                <w:sz w:val="22"/>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868" w:type="dxa"/>
            <w:vAlign w:val="center"/>
          </w:tcPr>
          <w:p>
            <w:pPr>
              <w:rPr>
                <w:b/>
                <w:noProof/>
                <w:color w:val="000000" w:themeColor="text1"/>
                <w:sz w:val="20"/>
              </w:rPr>
            </w:pPr>
          </w:p>
        </w:tc>
        <w:tc>
          <w:tcPr>
            <w:tcW w:w="1777" w:type="dxa"/>
            <w:vAlign w:val="center"/>
          </w:tcPr>
          <w:p>
            <w:pPr>
              <w:rPr>
                <w:b/>
                <w:noProof/>
                <w:color w:val="000000" w:themeColor="text1"/>
                <w:sz w:val="20"/>
              </w:rPr>
            </w:pPr>
          </w:p>
        </w:tc>
      </w:tr>
      <w:tr>
        <w:trPr>
          <w:trHeight w:val="319"/>
        </w:trPr>
        <w:tc>
          <w:tcPr>
            <w:tcW w:w="3960" w:type="dxa"/>
            <w:vAlign w:val="center"/>
          </w:tcPr>
          <w:p>
            <w:pPr>
              <w:spacing w:before="60" w:after="60"/>
              <w:rPr>
                <w:noProof/>
                <w:color w:val="000000" w:themeColor="text1"/>
                <w:sz w:val="22"/>
              </w:rPr>
            </w:pPr>
            <w:r>
              <w:rPr>
                <w:noProof/>
                <w:color w:val="000000" w:themeColor="text1"/>
                <w:sz w:val="20"/>
              </w:rPr>
              <w:t>Number of budget line</w:t>
            </w:r>
          </w:p>
        </w:tc>
        <w:tc>
          <w:tcPr>
            <w:tcW w:w="1440" w:type="dxa"/>
            <w:vAlign w:val="center"/>
          </w:tcPr>
          <w:p>
            <w:pPr>
              <w:spacing w:before="40" w:after="40"/>
              <w:jc w:val="right"/>
              <w:rPr>
                <w:noProof/>
                <w:color w:val="000000" w:themeColor="text1"/>
                <w:sz w:val="18"/>
              </w:rPr>
            </w:pPr>
          </w:p>
        </w:tc>
        <w:tc>
          <w:tcPr>
            <w:tcW w:w="654" w:type="dxa"/>
            <w:gridSpan w:val="2"/>
            <w:vAlign w:val="center"/>
          </w:tcPr>
          <w:p>
            <w:pPr>
              <w:spacing w:before="40" w:after="40"/>
              <w:jc w:val="center"/>
              <w:rPr>
                <w:noProof/>
                <w:color w:val="000000" w:themeColor="text1"/>
                <w:sz w:val="14"/>
              </w:rPr>
            </w:pPr>
            <w:r>
              <w:rPr>
                <w:noProof/>
                <w:color w:val="000000" w:themeColor="text1"/>
                <w:sz w:val="14"/>
              </w:rPr>
              <w:t>(3)</w:t>
            </w: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868" w:type="dxa"/>
            <w:vAlign w:val="center"/>
          </w:tcPr>
          <w:p>
            <w:pPr>
              <w:spacing w:before="40" w:after="40"/>
              <w:jc w:val="right"/>
              <w:rPr>
                <w:b/>
                <w:noProof/>
                <w:color w:val="000000" w:themeColor="text1"/>
                <w:sz w:val="20"/>
              </w:rPr>
            </w:pPr>
          </w:p>
        </w:tc>
        <w:tc>
          <w:tcPr>
            <w:tcW w:w="1777" w:type="dxa"/>
            <w:vAlign w:val="center"/>
          </w:tcPr>
          <w:p>
            <w:pPr>
              <w:spacing w:before="40" w:after="40"/>
              <w:jc w:val="right"/>
              <w:rPr>
                <w:b/>
                <w:noProof/>
                <w:color w:val="000000" w:themeColor="text1"/>
                <w:sz w:val="20"/>
              </w:rPr>
            </w:pPr>
          </w:p>
        </w:tc>
      </w:tr>
      <w:tr>
        <w:tc>
          <w:tcPr>
            <w:tcW w:w="3960" w:type="dxa"/>
            <w:vMerge w:val="restart"/>
            <w:vAlign w:val="center"/>
          </w:tcPr>
          <w:p>
            <w:pPr>
              <w:jc w:val="center"/>
              <w:rPr>
                <w:b/>
                <w:noProof/>
                <w:color w:val="000000" w:themeColor="text1"/>
                <w:sz w:val="22"/>
              </w:rPr>
            </w:pPr>
            <w:r>
              <w:rPr>
                <w:b/>
                <w:noProof/>
                <w:color w:val="000000" w:themeColor="text1"/>
                <w:sz w:val="22"/>
              </w:rPr>
              <w:t>TOTAL appropriations</w:t>
            </w:r>
            <w:r>
              <w:rPr>
                <w:noProof/>
                <w:color w:val="000000" w:themeColor="text1"/>
                <w:sz w:val="22"/>
              </w:rPr>
              <w:br/>
            </w:r>
            <w:r>
              <w:rPr>
                <w:b/>
                <w:noProof/>
                <w:color w:val="000000" w:themeColor="text1"/>
                <w:sz w:val="22"/>
              </w:rPr>
              <w:t>for DG EAC</w:t>
            </w:r>
            <w:r>
              <w:rPr>
                <w:noProof/>
                <w:color w:val="000000" w:themeColor="text1"/>
                <w:sz w:val="22"/>
              </w:rPr>
              <w:t>*</w:t>
            </w:r>
          </w:p>
        </w:tc>
        <w:tc>
          <w:tcPr>
            <w:tcW w:w="1440" w:type="dxa"/>
            <w:vAlign w:val="center"/>
          </w:tcPr>
          <w:p>
            <w:pPr>
              <w:rPr>
                <w:noProof/>
                <w:color w:val="000000" w:themeColor="text1"/>
                <w:sz w:val="18"/>
              </w:rPr>
            </w:pPr>
            <w:r>
              <w:rPr>
                <w:noProof/>
                <w:color w:val="000000" w:themeColor="text1"/>
                <w:sz w:val="18"/>
              </w:rPr>
              <w:t>Commitments</w:t>
            </w:r>
          </w:p>
        </w:tc>
        <w:tc>
          <w:tcPr>
            <w:tcW w:w="654" w:type="dxa"/>
            <w:gridSpan w:val="2"/>
            <w:vAlign w:val="center"/>
          </w:tcPr>
          <w:p>
            <w:pPr>
              <w:jc w:val="center"/>
              <w:rPr>
                <w:noProof/>
                <w:color w:val="000000" w:themeColor="text1"/>
                <w:sz w:val="14"/>
              </w:rPr>
            </w:pPr>
            <w:r>
              <w:rPr>
                <w:noProof/>
                <w:color w:val="000000" w:themeColor="text1"/>
                <w:sz w:val="14"/>
              </w:rPr>
              <w:t>=1+1a +3</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tcPr>
          <w:p>
            <w:pPr>
              <w:rPr>
                <w:noProof/>
                <w:color w:val="000000" w:themeColor="text1"/>
                <w:sz w:val="20"/>
              </w:rPr>
            </w:pPr>
          </w:p>
        </w:tc>
        <w:tc>
          <w:tcPr>
            <w:tcW w:w="1440" w:type="dxa"/>
            <w:vAlign w:val="center"/>
          </w:tcPr>
          <w:p>
            <w:pPr>
              <w:rPr>
                <w:noProof/>
                <w:color w:val="000000" w:themeColor="text1"/>
                <w:sz w:val="18"/>
              </w:rPr>
            </w:pPr>
            <w:r>
              <w:rPr>
                <w:noProof/>
                <w:color w:val="000000" w:themeColor="text1"/>
                <w:sz w:val="18"/>
              </w:rPr>
              <w:t>Payments</w:t>
            </w:r>
          </w:p>
        </w:tc>
        <w:tc>
          <w:tcPr>
            <w:tcW w:w="654" w:type="dxa"/>
            <w:gridSpan w:val="2"/>
            <w:vAlign w:val="center"/>
          </w:tcPr>
          <w:p>
            <w:pPr>
              <w:jc w:val="center"/>
              <w:rPr>
                <w:noProof/>
                <w:color w:val="000000" w:themeColor="text1"/>
                <w:sz w:val="14"/>
              </w:rPr>
            </w:pPr>
            <w:r>
              <w:rPr>
                <w:noProof/>
                <w:color w:val="000000" w:themeColor="text1"/>
                <w:sz w:val="14"/>
              </w:rPr>
              <w:t>=2+2a</w:t>
            </w:r>
          </w:p>
          <w:p>
            <w:pPr>
              <w:jc w:val="center"/>
              <w:rPr>
                <w:noProof/>
                <w:color w:val="000000" w:themeColor="text1"/>
                <w:sz w:val="14"/>
              </w:rPr>
            </w:pPr>
            <w:r>
              <w:rPr>
                <w:noProof/>
                <w:color w:val="000000" w:themeColor="text1"/>
                <w:sz w:val="14"/>
              </w:rPr>
              <w:t>+3</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bl>
    <w:p>
      <w:pPr>
        <w:rPr>
          <w:noProof/>
          <w:color w:val="000000" w:themeColor="text1"/>
        </w:rPr>
      </w:pPr>
      <w:r>
        <w:rPr>
          <w:noProof/>
          <w:color w:val="000000" w:themeColor="text1"/>
        </w:rPr>
        <w:br/>
      </w:r>
      <w:r>
        <w:rPr>
          <w:noProof/>
          <w:color w:val="000000" w:themeColor="text1"/>
        </w:rPr>
        <w:br/>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vAlign w:val="center"/>
          </w:tcPr>
          <w:p>
            <w:pPr>
              <w:spacing w:before="20" w:after="20"/>
              <w:rPr>
                <w:noProof/>
                <w:color w:val="000000" w:themeColor="text1"/>
                <w:sz w:val="22"/>
              </w:rPr>
            </w:pPr>
            <w:r>
              <w:rPr>
                <w:noProof/>
                <w:color w:val="000000" w:themeColor="text1"/>
                <w:sz w:val="22"/>
              </w:rPr>
              <w:br w:type="page"/>
            </w:r>
            <w:r>
              <w:rPr>
                <w:noProof/>
                <w:color w:val="000000" w:themeColor="text1"/>
                <w:sz w:val="21"/>
              </w:rPr>
              <w:sym w:font="Wingdings" w:char="F09F"/>
            </w:r>
            <w:r>
              <w:rPr>
                <w:noProof/>
                <w:color w:val="000000" w:themeColor="text1"/>
                <w:sz w:val="21"/>
              </w:rPr>
              <w:t xml:space="preserve"> TOTAL operational appropriations </w:t>
            </w:r>
          </w:p>
        </w:tc>
        <w:tc>
          <w:tcPr>
            <w:tcW w:w="1440" w:type="dxa"/>
            <w:vAlign w:val="center"/>
          </w:tcPr>
          <w:p>
            <w:pPr>
              <w:spacing w:beforeLines="20" w:before="48" w:afterLines="20" w:after="48"/>
              <w:rPr>
                <w:noProof/>
                <w:color w:val="000000" w:themeColor="text1"/>
                <w:sz w:val="18"/>
              </w:rPr>
            </w:pPr>
            <w:r>
              <w:rPr>
                <w:noProof/>
                <w:color w:val="000000" w:themeColor="text1"/>
                <w:sz w:val="18"/>
              </w:rPr>
              <w:t>Commitments</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(4)</w:t>
            </w:r>
          </w:p>
        </w:tc>
        <w:tc>
          <w:tcPr>
            <w:tcW w:w="868" w:type="dxa"/>
            <w:vAlign w:val="center"/>
          </w:tcPr>
          <w:p>
            <w:pPr>
              <w:spacing w:before="20" w:after="20"/>
              <w:jc w:val="right"/>
              <w:rPr>
                <w:noProof/>
                <w:color w:val="000000" w:themeColor="text1"/>
                <w:sz w:val="20"/>
              </w:rPr>
            </w:pPr>
            <w:r>
              <w:rPr>
                <w:noProof/>
                <w:color w:val="000000" w:themeColor="text1"/>
                <w:sz w:val="20"/>
              </w:rPr>
              <w:t>1.000</w:t>
            </w:r>
          </w:p>
        </w:tc>
        <w:tc>
          <w:tcPr>
            <w:tcW w:w="868" w:type="dxa"/>
            <w:vAlign w:val="center"/>
          </w:tcPr>
          <w:p>
            <w:pPr>
              <w:spacing w:before="20" w:after="20"/>
              <w:jc w:val="right"/>
              <w:rPr>
                <w:noProof/>
                <w:color w:val="000000" w:themeColor="text1"/>
                <w:sz w:val="20"/>
              </w:rPr>
            </w:pPr>
            <w:r>
              <w:rPr>
                <w:noProof/>
                <w:color w:val="000000" w:themeColor="text1"/>
                <w:sz w:val="20"/>
              </w:rPr>
              <w:t>3.000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4.000</w:t>
            </w:r>
          </w:p>
        </w:tc>
      </w:tr>
      <w:tr>
        <w:tc>
          <w:tcPr>
            <w:tcW w:w="3960" w:type="dxa"/>
            <w:vMerge/>
          </w:tcPr>
          <w:p>
            <w:pPr>
              <w:jc w:val="center"/>
              <w:rPr>
                <w:noProof/>
                <w:color w:val="000000" w:themeColor="text1"/>
                <w:sz w:val="20"/>
              </w:rPr>
            </w:pPr>
          </w:p>
        </w:tc>
        <w:tc>
          <w:tcPr>
            <w:tcW w:w="1440" w:type="dxa"/>
            <w:vAlign w:val="center"/>
          </w:tcPr>
          <w:p>
            <w:pPr>
              <w:spacing w:beforeLines="20" w:before="48" w:afterLines="20" w:after="48"/>
              <w:rPr>
                <w:noProof/>
                <w:color w:val="000000" w:themeColor="text1"/>
                <w:sz w:val="18"/>
              </w:rPr>
            </w:pPr>
            <w:r>
              <w:rPr>
                <w:noProof/>
                <w:color w:val="000000" w:themeColor="text1"/>
                <w:sz w:val="18"/>
              </w:rPr>
              <w:t>Payments</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(5)</w:t>
            </w:r>
          </w:p>
        </w:tc>
        <w:tc>
          <w:tcPr>
            <w:tcW w:w="868" w:type="dxa"/>
            <w:vAlign w:val="center"/>
          </w:tcPr>
          <w:p>
            <w:pPr>
              <w:spacing w:before="20" w:after="20"/>
              <w:jc w:val="right"/>
              <w:rPr>
                <w:noProof/>
                <w:color w:val="000000" w:themeColor="text1"/>
                <w:sz w:val="20"/>
              </w:rPr>
            </w:pPr>
            <w:r>
              <w:rPr>
                <w:noProof/>
                <w:color w:val="000000" w:themeColor="text1"/>
                <w:sz w:val="20"/>
              </w:rPr>
              <w:t>0.500</w:t>
            </w:r>
          </w:p>
        </w:tc>
        <w:tc>
          <w:tcPr>
            <w:tcW w:w="868" w:type="dxa"/>
            <w:vAlign w:val="center"/>
          </w:tcPr>
          <w:p>
            <w:pPr>
              <w:spacing w:before="20" w:after="20"/>
              <w:jc w:val="right"/>
              <w:rPr>
                <w:noProof/>
                <w:color w:val="000000" w:themeColor="text1"/>
                <w:sz w:val="20"/>
              </w:rPr>
            </w:pPr>
            <w:r>
              <w:rPr>
                <w:noProof/>
                <w:color w:val="000000" w:themeColor="text1"/>
                <w:sz w:val="20"/>
              </w:rPr>
              <w:t>1.900</w:t>
            </w:r>
          </w:p>
        </w:tc>
        <w:tc>
          <w:tcPr>
            <w:tcW w:w="868" w:type="dxa"/>
            <w:vAlign w:val="center"/>
          </w:tcPr>
          <w:p>
            <w:pPr>
              <w:spacing w:before="20" w:after="20"/>
              <w:jc w:val="right"/>
              <w:rPr>
                <w:noProof/>
                <w:color w:val="000000" w:themeColor="text1"/>
                <w:sz w:val="20"/>
              </w:rPr>
            </w:pPr>
            <w:r>
              <w:rPr>
                <w:noProof/>
                <w:color w:val="000000" w:themeColor="text1"/>
                <w:sz w:val="20"/>
              </w:rPr>
              <w:t>1.100</w:t>
            </w:r>
          </w:p>
        </w:tc>
        <w:tc>
          <w:tcPr>
            <w:tcW w:w="868" w:type="dxa"/>
            <w:vAlign w:val="center"/>
          </w:tcPr>
          <w:p>
            <w:pPr>
              <w:spacing w:before="20" w:after="20"/>
              <w:jc w:val="right"/>
              <w:rPr>
                <w:noProof/>
                <w:color w:val="000000" w:themeColor="text1"/>
                <w:sz w:val="20"/>
              </w:rPr>
            </w:pPr>
            <w:r>
              <w:rPr>
                <w:noProof/>
                <w:color w:val="000000" w:themeColor="text1"/>
                <w:sz w:val="20"/>
              </w:rPr>
              <w:t>0.500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4.000</w:t>
            </w:r>
          </w:p>
        </w:tc>
      </w:tr>
      <w:tr>
        <w:trPr>
          <w:trHeight w:val="533"/>
        </w:trPr>
        <w:tc>
          <w:tcPr>
            <w:tcW w:w="5400" w:type="dxa"/>
            <w:gridSpan w:val="2"/>
            <w:vAlign w:val="center"/>
          </w:tcPr>
          <w:p>
            <w:pPr>
              <w:spacing w:beforeLines="20" w:before="48" w:afterLines="20" w:after="48"/>
              <w:rPr>
                <w:noProof/>
                <w:color w:val="000000" w:themeColor="text1"/>
                <w:sz w:val="22"/>
              </w:rPr>
            </w:pPr>
            <w:r>
              <w:rPr>
                <w:noProof/>
                <w:color w:val="000000" w:themeColor="text1"/>
                <w:sz w:val="21"/>
              </w:rPr>
              <w:sym w:font="Wingdings" w:char="F09F"/>
            </w:r>
            <w:r>
              <w:rPr>
                <w:noProof/>
                <w:color w:val="000000" w:themeColor="text1"/>
                <w:sz w:val="21"/>
              </w:rPr>
              <w:t xml:space="preserve"> TOTAL appropriations of an administrative nature financed from the envelope for specific programmes </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(6)</w:t>
            </w: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val="restart"/>
            <w:shd w:val="thinDiagStripe" w:color="C0C0C0" w:fill="auto"/>
            <w:vAlign w:val="center"/>
          </w:tcPr>
          <w:p>
            <w:pPr>
              <w:jc w:val="center"/>
              <w:rPr>
                <w:b/>
                <w:noProof/>
                <w:color w:val="000000" w:themeColor="text1"/>
                <w:sz w:val="22"/>
              </w:rPr>
            </w:pPr>
            <w:r>
              <w:rPr>
                <w:b/>
                <w:noProof/>
                <w:color w:val="000000" w:themeColor="text1"/>
                <w:sz w:val="22"/>
              </w:rPr>
              <w:t xml:space="preserve">TOTAL appropriations </w:t>
            </w:r>
            <w:r>
              <w:rPr>
                <w:noProof/>
                <w:color w:val="000000" w:themeColor="text1"/>
                <w:sz w:val="22"/>
              </w:rPr>
              <w:br/>
            </w:r>
            <w:r>
              <w:rPr>
                <w:b/>
                <w:noProof/>
                <w:color w:val="000000" w:themeColor="text1"/>
                <w:sz w:val="22"/>
              </w:rPr>
              <w:t>under HEADING &lt;….&gt;</w:t>
            </w:r>
            <w:r>
              <w:rPr>
                <w:noProof/>
                <w:color w:val="000000" w:themeColor="text1"/>
                <w:sz w:val="22"/>
              </w:rPr>
              <w:br/>
              <w:t>of the multiannual financial framework</w:t>
            </w:r>
          </w:p>
        </w:tc>
        <w:tc>
          <w:tcPr>
            <w:tcW w:w="1440" w:type="dxa"/>
            <w:vAlign w:val="center"/>
          </w:tcPr>
          <w:p>
            <w:pPr>
              <w:rPr>
                <w:noProof/>
                <w:color w:val="000000" w:themeColor="text1"/>
                <w:sz w:val="18"/>
              </w:rPr>
            </w:pPr>
            <w:r>
              <w:rPr>
                <w:noProof/>
                <w:color w:val="000000" w:themeColor="text1"/>
                <w:sz w:val="18"/>
              </w:rPr>
              <w:t>Commitments</w:t>
            </w:r>
          </w:p>
        </w:tc>
        <w:tc>
          <w:tcPr>
            <w:tcW w:w="654" w:type="dxa"/>
            <w:vAlign w:val="center"/>
          </w:tcPr>
          <w:p>
            <w:pPr>
              <w:jc w:val="center"/>
              <w:rPr>
                <w:noProof/>
                <w:color w:val="000000" w:themeColor="text1"/>
                <w:sz w:val="14"/>
              </w:rPr>
            </w:pPr>
            <w:r>
              <w:rPr>
                <w:noProof/>
                <w:color w:val="000000" w:themeColor="text1"/>
                <w:sz w:val="14"/>
              </w:rPr>
              <w:t>=4+ 6</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shd w:val="thinDiagStripe" w:color="C0C0C0" w:fill="auto"/>
          </w:tcPr>
          <w:p>
            <w:pPr>
              <w:rPr>
                <w:noProof/>
                <w:color w:val="000000" w:themeColor="text1"/>
                <w:sz w:val="20"/>
              </w:rPr>
            </w:pPr>
          </w:p>
        </w:tc>
        <w:tc>
          <w:tcPr>
            <w:tcW w:w="1440" w:type="dxa"/>
            <w:vAlign w:val="center"/>
          </w:tcPr>
          <w:p>
            <w:pPr>
              <w:rPr>
                <w:noProof/>
                <w:color w:val="000000" w:themeColor="text1"/>
                <w:sz w:val="18"/>
              </w:rPr>
            </w:pPr>
            <w:r>
              <w:rPr>
                <w:noProof/>
                <w:color w:val="000000" w:themeColor="text1"/>
                <w:sz w:val="18"/>
              </w:rPr>
              <w:t>Payments</w:t>
            </w:r>
          </w:p>
        </w:tc>
        <w:tc>
          <w:tcPr>
            <w:tcW w:w="654" w:type="dxa"/>
            <w:vAlign w:val="center"/>
          </w:tcPr>
          <w:p>
            <w:pPr>
              <w:jc w:val="center"/>
              <w:rPr>
                <w:noProof/>
                <w:color w:val="000000" w:themeColor="text1"/>
                <w:sz w:val="14"/>
              </w:rPr>
            </w:pPr>
            <w:r>
              <w:rPr>
                <w:noProof/>
                <w:color w:val="000000" w:themeColor="text1"/>
                <w:sz w:val="14"/>
              </w:rPr>
              <w:t>=5+ 6</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bl>
    <w:p>
      <w:pPr>
        <w:spacing w:after="40"/>
        <w:rPr>
          <w:b/>
          <w:noProof/>
          <w:color w:val="000000" w:themeColor="text1"/>
          <w:sz w:val="22"/>
          <w:u w:val="single"/>
        </w:rPr>
      </w:pPr>
      <w:r>
        <w:rPr>
          <w:b/>
          <w:noProof/>
          <w:color w:val="000000" w:themeColor="text1"/>
          <w:sz w:val="22"/>
          <w:u w:val="single"/>
        </w:rPr>
        <w:t>If more than one heading is affected by the proposal / initiative:</w:t>
      </w:r>
    </w:p>
    <w:tbl>
      <w:tblPr>
        <w:tblW w:w="0" w:type="auto"/>
        <w:tblInd w:w="-252" w:type="dxa"/>
        <w:tblBorders>
          <w:top w:val="single" w:sz="4" w:space="0" w:color="FF0000"/>
          <w:left w:val="single" w:sz="4" w:space="0" w:color="FF0000"/>
          <w:bottom w:val="single" w:sz="4" w:space="0" w:color="FF0000"/>
          <w:right w:val="single" w:sz="4" w:space="0" w:color="FF0000"/>
          <w:insideH w:val="single" w:sz="4" w:space="0" w:color="auto"/>
          <w:insideV w:val="single" w:sz="4" w:space="0" w:color="auto"/>
        </w:tblBorders>
        <w:tblLayout w:type="fixed"/>
        <w:tblLook w:val="01E0" w:firstRow="1" w:lastRow="1" w:firstColumn="1" w:lastColumn="1" w:noHBand="0" w:noVBand="0"/>
      </w:tblPr>
      <w:tblGrid>
        <w:gridCol w:w="3960"/>
        <w:gridCol w:w="1440"/>
        <w:gridCol w:w="654"/>
        <w:gridCol w:w="868"/>
        <w:gridCol w:w="868"/>
        <w:gridCol w:w="868"/>
        <w:gridCol w:w="868"/>
        <w:gridCol w:w="868"/>
        <w:gridCol w:w="868"/>
        <w:gridCol w:w="868"/>
        <w:gridCol w:w="1777"/>
      </w:tblGrid>
      <w:tr>
        <w:trPr>
          <w:trHeight w:val="277"/>
        </w:trPr>
        <w:tc>
          <w:tcPr>
            <w:tcW w:w="3960" w:type="dxa"/>
            <w:vMerge w:val="restart"/>
            <w:tcBorders>
              <w:top w:val="single" w:sz="4" w:space="0" w:color="FF0000"/>
              <w:left w:val="single" w:sz="4" w:space="0" w:color="auto"/>
              <w:bottom w:val="single" w:sz="4" w:space="0" w:color="FF0000"/>
            </w:tcBorders>
            <w:vAlign w:val="center"/>
          </w:tcPr>
          <w:p>
            <w:pPr>
              <w:spacing w:before="20" w:after="20"/>
              <w:rPr>
                <w:noProof/>
                <w:color w:val="000000" w:themeColor="text1"/>
                <w:sz w:val="22"/>
              </w:rPr>
            </w:pPr>
            <w:r>
              <w:rPr>
                <w:noProof/>
                <w:color w:val="000000" w:themeColor="text1"/>
                <w:sz w:val="21"/>
              </w:rPr>
              <w:sym w:font="Wingdings" w:char="F09F"/>
            </w:r>
            <w:r>
              <w:rPr>
                <w:noProof/>
                <w:color w:val="000000" w:themeColor="text1"/>
                <w:sz w:val="21"/>
              </w:rPr>
              <w:t xml:space="preserve"> TOTAL operational appropriations </w:t>
            </w:r>
          </w:p>
        </w:tc>
        <w:tc>
          <w:tcPr>
            <w:tcW w:w="1440" w:type="dxa"/>
            <w:tcBorders>
              <w:top w:val="single" w:sz="4" w:space="0" w:color="FF0000"/>
            </w:tcBorders>
            <w:vAlign w:val="center"/>
          </w:tcPr>
          <w:p>
            <w:pPr>
              <w:spacing w:beforeLines="20" w:before="48" w:afterLines="20" w:after="48"/>
              <w:rPr>
                <w:noProof/>
                <w:color w:val="000000" w:themeColor="text1"/>
                <w:sz w:val="18"/>
              </w:rPr>
            </w:pPr>
            <w:r>
              <w:rPr>
                <w:noProof/>
                <w:color w:val="000000" w:themeColor="text1"/>
                <w:sz w:val="18"/>
              </w:rPr>
              <w:t>Commitments</w:t>
            </w:r>
          </w:p>
        </w:tc>
        <w:tc>
          <w:tcPr>
            <w:tcW w:w="654" w:type="dxa"/>
            <w:tcBorders>
              <w:top w:val="single" w:sz="4" w:space="0" w:color="FF0000"/>
            </w:tcBorders>
            <w:vAlign w:val="center"/>
          </w:tcPr>
          <w:p>
            <w:pPr>
              <w:spacing w:beforeLines="20" w:before="48" w:afterLines="20" w:after="48"/>
              <w:jc w:val="center"/>
              <w:rPr>
                <w:noProof/>
                <w:color w:val="000000" w:themeColor="text1"/>
                <w:sz w:val="14"/>
              </w:rPr>
            </w:pPr>
            <w:r>
              <w:rPr>
                <w:noProof/>
                <w:color w:val="000000" w:themeColor="text1"/>
                <w:sz w:val="14"/>
              </w:rPr>
              <w:t>(4)</w:t>
            </w: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noProof/>
                <w:color w:val="000000" w:themeColor="text1"/>
                <w:sz w:val="20"/>
              </w:rPr>
            </w:pPr>
          </w:p>
        </w:tc>
        <w:tc>
          <w:tcPr>
            <w:tcW w:w="868" w:type="dxa"/>
            <w:tcBorders>
              <w:top w:val="single" w:sz="4" w:space="0" w:color="FF0000"/>
            </w:tcBorders>
            <w:vAlign w:val="center"/>
          </w:tcPr>
          <w:p>
            <w:pPr>
              <w:spacing w:before="20" w:after="20"/>
              <w:jc w:val="right"/>
              <w:rPr>
                <w:b/>
                <w:noProof/>
                <w:color w:val="000000" w:themeColor="text1"/>
                <w:sz w:val="20"/>
              </w:rPr>
            </w:pPr>
          </w:p>
        </w:tc>
        <w:tc>
          <w:tcPr>
            <w:tcW w:w="1777" w:type="dxa"/>
            <w:tcBorders>
              <w:top w:val="single" w:sz="4" w:space="0" w:color="FF0000"/>
              <w:right w:val="single" w:sz="4" w:space="0" w:color="auto"/>
            </w:tcBorders>
            <w:vAlign w:val="center"/>
          </w:tcPr>
          <w:p>
            <w:pPr>
              <w:spacing w:before="20" w:after="20"/>
              <w:jc w:val="right"/>
              <w:rPr>
                <w:b/>
                <w:noProof/>
                <w:color w:val="000000" w:themeColor="text1"/>
                <w:sz w:val="20"/>
              </w:rPr>
            </w:pPr>
          </w:p>
        </w:tc>
      </w:tr>
      <w:tr>
        <w:tc>
          <w:tcPr>
            <w:tcW w:w="3960" w:type="dxa"/>
            <w:vMerge/>
            <w:tcBorders>
              <w:top w:val="single" w:sz="4" w:space="0" w:color="FF0000"/>
              <w:left w:val="single" w:sz="4" w:space="0" w:color="auto"/>
              <w:bottom w:val="single" w:sz="4" w:space="0" w:color="FF0000"/>
            </w:tcBorders>
          </w:tcPr>
          <w:p>
            <w:pPr>
              <w:jc w:val="center"/>
              <w:rPr>
                <w:noProof/>
                <w:color w:val="000000" w:themeColor="text1"/>
                <w:sz w:val="20"/>
              </w:rPr>
            </w:pPr>
          </w:p>
        </w:tc>
        <w:tc>
          <w:tcPr>
            <w:tcW w:w="1440" w:type="dxa"/>
            <w:vAlign w:val="center"/>
          </w:tcPr>
          <w:p>
            <w:pPr>
              <w:spacing w:beforeLines="20" w:before="48" w:afterLines="20" w:after="48"/>
              <w:rPr>
                <w:noProof/>
                <w:color w:val="000000" w:themeColor="text1"/>
                <w:sz w:val="18"/>
              </w:rPr>
            </w:pPr>
            <w:r>
              <w:rPr>
                <w:noProof/>
                <w:color w:val="000000" w:themeColor="text1"/>
                <w:sz w:val="18"/>
              </w:rPr>
              <w:t>Payments</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(5)</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tcBorders>
              <w:right w:val="single" w:sz="4" w:space="0" w:color="auto"/>
            </w:tcBorders>
            <w:vAlign w:val="center"/>
          </w:tcPr>
          <w:p>
            <w:pPr>
              <w:spacing w:before="20" w:after="20"/>
              <w:jc w:val="right"/>
              <w:rPr>
                <w:b/>
                <w:noProof/>
                <w:color w:val="000000" w:themeColor="text1"/>
                <w:sz w:val="20"/>
              </w:rPr>
            </w:pPr>
          </w:p>
        </w:tc>
      </w:tr>
      <w:tr>
        <w:tblPrEx>
          <w:tblBorders>
            <w:top w:val="single" w:sz="4" w:space="0" w:color="auto"/>
            <w:left w:val="single" w:sz="4" w:space="0" w:color="auto"/>
            <w:bottom w:val="single" w:sz="4" w:space="0" w:color="auto"/>
            <w:right w:val="single" w:sz="4" w:space="0" w:color="auto"/>
          </w:tblBorders>
        </w:tblPrEx>
        <w:trPr>
          <w:trHeight w:val="533"/>
        </w:trPr>
        <w:tc>
          <w:tcPr>
            <w:tcW w:w="5400" w:type="dxa"/>
            <w:gridSpan w:val="2"/>
            <w:vAlign w:val="center"/>
          </w:tcPr>
          <w:p>
            <w:pPr>
              <w:spacing w:beforeLines="20" w:before="48" w:afterLines="20" w:after="48"/>
              <w:rPr>
                <w:noProof/>
                <w:color w:val="000000" w:themeColor="text1"/>
                <w:sz w:val="22"/>
              </w:rPr>
            </w:pPr>
            <w:r>
              <w:rPr>
                <w:noProof/>
                <w:color w:val="000000" w:themeColor="text1"/>
                <w:sz w:val="21"/>
              </w:rPr>
              <w:sym w:font="Wingdings" w:char="F09F"/>
            </w:r>
            <w:r>
              <w:rPr>
                <w:noProof/>
                <w:color w:val="000000" w:themeColor="text1"/>
                <w:sz w:val="21"/>
              </w:rPr>
              <w:t xml:space="preserve"> TOTAL appropriations of an administrative nature financed from the envelope for specific programmes </w:t>
            </w:r>
          </w:p>
        </w:tc>
        <w:tc>
          <w:tcPr>
            <w:tcW w:w="654" w:type="dxa"/>
            <w:vAlign w:val="center"/>
          </w:tcPr>
          <w:p>
            <w:pPr>
              <w:spacing w:beforeLines="20" w:before="48" w:afterLines="20" w:after="48"/>
              <w:jc w:val="center"/>
              <w:rPr>
                <w:noProof/>
                <w:color w:val="000000" w:themeColor="text1"/>
                <w:sz w:val="14"/>
              </w:rPr>
            </w:pPr>
            <w:r>
              <w:rPr>
                <w:noProof/>
                <w:color w:val="000000" w:themeColor="text1"/>
                <w:sz w:val="14"/>
              </w:rPr>
              <w:t>(6)</w:t>
            </w: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p>
        </w:tc>
      </w:tr>
      <w:tr>
        <w:tc>
          <w:tcPr>
            <w:tcW w:w="3960" w:type="dxa"/>
            <w:vMerge w:val="restart"/>
            <w:tcBorders>
              <w:top w:val="single" w:sz="4" w:space="0" w:color="FF0000"/>
              <w:left w:val="single" w:sz="4" w:space="0" w:color="auto"/>
              <w:bottom w:val="single" w:sz="4" w:space="0" w:color="FF0000"/>
            </w:tcBorders>
            <w:shd w:val="thinDiagStripe" w:color="C0C0C0" w:fill="auto"/>
            <w:vAlign w:val="center"/>
          </w:tcPr>
          <w:p>
            <w:pPr>
              <w:jc w:val="center"/>
              <w:rPr>
                <w:b/>
                <w:noProof/>
                <w:color w:val="000000" w:themeColor="text1"/>
                <w:sz w:val="22"/>
              </w:rPr>
            </w:pPr>
            <w:r>
              <w:rPr>
                <w:b/>
                <w:noProof/>
                <w:color w:val="000000" w:themeColor="text1"/>
                <w:sz w:val="22"/>
              </w:rPr>
              <w:t xml:space="preserve">TOTAL appropriations </w:t>
            </w:r>
            <w:r>
              <w:rPr>
                <w:noProof/>
                <w:color w:val="000000" w:themeColor="text1"/>
                <w:sz w:val="22"/>
              </w:rPr>
              <w:br/>
            </w:r>
            <w:r>
              <w:rPr>
                <w:b/>
                <w:noProof/>
                <w:color w:val="000000" w:themeColor="text1"/>
                <w:sz w:val="22"/>
              </w:rPr>
              <w:t>under HEADINGS 1 to 4</w:t>
            </w:r>
            <w:r>
              <w:rPr>
                <w:noProof/>
                <w:color w:val="000000" w:themeColor="text1"/>
                <w:sz w:val="22"/>
              </w:rPr>
              <w:br/>
              <w:t>of the multiannual financial framework</w:t>
            </w:r>
            <w:r>
              <w:rPr>
                <w:noProof/>
                <w:color w:val="000000" w:themeColor="text1"/>
                <w:sz w:val="22"/>
              </w:rPr>
              <w:br/>
            </w:r>
            <w:r>
              <w:rPr>
                <w:noProof/>
                <w:color w:val="000000" w:themeColor="text1"/>
                <w:sz w:val="20"/>
              </w:rPr>
              <w:t>(Reference amount)</w:t>
            </w:r>
          </w:p>
        </w:tc>
        <w:tc>
          <w:tcPr>
            <w:tcW w:w="1440" w:type="dxa"/>
            <w:vAlign w:val="center"/>
          </w:tcPr>
          <w:p>
            <w:pPr>
              <w:rPr>
                <w:noProof/>
                <w:color w:val="000000" w:themeColor="text1"/>
                <w:sz w:val="18"/>
              </w:rPr>
            </w:pPr>
            <w:r>
              <w:rPr>
                <w:noProof/>
                <w:color w:val="000000" w:themeColor="text1"/>
                <w:sz w:val="18"/>
              </w:rPr>
              <w:t>Commitments</w:t>
            </w:r>
          </w:p>
        </w:tc>
        <w:tc>
          <w:tcPr>
            <w:tcW w:w="654" w:type="dxa"/>
            <w:vAlign w:val="center"/>
          </w:tcPr>
          <w:p>
            <w:pPr>
              <w:jc w:val="center"/>
              <w:rPr>
                <w:noProof/>
                <w:color w:val="000000" w:themeColor="text1"/>
                <w:sz w:val="14"/>
              </w:rPr>
            </w:pPr>
            <w:r>
              <w:rPr>
                <w:noProof/>
                <w:color w:val="000000" w:themeColor="text1"/>
                <w:sz w:val="14"/>
              </w:rPr>
              <w:t>=4+ 6</w:t>
            </w:r>
          </w:p>
        </w:tc>
        <w:tc>
          <w:tcPr>
            <w:tcW w:w="868" w:type="dxa"/>
            <w:vAlign w:val="center"/>
          </w:tcPr>
          <w:p>
            <w:pPr>
              <w:spacing w:before="20" w:after="20"/>
              <w:jc w:val="right"/>
              <w:rPr>
                <w:noProof/>
                <w:color w:val="000000" w:themeColor="text1"/>
                <w:sz w:val="20"/>
              </w:rPr>
            </w:pPr>
            <w:r>
              <w:rPr>
                <w:noProof/>
                <w:color w:val="000000" w:themeColor="text1"/>
                <w:sz w:val="20"/>
              </w:rPr>
              <w:t>1.000</w:t>
            </w:r>
          </w:p>
        </w:tc>
        <w:tc>
          <w:tcPr>
            <w:tcW w:w="868" w:type="dxa"/>
            <w:vAlign w:val="center"/>
          </w:tcPr>
          <w:p>
            <w:pPr>
              <w:spacing w:before="20" w:after="20"/>
              <w:jc w:val="right"/>
              <w:rPr>
                <w:noProof/>
                <w:color w:val="000000" w:themeColor="text1"/>
                <w:sz w:val="20"/>
              </w:rPr>
            </w:pPr>
            <w:r>
              <w:rPr>
                <w:noProof/>
                <w:color w:val="000000" w:themeColor="text1"/>
                <w:sz w:val="20"/>
              </w:rPr>
              <w:t>3.000</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tcBorders>
              <w:right w:val="single" w:sz="4" w:space="0" w:color="auto"/>
            </w:tcBorders>
            <w:vAlign w:val="center"/>
          </w:tcPr>
          <w:p>
            <w:pPr>
              <w:spacing w:before="20" w:after="20"/>
              <w:jc w:val="right"/>
              <w:rPr>
                <w:b/>
                <w:noProof/>
                <w:color w:val="000000" w:themeColor="text1"/>
                <w:sz w:val="20"/>
              </w:rPr>
            </w:pPr>
            <w:r>
              <w:rPr>
                <w:b/>
                <w:noProof/>
                <w:color w:val="000000" w:themeColor="text1"/>
                <w:sz w:val="20"/>
              </w:rPr>
              <w:t>4.000</w:t>
            </w:r>
          </w:p>
        </w:tc>
      </w:tr>
      <w:tr>
        <w:tc>
          <w:tcPr>
            <w:tcW w:w="3960" w:type="dxa"/>
            <w:vMerge/>
            <w:tcBorders>
              <w:top w:val="single" w:sz="4" w:space="0" w:color="FF0000"/>
              <w:left w:val="single" w:sz="4" w:space="0" w:color="auto"/>
              <w:bottom w:val="single" w:sz="4" w:space="0" w:color="FF0000"/>
            </w:tcBorders>
            <w:shd w:val="thinDiagStripe" w:color="C0C0C0" w:fill="auto"/>
          </w:tcPr>
          <w:p>
            <w:pPr>
              <w:rPr>
                <w:noProof/>
                <w:color w:val="000000" w:themeColor="text1"/>
                <w:sz w:val="20"/>
              </w:rPr>
            </w:pPr>
          </w:p>
        </w:tc>
        <w:tc>
          <w:tcPr>
            <w:tcW w:w="1440" w:type="dxa"/>
            <w:tcBorders>
              <w:bottom w:val="single" w:sz="4" w:space="0" w:color="FF0000"/>
            </w:tcBorders>
            <w:vAlign w:val="center"/>
          </w:tcPr>
          <w:p>
            <w:pPr>
              <w:rPr>
                <w:noProof/>
                <w:color w:val="000000" w:themeColor="text1"/>
                <w:sz w:val="18"/>
              </w:rPr>
            </w:pPr>
            <w:r>
              <w:rPr>
                <w:noProof/>
                <w:color w:val="000000" w:themeColor="text1"/>
                <w:sz w:val="18"/>
              </w:rPr>
              <w:t>Payments</w:t>
            </w:r>
          </w:p>
        </w:tc>
        <w:tc>
          <w:tcPr>
            <w:tcW w:w="654" w:type="dxa"/>
            <w:tcBorders>
              <w:bottom w:val="single" w:sz="4" w:space="0" w:color="FF0000"/>
            </w:tcBorders>
            <w:vAlign w:val="center"/>
          </w:tcPr>
          <w:p>
            <w:pPr>
              <w:jc w:val="center"/>
              <w:rPr>
                <w:noProof/>
                <w:color w:val="000000" w:themeColor="text1"/>
                <w:sz w:val="14"/>
              </w:rPr>
            </w:pPr>
            <w:r>
              <w:rPr>
                <w:noProof/>
                <w:color w:val="000000" w:themeColor="text1"/>
                <w:sz w:val="14"/>
              </w:rPr>
              <w:t>=5+ 6</w:t>
            </w:r>
          </w:p>
        </w:tc>
        <w:tc>
          <w:tcPr>
            <w:tcW w:w="868" w:type="dxa"/>
            <w:tcBorders>
              <w:bottom w:val="single" w:sz="4" w:space="0" w:color="FF0000"/>
            </w:tcBorders>
            <w:vAlign w:val="center"/>
          </w:tcPr>
          <w:p>
            <w:pPr>
              <w:spacing w:before="20" w:after="20"/>
              <w:jc w:val="right"/>
              <w:rPr>
                <w:noProof/>
                <w:color w:val="000000" w:themeColor="text1"/>
                <w:sz w:val="20"/>
              </w:rPr>
            </w:pPr>
            <w:r>
              <w:rPr>
                <w:noProof/>
                <w:color w:val="000000" w:themeColor="text1"/>
                <w:sz w:val="20"/>
              </w:rPr>
              <w:t>0.500</w:t>
            </w:r>
          </w:p>
        </w:tc>
        <w:tc>
          <w:tcPr>
            <w:tcW w:w="868" w:type="dxa"/>
            <w:tcBorders>
              <w:bottom w:val="single" w:sz="4" w:space="0" w:color="FF0000"/>
            </w:tcBorders>
            <w:vAlign w:val="center"/>
          </w:tcPr>
          <w:p>
            <w:pPr>
              <w:spacing w:before="20" w:after="20"/>
              <w:jc w:val="right"/>
              <w:rPr>
                <w:noProof/>
                <w:color w:val="000000" w:themeColor="text1"/>
                <w:sz w:val="20"/>
              </w:rPr>
            </w:pPr>
            <w:r>
              <w:rPr>
                <w:noProof/>
                <w:color w:val="000000" w:themeColor="text1"/>
                <w:sz w:val="20"/>
              </w:rPr>
              <w:t>1.900</w:t>
            </w:r>
          </w:p>
        </w:tc>
        <w:tc>
          <w:tcPr>
            <w:tcW w:w="868" w:type="dxa"/>
            <w:tcBorders>
              <w:bottom w:val="single" w:sz="4" w:space="0" w:color="FF0000"/>
            </w:tcBorders>
            <w:vAlign w:val="center"/>
          </w:tcPr>
          <w:p>
            <w:pPr>
              <w:spacing w:before="20" w:after="20"/>
              <w:jc w:val="right"/>
              <w:rPr>
                <w:noProof/>
                <w:color w:val="000000" w:themeColor="text1"/>
                <w:sz w:val="20"/>
              </w:rPr>
            </w:pPr>
            <w:r>
              <w:rPr>
                <w:noProof/>
                <w:color w:val="000000" w:themeColor="text1"/>
                <w:sz w:val="20"/>
              </w:rPr>
              <w:t>1.100</w:t>
            </w:r>
          </w:p>
        </w:tc>
        <w:tc>
          <w:tcPr>
            <w:tcW w:w="868" w:type="dxa"/>
            <w:tcBorders>
              <w:bottom w:val="single" w:sz="4" w:space="0" w:color="FF0000"/>
            </w:tcBorders>
            <w:vAlign w:val="center"/>
          </w:tcPr>
          <w:p>
            <w:pPr>
              <w:spacing w:before="20" w:after="20"/>
              <w:jc w:val="right"/>
              <w:rPr>
                <w:noProof/>
                <w:color w:val="000000" w:themeColor="text1"/>
                <w:sz w:val="20"/>
              </w:rPr>
            </w:pPr>
            <w:r>
              <w:rPr>
                <w:noProof/>
                <w:color w:val="000000" w:themeColor="text1"/>
                <w:sz w:val="20"/>
              </w:rPr>
              <w:t>0.500</w:t>
            </w:r>
          </w:p>
        </w:tc>
        <w:tc>
          <w:tcPr>
            <w:tcW w:w="868" w:type="dxa"/>
            <w:tcBorders>
              <w:bottom w:val="single" w:sz="4" w:space="0" w:color="FF0000"/>
            </w:tcBorders>
            <w:vAlign w:val="center"/>
          </w:tcPr>
          <w:p>
            <w:pPr>
              <w:spacing w:before="20" w:after="20"/>
              <w:jc w:val="right"/>
              <w:rPr>
                <w:noProof/>
                <w:color w:val="000000" w:themeColor="text1"/>
                <w:sz w:val="20"/>
              </w:rPr>
            </w:pPr>
          </w:p>
        </w:tc>
        <w:tc>
          <w:tcPr>
            <w:tcW w:w="868" w:type="dxa"/>
            <w:tcBorders>
              <w:bottom w:val="single" w:sz="4" w:space="0" w:color="FF0000"/>
            </w:tcBorders>
            <w:vAlign w:val="center"/>
          </w:tcPr>
          <w:p>
            <w:pPr>
              <w:spacing w:before="20" w:after="20"/>
              <w:jc w:val="right"/>
              <w:rPr>
                <w:noProof/>
                <w:color w:val="000000" w:themeColor="text1"/>
                <w:sz w:val="20"/>
              </w:rPr>
            </w:pPr>
          </w:p>
        </w:tc>
        <w:tc>
          <w:tcPr>
            <w:tcW w:w="868" w:type="dxa"/>
            <w:tcBorders>
              <w:bottom w:val="single" w:sz="4" w:space="0" w:color="FF0000"/>
            </w:tcBorders>
            <w:vAlign w:val="center"/>
          </w:tcPr>
          <w:p>
            <w:pPr>
              <w:spacing w:before="20" w:after="20"/>
              <w:jc w:val="right"/>
              <w:rPr>
                <w:b/>
                <w:noProof/>
                <w:color w:val="000000" w:themeColor="text1"/>
                <w:sz w:val="20"/>
              </w:rPr>
            </w:pPr>
          </w:p>
        </w:tc>
        <w:tc>
          <w:tcPr>
            <w:tcW w:w="1777" w:type="dxa"/>
            <w:tcBorders>
              <w:bottom w:val="single" w:sz="4" w:space="0" w:color="FF0000"/>
              <w:right w:val="single" w:sz="4" w:space="0" w:color="auto"/>
            </w:tcBorders>
            <w:vAlign w:val="center"/>
          </w:tcPr>
          <w:p>
            <w:pPr>
              <w:spacing w:before="20" w:after="20"/>
              <w:jc w:val="right"/>
              <w:rPr>
                <w:b/>
                <w:noProof/>
                <w:color w:val="000000" w:themeColor="text1"/>
                <w:sz w:val="20"/>
              </w:rPr>
            </w:pPr>
            <w:r>
              <w:rPr>
                <w:b/>
                <w:noProof/>
                <w:color w:val="000000" w:themeColor="text1"/>
                <w:sz w:val="20"/>
              </w:rPr>
              <w:t>4.000</w:t>
            </w:r>
          </w:p>
        </w:tc>
      </w:tr>
    </w:tbl>
    <w:p>
      <w:pPr>
        <w:rPr>
          <w:noProof/>
          <w:color w:val="000000" w:themeColor="text1"/>
        </w:rPr>
      </w:pPr>
    </w:p>
    <w:p>
      <w:pPr>
        <w:rPr>
          <w:noProof/>
          <w:color w:val="000000" w:themeColor="text1"/>
        </w:rPr>
      </w:pPr>
      <w:r>
        <w:rPr>
          <w:noProof/>
          <w:color w:val="000000" w:themeColor="text1"/>
        </w:rPr>
        <w:br w:type="page"/>
      </w:r>
    </w:p>
    <w:tbl>
      <w:tblPr>
        <w:tblW w:w="0" w:type="auto"/>
        <w:jc w:val="center"/>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44"/>
        <w:gridCol w:w="1080"/>
        <w:gridCol w:w="7817"/>
      </w:tblGrid>
      <w:tr>
        <w:trPr>
          <w:jc w:val="center"/>
        </w:trPr>
        <w:tc>
          <w:tcPr>
            <w:tcW w:w="4744" w:type="dxa"/>
            <w:shd w:val="thinDiagStripe" w:color="C0C0C0" w:fill="auto"/>
            <w:vAlign w:val="center"/>
          </w:tcPr>
          <w:p>
            <w:pPr>
              <w:spacing w:before="60" w:after="60"/>
              <w:jc w:val="center"/>
              <w:rPr>
                <w:b/>
                <w:noProof/>
                <w:color w:val="000000" w:themeColor="text1"/>
                <w:sz w:val="22"/>
              </w:rPr>
            </w:pPr>
            <w:r>
              <w:rPr>
                <w:noProof/>
                <w:color w:val="000000" w:themeColor="text1"/>
                <w:sz w:val="22"/>
              </w:rPr>
              <w:br w:type="page"/>
            </w:r>
            <w:r>
              <w:rPr>
                <w:b/>
                <w:noProof/>
                <w:color w:val="000000" w:themeColor="text1"/>
                <w:sz w:val="22"/>
              </w:rPr>
              <w:t xml:space="preserve">Heading of multiannual financial </w:t>
            </w:r>
            <w:r>
              <w:rPr>
                <w:noProof/>
                <w:color w:val="000000" w:themeColor="text1"/>
                <w:sz w:val="22"/>
              </w:rPr>
              <w:br/>
            </w:r>
            <w:r>
              <w:rPr>
                <w:b/>
                <w:noProof/>
                <w:color w:val="000000" w:themeColor="text1"/>
                <w:sz w:val="22"/>
              </w:rPr>
              <w:t xml:space="preserve">framework </w:t>
            </w:r>
          </w:p>
        </w:tc>
        <w:tc>
          <w:tcPr>
            <w:tcW w:w="1080" w:type="dxa"/>
            <w:shd w:val="thinDiagStripe" w:color="C0C0C0" w:fill="auto"/>
            <w:vAlign w:val="center"/>
          </w:tcPr>
          <w:p>
            <w:pPr>
              <w:spacing w:before="60" w:after="60"/>
              <w:jc w:val="center"/>
              <w:rPr>
                <w:noProof/>
                <w:color w:val="000000" w:themeColor="text1"/>
                <w:sz w:val="22"/>
              </w:rPr>
            </w:pPr>
            <w:r>
              <w:rPr>
                <w:b/>
                <w:noProof/>
                <w:color w:val="000000" w:themeColor="text1"/>
                <w:sz w:val="22"/>
              </w:rPr>
              <w:t>5</w:t>
            </w:r>
          </w:p>
        </w:tc>
        <w:tc>
          <w:tcPr>
            <w:tcW w:w="7817" w:type="dxa"/>
            <w:vAlign w:val="center"/>
          </w:tcPr>
          <w:p>
            <w:pPr>
              <w:spacing w:before="60" w:after="60"/>
              <w:rPr>
                <w:noProof/>
                <w:color w:val="000000" w:themeColor="text1"/>
                <w:sz w:val="22"/>
              </w:rPr>
            </w:pPr>
            <w:r>
              <w:rPr>
                <w:noProof/>
                <w:color w:val="000000" w:themeColor="text1"/>
                <w:sz w:val="22"/>
              </w:rPr>
              <w:t>‘Administrative expenditure’</w:t>
            </w:r>
          </w:p>
        </w:tc>
      </w:tr>
    </w:tbl>
    <w:p>
      <w:pPr>
        <w:jc w:val="right"/>
        <w:rPr>
          <w:noProof/>
          <w:color w:val="000000" w:themeColor="text1"/>
          <w:sz w:val="20"/>
        </w:rPr>
      </w:pPr>
      <w:r>
        <w:rPr>
          <w:noProof/>
          <w:color w:val="000000" w:themeColor="text1"/>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color w:val="000000" w:themeColor="text1"/>
                <w:sz w:val="22"/>
              </w:rPr>
            </w:pPr>
          </w:p>
        </w:tc>
        <w:tc>
          <w:tcPr>
            <w:tcW w:w="1560" w:type="dxa"/>
            <w:tcBorders>
              <w:top w:val="nil"/>
              <w:left w:val="nil"/>
              <w:right w:val="nil"/>
            </w:tcBorders>
          </w:tcPr>
          <w:p>
            <w:pPr>
              <w:rPr>
                <w:noProof/>
                <w:color w:val="000000" w:themeColor="text1"/>
                <w:sz w:val="20"/>
              </w:rPr>
            </w:pPr>
          </w:p>
        </w:tc>
        <w:tc>
          <w:tcPr>
            <w:tcW w:w="534" w:type="dxa"/>
            <w:tcBorders>
              <w:top w:val="nil"/>
              <w:left w:val="nil"/>
            </w:tcBorders>
          </w:tcPr>
          <w:p>
            <w:pPr>
              <w:jc w:val="center"/>
              <w:rPr>
                <w:noProof/>
                <w:color w:val="000000" w:themeColor="text1"/>
                <w:sz w:val="20"/>
              </w:rPr>
            </w:pPr>
          </w:p>
        </w:tc>
        <w:tc>
          <w:tcPr>
            <w:tcW w:w="868"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w:t>
            </w:r>
          </w:p>
        </w:tc>
        <w:tc>
          <w:tcPr>
            <w:tcW w:w="868"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N+1</w:t>
            </w:r>
          </w:p>
        </w:tc>
        <w:tc>
          <w:tcPr>
            <w:tcW w:w="868"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N+2</w:t>
            </w:r>
          </w:p>
        </w:tc>
        <w:tc>
          <w:tcPr>
            <w:tcW w:w="868"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N+3</w:t>
            </w:r>
          </w:p>
        </w:tc>
        <w:tc>
          <w:tcPr>
            <w:tcW w:w="2604" w:type="dxa"/>
            <w:gridSpan w:val="3"/>
            <w:vAlign w:val="center"/>
          </w:tcPr>
          <w:p>
            <w:pPr>
              <w:jc w:val="center"/>
              <w:rPr>
                <w:b/>
                <w:noProof/>
                <w:color w:val="000000" w:themeColor="text1"/>
                <w:sz w:val="18"/>
              </w:rPr>
            </w:pPr>
            <w:r>
              <w:rPr>
                <w:noProof/>
                <w:color w:val="000000" w:themeColor="text1"/>
                <w:sz w:val="18"/>
              </w:rPr>
              <w:t xml:space="preserve">Enter as many years as necessary to show the duration of the impact (see point 1.6) </w:t>
            </w:r>
          </w:p>
        </w:tc>
        <w:tc>
          <w:tcPr>
            <w:tcW w:w="1777" w:type="dxa"/>
            <w:vAlign w:val="center"/>
          </w:tcPr>
          <w:p>
            <w:pPr>
              <w:jc w:val="center"/>
              <w:rPr>
                <w:b/>
                <w:noProof/>
                <w:color w:val="000000" w:themeColor="text1"/>
                <w:sz w:val="20"/>
              </w:rPr>
            </w:pPr>
            <w:r>
              <w:rPr>
                <w:b/>
                <w:noProof/>
                <w:color w:val="000000" w:themeColor="text1"/>
                <w:sz w:val="20"/>
              </w:rPr>
              <w:t>TOTAL</w:t>
            </w:r>
          </w:p>
        </w:tc>
      </w:tr>
      <w:tr>
        <w:trPr>
          <w:gridAfter w:val="10"/>
          <w:wAfter w:w="9947" w:type="dxa"/>
        </w:trPr>
        <w:tc>
          <w:tcPr>
            <w:tcW w:w="3960" w:type="dxa"/>
            <w:vAlign w:val="center"/>
          </w:tcPr>
          <w:p>
            <w:pPr>
              <w:spacing w:before="60" w:after="60"/>
              <w:jc w:val="center"/>
              <w:rPr>
                <w:noProof/>
                <w:color w:val="000000" w:themeColor="text1"/>
                <w:sz w:val="22"/>
              </w:rPr>
            </w:pPr>
            <w:r>
              <w:rPr>
                <w:noProof/>
                <w:color w:val="000000" w:themeColor="text1"/>
                <w:sz w:val="22"/>
              </w:rPr>
              <w:t>DG: EAC</w:t>
            </w:r>
          </w:p>
        </w:tc>
      </w:tr>
      <w:tr>
        <w:trPr>
          <w:trHeight w:val="313"/>
        </w:trPr>
        <w:tc>
          <w:tcPr>
            <w:tcW w:w="6054" w:type="dxa"/>
            <w:gridSpan w:val="3"/>
            <w:vAlign w:val="center"/>
          </w:tcPr>
          <w:p>
            <w:pPr>
              <w:spacing w:before="20" w:after="20"/>
              <w:rPr>
                <w:noProof/>
                <w:color w:val="000000" w:themeColor="text1"/>
                <w:sz w:val="22"/>
              </w:rPr>
            </w:pPr>
            <w:r>
              <w:rPr>
                <w:noProof/>
                <w:color w:val="000000" w:themeColor="text1"/>
                <w:sz w:val="22"/>
              </w:rPr>
              <w:sym w:font="Wingdings" w:char="F09F"/>
            </w:r>
            <w:r>
              <w:rPr>
                <w:noProof/>
                <w:color w:val="000000" w:themeColor="text1"/>
                <w:sz w:val="22"/>
              </w:rPr>
              <w:t xml:space="preserve"> Human resources </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p.m.</w:t>
            </w:r>
          </w:p>
        </w:tc>
      </w:tr>
      <w:tr>
        <w:trPr>
          <w:trHeight w:val="351"/>
        </w:trPr>
        <w:tc>
          <w:tcPr>
            <w:tcW w:w="6054" w:type="dxa"/>
            <w:gridSpan w:val="3"/>
            <w:vAlign w:val="center"/>
          </w:tcPr>
          <w:p>
            <w:pPr>
              <w:spacing w:before="20" w:after="20"/>
              <w:rPr>
                <w:noProof/>
                <w:color w:val="000000" w:themeColor="text1"/>
                <w:sz w:val="22"/>
              </w:rPr>
            </w:pPr>
            <w:r>
              <w:rPr>
                <w:noProof/>
                <w:color w:val="000000" w:themeColor="text1"/>
                <w:sz w:val="22"/>
              </w:rPr>
              <w:sym w:font="Wingdings" w:char="F09F"/>
            </w:r>
            <w:r>
              <w:rPr>
                <w:noProof/>
                <w:color w:val="000000" w:themeColor="text1"/>
                <w:sz w:val="22"/>
              </w:rPr>
              <w:t xml:space="preserve"> Other administrative expenditure </w:t>
            </w:r>
          </w:p>
        </w:tc>
        <w:tc>
          <w:tcPr>
            <w:tcW w:w="868" w:type="dxa"/>
            <w:vAlign w:val="center"/>
          </w:tcPr>
          <w:p>
            <w:pPr>
              <w:spacing w:before="20" w:after="20"/>
              <w:jc w:val="right"/>
              <w:rPr>
                <w:b/>
                <w:noProof/>
                <w:color w:val="000000" w:themeColor="text1"/>
                <w:sz w:val="20"/>
              </w:rPr>
            </w:pPr>
            <w:r>
              <w:rPr>
                <w:b/>
                <w:noProof/>
                <w:color w:val="000000" w:themeColor="text1"/>
                <w:sz w:val="20"/>
              </w:rPr>
              <w:t>p.m.</w:t>
            </w:r>
          </w:p>
        </w:tc>
        <w:tc>
          <w:tcPr>
            <w:tcW w:w="868" w:type="dxa"/>
            <w:vAlign w:val="center"/>
          </w:tcPr>
          <w:p>
            <w:pPr>
              <w:spacing w:before="20" w:after="20"/>
              <w:jc w:val="right"/>
              <w:rPr>
                <w:b/>
                <w:noProof/>
                <w:color w:val="000000" w:themeColor="text1"/>
                <w:sz w:val="20"/>
              </w:rPr>
            </w:pPr>
            <w:r>
              <w:rPr>
                <w:b/>
                <w:noProof/>
                <w:color w:val="000000" w:themeColor="text1"/>
                <w:sz w:val="20"/>
              </w:rPr>
              <w:t>p.m.</w:t>
            </w:r>
          </w:p>
        </w:tc>
        <w:tc>
          <w:tcPr>
            <w:tcW w:w="868" w:type="dxa"/>
            <w:vAlign w:val="center"/>
          </w:tcPr>
          <w:p>
            <w:pPr>
              <w:spacing w:before="20" w:after="20"/>
              <w:jc w:val="right"/>
              <w:rPr>
                <w:b/>
                <w:noProof/>
                <w:color w:val="000000" w:themeColor="text1"/>
                <w:sz w:val="20"/>
              </w:rPr>
            </w:pPr>
            <w:r>
              <w:rPr>
                <w:b/>
                <w:noProof/>
                <w:color w:val="000000" w:themeColor="text1"/>
                <w:sz w:val="20"/>
              </w:rPr>
              <w:t>p.m.</w:t>
            </w:r>
          </w:p>
        </w:tc>
        <w:tc>
          <w:tcPr>
            <w:tcW w:w="868" w:type="dxa"/>
            <w:vAlign w:val="center"/>
          </w:tcPr>
          <w:p>
            <w:pPr>
              <w:spacing w:before="20" w:after="20"/>
              <w:jc w:val="right"/>
              <w:rPr>
                <w:b/>
                <w:noProof/>
                <w:color w:val="000000" w:themeColor="text1"/>
                <w:sz w:val="20"/>
              </w:rPr>
            </w:pPr>
            <w:r>
              <w:rPr>
                <w:b/>
                <w:noProof/>
                <w:color w:val="000000" w:themeColor="text1"/>
                <w:sz w:val="20"/>
              </w:rPr>
              <w:t>p.m.</w:t>
            </w: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p.m.</w:t>
            </w:r>
          </w:p>
        </w:tc>
      </w:tr>
      <w:tr>
        <w:tc>
          <w:tcPr>
            <w:tcW w:w="3960" w:type="dxa"/>
            <w:vAlign w:val="center"/>
          </w:tcPr>
          <w:p>
            <w:pPr>
              <w:jc w:val="center"/>
              <w:rPr>
                <w:b/>
                <w:noProof/>
                <w:color w:val="000000" w:themeColor="text1"/>
                <w:sz w:val="22"/>
              </w:rPr>
            </w:pPr>
            <w:r>
              <w:rPr>
                <w:b/>
                <w:noProof/>
                <w:color w:val="000000" w:themeColor="text1"/>
                <w:sz w:val="22"/>
              </w:rPr>
              <w:t xml:space="preserve">TOTAL DG </w:t>
            </w:r>
            <w:r>
              <w:rPr>
                <w:noProof/>
                <w:color w:val="000000" w:themeColor="text1"/>
                <w:sz w:val="22"/>
              </w:rPr>
              <w:t>EAC</w:t>
            </w:r>
          </w:p>
        </w:tc>
        <w:tc>
          <w:tcPr>
            <w:tcW w:w="2094" w:type="dxa"/>
            <w:gridSpan w:val="2"/>
            <w:vAlign w:val="center"/>
          </w:tcPr>
          <w:p>
            <w:pPr>
              <w:rPr>
                <w:noProof/>
                <w:color w:val="000000" w:themeColor="text1"/>
                <w:sz w:val="14"/>
              </w:rPr>
            </w:pPr>
            <w:r>
              <w:rPr>
                <w:noProof/>
                <w:color w:val="000000" w:themeColor="text1"/>
                <w:sz w:val="18"/>
              </w:rPr>
              <w:t xml:space="preserve">Appropriations </w:t>
            </w:r>
          </w:p>
        </w:tc>
        <w:tc>
          <w:tcPr>
            <w:tcW w:w="868" w:type="dxa"/>
            <w:vAlign w:val="center"/>
          </w:tcPr>
          <w:p>
            <w:pPr>
              <w:spacing w:before="60" w:after="6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p.m.</w:t>
            </w:r>
          </w:p>
        </w:tc>
      </w:tr>
    </w:tbl>
    <w:p>
      <w:pPr>
        <w:rPr>
          <w:noProof/>
          <w:color w:val="000000" w:themeColor="text1"/>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2094"/>
        <w:gridCol w:w="868"/>
        <w:gridCol w:w="868"/>
        <w:gridCol w:w="868"/>
        <w:gridCol w:w="868"/>
        <w:gridCol w:w="868"/>
        <w:gridCol w:w="868"/>
        <w:gridCol w:w="868"/>
        <w:gridCol w:w="1777"/>
      </w:tblGrid>
      <w:tr>
        <w:tc>
          <w:tcPr>
            <w:tcW w:w="3960" w:type="dxa"/>
            <w:shd w:val="thinDiagStripe" w:color="C0C0C0" w:fill="auto"/>
            <w:vAlign w:val="center"/>
          </w:tcPr>
          <w:p>
            <w:pPr>
              <w:jc w:val="center"/>
              <w:rPr>
                <w:b/>
                <w:noProof/>
                <w:color w:val="000000" w:themeColor="text1"/>
                <w:sz w:val="22"/>
              </w:rPr>
            </w:pPr>
            <w:r>
              <w:rPr>
                <w:b/>
                <w:noProof/>
                <w:color w:val="000000" w:themeColor="text1"/>
                <w:sz w:val="22"/>
              </w:rPr>
              <w:t>TOTAL appropriations</w:t>
            </w:r>
            <w:r>
              <w:rPr>
                <w:noProof/>
                <w:color w:val="000000" w:themeColor="text1"/>
                <w:sz w:val="22"/>
              </w:rPr>
              <w:br/>
            </w:r>
            <w:r>
              <w:rPr>
                <w:b/>
                <w:noProof/>
                <w:color w:val="000000" w:themeColor="text1"/>
                <w:sz w:val="22"/>
              </w:rPr>
              <w:t>under HEADING 5</w:t>
            </w:r>
            <w:r>
              <w:rPr>
                <w:noProof/>
                <w:color w:val="000000" w:themeColor="text1"/>
                <w:sz w:val="22"/>
              </w:rPr>
              <w:br/>
              <w:t>of the multiannual financial framework</w:t>
            </w:r>
            <w:r>
              <w:rPr>
                <w:b/>
                <w:noProof/>
                <w:color w:val="000000" w:themeColor="text1"/>
                <w:sz w:val="22"/>
              </w:rPr>
              <w:t xml:space="preserve"> </w:t>
            </w:r>
          </w:p>
        </w:tc>
        <w:tc>
          <w:tcPr>
            <w:tcW w:w="2094" w:type="dxa"/>
            <w:vAlign w:val="center"/>
          </w:tcPr>
          <w:p>
            <w:pPr>
              <w:spacing w:before="40" w:after="40"/>
              <w:rPr>
                <w:noProof/>
                <w:color w:val="000000" w:themeColor="text1"/>
                <w:sz w:val="22"/>
              </w:rPr>
            </w:pPr>
            <w:r>
              <w:rPr>
                <w:noProof/>
                <w:color w:val="000000" w:themeColor="text1"/>
                <w:sz w:val="18"/>
              </w:rPr>
              <w:t>(Total commitments = Total payments)</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r>
              <w:rPr>
                <w:noProof/>
                <w:color w:val="000000" w:themeColor="text1"/>
                <w:sz w:val="20"/>
              </w:rPr>
              <w:t>p.m.</w:t>
            </w: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noProof/>
                <w:color w:val="000000" w:themeColor="text1"/>
                <w:sz w:val="20"/>
              </w:rPr>
            </w:pPr>
          </w:p>
        </w:tc>
        <w:tc>
          <w:tcPr>
            <w:tcW w:w="868" w:type="dxa"/>
            <w:vAlign w:val="center"/>
          </w:tcPr>
          <w:p>
            <w:pPr>
              <w:spacing w:before="20" w:after="20"/>
              <w:jc w:val="right"/>
              <w:rPr>
                <w:b/>
                <w:noProof/>
                <w:color w:val="000000" w:themeColor="text1"/>
                <w:sz w:val="20"/>
              </w:rPr>
            </w:pPr>
          </w:p>
        </w:tc>
        <w:tc>
          <w:tcPr>
            <w:tcW w:w="1777" w:type="dxa"/>
            <w:vAlign w:val="center"/>
          </w:tcPr>
          <w:p>
            <w:pPr>
              <w:spacing w:before="20" w:after="20"/>
              <w:jc w:val="right"/>
              <w:rPr>
                <w:b/>
                <w:noProof/>
                <w:color w:val="000000" w:themeColor="text1"/>
                <w:sz w:val="20"/>
              </w:rPr>
            </w:pPr>
            <w:r>
              <w:rPr>
                <w:b/>
                <w:noProof/>
                <w:color w:val="000000" w:themeColor="text1"/>
                <w:sz w:val="20"/>
              </w:rPr>
              <w:t>p.m.</w:t>
            </w:r>
          </w:p>
        </w:tc>
      </w:tr>
    </w:tbl>
    <w:p>
      <w:pPr>
        <w:jc w:val="right"/>
        <w:rPr>
          <w:noProof/>
          <w:color w:val="000000" w:themeColor="text1"/>
          <w:sz w:val="20"/>
        </w:rPr>
      </w:pPr>
      <w:r>
        <w:rPr>
          <w:noProof/>
          <w:color w:val="000000" w:themeColor="text1"/>
          <w:sz w:val="20"/>
        </w:rPr>
        <w:t>EUR million (to three decimal places)</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60"/>
        <w:gridCol w:w="1560"/>
        <w:gridCol w:w="534"/>
        <w:gridCol w:w="868"/>
        <w:gridCol w:w="868"/>
        <w:gridCol w:w="868"/>
        <w:gridCol w:w="868"/>
        <w:gridCol w:w="868"/>
        <w:gridCol w:w="868"/>
        <w:gridCol w:w="868"/>
        <w:gridCol w:w="1777"/>
      </w:tblGrid>
      <w:tr>
        <w:tc>
          <w:tcPr>
            <w:tcW w:w="3960" w:type="dxa"/>
            <w:tcBorders>
              <w:top w:val="nil"/>
              <w:left w:val="nil"/>
              <w:right w:val="nil"/>
            </w:tcBorders>
            <w:vAlign w:val="center"/>
          </w:tcPr>
          <w:p>
            <w:pPr>
              <w:jc w:val="center"/>
              <w:rPr>
                <w:noProof/>
                <w:color w:val="000000" w:themeColor="text1"/>
                <w:sz w:val="22"/>
              </w:rPr>
            </w:pPr>
          </w:p>
        </w:tc>
        <w:tc>
          <w:tcPr>
            <w:tcW w:w="1560" w:type="dxa"/>
            <w:tcBorders>
              <w:top w:val="nil"/>
              <w:left w:val="nil"/>
              <w:right w:val="nil"/>
            </w:tcBorders>
          </w:tcPr>
          <w:p>
            <w:pPr>
              <w:rPr>
                <w:noProof/>
                <w:color w:val="000000" w:themeColor="text1"/>
                <w:sz w:val="20"/>
              </w:rPr>
            </w:pPr>
          </w:p>
        </w:tc>
        <w:tc>
          <w:tcPr>
            <w:tcW w:w="534" w:type="dxa"/>
            <w:tcBorders>
              <w:top w:val="nil"/>
              <w:left w:val="nil"/>
            </w:tcBorders>
          </w:tcPr>
          <w:p>
            <w:pPr>
              <w:jc w:val="center"/>
              <w:rPr>
                <w:noProof/>
                <w:color w:val="000000" w:themeColor="text1"/>
                <w:sz w:val="20"/>
              </w:rPr>
            </w:pPr>
          </w:p>
        </w:tc>
        <w:tc>
          <w:tcPr>
            <w:tcW w:w="868"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w:t>
            </w:r>
            <w:r>
              <w:rPr>
                <w:rStyle w:val="FootnoteReference"/>
                <w:b/>
                <w:noProof/>
                <w:color w:val="000000" w:themeColor="text1"/>
                <w:sz w:val="20"/>
              </w:rPr>
              <w:footnoteReference w:id="35"/>
            </w:r>
          </w:p>
        </w:tc>
        <w:tc>
          <w:tcPr>
            <w:tcW w:w="868"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N+1</w:t>
            </w:r>
          </w:p>
        </w:tc>
        <w:tc>
          <w:tcPr>
            <w:tcW w:w="868"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N+2</w:t>
            </w:r>
          </w:p>
        </w:tc>
        <w:tc>
          <w:tcPr>
            <w:tcW w:w="868"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N+3</w:t>
            </w:r>
          </w:p>
        </w:tc>
        <w:tc>
          <w:tcPr>
            <w:tcW w:w="2604" w:type="dxa"/>
            <w:gridSpan w:val="3"/>
            <w:vAlign w:val="center"/>
          </w:tcPr>
          <w:p>
            <w:pPr>
              <w:jc w:val="center"/>
              <w:rPr>
                <w:b/>
                <w:noProof/>
                <w:color w:val="000000" w:themeColor="text1"/>
                <w:sz w:val="18"/>
              </w:rPr>
            </w:pPr>
            <w:r>
              <w:rPr>
                <w:noProof/>
                <w:color w:val="000000" w:themeColor="text1"/>
                <w:sz w:val="18"/>
              </w:rPr>
              <w:t>Enter as many years as necessary to show the duration of the impact (see point 1.6)</w:t>
            </w:r>
          </w:p>
        </w:tc>
        <w:tc>
          <w:tcPr>
            <w:tcW w:w="1777" w:type="dxa"/>
            <w:vAlign w:val="center"/>
          </w:tcPr>
          <w:p>
            <w:pPr>
              <w:jc w:val="center"/>
              <w:rPr>
                <w:b/>
                <w:noProof/>
                <w:color w:val="000000" w:themeColor="text1"/>
                <w:sz w:val="20"/>
              </w:rPr>
            </w:pPr>
            <w:r>
              <w:rPr>
                <w:b/>
                <w:noProof/>
                <w:color w:val="000000" w:themeColor="text1"/>
                <w:sz w:val="20"/>
              </w:rPr>
              <w:t>TOTAL</w:t>
            </w:r>
          </w:p>
        </w:tc>
      </w:tr>
      <w:tr>
        <w:tc>
          <w:tcPr>
            <w:tcW w:w="3960" w:type="dxa"/>
            <w:vMerge w:val="restart"/>
            <w:shd w:val="clear" w:color="auto" w:fill="C0C0C0"/>
            <w:vAlign w:val="center"/>
          </w:tcPr>
          <w:p>
            <w:pPr>
              <w:jc w:val="center"/>
              <w:rPr>
                <w:b/>
                <w:noProof/>
                <w:color w:val="000000" w:themeColor="text1"/>
                <w:sz w:val="22"/>
              </w:rPr>
            </w:pPr>
            <w:r>
              <w:rPr>
                <w:b/>
                <w:noProof/>
                <w:color w:val="000000" w:themeColor="text1"/>
                <w:sz w:val="22"/>
              </w:rPr>
              <w:t xml:space="preserve">TOTAL appropriations </w:t>
            </w:r>
            <w:r>
              <w:rPr>
                <w:noProof/>
                <w:color w:val="000000" w:themeColor="text1"/>
                <w:sz w:val="22"/>
              </w:rPr>
              <w:br/>
            </w:r>
            <w:r>
              <w:rPr>
                <w:b/>
                <w:noProof/>
                <w:color w:val="000000" w:themeColor="text1"/>
                <w:sz w:val="22"/>
              </w:rPr>
              <w:t>under HEADINGS 1 to 5*</w:t>
            </w:r>
            <w:r>
              <w:rPr>
                <w:noProof/>
                <w:color w:val="000000" w:themeColor="text1"/>
                <w:sz w:val="22"/>
              </w:rPr>
              <w:br/>
              <w:t>of the multiannual financial framework</w:t>
            </w:r>
            <w:r>
              <w:rPr>
                <w:b/>
                <w:noProof/>
                <w:color w:val="000000" w:themeColor="text1"/>
                <w:sz w:val="22"/>
              </w:rPr>
              <w:t xml:space="preserve"> </w:t>
            </w:r>
          </w:p>
        </w:tc>
        <w:tc>
          <w:tcPr>
            <w:tcW w:w="2094" w:type="dxa"/>
            <w:gridSpan w:val="2"/>
            <w:vAlign w:val="center"/>
          </w:tcPr>
          <w:p>
            <w:pPr>
              <w:rPr>
                <w:noProof/>
                <w:color w:val="000000" w:themeColor="text1"/>
                <w:sz w:val="14"/>
              </w:rPr>
            </w:pPr>
            <w:r>
              <w:rPr>
                <w:noProof/>
                <w:color w:val="000000" w:themeColor="text1"/>
                <w:sz w:val="18"/>
              </w:rPr>
              <w:t>Commitments</w:t>
            </w: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b/>
                <w:noProof/>
                <w:color w:val="000000" w:themeColor="text1"/>
                <w:sz w:val="20"/>
              </w:rPr>
            </w:pPr>
          </w:p>
        </w:tc>
        <w:tc>
          <w:tcPr>
            <w:tcW w:w="1777" w:type="dxa"/>
            <w:vAlign w:val="center"/>
          </w:tcPr>
          <w:p>
            <w:pPr>
              <w:spacing w:before="60" w:after="60"/>
              <w:jc w:val="right"/>
              <w:rPr>
                <w:b/>
                <w:noProof/>
                <w:color w:val="000000" w:themeColor="text1"/>
                <w:sz w:val="20"/>
              </w:rPr>
            </w:pPr>
          </w:p>
        </w:tc>
      </w:tr>
      <w:tr>
        <w:tc>
          <w:tcPr>
            <w:tcW w:w="3960" w:type="dxa"/>
            <w:vMerge/>
            <w:shd w:val="clear" w:color="auto" w:fill="C0C0C0"/>
          </w:tcPr>
          <w:p>
            <w:pPr>
              <w:rPr>
                <w:noProof/>
                <w:color w:val="000000" w:themeColor="text1"/>
                <w:sz w:val="20"/>
              </w:rPr>
            </w:pPr>
          </w:p>
        </w:tc>
        <w:tc>
          <w:tcPr>
            <w:tcW w:w="2094" w:type="dxa"/>
            <w:gridSpan w:val="2"/>
            <w:vAlign w:val="center"/>
          </w:tcPr>
          <w:p>
            <w:pPr>
              <w:rPr>
                <w:noProof/>
                <w:color w:val="000000" w:themeColor="text1"/>
                <w:sz w:val="14"/>
              </w:rPr>
            </w:pPr>
            <w:r>
              <w:rPr>
                <w:noProof/>
                <w:color w:val="000000" w:themeColor="text1"/>
                <w:sz w:val="18"/>
              </w:rPr>
              <w:t>Payments</w:t>
            </w: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noProof/>
                <w:color w:val="000000" w:themeColor="text1"/>
                <w:sz w:val="20"/>
              </w:rPr>
            </w:pPr>
          </w:p>
        </w:tc>
        <w:tc>
          <w:tcPr>
            <w:tcW w:w="868" w:type="dxa"/>
            <w:vAlign w:val="center"/>
          </w:tcPr>
          <w:p>
            <w:pPr>
              <w:spacing w:before="60" w:after="60"/>
              <w:jc w:val="right"/>
              <w:rPr>
                <w:b/>
                <w:noProof/>
                <w:color w:val="000000" w:themeColor="text1"/>
                <w:sz w:val="20"/>
              </w:rPr>
            </w:pPr>
          </w:p>
        </w:tc>
        <w:tc>
          <w:tcPr>
            <w:tcW w:w="1777" w:type="dxa"/>
            <w:vAlign w:val="center"/>
          </w:tcPr>
          <w:p>
            <w:pPr>
              <w:spacing w:before="60" w:after="60"/>
              <w:jc w:val="right"/>
              <w:rPr>
                <w:b/>
                <w:noProof/>
                <w:color w:val="000000" w:themeColor="text1"/>
                <w:sz w:val="20"/>
              </w:rPr>
            </w:pPr>
          </w:p>
        </w:tc>
      </w:tr>
    </w:tbl>
    <w:p>
      <w:pPr>
        <w:rPr>
          <w:noProof/>
          <w:color w:val="000000" w:themeColor="text1"/>
        </w:rPr>
        <w:sectPr>
          <w:headerReference w:type="default" r:id="rId14"/>
          <w:footerReference w:type="default" r:id="rId15"/>
          <w:headerReference w:type="first" r:id="rId16"/>
          <w:footerReference w:type="first" r:id="rId17"/>
          <w:pgSz w:w="16840" w:h="11907" w:orient="landscape" w:code="9"/>
          <w:pgMar w:top="1134" w:right="1418" w:bottom="1134" w:left="1418" w:header="709" w:footer="709" w:gutter="0"/>
          <w:cols w:space="708"/>
          <w:docGrid w:linePitch="360"/>
        </w:sectPr>
      </w:pPr>
      <w:r>
        <w:rPr>
          <w:noProof/>
          <w:color w:val="000000" w:themeColor="text1"/>
        </w:rPr>
        <w:t xml:space="preserve">*Heading 5: </w:t>
      </w:r>
      <w:r>
        <w:rPr>
          <w:noProof/>
          <w:color w:val="000000" w:themeColor="text1"/>
          <w:sz w:val="22"/>
        </w:rPr>
        <w:t>Costs for administration, including human resources, will be assured by internal redeployment inside DG EAC.</w:t>
      </w:r>
    </w:p>
    <w:p>
      <w:pPr>
        <w:pStyle w:val="ManualHeading3"/>
        <w:rPr>
          <w:bCs/>
          <w:noProof/>
          <w:szCs w:val="24"/>
        </w:rPr>
      </w:pPr>
      <w:r>
        <w:t>3.2.2.</w:t>
      </w:r>
      <w:r>
        <w:tab/>
      </w:r>
      <w:r>
        <w:rPr>
          <w:noProof/>
        </w:rPr>
        <w:t xml:space="preserve">Estimated impact on operational appropriations </w:t>
      </w:r>
    </w:p>
    <w:p>
      <w:pPr>
        <w:pStyle w:val="ListDash1"/>
        <w:rPr>
          <w:noProof/>
          <w:color w:val="000000" w:themeColor="text1"/>
        </w:rPr>
      </w:pPr>
      <w:r>
        <w:rPr>
          <w:noProof/>
          <w:color w:val="000000" w:themeColor="text1"/>
        </w:rPr>
        <w:sym w:font="Wingdings" w:char="F0A8"/>
      </w:r>
      <w:r>
        <w:rPr>
          <w:noProof/>
          <w:color w:val="000000" w:themeColor="text1"/>
        </w:rPr>
        <w:tab/>
        <w:t xml:space="preserve">The proposal/initiative does not require the use of operational appropriations </w:t>
      </w:r>
    </w:p>
    <w:p>
      <w:pPr>
        <w:pStyle w:val="ListDash1"/>
        <w:rPr>
          <w:noProof/>
          <w:color w:val="000000" w:themeColor="text1"/>
        </w:rPr>
      </w:pPr>
      <w:r>
        <w:rPr>
          <w:noProof/>
          <w:color w:val="000000" w:themeColor="text1"/>
        </w:rPr>
        <w:t>X</w:t>
      </w:r>
      <w:r>
        <w:rPr>
          <w:noProof/>
          <w:color w:val="000000" w:themeColor="text1"/>
        </w:rPr>
        <w:tab/>
        <w:t>The proposal/initiative requires the use of operational appropriations, as explained below:</w:t>
      </w:r>
    </w:p>
    <w:p>
      <w:pPr>
        <w:jc w:val="right"/>
        <w:rPr>
          <w:noProof/>
          <w:color w:val="000000" w:themeColor="text1"/>
          <w:sz w:val="20"/>
        </w:rPr>
      </w:pPr>
      <w:r>
        <w:rPr>
          <w:noProof/>
          <w:color w:val="000000" w:themeColor="text1"/>
          <w:sz w:val="20"/>
        </w:rPr>
        <w:t>Commitment appropriations in EUR million (to three decimal places)</w:t>
      </w:r>
    </w:p>
    <w:tbl>
      <w:tblPr>
        <w:tblW w:w="13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720"/>
        <w:gridCol w:w="920"/>
        <w:gridCol w:w="425"/>
        <w:gridCol w:w="850"/>
        <w:gridCol w:w="270"/>
        <w:gridCol w:w="720"/>
        <w:gridCol w:w="720"/>
        <w:gridCol w:w="720"/>
        <w:gridCol w:w="859"/>
        <w:gridCol w:w="41"/>
        <w:gridCol w:w="720"/>
        <w:gridCol w:w="540"/>
        <w:gridCol w:w="648"/>
        <w:gridCol w:w="432"/>
        <w:gridCol w:w="720"/>
        <w:gridCol w:w="540"/>
        <w:gridCol w:w="720"/>
        <w:gridCol w:w="720"/>
        <w:gridCol w:w="900"/>
      </w:tblGrid>
      <w:tr>
        <w:trPr>
          <w:jc w:val="center"/>
        </w:trPr>
        <w:tc>
          <w:tcPr>
            <w:tcW w:w="1423" w:type="dxa"/>
            <w:vMerge w:val="restart"/>
            <w:vAlign w:val="center"/>
          </w:tcPr>
          <w:p>
            <w:pPr>
              <w:ind w:right="-29"/>
              <w:jc w:val="center"/>
              <w:rPr>
                <w:b/>
                <w:noProof/>
                <w:color w:val="000000" w:themeColor="text1"/>
                <w:sz w:val="18"/>
                <w:szCs w:val="18"/>
              </w:rPr>
            </w:pPr>
            <w:r>
              <w:rPr>
                <w:b/>
                <w:noProof/>
                <w:color w:val="000000" w:themeColor="text1"/>
                <w:sz w:val="18"/>
              </w:rPr>
              <w:t xml:space="preserve">Indicate objectives and outputs </w:t>
            </w:r>
          </w:p>
          <w:p>
            <w:pPr>
              <w:ind w:right="-29"/>
              <w:jc w:val="center"/>
              <w:rPr>
                <w:b/>
                <w:noProof/>
                <w:color w:val="000000" w:themeColor="text1"/>
                <w:sz w:val="18"/>
                <w:szCs w:val="18"/>
              </w:rPr>
            </w:pPr>
          </w:p>
          <w:p>
            <w:pPr>
              <w:ind w:right="-29"/>
              <w:jc w:val="center"/>
              <w:rPr>
                <w:noProof/>
                <w:color w:val="000000" w:themeColor="text1"/>
                <w:sz w:val="18"/>
                <w:szCs w:val="18"/>
              </w:rPr>
            </w:pPr>
            <w:r>
              <w:rPr>
                <w:noProof/>
                <w:color w:val="000000" w:themeColor="text1"/>
                <w:sz w:val="18"/>
              </w:rPr>
              <w:sym w:font="Wingdings" w:char="F0F2"/>
            </w:r>
          </w:p>
        </w:tc>
        <w:tc>
          <w:tcPr>
            <w:tcW w:w="720" w:type="dxa"/>
            <w:vAlign w:val="center"/>
          </w:tcPr>
          <w:p>
            <w:pPr>
              <w:ind w:right="-29"/>
              <w:jc w:val="center"/>
              <w:rPr>
                <w:noProof/>
                <w:color w:val="000000" w:themeColor="text1"/>
                <w:sz w:val="18"/>
                <w:szCs w:val="18"/>
              </w:rPr>
            </w:pPr>
          </w:p>
        </w:tc>
        <w:tc>
          <w:tcPr>
            <w:tcW w:w="920" w:type="dxa"/>
            <w:vAlign w:val="center"/>
          </w:tcPr>
          <w:p>
            <w:pPr>
              <w:ind w:right="-29"/>
              <w:jc w:val="center"/>
              <w:rPr>
                <w:noProof/>
                <w:color w:val="000000" w:themeColor="text1"/>
                <w:sz w:val="18"/>
                <w:szCs w:val="18"/>
              </w:rPr>
            </w:pPr>
          </w:p>
        </w:tc>
        <w:tc>
          <w:tcPr>
            <w:tcW w:w="1275" w:type="dxa"/>
            <w:gridSpan w:val="2"/>
            <w:tcBorders>
              <w:left w:val="nil"/>
            </w:tcBorders>
            <w:vAlign w:val="center"/>
          </w:tcPr>
          <w:p>
            <w:pPr>
              <w:ind w:right="-29"/>
              <w:jc w:val="center"/>
              <w:rPr>
                <w:noProof/>
                <w:color w:val="000000" w:themeColor="text1"/>
                <w:sz w:val="18"/>
                <w:szCs w:val="18"/>
              </w:rPr>
            </w:pPr>
            <w:r>
              <w:rPr>
                <w:noProof/>
                <w:color w:val="000000" w:themeColor="text1"/>
                <w:sz w:val="18"/>
              </w:rPr>
              <w:t>Year</w:t>
            </w:r>
            <w:r>
              <w:rPr>
                <w:noProof/>
                <w:color w:val="000000" w:themeColor="text1"/>
                <w:sz w:val="22"/>
              </w:rPr>
              <w:br/>
            </w:r>
            <w:r>
              <w:rPr>
                <w:b/>
                <w:noProof/>
                <w:color w:val="000000" w:themeColor="text1"/>
                <w:sz w:val="18"/>
              </w:rPr>
              <w:t>N</w:t>
            </w:r>
          </w:p>
        </w:tc>
        <w:tc>
          <w:tcPr>
            <w:tcW w:w="990" w:type="dxa"/>
            <w:gridSpan w:val="2"/>
            <w:vAlign w:val="center"/>
          </w:tcPr>
          <w:p>
            <w:pPr>
              <w:ind w:right="-29"/>
              <w:jc w:val="center"/>
              <w:rPr>
                <w:noProof/>
                <w:color w:val="000000" w:themeColor="text1"/>
                <w:sz w:val="18"/>
                <w:szCs w:val="18"/>
              </w:rPr>
            </w:pPr>
            <w:r>
              <w:rPr>
                <w:noProof/>
                <w:color w:val="000000" w:themeColor="text1"/>
                <w:sz w:val="18"/>
              </w:rPr>
              <w:t>Year</w:t>
            </w:r>
            <w:r>
              <w:rPr>
                <w:noProof/>
                <w:color w:val="000000" w:themeColor="text1"/>
                <w:sz w:val="22"/>
              </w:rPr>
              <w:br/>
            </w:r>
            <w:r>
              <w:rPr>
                <w:b/>
                <w:noProof/>
                <w:color w:val="000000" w:themeColor="text1"/>
                <w:sz w:val="18"/>
              </w:rPr>
              <w:t>N+1</w:t>
            </w:r>
          </w:p>
        </w:tc>
        <w:tc>
          <w:tcPr>
            <w:tcW w:w="1440" w:type="dxa"/>
            <w:gridSpan w:val="2"/>
            <w:vAlign w:val="center"/>
          </w:tcPr>
          <w:p>
            <w:pPr>
              <w:ind w:right="-29"/>
              <w:jc w:val="center"/>
              <w:rPr>
                <w:noProof/>
                <w:color w:val="000000" w:themeColor="text1"/>
                <w:sz w:val="18"/>
                <w:szCs w:val="18"/>
              </w:rPr>
            </w:pPr>
            <w:r>
              <w:rPr>
                <w:noProof/>
                <w:color w:val="000000" w:themeColor="text1"/>
                <w:sz w:val="18"/>
              </w:rPr>
              <w:t>Year</w:t>
            </w:r>
            <w:r>
              <w:rPr>
                <w:noProof/>
                <w:color w:val="000000" w:themeColor="text1"/>
                <w:sz w:val="22"/>
              </w:rPr>
              <w:br/>
            </w:r>
            <w:r>
              <w:rPr>
                <w:b/>
                <w:noProof/>
                <w:color w:val="000000" w:themeColor="text1"/>
                <w:sz w:val="18"/>
              </w:rPr>
              <w:t>N+2</w:t>
            </w:r>
          </w:p>
        </w:tc>
        <w:tc>
          <w:tcPr>
            <w:tcW w:w="1620" w:type="dxa"/>
            <w:gridSpan w:val="3"/>
            <w:vAlign w:val="center"/>
          </w:tcPr>
          <w:p>
            <w:pPr>
              <w:ind w:right="-29"/>
              <w:jc w:val="center"/>
              <w:rPr>
                <w:noProof/>
                <w:color w:val="000000" w:themeColor="text1"/>
                <w:sz w:val="18"/>
                <w:szCs w:val="18"/>
              </w:rPr>
            </w:pPr>
            <w:r>
              <w:rPr>
                <w:noProof/>
                <w:color w:val="000000" w:themeColor="text1"/>
                <w:sz w:val="18"/>
              </w:rPr>
              <w:t>Year</w:t>
            </w:r>
            <w:r>
              <w:rPr>
                <w:noProof/>
                <w:color w:val="000000" w:themeColor="text1"/>
                <w:sz w:val="22"/>
              </w:rPr>
              <w:br/>
            </w:r>
            <w:r>
              <w:rPr>
                <w:b/>
                <w:noProof/>
                <w:color w:val="000000" w:themeColor="text1"/>
                <w:sz w:val="18"/>
              </w:rPr>
              <w:t>N+3</w:t>
            </w:r>
          </w:p>
        </w:tc>
        <w:tc>
          <w:tcPr>
            <w:tcW w:w="3600" w:type="dxa"/>
            <w:gridSpan w:val="6"/>
            <w:vAlign w:val="center"/>
          </w:tcPr>
          <w:p>
            <w:pPr>
              <w:jc w:val="center"/>
              <w:rPr>
                <w:noProof/>
                <w:color w:val="000000" w:themeColor="text1"/>
                <w:sz w:val="18"/>
                <w:szCs w:val="18"/>
              </w:rPr>
            </w:pPr>
            <w:r>
              <w:rPr>
                <w:noProof/>
                <w:color w:val="000000" w:themeColor="text1"/>
                <w:sz w:val="18"/>
              </w:rPr>
              <w:t>Enter as many years as necessary to show the duration of the impact (see point 1.6)</w:t>
            </w:r>
          </w:p>
        </w:tc>
        <w:tc>
          <w:tcPr>
            <w:tcW w:w="1620" w:type="dxa"/>
            <w:gridSpan w:val="2"/>
            <w:tcBorders>
              <w:left w:val="nil"/>
              <w:bottom w:val="nil"/>
            </w:tcBorders>
            <w:vAlign w:val="center"/>
          </w:tcPr>
          <w:p>
            <w:pPr>
              <w:ind w:right="-29"/>
              <w:jc w:val="center"/>
              <w:rPr>
                <w:noProof/>
                <w:color w:val="000000" w:themeColor="text1"/>
                <w:sz w:val="18"/>
                <w:szCs w:val="18"/>
              </w:rPr>
            </w:pPr>
            <w:r>
              <w:rPr>
                <w:b/>
                <w:noProof/>
                <w:color w:val="000000" w:themeColor="text1"/>
                <w:sz w:val="18"/>
              </w:rPr>
              <w:t>TOTAL</w:t>
            </w:r>
          </w:p>
        </w:tc>
      </w:tr>
      <w:tr>
        <w:trPr>
          <w:jc w:val="center"/>
        </w:trPr>
        <w:tc>
          <w:tcPr>
            <w:tcW w:w="1423" w:type="dxa"/>
            <w:vMerge/>
            <w:vAlign w:val="center"/>
          </w:tcPr>
          <w:p>
            <w:pPr>
              <w:ind w:right="-29"/>
              <w:jc w:val="center"/>
              <w:rPr>
                <w:noProof/>
                <w:color w:val="000000" w:themeColor="text1"/>
                <w:sz w:val="18"/>
                <w:szCs w:val="18"/>
              </w:rPr>
            </w:pPr>
          </w:p>
        </w:tc>
        <w:tc>
          <w:tcPr>
            <w:tcW w:w="12185" w:type="dxa"/>
            <w:gridSpan w:val="19"/>
            <w:vAlign w:val="center"/>
          </w:tcPr>
          <w:p>
            <w:pPr>
              <w:spacing w:before="60" w:after="60"/>
              <w:ind w:right="-29"/>
              <w:jc w:val="center"/>
              <w:rPr>
                <w:noProof/>
                <w:color w:val="000000" w:themeColor="text1"/>
                <w:sz w:val="18"/>
                <w:szCs w:val="18"/>
              </w:rPr>
            </w:pPr>
            <w:r>
              <w:rPr>
                <w:b/>
                <w:noProof/>
                <w:color w:val="000000" w:themeColor="text1"/>
                <w:sz w:val="18"/>
              </w:rPr>
              <w:t>OUTPUTS</w:t>
            </w:r>
          </w:p>
        </w:tc>
      </w:tr>
      <w:tr>
        <w:trPr>
          <w:cantSplit/>
          <w:trHeight w:val="1134"/>
          <w:jc w:val="center"/>
        </w:trPr>
        <w:tc>
          <w:tcPr>
            <w:tcW w:w="1423" w:type="dxa"/>
            <w:vMerge/>
            <w:vAlign w:val="center"/>
          </w:tcPr>
          <w:p>
            <w:pPr>
              <w:rPr>
                <w:noProof/>
                <w:color w:val="000000" w:themeColor="text1"/>
                <w:sz w:val="18"/>
                <w:szCs w:val="18"/>
              </w:rPr>
            </w:pPr>
          </w:p>
        </w:tc>
        <w:tc>
          <w:tcPr>
            <w:tcW w:w="720" w:type="dxa"/>
            <w:vAlign w:val="center"/>
          </w:tcPr>
          <w:p>
            <w:pPr>
              <w:jc w:val="center"/>
              <w:rPr>
                <w:noProof/>
                <w:color w:val="000000" w:themeColor="text1"/>
                <w:sz w:val="18"/>
                <w:szCs w:val="18"/>
              </w:rPr>
            </w:pPr>
            <w:r>
              <w:rPr>
                <w:noProof/>
                <w:color w:val="000000" w:themeColor="text1"/>
                <w:sz w:val="18"/>
              </w:rPr>
              <w:t>Type</w:t>
            </w:r>
            <w:r>
              <w:rPr>
                <w:rStyle w:val="FootnoteReference"/>
                <w:noProof/>
                <w:color w:val="000000" w:themeColor="text1"/>
                <w:sz w:val="18"/>
              </w:rPr>
              <w:footnoteReference w:id="36"/>
            </w:r>
          </w:p>
          <w:p>
            <w:pPr>
              <w:spacing w:before="0" w:after="0"/>
              <w:jc w:val="center"/>
              <w:rPr>
                <w:noProof/>
                <w:color w:val="000000" w:themeColor="text1"/>
                <w:sz w:val="18"/>
                <w:szCs w:val="18"/>
              </w:rPr>
            </w:pPr>
          </w:p>
        </w:tc>
        <w:tc>
          <w:tcPr>
            <w:tcW w:w="920" w:type="dxa"/>
            <w:vAlign w:val="center"/>
          </w:tcPr>
          <w:p>
            <w:pPr>
              <w:jc w:val="center"/>
              <w:rPr>
                <w:noProof/>
                <w:color w:val="000000" w:themeColor="text1"/>
                <w:sz w:val="18"/>
                <w:szCs w:val="18"/>
              </w:rPr>
            </w:pPr>
            <w:r>
              <w:rPr>
                <w:noProof/>
                <w:color w:val="000000" w:themeColor="text1"/>
                <w:sz w:val="18"/>
              </w:rPr>
              <w:t>Average cost</w:t>
            </w:r>
          </w:p>
        </w:tc>
        <w:tc>
          <w:tcPr>
            <w:tcW w:w="425" w:type="dxa"/>
            <w:tcBorders>
              <w:left w:val="nil"/>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No</w:t>
            </w:r>
          </w:p>
        </w:tc>
        <w:tc>
          <w:tcPr>
            <w:tcW w:w="85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Cost</w:t>
            </w:r>
          </w:p>
        </w:tc>
        <w:tc>
          <w:tcPr>
            <w:tcW w:w="270"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No</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Cost</w:t>
            </w:r>
          </w:p>
        </w:tc>
        <w:tc>
          <w:tcPr>
            <w:tcW w:w="720"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No</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Cost</w:t>
            </w:r>
          </w:p>
        </w:tc>
        <w:tc>
          <w:tcPr>
            <w:tcW w:w="900" w:type="dxa"/>
            <w:gridSpan w:val="2"/>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No</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No</w:t>
            </w:r>
          </w:p>
        </w:tc>
        <w:tc>
          <w:tcPr>
            <w:tcW w:w="648"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Cost</w:t>
            </w:r>
          </w:p>
        </w:tc>
        <w:tc>
          <w:tcPr>
            <w:tcW w:w="432"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No</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Cost</w:t>
            </w:r>
          </w:p>
        </w:tc>
        <w:tc>
          <w:tcPr>
            <w:tcW w:w="540" w:type="dxa"/>
            <w:tcBorders>
              <w:right w:val="dashSmallGap" w:sz="4" w:space="0" w:color="auto"/>
            </w:tcBorders>
            <w:shd w:val="pct10" w:color="auto" w:fill="auto"/>
            <w:textDirection w:val="btLr"/>
            <w:vAlign w:val="center"/>
          </w:tcPr>
          <w:p>
            <w:pPr>
              <w:ind w:left="113" w:right="113"/>
              <w:jc w:val="center"/>
              <w:rPr>
                <w:noProof/>
                <w:color w:val="000000" w:themeColor="text1"/>
                <w:sz w:val="18"/>
                <w:szCs w:val="18"/>
              </w:rPr>
            </w:pPr>
            <w:r>
              <w:rPr>
                <w:noProof/>
                <w:color w:val="000000" w:themeColor="text1"/>
                <w:sz w:val="18"/>
              </w:rPr>
              <w:t>No</w:t>
            </w:r>
          </w:p>
        </w:tc>
        <w:tc>
          <w:tcPr>
            <w:tcW w:w="72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Cost</w:t>
            </w:r>
          </w:p>
        </w:tc>
        <w:tc>
          <w:tcPr>
            <w:tcW w:w="720" w:type="dxa"/>
            <w:tcBorders>
              <w:righ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Total No</w:t>
            </w:r>
          </w:p>
        </w:tc>
        <w:tc>
          <w:tcPr>
            <w:tcW w:w="900" w:type="dxa"/>
            <w:tcBorders>
              <w:left w:val="dashSmallGap" w:sz="4" w:space="0" w:color="auto"/>
            </w:tcBorders>
            <w:shd w:val="pct10" w:color="auto" w:fill="auto"/>
            <w:vAlign w:val="center"/>
          </w:tcPr>
          <w:p>
            <w:pPr>
              <w:jc w:val="center"/>
              <w:rPr>
                <w:noProof/>
                <w:color w:val="000000" w:themeColor="text1"/>
                <w:sz w:val="18"/>
                <w:szCs w:val="18"/>
              </w:rPr>
            </w:pPr>
            <w:r>
              <w:rPr>
                <w:noProof/>
                <w:color w:val="000000" w:themeColor="text1"/>
                <w:sz w:val="18"/>
              </w:rPr>
              <w:t>Total cost</w:t>
            </w:r>
          </w:p>
        </w:tc>
      </w:tr>
      <w:tr>
        <w:trPr>
          <w:jc w:val="center"/>
        </w:trPr>
        <w:tc>
          <w:tcPr>
            <w:tcW w:w="3063" w:type="dxa"/>
            <w:gridSpan w:val="3"/>
            <w:vAlign w:val="center"/>
          </w:tcPr>
          <w:p>
            <w:pPr>
              <w:spacing w:before="60" w:after="60"/>
              <w:ind w:right="-29"/>
              <w:jc w:val="center"/>
              <w:rPr>
                <w:noProof/>
                <w:color w:val="000000" w:themeColor="text1"/>
                <w:sz w:val="18"/>
                <w:szCs w:val="18"/>
              </w:rPr>
            </w:pPr>
            <w:r>
              <w:rPr>
                <w:noProof/>
                <w:color w:val="000000" w:themeColor="text1"/>
                <w:sz w:val="18"/>
              </w:rPr>
              <w:t>SPECIFIC OBJECTIVE No 1</w:t>
            </w:r>
            <w:r>
              <w:rPr>
                <w:rStyle w:val="FootnoteReference"/>
                <w:noProof/>
                <w:color w:val="000000" w:themeColor="text1"/>
                <w:sz w:val="18"/>
              </w:rPr>
              <w:footnoteReference w:id="37"/>
            </w:r>
            <w:r>
              <w:rPr>
                <w:noProof/>
                <w:color w:val="000000" w:themeColor="text1"/>
                <w:sz w:val="18"/>
              </w:rPr>
              <w:t>…</w:t>
            </w:r>
          </w:p>
        </w:tc>
        <w:tc>
          <w:tcPr>
            <w:tcW w:w="425" w:type="dxa"/>
            <w:tcBorders>
              <w:top w:val="nil"/>
              <w:left w:val="nil"/>
              <w:bottom w:val="nil"/>
              <w:right w:val="nil"/>
            </w:tcBorders>
          </w:tcPr>
          <w:p>
            <w:pPr>
              <w:spacing w:before="60" w:after="60"/>
              <w:ind w:right="-29"/>
              <w:jc w:val="center"/>
              <w:rPr>
                <w:noProof/>
                <w:color w:val="000000" w:themeColor="text1"/>
                <w:sz w:val="18"/>
                <w:szCs w:val="18"/>
              </w:rPr>
            </w:pPr>
          </w:p>
        </w:tc>
        <w:tc>
          <w:tcPr>
            <w:tcW w:w="850" w:type="dxa"/>
            <w:tcBorders>
              <w:top w:val="nil"/>
              <w:left w:val="nil"/>
              <w:bottom w:val="nil"/>
              <w:right w:val="nil"/>
            </w:tcBorders>
          </w:tcPr>
          <w:p>
            <w:pPr>
              <w:spacing w:before="60" w:after="60"/>
              <w:ind w:right="-29"/>
              <w:jc w:val="center"/>
              <w:rPr>
                <w:noProof/>
                <w:color w:val="000000" w:themeColor="text1"/>
                <w:sz w:val="18"/>
                <w:szCs w:val="18"/>
              </w:rPr>
            </w:pPr>
          </w:p>
        </w:tc>
        <w:tc>
          <w:tcPr>
            <w:tcW w:w="27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gridSpan w:val="2"/>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648" w:type="dxa"/>
            <w:tcBorders>
              <w:top w:val="nil"/>
              <w:left w:val="nil"/>
              <w:bottom w:val="nil"/>
              <w:right w:val="nil"/>
            </w:tcBorders>
          </w:tcPr>
          <w:p>
            <w:pPr>
              <w:spacing w:before="60" w:after="60"/>
              <w:ind w:right="-29"/>
              <w:jc w:val="center"/>
              <w:rPr>
                <w:noProof/>
                <w:color w:val="000000" w:themeColor="text1"/>
                <w:sz w:val="18"/>
                <w:szCs w:val="18"/>
              </w:rPr>
            </w:pPr>
          </w:p>
        </w:tc>
        <w:tc>
          <w:tcPr>
            <w:tcW w:w="432"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tcBorders>
              <w:top w:val="nil"/>
              <w:left w:val="nil"/>
              <w:bottom w:val="nil"/>
              <w:right w:val="nil"/>
            </w:tcBorders>
          </w:tcPr>
          <w:p>
            <w:pPr>
              <w:spacing w:before="60" w:after="60"/>
              <w:ind w:right="-29"/>
              <w:jc w:val="center"/>
              <w:rPr>
                <w:noProof/>
                <w:color w:val="000000" w:themeColor="text1"/>
                <w:sz w:val="18"/>
                <w:szCs w:val="18"/>
              </w:rPr>
            </w:pPr>
          </w:p>
        </w:tc>
      </w:tr>
      <w:tr>
        <w:trPr>
          <w:trHeight w:hRule="exact" w:val="369"/>
          <w:jc w:val="center"/>
        </w:trPr>
        <w:tc>
          <w:tcPr>
            <w:tcW w:w="1423" w:type="dxa"/>
          </w:tcPr>
          <w:p>
            <w:pPr>
              <w:ind w:right="-29"/>
              <w:jc w:val="center"/>
              <w:rPr>
                <w:noProof/>
                <w:color w:val="000000" w:themeColor="text1"/>
                <w:sz w:val="18"/>
                <w:szCs w:val="18"/>
              </w:rPr>
            </w:pPr>
            <w:r>
              <w:rPr>
                <w:noProof/>
                <w:color w:val="000000" w:themeColor="text1"/>
                <w:sz w:val="18"/>
              </w:rPr>
              <w:t>- Output</w:t>
            </w:r>
          </w:p>
        </w:tc>
        <w:tc>
          <w:tcPr>
            <w:tcW w:w="720" w:type="dxa"/>
          </w:tcPr>
          <w:p>
            <w:pPr>
              <w:ind w:right="-29"/>
              <w:jc w:val="center"/>
              <w:rPr>
                <w:noProof/>
                <w:color w:val="000000" w:themeColor="text1"/>
                <w:sz w:val="18"/>
                <w:szCs w:val="18"/>
              </w:rPr>
            </w:pPr>
            <w:r>
              <w:rPr>
                <w:noProof/>
                <w:color w:val="000000" w:themeColor="text1"/>
                <w:sz w:val="18"/>
                <w:szCs w:val="18"/>
              </w:rPr>
              <w:t>Commn</w:t>
            </w:r>
          </w:p>
        </w:tc>
        <w:tc>
          <w:tcPr>
            <w:tcW w:w="920" w:type="dxa"/>
          </w:tcPr>
          <w:p>
            <w:pPr>
              <w:ind w:right="-29"/>
              <w:jc w:val="center"/>
              <w:rPr>
                <w:noProof/>
                <w:color w:val="000000" w:themeColor="text1"/>
                <w:sz w:val="18"/>
                <w:szCs w:val="18"/>
              </w:rPr>
            </w:pPr>
            <w:r>
              <w:rPr>
                <w:noProof/>
                <w:color w:val="000000" w:themeColor="text1"/>
                <w:sz w:val="18"/>
                <w:szCs w:val="18"/>
              </w:rPr>
              <w:t>0.3</w:t>
            </w:r>
          </w:p>
        </w:tc>
        <w:tc>
          <w:tcPr>
            <w:tcW w:w="425" w:type="dxa"/>
            <w:tcBorders>
              <w:right w:val="dashSmallGap" w:sz="4" w:space="0" w:color="auto"/>
            </w:tcBorders>
          </w:tcPr>
          <w:p>
            <w:pPr>
              <w:ind w:right="-29"/>
              <w:jc w:val="center"/>
              <w:rPr>
                <w:noProof/>
                <w:color w:val="000000" w:themeColor="text1"/>
                <w:sz w:val="18"/>
                <w:szCs w:val="18"/>
              </w:rPr>
            </w:pPr>
            <w:r>
              <w:rPr>
                <w:noProof/>
                <w:color w:val="000000" w:themeColor="text1"/>
                <w:sz w:val="18"/>
                <w:szCs w:val="18"/>
              </w:rPr>
              <w:t>2</w:t>
            </w:r>
          </w:p>
        </w:tc>
        <w:tc>
          <w:tcPr>
            <w:tcW w:w="850" w:type="dxa"/>
            <w:tcBorders>
              <w:left w:val="dashSmallGap" w:sz="4" w:space="0" w:color="auto"/>
            </w:tcBorders>
          </w:tcPr>
          <w:p>
            <w:pPr>
              <w:ind w:right="-29"/>
              <w:jc w:val="center"/>
              <w:rPr>
                <w:noProof/>
                <w:color w:val="000000" w:themeColor="text1"/>
                <w:sz w:val="18"/>
                <w:szCs w:val="18"/>
              </w:rPr>
            </w:pPr>
            <w:r>
              <w:rPr>
                <w:noProof/>
                <w:color w:val="000000" w:themeColor="text1"/>
                <w:sz w:val="18"/>
                <w:szCs w:val="18"/>
              </w:rPr>
              <w:t>0.600</w:t>
            </w:r>
          </w:p>
        </w:tc>
        <w:tc>
          <w:tcPr>
            <w:tcW w:w="270" w:type="dxa"/>
            <w:tcBorders>
              <w:right w:val="dashSmallGap" w:sz="4" w:space="0" w:color="auto"/>
            </w:tcBorders>
          </w:tcPr>
          <w:p>
            <w:pPr>
              <w:ind w:right="-29"/>
              <w:jc w:val="center"/>
              <w:rPr>
                <w:noProof/>
                <w:color w:val="000000" w:themeColor="text1"/>
                <w:sz w:val="18"/>
                <w:szCs w:val="18"/>
              </w:rPr>
            </w:pPr>
            <w:r>
              <w:rPr>
                <w:noProof/>
                <w:color w:val="000000" w:themeColor="text1"/>
                <w:sz w:val="18"/>
                <w:szCs w:val="18"/>
              </w:rPr>
              <w:t>0</w:t>
            </w:r>
          </w:p>
        </w:tc>
        <w:tc>
          <w:tcPr>
            <w:tcW w:w="720" w:type="dxa"/>
            <w:tcBorders>
              <w:left w:val="dashSmallGap" w:sz="4" w:space="0" w:color="auto"/>
            </w:tcBorders>
          </w:tcPr>
          <w:p>
            <w:pPr>
              <w:ind w:right="-29"/>
              <w:jc w:val="center"/>
              <w:rPr>
                <w:noProof/>
                <w:color w:val="000000" w:themeColor="text1"/>
                <w:sz w:val="18"/>
                <w:szCs w:val="18"/>
              </w:rPr>
            </w:pPr>
            <w:r>
              <w:rPr>
                <w:noProof/>
                <w:color w:val="000000" w:themeColor="text1"/>
                <w:sz w:val="18"/>
                <w:szCs w:val="18"/>
              </w:rPr>
              <w:t>0</w:t>
            </w:r>
          </w:p>
        </w:tc>
        <w:tc>
          <w:tcPr>
            <w:tcW w:w="720"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900" w:type="dxa"/>
            <w:gridSpan w:val="2"/>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540" w:type="dxa"/>
            <w:tcBorders>
              <w:right w:val="dashSmallGap" w:sz="4" w:space="0" w:color="auto"/>
            </w:tcBorders>
          </w:tcPr>
          <w:p>
            <w:pPr>
              <w:ind w:right="-29"/>
              <w:jc w:val="center"/>
              <w:rPr>
                <w:noProof/>
                <w:color w:val="000000" w:themeColor="text1"/>
                <w:sz w:val="18"/>
                <w:szCs w:val="18"/>
              </w:rPr>
            </w:pPr>
          </w:p>
        </w:tc>
        <w:tc>
          <w:tcPr>
            <w:tcW w:w="648" w:type="dxa"/>
            <w:tcBorders>
              <w:left w:val="dashSmallGap" w:sz="4" w:space="0" w:color="auto"/>
            </w:tcBorders>
          </w:tcPr>
          <w:p>
            <w:pPr>
              <w:ind w:right="-29"/>
              <w:jc w:val="center"/>
              <w:rPr>
                <w:noProof/>
                <w:color w:val="000000" w:themeColor="text1"/>
                <w:sz w:val="18"/>
                <w:szCs w:val="18"/>
              </w:rPr>
            </w:pPr>
          </w:p>
        </w:tc>
        <w:tc>
          <w:tcPr>
            <w:tcW w:w="432"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540"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szCs w:val="18"/>
              </w:rPr>
              <w:t>0.600</w:t>
            </w:r>
          </w:p>
        </w:tc>
      </w:tr>
      <w:tr>
        <w:trPr>
          <w:trHeight w:hRule="exact" w:val="567"/>
          <w:jc w:val="center"/>
        </w:trPr>
        <w:tc>
          <w:tcPr>
            <w:tcW w:w="1423" w:type="dxa"/>
          </w:tcPr>
          <w:p>
            <w:pPr>
              <w:ind w:right="-29"/>
              <w:jc w:val="center"/>
              <w:rPr>
                <w:noProof/>
                <w:color w:val="000000" w:themeColor="text1"/>
                <w:sz w:val="18"/>
                <w:szCs w:val="18"/>
              </w:rPr>
            </w:pPr>
            <w:r>
              <w:rPr>
                <w:noProof/>
                <w:color w:val="000000" w:themeColor="text1"/>
                <w:sz w:val="18"/>
              </w:rPr>
              <w:t>- Output</w:t>
            </w:r>
          </w:p>
        </w:tc>
        <w:tc>
          <w:tcPr>
            <w:tcW w:w="720" w:type="dxa"/>
          </w:tcPr>
          <w:p>
            <w:pPr>
              <w:ind w:right="-29"/>
              <w:jc w:val="center"/>
              <w:rPr>
                <w:noProof/>
                <w:color w:val="000000" w:themeColor="text1"/>
                <w:sz w:val="18"/>
                <w:szCs w:val="18"/>
              </w:rPr>
            </w:pPr>
            <w:r>
              <w:rPr>
                <w:noProof/>
                <w:color w:val="000000" w:themeColor="text1"/>
                <w:sz w:val="18"/>
                <w:szCs w:val="18"/>
              </w:rPr>
              <w:t>Seminars</w:t>
            </w:r>
          </w:p>
        </w:tc>
        <w:tc>
          <w:tcPr>
            <w:tcW w:w="920" w:type="dxa"/>
          </w:tcPr>
          <w:p>
            <w:pPr>
              <w:ind w:right="-29"/>
              <w:jc w:val="center"/>
              <w:rPr>
                <w:noProof/>
                <w:color w:val="000000" w:themeColor="text1"/>
                <w:sz w:val="18"/>
                <w:szCs w:val="18"/>
              </w:rPr>
            </w:pPr>
            <w:r>
              <w:rPr>
                <w:noProof/>
                <w:color w:val="000000" w:themeColor="text1"/>
                <w:sz w:val="18"/>
                <w:szCs w:val="18"/>
              </w:rPr>
              <w:t>0.25</w:t>
            </w:r>
          </w:p>
        </w:tc>
        <w:tc>
          <w:tcPr>
            <w:tcW w:w="425" w:type="dxa"/>
            <w:tcBorders>
              <w:right w:val="dashSmallGap" w:sz="4" w:space="0" w:color="auto"/>
            </w:tcBorders>
          </w:tcPr>
          <w:p>
            <w:pPr>
              <w:ind w:right="-29"/>
              <w:jc w:val="center"/>
              <w:rPr>
                <w:noProof/>
                <w:color w:val="000000" w:themeColor="text1"/>
                <w:sz w:val="18"/>
                <w:szCs w:val="18"/>
              </w:rPr>
            </w:pPr>
            <w:r>
              <w:rPr>
                <w:noProof/>
                <w:color w:val="000000" w:themeColor="text1"/>
                <w:sz w:val="18"/>
                <w:szCs w:val="18"/>
              </w:rPr>
              <w:t>4</w:t>
            </w:r>
          </w:p>
        </w:tc>
        <w:tc>
          <w:tcPr>
            <w:tcW w:w="850" w:type="dxa"/>
            <w:tcBorders>
              <w:left w:val="dashSmallGap" w:sz="4" w:space="0" w:color="auto"/>
            </w:tcBorders>
          </w:tcPr>
          <w:p>
            <w:pPr>
              <w:ind w:right="-29"/>
              <w:jc w:val="center"/>
              <w:rPr>
                <w:noProof/>
                <w:color w:val="000000" w:themeColor="text1"/>
                <w:sz w:val="18"/>
                <w:szCs w:val="18"/>
              </w:rPr>
            </w:pPr>
            <w:r>
              <w:rPr>
                <w:noProof/>
                <w:color w:val="000000" w:themeColor="text1"/>
                <w:sz w:val="18"/>
                <w:szCs w:val="18"/>
              </w:rPr>
              <w:t>1.000</w:t>
            </w:r>
          </w:p>
        </w:tc>
        <w:tc>
          <w:tcPr>
            <w:tcW w:w="270" w:type="dxa"/>
            <w:tcBorders>
              <w:right w:val="dashSmallGap" w:sz="4" w:space="0" w:color="auto"/>
            </w:tcBorders>
          </w:tcPr>
          <w:p>
            <w:pPr>
              <w:ind w:right="-29"/>
              <w:jc w:val="center"/>
              <w:rPr>
                <w:noProof/>
                <w:color w:val="000000" w:themeColor="text1"/>
                <w:sz w:val="18"/>
                <w:szCs w:val="18"/>
              </w:rPr>
            </w:pPr>
            <w:r>
              <w:rPr>
                <w:noProof/>
                <w:color w:val="000000" w:themeColor="text1"/>
                <w:sz w:val="18"/>
                <w:szCs w:val="18"/>
              </w:rPr>
              <w:t>0</w:t>
            </w:r>
          </w:p>
        </w:tc>
        <w:tc>
          <w:tcPr>
            <w:tcW w:w="720" w:type="dxa"/>
            <w:tcBorders>
              <w:left w:val="dashSmallGap" w:sz="4" w:space="0" w:color="auto"/>
            </w:tcBorders>
          </w:tcPr>
          <w:p>
            <w:pPr>
              <w:ind w:right="-29"/>
              <w:jc w:val="center"/>
              <w:rPr>
                <w:noProof/>
                <w:color w:val="000000" w:themeColor="text1"/>
                <w:sz w:val="18"/>
                <w:szCs w:val="18"/>
              </w:rPr>
            </w:pPr>
            <w:r>
              <w:rPr>
                <w:noProof/>
                <w:color w:val="000000" w:themeColor="text1"/>
                <w:sz w:val="18"/>
                <w:szCs w:val="18"/>
              </w:rPr>
              <w:t>0</w:t>
            </w:r>
          </w:p>
        </w:tc>
        <w:tc>
          <w:tcPr>
            <w:tcW w:w="720"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900" w:type="dxa"/>
            <w:gridSpan w:val="2"/>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540" w:type="dxa"/>
            <w:tcBorders>
              <w:right w:val="dashSmallGap" w:sz="4" w:space="0" w:color="auto"/>
            </w:tcBorders>
          </w:tcPr>
          <w:p>
            <w:pPr>
              <w:ind w:right="-29"/>
              <w:jc w:val="center"/>
              <w:rPr>
                <w:noProof/>
                <w:color w:val="000000" w:themeColor="text1"/>
                <w:sz w:val="18"/>
                <w:szCs w:val="18"/>
              </w:rPr>
            </w:pPr>
          </w:p>
        </w:tc>
        <w:tc>
          <w:tcPr>
            <w:tcW w:w="648" w:type="dxa"/>
            <w:tcBorders>
              <w:left w:val="dashSmallGap" w:sz="4" w:space="0" w:color="auto"/>
            </w:tcBorders>
          </w:tcPr>
          <w:p>
            <w:pPr>
              <w:ind w:right="-29"/>
              <w:jc w:val="center"/>
              <w:rPr>
                <w:noProof/>
                <w:color w:val="000000" w:themeColor="text1"/>
                <w:sz w:val="18"/>
                <w:szCs w:val="18"/>
              </w:rPr>
            </w:pPr>
          </w:p>
        </w:tc>
        <w:tc>
          <w:tcPr>
            <w:tcW w:w="432"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540" w:type="dxa"/>
            <w:tcBorders>
              <w:right w:val="dashSmallGap" w:sz="4" w:space="0" w:color="auto"/>
            </w:tcBorders>
          </w:tcPr>
          <w:p>
            <w:pPr>
              <w:ind w:right="-29"/>
              <w:jc w:val="center"/>
              <w:rPr>
                <w:noProof/>
                <w:color w:val="000000" w:themeColor="text1"/>
                <w:sz w:val="18"/>
                <w:szCs w:val="18"/>
              </w:rPr>
            </w:pPr>
          </w:p>
        </w:tc>
        <w:tc>
          <w:tcPr>
            <w:tcW w:w="720" w:type="dxa"/>
            <w:tcBorders>
              <w:left w:val="dashSmallGap" w:sz="4" w:space="0" w:color="auto"/>
            </w:tcBorders>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szCs w:val="18"/>
              </w:rPr>
              <w:t>1.000</w:t>
            </w:r>
          </w:p>
        </w:tc>
      </w:tr>
      <w:tr>
        <w:trPr>
          <w:trHeight w:hRule="exact" w:val="369"/>
          <w:jc w:val="center"/>
        </w:trPr>
        <w:tc>
          <w:tcPr>
            <w:tcW w:w="1423" w:type="dxa"/>
          </w:tcPr>
          <w:p>
            <w:pPr>
              <w:ind w:right="-29"/>
              <w:jc w:val="center"/>
              <w:rPr>
                <w:noProof/>
                <w:color w:val="000000" w:themeColor="text1"/>
                <w:sz w:val="18"/>
                <w:szCs w:val="18"/>
              </w:rPr>
            </w:pPr>
            <w:r>
              <w:rPr>
                <w:noProof/>
                <w:color w:val="000000" w:themeColor="text1"/>
                <w:sz w:val="18"/>
              </w:rPr>
              <w:t>- Output</w:t>
            </w:r>
          </w:p>
        </w:tc>
        <w:tc>
          <w:tcPr>
            <w:tcW w:w="720" w:type="dxa"/>
          </w:tcPr>
          <w:p>
            <w:pPr>
              <w:ind w:right="-29"/>
              <w:jc w:val="center"/>
              <w:rPr>
                <w:noProof/>
                <w:color w:val="000000" w:themeColor="text1"/>
                <w:sz w:val="18"/>
                <w:szCs w:val="18"/>
              </w:rPr>
            </w:pPr>
          </w:p>
        </w:tc>
        <w:tc>
          <w:tcPr>
            <w:tcW w:w="920" w:type="dxa"/>
          </w:tcPr>
          <w:p>
            <w:pPr>
              <w:ind w:right="-29"/>
              <w:jc w:val="center"/>
              <w:rPr>
                <w:noProof/>
                <w:color w:val="000000" w:themeColor="text1"/>
                <w:sz w:val="18"/>
                <w:szCs w:val="18"/>
              </w:rPr>
            </w:pPr>
          </w:p>
        </w:tc>
        <w:tc>
          <w:tcPr>
            <w:tcW w:w="425" w:type="dxa"/>
          </w:tcPr>
          <w:p>
            <w:pPr>
              <w:ind w:right="-29"/>
              <w:jc w:val="center"/>
              <w:rPr>
                <w:noProof/>
                <w:color w:val="000000" w:themeColor="text1"/>
                <w:sz w:val="18"/>
                <w:szCs w:val="18"/>
              </w:rPr>
            </w:pPr>
          </w:p>
        </w:tc>
        <w:tc>
          <w:tcPr>
            <w:tcW w:w="850" w:type="dxa"/>
          </w:tcPr>
          <w:p>
            <w:pPr>
              <w:ind w:right="-29"/>
              <w:jc w:val="center"/>
              <w:rPr>
                <w:noProof/>
                <w:color w:val="000000" w:themeColor="text1"/>
                <w:sz w:val="18"/>
                <w:szCs w:val="18"/>
              </w:rPr>
            </w:pPr>
          </w:p>
        </w:tc>
        <w:tc>
          <w:tcPr>
            <w:tcW w:w="27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p>
        </w:tc>
      </w:tr>
      <w:tr>
        <w:trPr>
          <w:jc w:val="center"/>
        </w:trPr>
        <w:tc>
          <w:tcPr>
            <w:tcW w:w="3063" w:type="dxa"/>
            <w:gridSpan w:val="3"/>
            <w:tcBorders>
              <w:bottom w:val="single" w:sz="12" w:space="0" w:color="auto"/>
            </w:tcBorders>
            <w:vAlign w:val="center"/>
          </w:tcPr>
          <w:p>
            <w:pPr>
              <w:ind w:right="-29"/>
              <w:jc w:val="center"/>
              <w:rPr>
                <w:noProof/>
                <w:color w:val="000000" w:themeColor="text1"/>
                <w:sz w:val="18"/>
                <w:szCs w:val="18"/>
              </w:rPr>
            </w:pPr>
            <w:r>
              <w:rPr>
                <w:noProof/>
                <w:color w:val="000000" w:themeColor="text1"/>
                <w:sz w:val="18"/>
              </w:rPr>
              <w:t>Subtotal for specific objective No 1</w:t>
            </w:r>
          </w:p>
        </w:tc>
        <w:tc>
          <w:tcPr>
            <w:tcW w:w="425"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6</w:t>
            </w:r>
          </w:p>
        </w:tc>
        <w:tc>
          <w:tcPr>
            <w:tcW w:w="850"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1.600</w:t>
            </w:r>
          </w:p>
        </w:tc>
        <w:tc>
          <w:tcPr>
            <w:tcW w:w="270"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0</w:t>
            </w:r>
          </w:p>
        </w:tc>
        <w:tc>
          <w:tcPr>
            <w:tcW w:w="720"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0</w:t>
            </w: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gridSpan w:val="2"/>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648" w:type="dxa"/>
            <w:tcBorders>
              <w:bottom w:val="single" w:sz="12" w:space="0" w:color="auto"/>
            </w:tcBorders>
          </w:tcPr>
          <w:p>
            <w:pPr>
              <w:ind w:right="-29"/>
              <w:jc w:val="center"/>
              <w:rPr>
                <w:noProof/>
                <w:color w:val="000000" w:themeColor="text1"/>
                <w:sz w:val="18"/>
                <w:szCs w:val="18"/>
              </w:rPr>
            </w:pPr>
          </w:p>
        </w:tc>
        <w:tc>
          <w:tcPr>
            <w:tcW w:w="432"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1.600</w:t>
            </w:r>
          </w:p>
        </w:tc>
      </w:tr>
      <w:tr>
        <w:trPr>
          <w:jc w:val="center"/>
        </w:trPr>
        <w:tc>
          <w:tcPr>
            <w:tcW w:w="3063" w:type="dxa"/>
            <w:gridSpan w:val="3"/>
            <w:vAlign w:val="center"/>
          </w:tcPr>
          <w:p>
            <w:pPr>
              <w:spacing w:before="60" w:after="60"/>
              <w:ind w:right="-29"/>
              <w:jc w:val="center"/>
              <w:rPr>
                <w:noProof/>
                <w:color w:val="000000" w:themeColor="text1"/>
                <w:sz w:val="18"/>
                <w:szCs w:val="18"/>
              </w:rPr>
            </w:pPr>
            <w:r>
              <w:rPr>
                <w:noProof/>
                <w:color w:val="000000" w:themeColor="text1"/>
                <w:sz w:val="18"/>
              </w:rPr>
              <w:t>SPECIFIC OBJECTIVE No 2 ...</w:t>
            </w:r>
          </w:p>
        </w:tc>
        <w:tc>
          <w:tcPr>
            <w:tcW w:w="425" w:type="dxa"/>
            <w:tcBorders>
              <w:top w:val="nil"/>
              <w:left w:val="nil"/>
              <w:bottom w:val="nil"/>
              <w:right w:val="nil"/>
            </w:tcBorders>
          </w:tcPr>
          <w:p>
            <w:pPr>
              <w:spacing w:before="60" w:after="60"/>
              <w:ind w:right="-29"/>
              <w:jc w:val="center"/>
              <w:rPr>
                <w:noProof/>
                <w:color w:val="000000" w:themeColor="text1"/>
                <w:sz w:val="18"/>
                <w:szCs w:val="18"/>
              </w:rPr>
            </w:pPr>
          </w:p>
        </w:tc>
        <w:tc>
          <w:tcPr>
            <w:tcW w:w="850" w:type="dxa"/>
            <w:tcBorders>
              <w:top w:val="nil"/>
              <w:left w:val="nil"/>
              <w:bottom w:val="nil"/>
              <w:right w:val="nil"/>
            </w:tcBorders>
          </w:tcPr>
          <w:p>
            <w:pPr>
              <w:spacing w:before="60" w:after="60"/>
              <w:ind w:right="-29"/>
              <w:jc w:val="center"/>
              <w:rPr>
                <w:noProof/>
                <w:color w:val="000000" w:themeColor="text1"/>
                <w:sz w:val="18"/>
                <w:szCs w:val="18"/>
              </w:rPr>
            </w:pPr>
          </w:p>
        </w:tc>
        <w:tc>
          <w:tcPr>
            <w:tcW w:w="27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gridSpan w:val="2"/>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648" w:type="dxa"/>
            <w:tcBorders>
              <w:top w:val="nil"/>
              <w:left w:val="nil"/>
              <w:bottom w:val="nil"/>
              <w:right w:val="nil"/>
            </w:tcBorders>
          </w:tcPr>
          <w:p>
            <w:pPr>
              <w:spacing w:before="60" w:after="60"/>
              <w:ind w:right="-29"/>
              <w:jc w:val="center"/>
              <w:rPr>
                <w:noProof/>
                <w:color w:val="000000" w:themeColor="text1"/>
                <w:sz w:val="18"/>
                <w:szCs w:val="18"/>
              </w:rPr>
            </w:pPr>
          </w:p>
        </w:tc>
        <w:tc>
          <w:tcPr>
            <w:tcW w:w="432"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tcBorders>
              <w:top w:val="nil"/>
              <w:left w:val="nil"/>
              <w:bottom w:val="nil"/>
              <w:right w:val="nil"/>
            </w:tcBorders>
          </w:tcPr>
          <w:p>
            <w:pPr>
              <w:spacing w:before="60" w:after="60"/>
              <w:ind w:right="-29"/>
              <w:jc w:val="center"/>
              <w:rPr>
                <w:noProof/>
                <w:color w:val="000000" w:themeColor="text1"/>
                <w:sz w:val="18"/>
                <w:szCs w:val="18"/>
              </w:rPr>
            </w:pPr>
          </w:p>
        </w:tc>
      </w:tr>
      <w:tr>
        <w:trPr>
          <w:trHeight w:hRule="exact" w:val="851"/>
          <w:jc w:val="center"/>
        </w:trPr>
        <w:tc>
          <w:tcPr>
            <w:tcW w:w="1423" w:type="dxa"/>
          </w:tcPr>
          <w:p>
            <w:pPr>
              <w:ind w:right="-29"/>
              <w:jc w:val="center"/>
              <w:rPr>
                <w:noProof/>
                <w:color w:val="000000" w:themeColor="text1"/>
                <w:sz w:val="18"/>
                <w:szCs w:val="18"/>
              </w:rPr>
            </w:pPr>
            <w:r>
              <w:rPr>
                <w:noProof/>
                <w:color w:val="000000" w:themeColor="text1"/>
                <w:sz w:val="18"/>
              </w:rPr>
              <w:t>- Output</w:t>
            </w:r>
          </w:p>
        </w:tc>
        <w:tc>
          <w:tcPr>
            <w:tcW w:w="720" w:type="dxa"/>
          </w:tcPr>
          <w:p>
            <w:pPr>
              <w:ind w:right="-29"/>
              <w:jc w:val="center"/>
              <w:rPr>
                <w:noProof/>
                <w:color w:val="000000" w:themeColor="text1"/>
                <w:sz w:val="18"/>
                <w:szCs w:val="18"/>
              </w:rPr>
            </w:pPr>
            <w:r>
              <w:rPr>
                <w:noProof/>
                <w:color w:val="000000" w:themeColor="text1"/>
                <w:sz w:val="18"/>
                <w:szCs w:val="18"/>
              </w:rPr>
              <w:t>Communication</w:t>
            </w:r>
          </w:p>
        </w:tc>
        <w:tc>
          <w:tcPr>
            <w:tcW w:w="920" w:type="dxa"/>
          </w:tcPr>
          <w:p>
            <w:pPr>
              <w:ind w:right="-29"/>
              <w:jc w:val="center"/>
              <w:rPr>
                <w:noProof/>
                <w:color w:val="000000" w:themeColor="text1"/>
                <w:sz w:val="18"/>
                <w:szCs w:val="18"/>
              </w:rPr>
            </w:pPr>
            <w:r>
              <w:rPr>
                <w:noProof/>
                <w:color w:val="000000" w:themeColor="text1"/>
                <w:sz w:val="18"/>
                <w:szCs w:val="18"/>
              </w:rPr>
              <w:t>0.3</w:t>
            </w:r>
          </w:p>
        </w:tc>
        <w:tc>
          <w:tcPr>
            <w:tcW w:w="425" w:type="dxa"/>
          </w:tcPr>
          <w:p>
            <w:pPr>
              <w:ind w:right="-29"/>
              <w:jc w:val="center"/>
              <w:rPr>
                <w:noProof/>
                <w:color w:val="000000" w:themeColor="text1"/>
                <w:sz w:val="18"/>
                <w:szCs w:val="18"/>
              </w:rPr>
            </w:pPr>
            <w:r>
              <w:rPr>
                <w:noProof/>
                <w:color w:val="000000" w:themeColor="text1"/>
                <w:sz w:val="18"/>
                <w:szCs w:val="18"/>
              </w:rPr>
              <w:t>2</w:t>
            </w:r>
          </w:p>
        </w:tc>
        <w:tc>
          <w:tcPr>
            <w:tcW w:w="850" w:type="dxa"/>
          </w:tcPr>
          <w:p>
            <w:pPr>
              <w:ind w:right="-29"/>
              <w:jc w:val="center"/>
              <w:rPr>
                <w:noProof/>
                <w:color w:val="000000" w:themeColor="text1"/>
                <w:sz w:val="18"/>
                <w:szCs w:val="18"/>
              </w:rPr>
            </w:pPr>
            <w:r>
              <w:rPr>
                <w:noProof/>
                <w:color w:val="000000" w:themeColor="text1"/>
                <w:sz w:val="18"/>
                <w:szCs w:val="18"/>
              </w:rPr>
              <w:t>0.600</w:t>
            </w:r>
          </w:p>
        </w:tc>
        <w:tc>
          <w:tcPr>
            <w:tcW w:w="270" w:type="dxa"/>
          </w:tcPr>
          <w:p>
            <w:pPr>
              <w:ind w:right="-29"/>
              <w:jc w:val="center"/>
              <w:rPr>
                <w:noProof/>
                <w:color w:val="000000" w:themeColor="text1"/>
                <w:sz w:val="18"/>
                <w:szCs w:val="18"/>
              </w:rPr>
            </w:pPr>
            <w:r>
              <w:rPr>
                <w:noProof/>
                <w:color w:val="000000" w:themeColor="text1"/>
                <w:sz w:val="18"/>
                <w:szCs w:val="18"/>
              </w:rPr>
              <w:t>0</w:t>
            </w:r>
          </w:p>
        </w:tc>
        <w:tc>
          <w:tcPr>
            <w:tcW w:w="720" w:type="dxa"/>
          </w:tcPr>
          <w:p>
            <w:pPr>
              <w:ind w:right="-29"/>
              <w:jc w:val="center"/>
              <w:rPr>
                <w:noProof/>
                <w:color w:val="000000" w:themeColor="text1"/>
                <w:sz w:val="18"/>
                <w:szCs w:val="18"/>
              </w:rPr>
            </w:pPr>
            <w:r>
              <w:rPr>
                <w:noProof/>
                <w:color w:val="000000" w:themeColor="text1"/>
                <w:sz w:val="18"/>
                <w:szCs w:val="18"/>
              </w:rPr>
              <w:t>0</w:t>
            </w: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szCs w:val="18"/>
              </w:rPr>
              <w:t>0.600</w:t>
            </w:r>
          </w:p>
          <w:p>
            <w:pPr>
              <w:ind w:right="-29"/>
              <w:jc w:val="center"/>
              <w:rPr>
                <w:noProof/>
                <w:color w:val="000000" w:themeColor="text1"/>
                <w:sz w:val="18"/>
                <w:szCs w:val="18"/>
              </w:rPr>
            </w:pPr>
          </w:p>
          <w:p>
            <w:pPr>
              <w:ind w:right="-29"/>
              <w:jc w:val="center"/>
              <w:rPr>
                <w:noProof/>
                <w:color w:val="000000" w:themeColor="text1"/>
                <w:sz w:val="18"/>
                <w:szCs w:val="18"/>
              </w:rPr>
            </w:pPr>
          </w:p>
        </w:tc>
      </w:tr>
      <w:tr>
        <w:trPr>
          <w:trHeight w:hRule="exact" w:val="851"/>
          <w:jc w:val="center"/>
        </w:trPr>
        <w:tc>
          <w:tcPr>
            <w:tcW w:w="1423" w:type="dxa"/>
          </w:tcPr>
          <w:p>
            <w:pPr>
              <w:ind w:right="-29"/>
              <w:jc w:val="center"/>
              <w:rPr>
                <w:noProof/>
                <w:color w:val="000000" w:themeColor="text1"/>
                <w:sz w:val="18"/>
                <w:szCs w:val="18"/>
              </w:rPr>
            </w:pPr>
            <w:r>
              <w:rPr>
                <w:noProof/>
                <w:color w:val="000000" w:themeColor="text1"/>
                <w:sz w:val="18"/>
              </w:rPr>
              <w:t>- Output</w:t>
            </w:r>
          </w:p>
        </w:tc>
        <w:tc>
          <w:tcPr>
            <w:tcW w:w="720" w:type="dxa"/>
          </w:tcPr>
          <w:p>
            <w:pPr>
              <w:ind w:right="-29"/>
              <w:jc w:val="center"/>
              <w:rPr>
                <w:noProof/>
                <w:color w:val="000000" w:themeColor="text1"/>
                <w:sz w:val="18"/>
                <w:szCs w:val="18"/>
              </w:rPr>
            </w:pPr>
            <w:r>
              <w:rPr>
                <w:noProof/>
                <w:color w:val="000000" w:themeColor="text1"/>
                <w:sz w:val="18"/>
                <w:szCs w:val="18"/>
              </w:rPr>
              <w:t>Seminars and conferences</w:t>
            </w:r>
          </w:p>
        </w:tc>
        <w:tc>
          <w:tcPr>
            <w:tcW w:w="920" w:type="dxa"/>
          </w:tcPr>
          <w:p>
            <w:pPr>
              <w:ind w:right="-29"/>
              <w:jc w:val="center"/>
              <w:rPr>
                <w:noProof/>
                <w:color w:val="000000" w:themeColor="text1"/>
                <w:sz w:val="18"/>
                <w:szCs w:val="18"/>
              </w:rPr>
            </w:pPr>
            <w:r>
              <w:rPr>
                <w:noProof/>
                <w:color w:val="000000" w:themeColor="text1"/>
                <w:sz w:val="18"/>
                <w:szCs w:val="18"/>
              </w:rPr>
              <w:t>0.25</w:t>
            </w:r>
          </w:p>
        </w:tc>
        <w:tc>
          <w:tcPr>
            <w:tcW w:w="425" w:type="dxa"/>
          </w:tcPr>
          <w:p>
            <w:pPr>
              <w:ind w:right="-29"/>
              <w:jc w:val="center"/>
              <w:rPr>
                <w:noProof/>
                <w:color w:val="000000" w:themeColor="text1"/>
                <w:sz w:val="18"/>
                <w:szCs w:val="18"/>
              </w:rPr>
            </w:pPr>
            <w:r>
              <w:rPr>
                <w:noProof/>
                <w:color w:val="000000" w:themeColor="text1"/>
                <w:sz w:val="18"/>
                <w:szCs w:val="18"/>
              </w:rPr>
              <w:t>3</w:t>
            </w:r>
          </w:p>
        </w:tc>
        <w:tc>
          <w:tcPr>
            <w:tcW w:w="850" w:type="dxa"/>
          </w:tcPr>
          <w:p>
            <w:pPr>
              <w:ind w:right="-29"/>
              <w:jc w:val="center"/>
              <w:rPr>
                <w:noProof/>
                <w:color w:val="000000" w:themeColor="text1"/>
                <w:sz w:val="18"/>
                <w:szCs w:val="18"/>
              </w:rPr>
            </w:pPr>
            <w:r>
              <w:rPr>
                <w:noProof/>
                <w:color w:val="000000" w:themeColor="text1"/>
                <w:sz w:val="18"/>
                <w:szCs w:val="18"/>
              </w:rPr>
              <w:t>0.750</w:t>
            </w:r>
          </w:p>
        </w:tc>
        <w:tc>
          <w:tcPr>
            <w:tcW w:w="270" w:type="dxa"/>
          </w:tcPr>
          <w:p>
            <w:pPr>
              <w:ind w:right="-29"/>
              <w:jc w:val="center"/>
              <w:rPr>
                <w:noProof/>
                <w:color w:val="000000" w:themeColor="text1"/>
                <w:sz w:val="18"/>
                <w:szCs w:val="18"/>
              </w:rPr>
            </w:pPr>
            <w:r>
              <w:rPr>
                <w:noProof/>
                <w:color w:val="000000" w:themeColor="text1"/>
                <w:sz w:val="18"/>
                <w:szCs w:val="18"/>
              </w:rPr>
              <w:t>0</w:t>
            </w:r>
          </w:p>
        </w:tc>
        <w:tc>
          <w:tcPr>
            <w:tcW w:w="720" w:type="dxa"/>
          </w:tcPr>
          <w:p>
            <w:pPr>
              <w:ind w:right="-29"/>
              <w:jc w:val="center"/>
              <w:rPr>
                <w:noProof/>
                <w:color w:val="000000" w:themeColor="text1"/>
                <w:sz w:val="18"/>
                <w:szCs w:val="18"/>
              </w:rPr>
            </w:pPr>
            <w:r>
              <w:rPr>
                <w:noProof/>
                <w:color w:val="000000" w:themeColor="text1"/>
                <w:sz w:val="18"/>
                <w:szCs w:val="18"/>
              </w:rPr>
              <w:t>0</w:t>
            </w: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szCs w:val="18"/>
              </w:rPr>
              <w:t>0.750</w:t>
            </w:r>
          </w:p>
        </w:tc>
      </w:tr>
      <w:tr>
        <w:trPr>
          <w:jc w:val="center"/>
        </w:trPr>
        <w:tc>
          <w:tcPr>
            <w:tcW w:w="3063" w:type="dxa"/>
            <w:gridSpan w:val="3"/>
            <w:tcBorders>
              <w:bottom w:val="single" w:sz="12" w:space="0" w:color="auto"/>
            </w:tcBorders>
            <w:vAlign w:val="center"/>
          </w:tcPr>
          <w:p>
            <w:pPr>
              <w:jc w:val="center"/>
              <w:rPr>
                <w:noProof/>
                <w:color w:val="000000" w:themeColor="text1"/>
                <w:sz w:val="18"/>
                <w:szCs w:val="18"/>
              </w:rPr>
            </w:pPr>
            <w:r>
              <w:rPr>
                <w:noProof/>
                <w:color w:val="000000" w:themeColor="text1"/>
                <w:sz w:val="18"/>
              </w:rPr>
              <w:t>Subtotal for specific objective No 2</w:t>
            </w:r>
          </w:p>
        </w:tc>
        <w:tc>
          <w:tcPr>
            <w:tcW w:w="425"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5</w:t>
            </w:r>
          </w:p>
        </w:tc>
        <w:tc>
          <w:tcPr>
            <w:tcW w:w="850"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1.350</w:t>
            </w:r>
          </w:p>
        </w:tc>
        <w:tc>
          <w:tcPr>
            <w:tcW w:w="270"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0</w:t>
            </w:r>
          </w:p>
        </w:tc>
        <w:tc>
          <w:tcPr>
            <w:tcW w:w="720"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0</w:t>
            </w: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859" w:type="dxa"/>
            <w:tcBorders>
              <w:bottom w:val="single" w:sz="12" w:space="0" w:color="auto"/>
            </w:tcBorders>
          </w:tcPr>
          <w:p>
            <w:pPr>
              <w:ind w:right="-29"/>
              <w:jc w:val="center"/>
              <w:rPr>
                <w:noProof/>
                <w:color w:val="000000" w:themeColor="text1"/>
                <w:sz w:val="18"/>
                <w:szCs w:val="18"/>
              </w:rPr>
            </w:pPr>
          </w:p>
        </w:tc>
        <w:tc>
          <w:tcPr>
            <w:tcW w:w="761" w:type="dxa"/>
            <w:gridSpan w:val="2"/>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648" w:type="dxa"/>
            <w:tcBorders>
              <w:bottom w:val="single" w:sz="12" w:space="0" w:color="auto"/>
            </w:tcBorders>
          </w:tcPr>
          <w:p>
            <w:pPr>
              <w:ind w:right="-29"/>
              <w:jc w:val="center"/>
              <w:rPr>
                <w:noProof/>
                <w:color w:val="000000" w:themeColor="text1"/>
                <w:sz w:val="18"/>
                <w:szCs w:val="18"/>
              </w:rPr>
            </w:pPr>
          </w:p>
        </w:tc>
        <w:tc>
          <w:tcPr>
            <w:tcW w:w="432"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1.350</w:t>
            </w:r>
          </w:p>
        </w:tc>
      </w:tr>
      <w:tr>
        <w:trPr>
          <w:jc w:val="center"/>
        </w:trPr>
        <w:tc>
          <w:tcPr>
            <w:tcW w:w="3063" w:type="dxa"/>
            <w:gridSpan w:val="3"/>
            <w:vAlign w:val="center"/>
          </w:tcPr>
          <w:p>
            <w:pPr>
              <w:spacing w:before="60" w:after="60"/>
              <w:ind w:right="-29"/>
              <w:jc w:val="center"/>
              <w:rPr>
                <w:noProof/>
                <w:color w:val="000000" w:themeColor="text1"/>
                <w:sz w:val="18"/>
                <w:szCs w:val="18"/>
              </w:rPr>
            </w:pPr>
            <w:r>
              <w:rPr>
                <w:noProof/>
                <w:color w:val="000000" w:themeColor="text1"/>
                <w:sz w:val="18"/>
              </w:rPr>
              <w:t>SPECIFIC OBJECTIVE No 3 ...</w:t>
            </w:r>
          </w:p>
        </w:tc>
        <w:tc>
          <w:tcPr>
            <w:tcW w:w="425" w:type="dxa"/>
            <w:tcBorders>
              <w:top w:val="nil"/>
              <w:left w:val="nil"/>
              <w:bottom w:val="nil"/>
              <w:right w:val="nil"/>
            </w:tcBorders>
          </w:tcPr>
          <w:p>
            <w:pPr>
              <w:spacing w:before="60" w:after="60"/>
              <w:ind w:right="-29"/>
              <w:jc w:val="center"/>
              <w:rPr>
                <w:noProof/>
                <w:color w:val="000000" w:themeColor="text1"/>
                <w:sz w:val="18"/>
                <w:szCs w:val="18"/>
              </w:rPr>
            </w:pPr>
          </w:p>
        </w:tc>
        <w:tc>
          <w:tcPr>
            <w:tcW w:w="850" w:type="dxa"/>
            <w:tcBorders>
              <w:top w:val="nil"/>
              <w:left w:val="nil"/>
              <w:bottom w:val="nil"/>
              <w:right w:val="nil"/>
            </w:tcBorders>
          </w:tcPr>
          <w:p>
            <w:pPr>
              <w:spacing w:before="60" w:after="60"/>
              <w:ind w:right="-29"/>
              <w:jc w:val="center"/>
              <w:rPr>
                <w:noProof/>
                <w:color w:val="000000" w:themeColor="text1"/>
                <w:sz w:val="18"/>
                <w:szCs w:val="18"/>
              </w:rPr>
            </w:pPr>
          </w:p>
        </w:tc>
        <w:tc>
          <w:tcPr>
            <w:tcW w:w="27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gridSpan w:val="2"/>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648" w:type="dxa"/>
            <w:tcBorders>
              <w:top w:val="nil"/>
              <w:left w:val="nil"/>
              <w:bottom w:val="nil"/>
              <w:right w:val="nil"/>
            </w:tcBorders>
          </w:tcPr>
          <w:p>
            <w:pPr>
              <w:spacing w:before="60" w:after="60"/>
              <w:ind w:right="-29"/>
              <w:jc w:val="center"/>
              <w:rPr>
                <w:noProof/>
                <w:color w:val="000000" w:themeColor="text1"/>
                <w:sz w:val="18"/>
                <w:szCs w:val="18"/>
              </w:rPr>
            </w:pPr>
          </w:p>
        </w:tc>
        <w:tc>
          <w:tcPr>
            <w:tcW w:w="432"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54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720" w:type="dxa"/>
            <w:tcBorders>
              <w:top w:val="nil"/>
              <w:left w:val="nil"/>
              <w:bottom w:val="nil"/>
              <w:right w:val="nil"/>
            </w:tcBorders>
          </w:tcPr>
          <w:p>
            <w:pPr>
              <w:spacing w:before="60" w:after="60"/>
              <w:ind w:right="-29"/>
              <w:jc w:val="center"/>
              <w:rPr>
                <w:noProof/>
                <w:color w:val="000000" w:themeColor="text1"/>
                <w:sz w:val="18"/>
                <w:szCs w:val="18"/>
              </w:rPr>
            </w:pPr>
          </w:p>
        </w:tc>
        <w:tc>
          <w:tcPr>
            <w:tcW w:w="900" w:type="dxa"/>
            <w:tcBorders>
              <w:top w:val="nil"/>
              <w:left w:val="nil"/>
              <w:bottom w:val="nil"/>
              <w:right w:val="nil"/>
            </w:tcBorders>
          </w:tcPr>
          <w:p>
            <w:pPr>
              <w:spacing w:before="60" w:after="60"/>
              <w:ind w:right="-29"/>
              <w:jc w:val="center"/>
              <w:rPr>
                <w:noProof/>
                <w:color w:val="000000" w:themeColor="text1"/>
                <w:sz w:val="18"/>
                <w:szCs w:val="18"/>
              </w:rPr>
            </w:pPr>
          </w:p>
        </w:tc>
      </w:tr>
      <w:tr>
        <w:trPr>
          <w:trHeight w:hRule="exact" w:val="851"/>
          <w:jc w:val="center"/>
        </w:trPr>
        <w:tc>
          <w:tcPr>
            <w:tcW w:w="1423" w:type="dxa"/>
          </w:tcPr>
          <w:p>
            <w:pPr>
              <w:ind w:right="-29"/>
              <w:jc w:val="center"/>
              <w:rPr>
                <w:noProof/>
                <w:color w:val="000000" w:themeColor="text1"/>
                <w:sz w:val="18"/>
                <w:szCs w:val="18"/>
              </w:rPr>
            </w:pPr>
            <w:r>
              <w:rPr>
                <w:noProof/>
                <w:color w:val="000000" w:themeColor="text1"/>
                <w:sz w:val="18"/>
              </w:rPr>
              <w:t>- Output</w:t>
            </w:r>
          </w:p>
        </w:tc>
        <w:tc>
          <w:tcPr>
            <w:tcW w:w="720" w:type="dxa"/>
          </w:tcPr>
          <w:p>
            <w:pPr>
              <w:ind w:right="-29"/>
              <w:jc w:val="center"/>
              <w:rPr>
                <w:noProof/>
                <w:color w:val="000000" w:themeColor="text1"/>
                <w:sz w:val="18"/>
                <w:szCs w:val="18"/>
              </w:rPr>
            </w:pPr>
            <w:r>
              <w:rPr>
                <w:noProof/>
                <w:color w:val="000000" w:themeColor="text1"/>
                <w:sz w:val="18"/>
                <w:szCs w:val="18"/>
              </w:rPr>
              <w:t>Communication</w:t>
            </w:r>
          </w:p>
        </w:tc>
        <w:tc>
          <w:tcPr>
            <w:tcW w:w="920" w:type="dxa"/>
          </w:tcPr>
          <w:p>
            <w:pPr>
              <w:ind w:right="-29"/>
              <w:jc w:val="center"/>
              <w:rPr>
                <w:noProof/>
                <w:color w:val="000000" w:themeColor="text1"/>
                <w:sz w:val="18"/>
                <w:szCs w:val="18"/>
              </w:rPr>
            </w:pPr>
            <w:r>
              <w:rPr>
                <w:noProof/>
                <w:color w:val="000000" w:themeColor="text1"/>
                <w:sz w:val="18"/>
                <w:szCs w:val="18"/>
              </w:rPr>
              <w:t>0.3</w:t>
            </w:r>
          </w:p>
        </w:tc>
        <w:tc>
          <w:tcPr>
            <w:tcW w:w="425" w:type="dxa"/>
          </w:tcPr>
          <w:p>
            <w:pPr>
              <w:ind w:right="-29"/>
              <w:jc w:val="center"/>
              <w:rPr>
                <w:noProof/>
                <w:color w:val="000000" w:themeColor="text1"/>
                <w:sz w:val="18"/>
                <w:szCs w:val="18"/>
              </w:rPr>
            </w:pPr>
            <w:r>
              <w:rPr>
                <w:noProof/>
                <w:color w:val="000000" w:themeColor="text1"/>
                <w:sz w:val="18"/>
                <w:szCs w:val="18"/>
              </w:rPr>
              <w:t>1</w:t>
            </w:r>
          </w:p>
        </w:tc>
        <w:tc>
          <w:tcPr>
            <w:tcW w:w="850" w:type="dxa"/>
          </w:tcPr>
          <w:p>
            <w:pPr>
              <w:ind w:right="-29"/>
              <w:jc w:val="center"/>
              <w:rPr>
                <w:noProof/>
                <w:color w:val="000000" w:themeColor="text1"/>
                <w:sz w:val="18"/>
                <w:szCs w:val="18"/>
              </w:rPr>
            </w:pPr>
            <w:r>
              <w:rPr>
                <w:noProof/>
                <w:color w:val="000000" w:themeColor="text1"/>
                <w:sz w:val="18"/>
                <w:szCs w:val="18"/>
              </w:rPr>
              <w:t>0.300</w:t>
            </w:r>
          </w:p>
        </w:tc>
        <w:tc>
          <w:tcPr>
            <w:tcW w:w="270" w:type="dxa"/>
          </w:tcPr>
          <w:p>
            <w:pPr>
              <w:ind w:right="-29"/>
              <w:jc w:val="center"/>
              <w:rPr>
                <w:noProof/>
                <w:color w:val="000000" w:themeColor="text1"/>
                <w:sz w:val="18"/>
                <w:szCs w:val="18"/>
              </w:rPr>
            </w:pPr>
            <w:r>
              <w:rPr>
                <w:noProof/>
                <w:color w:val="000000" w:themeColor="text1"/>
                <w:sz w:val="18"/>
                <w:szCs w:val="18"/>
              </w:rPr>
              <w:t>0</w:t>
            </w:r>
          </w:p>
        </w:tc>
        <w:tc>
          <w:tcPr>
            <w:tcW w:w="720" w:type="dxa"/>
          </w:tcPr>
          <w:p>
            <w:pPr>
              <w:ind w:right="-29"/>
              <w:jc w:val="center"/>
              <w:rPr>
                <w:noProof/>
                <w:color w:val="000000" w:themeColor="text1"/>
                <w:sz w:val="18"/>
                <w:szCs w:val="18"/>
              </w:rPr>
            </w:pPr>
            <w:r>
              <w:rPr>
                <w:noProof/>
                <w:color w:val="000000" w:themeColor="text1"/>
                <w:sz w:val="18"/>
                <w:szCs w:val="18"/>
              </w:rPr>
              <w:t>0</w:t>
            </w: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szCs w:val="18"/>
              </w:rPr>
              <w:t>0.300</w:t>
            </w:r>
          </w:p>
          <w:p>
            <w:pPr>
              <w:ind w:right="-29"/>
              <w:jc w:val="center"/>
              <w:rPr>
                <w:noProof/>
                <w:color w:val="000000" w:themeColor="text1"/>
                <w:sz w:val="18"/>
                <w:szCs w:val="18"/>
              </w:rPr>
            </w:pPr>
          </w:p>
          <w:p>
            <w:pPr>
              <w:ind w:right="-29"/>
              <w:jc w:val="center"/>
              <w:rPr>
                <w:noProof/>
                <w:color w:val="000000" w:themeColor="text1"/>
                <w:sz w:val="18"/>
                <w:szCs w:val="18"/>
              </w:rPr>
            </w:pPr>
          </w:p>
        </w:tc>
      </w:tr>
      <w:tr>
        <w:trPr>
          <w:trHeight w:hRule="exact" w:val="851"/>
          <w:jc w:val="center"/>
        </w:trPr>
        <w:tc>
          <w:tcPr>
            <w:tcW w:w="1423" w:type="dxa"/>
          </w:tcPr>
          <w:p>
            <w:pPr>
              <w:ind w:right="-29"/>
              <w:jc w:val="center"/>
              <w:rPr>
                <w:noProof/>
                <w:color w:val="000000" w:themeColor="text1"/>
                <w:sz w:val="18"/>
                <w:szCs w:val="18"/>
              </w:rPr>
            </w:pPr>
            <w:r>
              <w:rPr>
                <w:noProof/>
                <w:color w:val="000000" w:themeColor="text1"/>
                <w:sz w:val="18"/>
              </w:rPr>
              <w:t>- Output</w:t>
            </w:r>
          </w:p>
        </w:tc>
        <w:tc>
          <w:tcPr>
            <w:tcW w:w="720" w:type="dxa"/>
          </w:tcPr>
          <w:p>
            <w:pPr>
              <w:ind w:right="-29"/>
              <w:jc w:val="center"/>
              <w:rPr>
                <w:noProof/>
                <w:color w:val="000000" w:themeColor="text1"/>
                <w:sz w:val="18"/>
                <w:szCs w:val="18"/>
              </w:rPr>
            </w:pPr>
            <w:r>
              <w:rPr>
                <w:noProof/>
                <w:color w:val="000000" w:themeColor="text1"/>
                <w:sz w:val="18"/>
                <w:szCs w:val="18"/>
              </w:rPr>
              <w:t>Seminars and conferences</w:t>
            </w:r>
          </w:p>
        </w:tc>
        <w:tc>
          <w:tcPr>
            <w:tcW w:w="920" w:type="dxa"/>
          </w:tcPr>
          <w:p>
            <w:pPr>
              <w:ind w:right="-29"/>
              <w:jc w:val="center"/>
              <w:rPr>
                <w:noProof/>
                <w:color w:val="000000" w:themeColor="text1"/>
                <w:sz w:val="18"/>
                <w:szCs w:val="18"/>
              </w:rPr>
            </w:pPr>
            <w:r>
              <w:rPr>
                <w:noProof/>
                <w:color w:val="000000" w:themeColor="text1"/>
                <w:sz w:val="18"/>
                <w:szCs w:val="18"/>
              </w:rPr>
              <w:t>0.25</w:t>
            </w:r>
          </w:p>
        </w:tc>
        <w:tc>
          <w:tcPr>
            <w:tcW w:w="425" w:type="dxa"/>
          </w:tcPr>
          <w:p>
            <w:pPr>
              <w:ind w:right="-29"/>
              <w:jc w:val="center"/>
              <w:rPr>
                <w:noProof/>
                <w:color w:val="000000" w:themeColor="text1"/>
                <w:sz w:val="18"/>
                <w:szCs w:val="18"/>
              </w:rPr>
            </w:pPr>
            <w:r>
              <w:rPr>
                <w:noProof/>
                <w:color w:val="000000" w:themeColor="text1"/>
                <w:sz w:val="18"/>
                <w:szCs w:val="18"/>
              </w:rPr>
              <w:t>3</w:t>
            </w:r>
          </w:p>
        </w:tc>
        <w:tc>
          <w:tcPr>
            <w:tcW w:w="850" w:type="dxa"/>
          </w:tcPr>
          <w:p>
            <w:pPr>
              <w:ind w:right="-29"/>
              <w:jc w:val="center"/>
              <w:rPr>
                <w:noProof/>
                <w:color w:val="000000" w:themeColor="text1"/>
                <w:sz w:val="18"/>
                <w:szCs w:val="18"/>
              </w:rPr>
            </w:pPr>
            <w:r>
              <w:rPr>
                <w:noProof/>
                <w:color w:val="000000" w:themeColor="text1"/>
                <w:sz w:val="18"/>
                <w:szCs w:val="18"/>
              </w:rPr>
              <w:t>0.750</w:t>
            </w:r>
          </w:p>
        </w:tc>
        <w:tc>
          <w:tcPr>
            <w:tcW w:w="270" w:type="dxa"/>
          </w:tcPr>
          <w:p>
            <w:pPr>
              <w:ind w:right="-29"/>
              <w:jc w:val="center"/>
              <w:rPr>
                <w:noProof/>
                <w:color w:val="000000" w:themeColor="text1"/>
                <w:sz w:val="18"/>
                <w:szCs w:val="18"/>
              </w:rPr>
            </w:pPr>
            <w:r>
              <w:rPr>
                <w:noProof/>
                <w:color w:val="000000" w:themeColor="text1"/>
                <w:sz w:val="18"/>
                <w:szCs w:val="18"/>
              </w:rPr>
              <w:t>0</w:t>
            </w:r>
          </w:p>
        </w:tc>
        <w:tc>
          <w:tcPr>
            <w:tcW w:w="720" w:type="dxa"/>
          </w:tcPr>
          <w:p>
            <w:pPr>
              <w:ind w:right="-29"/>
              <w:jc w:val="center"/>
              <w:rPr>
                <w:noProof/>
                <w:color w:val="000000" w:themeColor="text1"/>
                <w:sz w:val="18"/>
                <w:szCs w:val="18"/>
              </w:rPr>
            </w:pPr>
            <w:r>
              <w:rPr>
                <w:noProof/>
                <w:color w:val="000000" w:themeColor="text1"/>
                <w:sz w:val="18"/>
                <w:szCs w:val="18"/>
              </w:rPr>
              <w:t>0</w:t>
            </w: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gridSpan w:val="2"/>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648" w:type="dxa"/>
          </w:tcPr>
          <w:p>
            <w:pPr>
              <w:ind w:right="-29"/>
              <w:jc w:val="center"/>
              <w:rPr>
                <w:noProof/>
                <w:color w:val="000000" w:themeColor="text1"/>
                <w:sz w:val="18"/>
                <w:szCs w:val="18"/>
              </w:rPr>
            </w:pPr>
          </w:p>
        </w:tc>
        <w:tc>
          <w:tcPr>
            <w:tcW w:w="432"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54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720" w:type="dxa"/>
          </w:tcPr>
          <w:p>
            <w:pPr>
              <w:ind w:right="-29"/>
              <w:jc w:val="center"/>
              <w:rPr>
                <w:noProof/>
                <w:color w:val="000000" w:themeColor="text1"/>
                <w:sz w:val="18"/>
                <w:szCs w:val="18"/>
              </w:rPr>
            </w:pPr>
          </w:p>
        </w:tc>
        <w:tc>
          <w:tcPr>
            <w:tcW w:w="900" w:type="dxa"/>
          </w:tcPr>
          <w:p>
            <w:pPr>
              <w:ind w:right="-29"/>
              <w:jc w:val="center"/>
              <w:rPr>
                <w:noProof/>
                <w:color w:val="000000" w:themeColor="text1"/>
                <w:sz w:val="18"/>
                <w:szCs w:val="18"/>
              </w:rPr>
            </w:pPr>
            <w:r>
              <w:rPr>
                <w:noProof/>
                <w:color w:val="000000" w:themeColor="text1"/>
                <w:sz w:val="18"/>
                <w:szCs w:val="18"/>
              </w:rPr>
              <w:t>0.750</w:t>
            </w:r>
          </w:p>
        </w:tc>
      </w:tr>
      <w:tr>
        <w:trPr>
          <w:jc w:val="center"/>
        </w:trPr>
        <w:tc>
          <w:tcPr>
            <w:tcW w:w="3063" w:type="dxa"/>
            <w:gridSpan w:val="3"/>
            <w:tcBorders>
              <w:bottom w:val="single" w:sz="12" w:space="0" w:color="auto"/>
            </w:tcBorders>
            <w:vAlign w:val="center"/>
          </w:tcPr>
          <w:p>
            <w:pPr>
              <w:jc w:val="center"/>
              <w:rPr>
                <w:noProof/>
                <w:color w:val="000000" w:themeColor="text1"/>
                <w:sz w:val="18"/>
                <w:szCs w:val="18"/>
              </w:rPr>
            </w:pPr>
            <w:r>
              <w:rPr>
                <w:noProof/>
                <w:color w:val="000000" w:themeColor="text1"/>
                <w:sz w:val="18"/>
              </w:rPr>
              <w:t>Subtotal for specific objective No 3</w:t>
            </w:r>
          </w:p>
        </w:tc>
        <w:tc>
          <w:tcPr>
            <w:tcW w:w="425"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4</w:t>
            </w:r>
          </w:p>
        </w:tc>
        <w:tc>
          <w:tcPr>
            <w:tcW w:w="850"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1.050</w:t>
            </w:r>
          </w:p>
        </w:tc>
        <w:tc>
          <w:tcPr>
            <w:tcW w:w="270"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0</w:t>
            </w:r>
          </w:p>
        </w:tc>
        <w:tc>
          <w:tcPr>
            <w:tcW w:w="720"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0</w:t>
            </w: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859" w:type="dxa"/>
            <w:tcBorders>
              <w:bottom w:val="single" w:sz="12" w:space="0" w:color="auto"/>
            </w:tcBorders>
          </w:tcPr>
          <w:p>
            <w:pPr>
              <w:ind w:right="-29"/>
              <w:jc w:val="center"/>
              <w:rPr>
                <w:noProof/>
                <w:color w:val="000000" w:themeColor="text1"/>
                <w:sz w:val="18"/>
                <w:szCs w:val="18"/>
              </w:rPr>
            </w:pPr>
          </w:p>
        </w:tc>
        <w:tc>
          <w:tcPr>
            <w:tcW w:w="761" w:type="dxa"/>
            <w:gridSpan w:val="2"/>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648" w:type="dxa"/>
            <w:tcBorders>
              <w:bottom w:val="single" w:sz="12" w:space="0" w:color="auto"/>
            </w:tcBorders>
          </w:tcPr>
          <w:p>
            <w:pPr>
              <w:ind w:right="-29"/>
              <w:jc w:val="center"/>
              <w:rPr>
                <w:noProof/>
                <w:color w:val="000000" w:themeColor="text1"/>
                <w:sz w:val="18"/>
                <w:szCs w:val="18"/>
              </w:rPr>
            </w:pPr>
          </w:p>
        </w:tc>
        <w:tc>
          <w:tcPr>
            <w:tcW w:w="432"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tcBorders>
              <w:bottom w:val="single" w:sz="12" w:space="0" w:color="auto"/>
            </w:tcBorders>
          </w:tcPr>
          <w:p>
            <w:pPr>
              <w:ind w:right="-29"/>
              <w:jc w:val="center"/>
              <w:rPr>
                <w:noProof/>
                <w:color w:val="000000" w:themeColor="text1"/>
                <w:sz w:val="18"/>
                <w:szCs w:val="18"/>
              </w:rPr>
            </w:pPr>
            <w:r>
              <w:rPr>
                <w:noProof/>
                <w:color w:val="000000" w:themeColor="text1"/>
                <w:sz w:val="18"/>
                <w:szCs w:val="18"/>
              </w:rPr>
              <w:t>1.050</w:t>
            </w:r>
          </w:p>
        </w:tc>
      </w:tr>
      <w:tr>
        <w:trPr>
          <w:jc w:val="center"/>
        </w:trPr>
        <w:tc>
          <w:tcPr>
            <w:tcW w:w="3063" w:type="dxa"/>
            <w:gridSpan w:val="3"/>
            <w:tcBorders>
              <w:bottom w:val="single" w:sz="12" w:space="0" w:color="auto"/>
            </w:tcBorders>
            <w:vAlign w:val="center"/>
          </w:tcPr>
          <w:p>
            <w:pPr>
              <w:jc w:val="center"/>
              <w:rPr>
                <w:noProof/>
                <w:color w:val="000000" w:themeColor="text1"/>
                <w:sz w:val="18"/>
              </w:rPr>
            </w:pPr>
          </w:p>
        </w:tc>
        <w:tc>
          <w:tcPr>
            <w:tcW w:w="425" w:type="dxa"/>
            <w:tcBorders>
              <w:bottom w:val="single" w:sz="12" w:space="0" w:color="auto"/>
            </w:tcBorders>
          </w:tcPr>
          <w:p>
            <w:pPr>
              <w:ind w:right="-29"/>
              <w:jc w:val="center"/>
              <w:rPr>
                <w:noProof/>
                <w:color w:val="000000" w:themeColor="text1"/>
                <w:sz w:val="18"/>
                <w:szCs w:val="18"/>
              </w:rPr>
            </w:pPr>
          </w:p>
        </w:tc>
        <w:tc>
          <w:tcPr>
            <w:tcW w:w="850" w:type="dxa"/>
            <w:tcBorders>
              <w:bottom w:val="single" w:sz="12" w:space="0" w:color="auto"/>
            </w:tcBorders>
          </w:tcPr>
          <w:p>
            <w:pPr>
              <w:ind w:right="-29"/>
              <w:jc w:val="center"/>
              <w:rPr>
                <w:noProof/>
                <w:color w:val="000000" w:themeColor="text1"/>
                <w:sz w:val="18"/>
                <w:szCs w:val="18"/>
              </w:rPr>
            </w:pPr>
          </w:p>
        </w:tc>
        <w:tc>
          <w:tcPr>
            <w:tcW w:w="27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859" w:type="dxa"/>
            <w:tcBorders>
              <w:bottom w:val="single" w:sz="12" w:space="0" w:color="auto"/>
            </w:tcBorders>
          </w:tcPr>
          <w:p>
            <w:pPr>
              <w:ind w:right="-29"/>
              <w:jc w:val="center"/>
              <w:rPr>
                <w:noProof/>
                <w:color w:val="000000" w:themeColor="text1"/>
                <w:sz w:val="18"/>
                <w:szCs w:val="18"/>
              </w:rPr>
            </w:pPr>
          </w:p>
        </w:tc>
        <w:tc>
          <w:tcPr>
            <w:tcW w:w="761" w:type="dxa"/>
            <w:gridSpan w:val="2"/>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648" w:type="dxa"/>
            <w:tcBorders>
              <w:bottom w:val="single" w:sz="12" w:space="0" w:color="auto"/>
            </w:tcBorders>
          </w:tcPr>
          <w:p>
            <w:pPr>
              <w:ind w:right="-29"/>
              <w:jc w:val="center"/>
              <w:rPr>
                <w:noProof/>
                <w:color w:val="000000" w:themeColor="text1"/>
                <w:sz w:val="18"/>
                <w:szCs w:val="18"/>
              </w:rPr>
            </w:pPr>
          </w:p>
        </w:tc>
        <w:tc>
          <w:tcPr>
            <w:tcW w:w="432"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54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720" w:type="dxa"/>
            <w:tcBorders>
              <w:bottom w:val="single" w:sz="12" w:space="0" w:color="auto"/>
            </w:tcBorders>
          </w:tcPr>
          <w:p>
            <w:pPr>
              <w:ind w:right="-29"/>
              <w:jc w:val="center"/>
              <w:rPr>
                <w:noProof/>
                <w:color w:val="000000" w:themeColor="text1"/>
                <w:sz w:val="18"/>
                <w:szCs w:val="18"/>
              </w:rPr>
            </w:pPr>
          </w:p>
        </w:tc>
        <w:tc>
          <w:tcPr>
            <w:tcW w:w="900" w:type="dxa"/>
            <w:tcBorders>
              <w:bottom w:val="single" w:sz="12" w:space="0" w:color="auto"/>
            </w:tcBorders>
          </w:tcPr>
          <w:p>
            <w:pPr>
              <w:ind w:right="-29"/>
              <w:jc w:val="center"/>
              <w:rPr>
                <w:noProof/>
                <w:color w:val="000000" w:themeColor="text1"/>
                <w:sz w:val="18"/>
                <w:szCs w:val="18"/>
              </w:rPr>
            </w:pPr>
          </w:p>
        </w:tc>
      </w:tr>
      <w:tr>
        <w:trPr>
          <w:jc w:val="center"/>
        </w:trPr>
        <w:tc>
          <w:tcPr>
            <w:tcW w:w="3063" w:type="dxa"/>
            <w:gridSpan w:val="3"/>
            <w:tcBorders>
              <w:top w:val="single" w:sz="12" w:space="0" w:color="auto"/>
              <w:left w:val="single" w:sz="12" w:space="0" w:color="auto"/>
              <w:bottom w:val="single" w:sz="12" w:space="0" w:color="auto"/>
            </w:tcBorders>
            <w:vAlign w:val="center"/>
          </w:tcPr>
          <w:p>
            <w:pPr>
              <w:ind w:right="-29"/>
              <w:jc w:val="center"/>
              <w:rPr>
                <w:noProof/>
                <w:color w:val="000000" w:themeColor="text1"/>
                <w:sz w:val="18"/>
                <w:szCs w:val="18"/>
              </w:rPr>
            </w:pPr>
            <w:r>
              <w:rPr>
                <w:b/>
                <w:noProof/>
                <w:color w:val="000000" w:themeColor="text1"/>
                <w:sz w:val="18"/>
              </w:rPr>
              <w:t>TOTAL COST</w:t>
            </w:r>
          </w:p>
        </w:tc>
        <w:tc>
          <w:tcPr>
            <w:tcW w:w="425"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85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27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900" w:type="dxa"/>
            <w:gridSpan w:val="2"/>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54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648"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432"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54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720" w:type="dxa"/>
            <w:tcBorders>
              <w:top w:val="single" w:sz="12" w:space="0" w:color="auto"/>
              <w:bottom w:val="single" w:sz="12" w:space="0" w:color="auto"/>
            </w:tcBorders>
          </w:tcPr>
          <w:p>
            <w:pPr>
              <w:spacing w:before="180" w:after="180"/>
              <w:ind w:right="-29"/>
              <w:jc w:val="center"/>
              <w:rPr>
                <w:noProof/>
                <w:color w:val="000000" w:themeColor="text1"/>
                <w:sz w:val="18"/>
                <w:szCs w:val="18"/>
              </w:rPr>
            </w:pPr>
          </w:p>
        </w:tc>
        <w:tc>
          <w:tcPr>
            <w:tcW w:w="900" w:type="dxa"/>
            <w:tcBorders>
              <w:top w:val="single" w:sz="12" w:space="0" w:color="auto"/>
              <w:bottom w:val="single" w:sz="12" w:space="0" w:color="auto"/>
              <w:right w:val="single" w:sz="12" w:space="0" w:color="auto"/>
            </w:tcBorders>
          </w:tcPr>
          <w:p>
            <w:pPr>
              <w:spacing w:before="180" w:after="180"/>
              <w:ind w:right="-29"/>
              <w:jc w:val="center"/>
              <w:rPr>
                <w:noProof/>
                <w:color w:val="000000" w:themeColor="text1"/>
                <w:sz w:val="18"/>
                <w:szCs w:val="18"/>
              </w:rPr>
            </w:pPr>
            <w:r>
              <w:rPr>
                <w:noProof/>
                <w:color w:val="000000" w:themeColor="text1"/>
                <w:sz w:val="18"/>
                <w:szCs w:val="18"/>
              </w:rPr>
              <w:t>4.000</w:t>
            </w:r>
          </w:p>
        </w:tc>
      </w:tr>
    </w:tbl>
    <w:p>
      <w:pPr>
        <w:rPr>
          <w:b/>
          <w:noProof/>
          <w:color w:val="000000" w:themeColor="text1"/>
        </w:rPr>
      </w:pPr>
    </w:p>
    <w:p>
      <w:pPr>
        <w:rPr>
          <w:b/>
          <w:noProof/>
          <w:color w:val="000000" w:themeColor="text1"/>
        </w:rPr>
      </w:pPr>
      <w:r>
        <w:rPr>
          <w:b/>
          <w:noProof/>
          <w:color w:val="000000" w:themeColor="text1"/>
        </w:rPr>
        <w:t>Outputs</w:t>
      </w:r>
    </w:p>
    <w:p>
      <w:pPr>
        <w:jc w:val="left"/>
        <w:rPr>
          <w:noProof/>
          <w:color w:val="000000" w:themeColor="text1"/>
        </w:rPr>
      </w:pPr>
      <w:r>
        <w:rPr>
          <w:noProof/>
          <w:color w:val="000000" w:themeColor="text1"/>
        </w:rPr>
        <w:t>Communication campaign: this may include VNRs, video clips, visual identity, website, PR activities, social media, promotion material, publications and printing, studies and other awareness-raising activities</w:t>
      </w:r>
    </w:p>
    <w:p>
      <w:pPr>
        <w:jc w:val="left"/>
        <w:rPr>
          <w:noProof/>
          <w:color w:val="000000" w:themeColor="text1"/>
        </w:rPr>
      </w:pPr>
      <w:r>
        <w:rPr>
          <w:noProof/>
          <w:color w:val="000000" w:themeColor="text1"/>
        </w:rPr>
        <w:t>Seminars and conferences: this may include opening and closing conferences, lectures, workshops, high level events, journalists' seminars, side events and other gatherings both in Brussels or in Member States</w:t>
      </w:r>
    </w:p>
    <w:p>
      <w:pPr>
        <w:jc w:val="left"/>
        <w:rPr>
          <w:noProof/>
          <w:color w:val="000000" w:themeColor="text1"/>
        </w:rPr>
      </w:pPr>
    </w:p>
    <w:p>
      <w:pPr>
        <w:jc w:val="left"/>
        <w:rPr>
          <w:b/>
          <w:noProof/>
          <w:color w:val="000000" w:themeColor="text1"/>
        </w:rPr>
      </w:pPr>
      <w:r>
        <w:rPr>
          <w:b/>
          <w:noProof/>
          <w:color w:val="000000" w:themeColor="text1"/>
        </w:rPr>
        <w:t>Cost structure</w:t>
      </w:r>
    </w:p>
    <w:p>
      <w:pPr>
        <w:rPr>
          <w:noProof/>
          <w:color w:val="000000" w:themeColor="text1"/>
        </w:rPr>
      </w:pPr>
      <w:r>
        <w:rPr>
          <w:noProof/>
          <w:color w:val="000000" w:themeColor="text1"/>
        </w:rPr>
        <w:t>Based on previous experience in other culture-related actions, notably in the framework of the Creative Europe programme, it has been estimated that the average cost of a communication campaign on a EU level is around EUR 300,000, and that of a seminar may vary between EUR 100,000 and EUR 400,000 depending on the scope and number of attendees, so it has been assumed that the average cost of the seminars which will be organised in the framework of the European Year of Heritage may reasonably amount to EUR 250,000</w:t>
      </w:r>
    </w:p>
    <w:p>
      <w:pPr>
        <w:rPr>
          <w:noProof/>
          <w:color w:val="000000" w:themeColor="text1"/>
        </w:rPr>
        <w:sectPr>
          <w:pgSz w:w="16840" w:h="11907" w:orient="landscape" w:code="9"/>
          <w:pgMar w:top="1134" w:right="1418" w:bottom="567" w:left="1418" w:header="709" w:footer="709" w:gutter="0"/>
          <w:cols w:space="708"/>
          <w:docGrid w:linePitch="360"/>
        </w:sectPr>
      </w:pPr>
    </w:p>
    <w:p>
      <w:pPr>
        <w:pStyle w:val="ManualHeading3"/>
        <w:rPr>
          <w:bCs/>
          <w:noProof/>
          <w:szCs w:val="24"/>
        </w:rPr>
      </w:pPr>
      <w:r>
        <w:t>3.2.3.</w:t>
      </w:r>
      <w:r>
        <w:tab/>
      </w:r>
      <w:r>
        <w:rPr>
          <w:noProof/>
        </w:rPr>
        <w:t>Estimated impact on appropriations of an administrative nature</w:t>
      </w:r>
    </w:p>
    <w:p>
      <w:pPr>
        <w:pStyle w:val="ManualHeading4"/>
        <w:rPr>
          <w:noProof/>
          <w:color w:val="000000" w:themeColor="text1"/>
        </w:rPr>
      </w:pPr>
      <w:r>
        <w:t>3.2.3.1.</w:t>
      </w:r>
      <w:r>
        <w:tab/>
      </w:r>
      <w:r>
        <w:rPr>
          <w:noProof/>
          <w:color w:val="000000" w:themeColor="text1"/>
        </w:rPr>
        <w:t xml:space="preserve">Summary </w:t>
      </w:r>
    </w:p>
    <w:p>
      <w:pPr>
        <w:pStyle w:val="ListDash1"/>
        <w:rPr>
          <w:noProof/>
          <w:color w:val="000000" w:themeColor="text1"/>
        </w:rPr>
      </w:pPr>
      <w:r>
        <w:rPr>
          <w:noProof/>
          <w:color w:val="000000" w:themeColor="text1"/>
        </w:rPr>
        <w:sym w:font="Wingdings" w:char="F0A8"/>
      </w:r>
      <w:r>
        <w:rPr>
          <w:noProof/>
          <w:color w:val="000000" w:themeColor="text1"/>
        </w:rPr>
        <w:tab/>
        <w:t xml:space="preserve">The proposal/initiative does not require the use of appropriations of an administrative nature </w:t>
      </w:r>
    </w:p>
    <w:p>
      <w:pPr>
        <w:pStyle w:val="ListDash1"/>
        <w:rPr>
          <w:noProof/>
          <w:color w:val="000000" w:themeColor="text1"/>
        </w:rPr>
      </w:pPr>
      <w:r>
        <w:rPr>
          <w:noProof/>
          <w:color w:val="000000" w:themeColor="text1"/>
        </w:rPr>
        <w:t>X</w:t>
      </w:r>
      <w:r>
        <w:rPr>
          <w:noProof/>
          <w:color w:val="000000" w:themeColor="text1"/>
        </w:rPr>
        <w:tab/>
        <w:t>The proposal/initiative requires the use of appropriations of an administrative nature, as explained below:</w:t>
      </w:r>
    </w:p>
    <w:p>
      <w:pPr>
        <w:rPr>
          <w:noProof/>
          <w:color w:val="000000" w:themeColor="text1"/>
          <w:sz w:val="20"/>
        </w:rPr>
      </w:pPr>
      <w:r>
        <w:rPr>
          <w:noProof/>
          <w:color w:val="000000" w:themeColor="text1"/>
          <w:sz w:val="20"/>
        </w:rPr>
        <w:t>EUR million (to three decimal places)</w:t>
      </w: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3240"/>
        <w:gridCol w:w="1080"/>
      </w:tblGrid>
      <w:tr>
        <w:trPr>
          <w:trHeight w:val="585"/>
        </w:trPr>
        <w:tc>
          <w:tcPr>
            <w:tcW w:w="1980" w:type="dxa"/>
          </w:tcPr>
          <w:p>
            <w:pPr>
              <w:spacing w:before="60" w:after="60" w:line="200" w:lineRule="exact"/>
              <w:rPr>
                <w:noProof/>
                <w:color w:val="000000" w:themeColor="text1"/>
                <w:sz w:val="16"/>
                <w:szCs w:val="16"/>
              </w:rPr>
            </w:pPr>
          </w:p>
        </w:tc>
        <w:tc>
          <w:tcPr>
            <w:tcW w:w="1080" w:type="dxa"/>
            <w:vAlign w:val="center"/>
          </w:tcPr>
          <w:p>
            <w:pPr>
              <w:spacing w:before="60" w:after="60" w:line="200" w:lineRule="exact"/>
              <w:jc w:val="center"/>
              <w:rPr>
                <w:noProof/>
                <w:color w:val="000000" w:themeColor="text1"/>
                <w:sz w:val="16"/>
                <w:szCs w:val="16"/>
              </w:rPr>
            </w:pPr>
            <w:r>
              <w:rPr>
                <w:noProof/>
                <w:color w:val="000000" w:themeColor="text1"/>
                <w:sz w:val="16"/>
              </w:rPr>
              <w:t>Year</w:t>
            </w:r>
            <w:r>
              <w:rPr>
                <w:noProof/>
                <w:color w:val="000000" w:themeColor="text1"/>
                <w:sz w:val="22"/>
              </w:rPr>
              <w:br/>
            </w:r>
            <w:r>
              <w:rPr>
                <w:b/>
                <w:noProof/>
                <w:color w:val="000000" w:themeColor="text1"/>
                <w:sz w:val="16"/>
              </w:rPr>
              <w:t xml:space="preserve">N </w:t>
            </w:r>
            <w:r>
              <w:rPr>
                <w:rStyle w:val="FootnoteReference"/>
                <w:b/>
                <w:noProof/>
                <w:color w:val="000000" w:themeColor="text1"/>
                <w:sz w:val="16"/>
              </w:rPr>
              <w:footnoteReference w:id="38"/>
            </w:r>
          </w:p>
        </w:tc>
        <w:tc>
          <w:tcPr>
            <w:tcW w:w="1080" w:type="dxa"/>
            <w:vAlign w:val="center"/>
          </w:tcPr>
          <w:p>
            <w:pPr>
              <w:spacing w:before="60" w:after="60" w:line="200" w:lineRule="exact"/>
              <w:jc w:val="center"/>
              <w:rPr>
                <w:noProof/>
                <w:color w:val="000000" w:themeColor="text1"/>
                <w:sz w:val="16"/>
                <w:szCs w:val="16"/>
              </w:rPr>
            </w:pPr>
            <w:r>
              <w:rPr>
                <w:noProof/>
                <w:color w:val="000000" w:themeColor="text1"/>
                <w:sz w:val="16"/>
              </w:rPr>
              <w:t>Year</w:t>
            </w:r>
            <w:r>
              <w:rPr>
                <w:noProof/>
                <w:color w:val="000000" w:themeColor="text1"/>
                <w:sz w:val="22"/>
              </w:rPr>
              <w:br/>
            </w:r>
            <w:r>
              <w:rPr>
                <w:b/>
                <w:noProof/>
                <w:color w:val="000000" w:themeColor="text1"/>
                <w:sz w:val="16"/>
              </w:rPr>
              <w:t>N+1</w:t>
            </w:r>
          </w:p>
        </w:tc>
        <w:tc>
          <w:tcPr>
            <w:tcW w:w="1080" w:type="dxa"/>
            <w:vAlign w:val="center"/>
          </w:tcPr>
          <w:p>
            <w:pPr>
              <w:spacing w:before="60" w:after="60" w:line="200" w:lineRule="exact"/>
              <w:jc w:val="center"/>
              <w:rPr>
                <w:noProof/>
                <w:color w:val="000000" w:themeColor="text1"/>
                <w:sz w:val="16"/>
                <w:szCs w:val="16"/>
              </w:rPr>
            </w:pPr>
            <w:r>
              <w:rPr>
                <w:noProof/>
                <w:color w:val="000000" w:themeColor="text1"/>
                <w:sz w:val="16"/>
              </w:rPr>
              <w:t>Year</w:t>
            </w:r>
            <w:r>
              <w:rPr>
                <w:noProof/>
                <w:color w:val="000000" w:themeColor="text1"/>
                <w:sz w:val="22"/>
              </w:rPr>
              <w:br/>
            </w:r>
            <w:r>
              <w:rPr>
                <w:b/>
                <w:noProof/>
                <w:color w:val="000000" w:themeColor="text1"/>
                <w:sz w:val="16"/>
              </w:rPr>
              <w:t>N+2</w:t>
            </w:r>
          </w:p>
        </w:tc>
        <w:tc>
          <w:tcPr>
            <w:tcW w:w="1080" w:type="dxa"/>
            <w:vAlign w:val="center"/>
          </w:tcPr>
          <w:p>
            <w:pPr>
              <w:spacing w:before="60" w:after="60" w:line="200" w:lineRule="exact"/>
              <w:jc w:val="center"/>
              <w:rPr>
                <w:noProof/>
                <w:color w:val="000000" w:themeColor="text1"/>
                <w:sz w:val="16"/>
                <w:szCs w:val="16"/>
              </w:rPr>
            </w:pPr>
            <w:r>
              <w:rPr>
                <w:noProof/>
                <w:color w:val="000000" w:themeColor="text1"/>
                <w:sz w:val="16"/>
              </w:rPr>
              <w:t>Year</w:t>
            </w:r>
            <w:r>
              <w:rPr>
                <w:noProof/>
                <w:color w:val="000000" w:themeColor="text1"/>
                <w:sz w:val="22"/>
              </w:rPr>
              <w:br/>
            </w:r>
            <w:r>
              <w:rPr>
                <w:b/>
                <w:noProof/>
                <w:color w:val="000000" w:themeColor="text1"/>
                <w:sz w:val="16"/>
              </w:rPr>
              <w:t>N+3</w:t>
            </w:r>
          </w:p>
        </w:tc>
        <w:tc>
          <w:tcPr>
            <w:tcW w:w="3240" w:type="dxa"/>
            <w:vAlign w:val="center"/>
          </w:tcPr>
          <w:p>
            <w:pPr>
              <w:spacing w:line="200" w:lineRule="exact"/>
              <w:jc w:val="center"/>
              <w:rPr>
                <w:b/>
                <w:noProof/>
                <w:color w:val="000000" w:themeColor="text1"/>
                <w:sz w:val="16"/>
                <w:szCs w:val="16"/>
              </w:rPr>
            </w:pPr>
            <w:r>
              <w:rPr>
                <w:noProof/>
                <w:color w:val="000000" w:themeColor="text1"/>
                <w:sz w:val="16"/>
              </w:rPr>
              <w:t>Enter as many years as necessary to show the duration of the impact (see point 1.6)</w:t>
            </w:r>
          </w:p>
        </w:tc>
        <w:tc>
          <w:tcPr>
            <w:tcW w:w="1080" w:type="dxa"/>
            <w:vAlign w:val="center"/>
          </w:tcPr>
          <w:p>
            <w:pPr>
              <w:spacing w:before="60" w:after="60" w:line="200" w:lineRule="exact"/>
              <w:jc w:val="center"/>
              <w:rPr>
                <w:b/>
                <w:noProof/>
                <w:color w:val="000000" w:themeColor="text1"/>
                <w:sz w:val="16"/>
                <w:szCs w:val="16"/>
              </w:rPr>
            </w:pPr>
            <w:r>
              <w:rPr>
                <w:b/>
                <w:noProof/>
                <w:color w:val="000000" w:themeColor="text1"/>
                <w:sz w:val="16"/>
              </w:rPr>
              <w:t>TOTAL</w:t>
            </w:r>
          </w:p>
        </w:tc>
      </w:tr>
    </w:tbl>
    <w:p>
      <w:pPr>
        <w:spacing w:line="200" w:lineRule="exact"/>
        <w:rPr>
          <w:noProof/>
          <w:color w:val="000000" w:themeColor="text1"/>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b/>
                <w:noProof/>
                <w:color w:val="000000" w:themeColor="text1"/>
                <w:sz w:val="16"/>
                <w:szCs w:val="16"/>
              </w:rPr>
            </w:pPr>
            <w:r>
              <w:rPr>
                <w:b/>
                <w:noProof/>
                <w:color w:val="000000" w:themeColor="text1"/>
                <w:sz w:val="16"/>
              </w:rPr>
              <w:t>HEADING 5</w:t>
            </w:r>
            <w:r>
              <w:rPr>
                <w:noProof/>
                <w:color w:val="000000" w:themeColor="text1"/>
                <w:sz w:val="22"/>
              </w:rPr>
              <w:br/>
            </w:r>
            <w:r>
              <w:rPr>
                <w:b/>
                <w:noProof/>
                <w:color w:val="000000" w:themeColor="text1"/>
                <w:sz w:val="16"/>
              </w:rPr>
              <w:t>of the multiannual financial framework</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vAlign w:val="center"/>
          </w:tcPr>
          <w:p>
            <w:pPr>
              <w:spacing w:before="60" w:after="60" w:line="200" w:lineRule="exact"/>
              <w:ind w:left="72"/>
              <w:jc w:val="left"/>
              <w:rPr>
                <w:noProof/>
                <w:color w:val="000000" w:themeColor="text1"/>
                <w:sz w:val="16"/>
                <w:szCs w:val="16"/>
              </w:rPr>
            </w:pPr>
            <w:r>
              <w:rPr>
                <w:noProof/>
                <w:color w:val="000000" w:themeColor="text1"/>
                <w:sz w:val="16"/>
              </w:rPr>
              <w:t xml:space="preserve">Human resources </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szCs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szCs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szCs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szCs w:val="16"/>
              </w:rPr>
              <w:t>p.m.</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vAlign w:val="center"/>
          </w:tcPr>
          <w:p>
            <w:pPr>
              <w:spacing w:before="60" w:after="60" w:line="200" w:lineRule="exact"/>
              <w:ind w:left="72"/>
              <w:jc w:val="left"/>
              <w:rPr>
                <w:noProof/>
                <w:color w:val="000000" w:themeColor="text1"/>
                <w:sz w:val="16"/>
                <w:szCs w:val="16"/>
              </w:rPr>
            </w:pPr>
            <w:r>
              <w:rPr>
                <w:noProof/>
                <w:color w:val="000000" w:themeColor="text1"/>
                <w:sz w:val="16"/>
              </w:rPr>
              <w:t xml:space="preserve">Other administrative expenditure </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szCs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szCs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szCs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szCs w:val="16"/>
              </w:rPr>
              <w:t>p.m.</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shd w:val="clear" w:color="auto" w:fill="CCCCCC"/>
            <w:vAlign w:val="center"/>
          </w:tcPr>
          <w:p>
            <w:pPr>
              <w:spacing w:before="60" w:after="60" w:line="200" w:lineRule="exact"/>
              <w:jc w:val="center"/>
              <w:rPr>
                <w:b/>
                <w:noProof/>
                <w:color w:val="000000" w:themeColor="text1"/>
                <w:sz w:val="16"/>
                <w:szCs w:val="16"/>
              </w:rPr>
            </w:pPr>
            <w:r>
              <w:rPr>
                <w:b/>
                <w:noProof/>
                <w:color w:val="000000" w:themeColor="text1"/>
                <w:sz w:val="16"/>
              </w:rPr>
              <w:t>Subtotal HEADING 5</w:t>
            </w:r>
            <w:r>
              <w:rPr>
                <w:noProof/>
                <w:color w:val="000000" w:themeColor="text1"/>
                <w:sz w:val="22"/>
              </w:rPr>
              <w:br/>
            </w:r>
            <w:r>
              <w:rPr>
                <w:b/>
                <w:noProof/>
                <w:color w:val="000000" w:themeColor="text1"/>
                <w:sz w:val="16"/>
              </w:rPr>
              <w:t xml:space="preserve">of the multiannual financial framework </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szCs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szCs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szCs w:val="16"/>
              </w:rPr>
              <w:t>p.m.</w:t>
            </w:r>
          </w:p>
        </w:tc>
        <w:tc>
          <w:tcPr>
            <w:tcW w:w="1080" w:type="dxa"/>
            <w:vAlign w:val="center"/>
          </w:tcPr>
          <w:p>
            <w:pPr>
              <w:spacing w:before="60" w:after="60" w:line="200" w:lineRule="exact"/>
              <w:jc w:val="right"/>
              <w:rPr>
                <w:noProof/>
                <w:color w:val="000000" w:themeColor="text1"/>
                <w:sz w:val="16"/>
                <w:szCs w:val="16"/>
              </w:rPr>
            </w:pPr>
            <w:r>
              <w:rPr>
                <w:noProof/>
                <w:color w:val="000000" w:themeColor="text1"/>
                <w:sz w:val="16"/>
                <w:szCs w:val="16"/>
              </w:rPr>
              <w:t>p.m.</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bl>
    <w:p>
      <w:pPr>
        <w:spacing w:line="200" w:lineRule="exact"/>
        <w:rPr>
          <w:noProof/>
          <w:color w:val="000000" w:themeColor="text1"/>
          <w:sz w:val="16"/>
          <w:szCs w:val="16"/>
        </w:rPr>
      </w:pPr>
    </w:p>
    <w:tbl>
      <w:tblPr>
        <w:tblW w:w="10620" w:type="dxa"/>
        <w:tblInd w:w="-61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shd w:val="clear" w:color="auto" w:fill="CCCCCC"/>
            <w:vAlign w:val="center"/>
          </w:tcPr>
          <w:p>
            <w:pPr>
              <w:spacing w:before="60" w:after="60" w:line="200" w:lineRule="exact"/>
              <w:jc w:val="center"/>
              <w:rPr>
                <w:noProof/>
                <w:color w:val="000000" w:themeColor="text1"/>
                <w:sz w:val="16"/>
                <w:szCs w:val="16"/>
              </w:rPr>
            </w:pPr>
            <w:r>
              <w:rPr>
                <w:b/>
                <w:noProof/>
                <w:color w:val="000000" w:themeColor="text1"/>
                <w:sz w:val="16"/>
              </w:rPr>
              <w:t>Outside HEADING 5</w:t>
            </w:r>
            <w:r>
              <w:rPr>
                <w:rStyle w:val="FootnoteReference"/>
                <w:b/>
                <w:noProof/>
                <w:color w:val="000000" w:themeColor="text1"/>
                <w:sz w:val="16"/>
              </w:rPr>
              <w:footnoteReference w:id="39"/>
            </w:r>
            <w:r>
              <w:rPr>
                <w:noProof/>
                <w:color w:val="000000" w:themeColor="text1"/>
                <w:sz w:val="22"/>
              </w:rPr>
              <w:br/>
            </w:r>
            <w:r>
              <w:rPr>
                <w:b/>
                <w:noProof/>
                <w:color w:val="000000" w:themeColor="text1"/>
                <w:sz w:val="16"/>
              </w:rPr>
              <w:t xml:space="preserve">of the multiannual financial framework </w:t>
            </w:r>
          </w:p>
          <w:p>
            <w:pPr>
              <w:spacing w:before="0" w:after="0" w:line="200" w:lineRule="exact"/>
              <w:jc w:val="center"/>
              <w:rPr>
                <w:b/>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vAlign w:val="center"/>
          </w:tcPr>
          <w:p>
            <w:pPr>
              <w:spacing w:before="60" w:after="60" w:line="200" w:lineRule="exact"/>
              <w:ind w:left="72"/>
              <w:jc w:val="left"/>
              <w:rPr>
                <w:noProof/>
                <w:color w:val="000000" w:themeColor="text1"/>
                <w:sz w:val="16"/>
                <w:szCs w:val="16"/>
              </w:rPr>
            </w:pPr>
            <w:r>
              <w:rPr>
                <w:noProof/>
                <w:color w:val="000000" w:themeColor="text1"/>
                <w:sz w:val="16"/>
              </w:rPr>
              <w:t xml:space="preserve">Human resources </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vAlign w:val="center"/>
          </w:tcPr>
          <w:p>
            <w:pPr>
              <w:spacing w:before="60" w:after="60" w:line="200" w:lineRule="exact"/>
              <w:ind w:left="72"/>
              <w:jc w:val="left"/>
              <w:rPr>
                <w:noProof/>
                <w:color w:val="000000" w:themeColor="text1"/>
                <w:sz w:val="16"/>
                <w:szCs w:val="16"/>
              </w:rPr>
            </w:pPr>
            <w:r>
              <w:rPr>
                <w:noProof/>
                <w:color w:val="000000" w:themeColor="text1"/>
                <w:sz w:val="16"/>
              </w:rPr>
              <w:t xml:space="preserve">Other expenditure </w:t>
            </w:r>
            <w:r>
              <w:rPr>
                <w:noProof/>
                <w:color w:val="000000" w:themeColor="text1"/>
                <w:sz w:val="22"/>
              </w:rPr>
              <w:br/>
            </w:r>
            <w:r>
              <w:rPr>
                <w:noProof/>
                <w:color w:val="000000" w:themeColor="text1"/>
                <w:sz w:val="16"/>
              </w:rPr>
              <w:t>of an administrative nature</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r>
        <w:trPr>
          <w:trHeight w:val="585"/>
        </w:trPr>
        <w:tc>
          <w:tcPr>
            <w:tcW w:w="1980" w:type="dxa"/>
            <w:shd w:val="clear" w:color="auto" w:fill="CCCCCC"/>
            <w:vAlign w:val="center"/>
          </w:tcPr>
          <w:p>
            <w:pPr>
              <w:spacing w:before="60" w:after="60" w:line="200" w:lineRule="exact"/>
              <w:jc w:val="center"/>
              <w:rPr>
                <w:b/>
                <w:noProof/>
                <w:color w:val="000000" w:themeColor="text1"/>
                <w:sz w:val="16"/>
                <w:szCs w:val="16"/>
              </w:rPr>
            </w:pPr>
            <w:r>
              <w:rPr>
                <w:b/>
                <w:noProof/>
                <w:color w:val="000000" w:themeColor="text1"/>
                <w:sz w:val="16"/>
              </w:rPr>
              <w:t xml:space="preserve">Subtotal </w:t>
            </w:r>
            <w:r>
              <w:rPr>
                <w:noProof/>
                <w:color w:val="000000" w:themeColor="text1"/>
                <w:sz w:val="22"/>
              </w:rPr>
              <w:br/>
            </w:r>
            <w:r>
              <w:rPr>
                <w:b/>
                <w:noProof/>
                <w:color w:val="000000" w:themeColor="text1"/>
                <w:sz w:val="16"/>
              </w:rPr>
              <w:t>outside HEADING 5</w:t>
            </w:r>
            <w:r>
              <w:rPr>
                <w:noProof/>
                <w:color w:val="000000" w:themeColor="text1"/>
                <w:sz w:val="22"/>
              </w:rPr>
              <w:br/>
            </w:r>
            <w:r>
              <w:rPr>
                <w:b/>
                <w:noProof/>
                <w:color w:val="000000" w:themeColor="text1"/>
                <w:sz w:val="16"/>
              </w:rPr>
              <w:t xml:space="preserve">of the multiannual financial framework </w:t>
            </w: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c>
          <w:tcPr>
            <w:tcW w:w="1080" w:type="dxa"/>
            <w:vAlign w:val="center"/>
          </w:tcPr>
          <w:p>
            <w:pPr>
              <w:spacing w:before="60" w:after="60" w:line="200" w:lineRule="exact"/>
              <w:jc w:val="right"/>
              <w:rPr>
                <w:b/>
                <w:noProof/>
                <w:color w:val="000000" w:themeColor="text1"/>
                <w:sz w:val="16"/>
                <w:szCs w:val="16"/>
              </w:rPr>
            </w:pPr>
          </w:p>
        </w:tc>
      </w:tr>
    </w:tbl>
    <w:p>
      <w:pPr>
        <w:spacing w:line="200" w:lineRule="exact"/>
        <w:rPr>
          <w:noProof/>
          <w:color w:val="000000" w:themeColor="text1"/>
          <w:sz w:val="16"/>
          <w:szCs w:val="16"/>
        </w:rPr>
      </w:pPr>
    </w:p>
    <w:tbl>
      <w:tblPr>
        <w:tblW w:w="10620" w:type="dxa"/>
        <w:tblInd w:w="-612" w:type="dxa"/>
        <w:tblLayout w:type="fixed"/>
        <w:tblLook w:val="01E0" w:firstRow="1" w:lastRow="1" w:firstColumn="1" w:lastColumn="1" w:noHBand="0" w:noVBand="0"/>
      </w:tblPr>
      <w:tblGrid>
        <w:gridCol w:w="1980"/>
        <w:gridCol w:w="1080"/>
        <w:gridCol w:w="1080"/>
        <w:gridCol w:w="1080"/>
        <w:gridCol w:w="1080"/>
        <w:gridCol w:w="1080"/>
        <w:gridCol w:w="1080"/>
        <w:gridCol w:w="1080"/>
        <w:gridCol w:w="1080"/>
      </w:tblGrid>
      <w:tr>
        <w:trPr>
          <w:trHeight w:val="585"/>
        </w:trPr>
        <w:tc>
          <w:tcPr>
            <w:tcW w:w="1980" w:type="dxa"/>
            <w:tcBorders>
              <w:top w:val="single" w:sz="12" w:space="0" w:color="auto"/>
              <w:left w:val="single" w:sz="12" w:space="0" w:color="auto"/>
              <w:bottom w:val="single" w:sz="12" w:space="0" w:color="auto"/>
              <w:right w:val="single" w:sz="2" w:space="0" w:color="auto"/>
            </w:tcBorders>
            <w:vAlign w:val="center"/>
          </w:tcPr>
          <w:p>
            <w:pPr>
              <w:spacing w:before="60" w:after="60" w:line="200" w:lineRule="exact"/>
              <w:jc w:val="center"/>
              <w:rPr>
                <w:noProof/>
                <w:color w:val="000000" w:themeColor="text1"/>
                <w:sz w:val="16"/>
                <w:szCs w:val="16"/>
              </w:rPr>
            </w:pPr>
            <w:r>
              <w:rPr>
                <w:b/>
                <w:noProof/>
                <w:color w:val="000000" w:themeColor="text1"/>
                <w:sz w:val="16"/>
              </w:rPr>
              <w:t>TOTAL</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r>
              <w:rPr>
                <w:b/>
                <w:noProof/>
                <w:color w:val="000000" w:themeColor="text1"/>
                <w:sz w:val="16"/>
                <w:szCs w:val="16"/>
              </w:rPr>
              <w:t>p.m.</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r>
              <w:rPr>
                <w:b/>
                <w:noProof/>
                <w:color w:val="000000" w:themeColor="text1"/>
                <w:sz w:val="16"/>
                <w:szCs w:val="16"/>
              </w:rPr>
              <w:t>p.m.</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r>
              <w:rPr>
                <w:b/>
                <w:noProof/>
                <w:color w:val="000000" w:themeColor="text1"/>
                <w:sz w:val="16"/>
                <w:szCs w:val="16"/>
              </w:rPr>
              <w:t>p.m.</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r>
              <w:rPr>
                <w:b/>
                <w:noProof/>
                <w:color w:val="000000" w:themeColor="text1"/>
                <w:sz w:val="16"/>
                <w:szCs w:val="16"/>
              </w:rPr>
              <w:t>p.m.</w:t>
            </w: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2" w:space="0" w:color="auto"/>
            </w:tcBorders>
            <w:vAlign w:val="center"/>
          </w:tcPr>
          <w:p>
            <w:pPr>
              <w:spacing w:before="60" w:after="60" w:line="200" w:lineRule="exact"/>
              <w:jc w:val="right"/>
              <w:rPr>
                <w:b/>
                <w:noProof/>
                <w:color w:val="000000" w:themeColor="text1"/>
                <w:sz w:val="16"/>
                <w:szCs w:val="16"/>
              </w:rPr>
            </w:pPr>
          </w:p>
        </w:tc>
        <w:tc>
          <w:tcPr>
            <w:tcW w:w="1080" w:type="dxa"/>
            <w:tcBorders>
              <w:top w:val="single" w:sz="12" w:space="0" w:color="auto"/>
              <w:left w:val="single" w:sz="2" w:space="0" w:color="auto"/>
              <w:bottom w:val="single" w:sz="12" w:space="0" w:color="auto"/>
              <w:right w:val="single" w:sz="12" w:space="0" w:color="auto"/>
            </w:tcBorders>
            <w:vAlign w:val="center"/>
          </w:tcPr>
          <w:p>
            <w:pPr>
              <w:spacing w:before="60" w:after="60" w:line="200" w:lineRule="exact"/>
              <w:jc w:val="right"/>
              <w:rPr>
                <w:b/>
                <w:noProof/>
                <w:color w:val="000000" w:themeColor="text1"/>
                <w:sz w:val="16"/>
                <w:szCs w:val="16"/>
              </w:rPr>
            </w:pPr>
          </w:p>
        </w:tc>
      </w:tr>
    </w:tbl>
    <w:p>
      <w:pPr>
        <w:rPr>
          <w:noProof/>
          <w:color w:val="000000" w:themeColor="text1"/>
          <w:sz w:val="18"/>
        </w:rPr>
        <w:sectPr>
          <w:headerReference w:type="default" r:id="rId18"/>
          <w:footerReference w:type="default" r:id="rId19"/>
          <w:headerReference w:type="first" r:id="rId20"/>
          <w:footerReference w:type="first" r:id="rId21"/>
          <w:pgSz w:w="11907" w:h="16840"/>
          <w:pgMar w:top="1134" w:right="1418" w:bottom="1134" w:left="1418" w:header="709" w:footer="709" w:gutter="0"/>
          <w:cols w:space="708"/>
          <w:docGrid w:linePitch="360"/>
        </w:sectPr>
      </w:pPr>
      <w:r>
        <w:rPr>
          <w:noProof/>
          <w:color w:val="000000" w:themeColor="text1"/>
          <w:sz w:val="18"/>
        </w:rPr>
        <w:t>The appropriations required for human resources and other expenditure of an administrative nature will be met by appropriations from the DG that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pStyle w:val="ManualHeading4"/>
        <w:rPr>
          <w:bCs/>
          <w:noProof/>
          <w:szCs w:val="24"/>
        </w:rPr>
      </w:pPr>
      <w:r>
        <w:t>3.2.3.2.</w:t>
      </w:r>
      <w:r>
        <w:tab/>
      </w:r>
      <w:r>
        <w:rPr>
          <w:noProof/>
        </w:rPr>
        <w:t>Estimated requirements of human resources</w:t>
      </w:r>
    </w:p>
    <w:p>
      <w:pPr>
        <w:pStyle w:val="ListDash1"/>
        <w:rPr>
          <w:noProof/>
          <w:color w:val="000000" w:themeColor="text1"/>
        </w:rPr>
      </w:pPr>
      <w:r>
        <w:rPr>
          <w:noProof/>
          <w:color w:val="000000" w:themeColor="text1"/>
        </w:rPr>
        <w:sym w:font="Wingdings" w:char="F0A8"/>
      </w:r>
      <w:r>
        <w:rPr>
          <w:noProof/>
          <w:color w:val="000000" w:themeColor="text1"/>
        </w:rPr>
        <w:tab/>
        <w:t xml:space="preserve">The proposal/initiative does not require the use of human resources. </w:t>
      </w:r>
    </w:p>
    <w:p>
      <w:pPr>
        <w:pStyle w:val="ListDash1"/>
        <w:rPr>
          <w:noProof/>
          <w:color w:val="000000" w:themeColor="text1"/>
        </w:rPr>
      </w:pPr>
      <w:r>
        <w:rPr>
          <w:noProof/>
          <w:color w:val="000000" w:themeColor="text1"/>
        </w:rPr>
        <w:t>X</w:t>
      </w:r>
      <w:r>
        <w:rPr>
          <w:noProof/>
          <w:color w:val="000000" w:themeColor="text1"/>
        </w:rPr>
        <w:tab/>
        <w:t>The proposal/initiative requires the use of human resources, as explained below:</w:t>
      </w:r>
    </w:p>
    <w:p>
      <w:pPr>
        <w:spacing w:after="60"/>
        <w:jc w:val="right"/>
        <w:rPr>
          <w:i/>
          <w:noProof/>
          <w:color w:val="000000" w:themeColor="text1"/>
          <w:sz w:val="20"/>
        </w:rPr>
      </w:pPr>
      <w:r>
        <w:rPr>
          <w:i/>
          <w:noProof/>
          <w:color w:val="000000" w:themeColor="text1"/>
          <w:sz w:val="20"/>
        </w:rPr>
        <w:t>Estimate to be expressed in full time equivalent units</w:t>
      </w:r>
    </w:p>
    <w:tbl>
      <w:tblPr>
        <w:tblW w:w="5544" w:type="pct"/>
        <w:jc w:val="center"/>
        <w:tblInd w:w="-226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2"/>
        <w:gridCol w:w="1952"/>
        <w:gridCol w:w="1954"/>
        <w:gridCol w:w="655"/>
        <w:gridCol w:w="655"/>
        <w:gridCol w:w="3894"/>
        <w:gridCol w:w="465"/>
        <w:gridCol w:w="237"/>
        <w:gridCol w:w="237"/>
        <w:gridCol w:w="236"/>
      </w:tblGrid>
      <w:tr>
        <w:trPr>
          <w:gridBefore w:val="1"/>
          <w:wBefore w:w="6" w:type="pct"/>
          <w:trHeight w:val="289"/>
          <w:jc w:val="center"/>
        </w:trPr>
        <w:tc>
          <w:tcPr>
            <w:tcW w:w="1897" w:type="pct"/>
            <w:gridSpan w:val="2"/>
            <w:shd w:val="clear" w:color="auto" w:fill="auto"/>
          </w:tcPr>
          <w:p>
            <w:pPr>
              <w:pStyle w:val="Text1"/>
              <w:spacing w:before="40" w:after="40"/>
              <w:ind w:left="0"/>
              <w:jc w:val="center"/>
              <w:rPr>
                <w:i/>
                <w:noProof/>
                <w:color w:val="000000" w:themeColor="text1"/>
                <w:sz w:val="16"/>
                <w:szCs w:val="16"/>
              </w:rPr>
            </w:pPr>
          </w:p>
        </w:tc>
        <w:tc>
          <w:tcPr>
            <w:tcW w:w="318" w:type="pct"/>
            <w:shd w:val="clear" w:color="auto" w:fill="auto"/>
            <w:vAlign w:val="center"/>
          </w:tcPr>
          <w:p>
            <w:pPr>
              <w:spacing w:before="20" w:after="20"/>
              <w:jc w:val="center"/>
              <w:rPr>
                <w:noProof/>
                <w:color w:val="000000" w:themeColor="text1"/>
                <w:sz w:val="16"/>
                <w:szCs w:val="16"/>
              </w:rPr>
            </w:pPr>
            <w:r>
              <w:rPr>
                <w:noProof/>
                <w:color w:val="000000" w:themeColor="text1"/>
                <w:sz w:val="16"/>
              </w:rPr>
              <w:t>Year</w:t>
            </w:r>
            <w:r>
              <w:rPr>
                <w:noProof/>
                <w:color w:val="000000" w:themeColor="text1"/>
                <w:sz w:val="22"/>
              </w:rPr>
              <w:br/>
            </w:r>
            <w:r>
              <w:rPr>
                <w:b/>
                <w:noProof/>
                <w:color w:val="000000" w:themeColor="text1"/>
                <w:sz w:val="16"/>
              </w:rPr>
              <w:t>N</w:t>
            </w:r>
          </w:p>
        </w:tc>
        <w:tc>
          <w:tcPr>
            <w:tcW w:w="318" w:type="pct"/>
            <w:shd w:val="clear" w:color="auto" w:fill="auto"/>
            <w:vAlign w:val="center"/>
          </w:tcPr>
          <w:p>
            <w:pPr>
              <w:spacing w:before="20" w:after="20"/>
              <w:jc w:val="center"/>
              <w:rPr>
                <w:noProof/>
                <w:color w:val="000000" w:themeColor="text1"/>
                <w:sz w:val="16"/>
                <w:szCs w:val="16"/>
              </w:rPr>
            </w:pPr>
            <w:r>
              <w:rPr>
                <w:noProof/>
                <w:color w:val="000000" w:themeColor="text1"/>
                <w:sz w:val="16"/>
              </w:rPr>
              <w:t>Year</w:t>
            </w:r>
            <w:r>
              <w:rPr>
                <w:noProof/>
                <w:color w:val="000000" w:themeColor="text1"/>
                <w:sz w:val="22"/>
              </w:rPr>
              <w:br/>
            </w:r>
            <w:r>
              <w:rPr>
                <w:b/>
                <w:noProof/>
                <w:color w:val="000000" w:themeColor="text1"/>
                <w:sz w:val="16"/>
              </w:rPr>
              <w:t>N+1</w:t>
            </w:r>
          </w:p>
        </w:tc>
        <w:tc>
          <w:tcPr>
            <w:tcW w:w="1891" w:type="pct"/>
            <w:shd w:val="clear" w:color="auto" w:fill="auto"/>
            <w:vAlign w:val="center"/>
          </w:tcPr>
          <w:p>
            <w:pPr>
              <w:spacing w:before="20" w:after="20"/>
              <w:jc w:val="center"/>
              <w:rPr>
                <w:noProof/>
                <w:color w:val="000000" w:themeColor="text1"/>
                <w:sz w:val="16"/>
                <w:szCs w:val="16"/>
              </w:rPr>
            </w:pPr>
            <w:r>
              <w:rPr>
                <w:noProof/>
                <w:color w:val="000000" w:themeColor="text1"/>
                <w:sz w:val="16"/>
                <w:szCs w:val="16"/>
              </w:rPr>
              <w:t xml:space="preserve">Year </w:t>
            </w:r>
            <w:r>
              <w:rPr>
                <w:b/>
                <w:noProof/>
                <w:color w:val="000000" w:themeColor="text1"/>
                <w:sz w:val="16"/>
                <w:szCs w:val="16"/>
              </w:rPr>
              <w:t>N+2</w:t>
            </w:r>
          </w:p>
        </w:tc>
        <w:tc>
          <w:tcPr>
            <w:tcW w:w="226" w:type="pct"/>
            <w:shd w:val="clear" w:color="auto" w:fill="auto"/>
            <w:vAlign w:val="center"/>
          </w:tcPr>
          <w:p>
            <w:pPr>
              <w:spacing w:before="20" w:after="20"/>
              <w:jc w:val="center"/>
              <w:rPr>
                <w:noProof/>
                <w:color w:val="000000" w:themeColor="text1"/>
                <w:sz w:val="16"/>
                <w:szCs w:val="16"/>
              </w:rPr>
            </w:pPr>
            <w:r>
              <w:rPr>
                <w:noProof/>
                <w:color w:val="000000" w:themeColor="text1"/>
                <w:sz w:val="16"/>
                <w:szCs w:val="16"/>
              </w:rPr>
              <w:t xml:space="preserve">Year </w:t>
            </w:r>
            <w:r>
              <w:rPr>
                <w:b/>
                <w:noProof/>
                <w:color w:val="000000" w:themeColor="text1"/>
                <w:sz w:val="16"/>
                <w:szCs w:val="16"/>
              </w:rPr>
              <w:t>N+3</w:t>
            </w:r>
          </w:p>
        </w:tc>
        <w:tc>
          <w:tcPr>
            <w:tcW w:w="345" w:type="pct"/>
            <w:gridSpan w:val="3"/>
            <w:shd w:val="clear" w:color="auto" w:fill="auto"/>
            <w:vAlign w:val="center"/>
          </w:tcPr>
          <w:p>
            <w:pPr>
              <w:jc w:val="center"/>
              <w:rPr>
                <w:b/>
                <w:noProof/>
                <w:color w:val="000000" w:themeColor="text1"/>
                <w:sz w:val="16"/>
                <w:szCs w:val="16"/>
              </w:rPr>
            </w:pPr>
            <w:r>
              <w:rPr>
                <w:noProof/>
                <w:color w:val="000000" w:themeColor="text1"/>
                <w:sz w:val="16"/>
              </w:rPr>
              <w:t>Enter as many years as necessary to show the duration of the impact (see point 1.6)</w:t>
            </w:r>
          </w:p>
        </w:tc>
      </w:tr>
      <w:tr>
        <w:trPr>
          <w:gridBefore w:val="1"/>
          <w:wBefore w:w="6" w:type="pct"/>
          <w:trHeight w:val="289"/>
          <w:jc w:val="center"/>
        </w:trPr>
        <w:tc>
          <w:tcPr>
            <w:tcW w:w="4424" w:type="pct"/>
            <w:gridSpan w:val="5"/>
            <w:shd w:val="clear" w:color="auto" w:fill="auto"/>
          </w:tcPr>
          <w:p>
            <w:pPr>
              <w:spacing w:before="20" w:after="20"/>
              <w:rPr>
                <w:noProof/>
                <w:color w:val="000000" w:themeColor="text1"/>
                <w:sz w:val="16"/>
                <w:szCs w:val="16"/>
              </w:rPr>
            </w:pPr>
            <w:r>
              <w:rPr>
                <w:b/>
                <w:noProof/>
                <w:color w:val="000000" w:themeColor="text1"/>
                <w:sz w:val="16"/>
              </w:rPr>
              <w:sym w:font="Wingdings" w:char="F09F"/>
            </w:r>
            <w:r>
              <w:rPr>
                <w:b/>
                <w:noProof/>
                <w:color w:val="000000" w:themeColor="text1"/>
                <w:sz w:val="16"/>
              </w:rPr>
              <w:t xml:space="preserve"> Establishment plan posts (officials and temporary staff)</w:t>
            </w:r>
          </w:p>
        </w:tc>
        <w:tc>
          <w:tcPr>
            <w:tcW w:w="226" w:type="pct"/>
            <w:shd w:val="clear" w:color="auto" w:fill="auto"/>
            <w:vAlign w:val="center"/>
          </w:tcPr>
          <w:p>
            <w:pPr>
              <w:spacing w:before="20" w:after="20"/>
              <w:jc w:val="center"/>
              <w:rPr>
                <w:noProof/>
                <w:color w:val="000000" w:themeColor="text1"/>
                <w:sz w:val="16"/>
                <w:szCs w:val="16"/>
              </w:rPr>
            </w:pPr>
          </w:p>
        </w:tc>
        <w:tc>
          <w:tcPr>
            <w:tcW w:w="345" w:type="pct"/>
            <w:gridSpan w:val="3"/>
            <w:shd w:val="clear" w:color="auto" w:fill="auto"/>
            <w:vAlign w:val="center"/>
          </w:tcPr>
          <w:p>
            <w:pPr>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b/>
                <w:noProof/>
                <w:color w:val="000000" w:themeColor="text1"/>
                <w:sz w:val="16"/>
                <w:szCs w:val="16"/>
              </w:rPr>
            </w:pPr>
            <w:r>
              <w:rPr>
                <w:noProof/>
                <w:color w:val="000000" w:themeColor="text1"/>
                <w:sz w:val="16"/>
              </w:rPr>
              <w:t>XX 01 01 01 (Headquarters and Commission’s Representation Offices)</w:t>
            </w:r>
          </w:p>
        </w:tc>
        <w:tc>
          <w:tcPr>
            <w:tcW w:w="318" w:type="pct"/>
            <w:shd w:val="clear" w:color="auto" w:fill="auto"/>
            <w:vAlign w:val="center"/>
          </w:tcPr>
          <w:p>
            <w:pPr>
              <w:spacing w:beforeLines="20" w:before="48" w:afterLines="20" w:after="48"/>
              <w:jc w:val="center"/>
              <w:rPr>
                <w:noProof/>
                <w:color w:val="000000" w:themeColor="text1"/>
                <w:sz w:val="16"/>
                <w:szCs w:val="16"/>
              </w:rPr>
            </w:pPr>
            <w:r>
              <w:rPr>
                <w:noProof/>
                <w:color w:val="000000" w:themeColor="text1"/>
                <w:sz w:val="16"/>
                <w:szCs w:val="16"/>
              </w:rPr>
              <w:t>1</w:t>
            </w:r>
          </w:p>
        </w:tc>
        <w:tc>
          <w:tcPr>
            <w:tcW w:w="318" w:type="pct"/>
            <w:shd w:val="clear" w:color="auto" w:fill="auto"/>
            <w:vAlign w:val="center"/>
          </w:tcPr>
          <w:p>
            <w:pPr>
              <w:spacing w:beforeLines="20" w:before="48" w:afterLines="20" w:after="48"/>
              <w:jc w:val="center"/>
              <w:rPr>
                <w:noProof/>
                <w:color w:val="000000" w:themeColor="text1"/>
                <w:sz w:val="16"/>
                <w:szCs w:val="16"/>
              </w:rPr>
            </w:pPr>
            <w:r>
              <w:rPr>
                <w:noProof/>
                <w:color w:val="000000" w:themeColor="text1"/>
                <w:sz w:val="16"/>
                <w:szCs w:val="16"/>
              </w:rPr>
              <w:t>1</w:t>
            </w:r>
          </w:p>
        </w:tc>
        <w:tc>
          <w:tcPr>
            <w:tcW w:w="1891" w:type="pct"/>
            <w:shd w:val="clear" w:color="auto" w:fill="auto"/>
            <w:vAlign w:val="center"/>
          </w:tcPr>
          <w:p>
            <w:pPr>
              <w:spacing w:beforeLines="20" w:before="48" w:afterLines="20" w:after="48"/>
              <w:jc w:val="center"/>
              <w:rPr>
                <w:noProof/>
                <w:color w:val="000000" w:themeColor="text1"/>
                <w:sz w:val="16"/>
                <w:szCs w:val="16"/>
              </w:rPr>
            </w:pPr>
            <w:r>
              <w:rPr>
                <w:noProof/>
                <w:color w:val="000000" w:themeColor="text1"/>
                <w:sz w:val="16"/>
                <w:szCs w:val="16"/>
              </w:rPr>
              <w:t>1</w:t>
            </w: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color w:val="000000" w:themeColor="text1"/>
                <w:sz w:val="16"/>
                <w:szCs w:val="16"/>
              </w:rPr>
            </w:pPr>
            <w:r>
              <w:rPr>
                <w:noProof/>
                <w:color w:val="000000" w:themeColor="text1"/>
                <w:sz w:val="16"/>
              </w:rPr>
              <w:t>XX 01 01 02 (Delegations)</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color w:val="000000" w:themeColor="text1"/>
                <w:sz w:val="16"/>
                <w:szCs w:val="16"/>
              </w:rPr>
            </w:pPr>
            <w:r>
              <w:rPr>
                <w:noProof/>
                <w:color w:val="000000" w:themeColor="text1"/>
                <w:sz w:val="16"/>
              </w:rPr>
              <w:t>XX 01 05 01 (Indirect research)</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4"/>
              <w:jc w:val="left"/>
              <w:rPr>
                <w:noProof/>
                <w:color w:val="000000" w:themeColor="text1"/>
                <w:sz w:val="16"/>
                <w:szCs w:val="16"/>
              </w:rPr>
            </w:pPr>
            <w:r>
              <w:rPr>
                <w:noProof/>
                <w:color w:val="000000" w:themeColor="text1"/>
                <w:sz w:val="16"/>
              </w:rPr>
              <w:t>10 01 05 01 (Direct research)</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After w:val="4"/>
          <w:wAfter w:w="570" w:type="pct"/>
          <w:trHeight w:val="248"/>
          <w:jc w:val="center"/>
        </w:trPr>
        <w:tc>
          <w:tcPr>
            <w:tcW w:w="4430" w:type="pct"/>
            <w:gridSpan w:val="6"/>
            <w:shd w:val="clear" w:color="auto" w:fill="auto"/>
            <w:vAlign w:val="center"/>
          </w:tcPr>
          <w:p>
            <w:pPr>
              <w:pStyle w:val="Text1"/>
              <w:spacing w:before="60" w:after="60"/>
              <w:ind w:left="0"/>
              <w:jc w:val="left"/>
              <w:rPr>
                <w:b/>
                <w:noProof/>
                <w:color w:val="000000" w:themeColor="text1"/>
                <w:sz w:val="16"/>
                <w:szCs w:val="16"/>
              </w:rPr>
            </w:pPr>
            <w:r>
              <w:rPr>
                <w:b/>
                <w:noProof/>
                <w:color w:val="000000" w:themeColor="text1"/>
                <w:sz w:val="16"/>
              </w:rPr>
              <w:sym w:font="Wingdings" w:char="F09F"/>
            </w:r>
            <w:r>
              <w:rPr>
                <w:b/>
                <w:noProof/>
                <w:color w:val="000000" w:themeColor="text1"/>
                <w:sz w:val="16"/>
              </w:rPr>
              <w:t xml:space="preserve"> External staff (in Full Time Equivalent unit: FTE)</w:t>
            </w:r>
            <w:r>
              <w:rPr>
                <w:rStyle w:val="FootnoteReference"/>
                <w:b/>
                <w:noProof/>
                <w:color w:val="000000" w:themeColor="text1"/>
                <w:sz w:val="16"/>
              </w:rPr>
              <w:footnoteReference w:id="40"/>
            </w:r>
          </w:p>
          <w:p>
            <w:pPr>
              <w:pStyle w:val="Text1"/>
              <w:spacing w:before="0" w:after="0"/>
              <w:ind w:left="0"/>
              <w:jc w:val="left"/>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b/>
                <w:noProof/>
                <w:color w:val="000000" w:themeColor="text1"/>
                <w:sz w:val="16"/>
                <w:szCs w:val="16"/>
              </w:rPr>
            </w:pPr>
            <w:r>
              <w:rPr>
                <w:noProof/>
                <w:color w:val="000000" w:themeColor="text1"/>
                <w:sz w:val="16"/>
              </w:rPr>
              <w:t>XX 01 02 01 (AC, END, INT from the ‘global envelope’)</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color w:val="000000" w:themeColor="text1"/>
                <w:sz w:val="16"/>
                <w:szCs w:val="16"/>
              </w:rPr>
            </w:pPr>
            <w:r>
              <w:rPr>
                <w:noProof/>
                <w:color w:val="000000" w:themeColor="text1"/>
                <w:sz w:val="16"/>
              </w:rPr>
              <w:t xml:space="preserve">XX 01 02 02 (AC, </w:t>
            </w:r>
            <w:smartTag w:uri="urn:schemas-microsoft-com:office:smarttags" w:element="State">
              <w:smartTag w:uri="urn:schemas-microsoft-com:office:smarttags" w:element="place">
                <w:r>
                  <w:rPr>
                    <w:noProof/>
                    <w:color w:val="000000" w:themeColor="text1"/>
                    <w:sz w:val="16"/>
                  </w:rPr>
                  <w:t>AL</w:t>
                </w:r>
              </w:smartTag>
            </w:smartTag>
            <w:r>
              <w:rPr>
                <w:noProof/>
                <w:color w:val="000000" w:themeColor="text1"/>
                <w:sz w:val="16"/>
              </w:rPr>
              <w:t>, END, INT and JED in the delegations)</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948" w:type="pct"/>
            <w:vMerge w:val="restart"/>
            <w:shd w:val="clear" w:color="auto" w:fill="auto"/>
            <w:vAlign w:val="center"/>
          </w:tcPr>
          <w:p>
            <w:pPr>
              <w:pStyle w:val="Text1"/>
              <w:spacing w:beforeLines="20" w:before="48" w:afterLines="20" w:after="48"/>
              <w:ind w:left="136"/>
              <w:jc w:val="left"/>
              <w:rPr>
                <w:b/>
                <w:noProof/>
                <w:color w:val="000000" w:themeColor="text1"/>
                <w:sz w:val="16"/>
                <w:szCs w:val="16"/>
              </w:rPr>
            </w:pPr>
            <w:r>
              <w:rPr>
                <w:b/>
                <w:noProof/>
                <w:color w:val="000000" w:themeColor="text1"/>
                <w:sz w:val="16"/>
                <w:szCs w:val="16"/>
              </w:rPr>
              <w:t>XX</w:t>
            </w:r>
            <w:r>
              <w:rPr>
                <w:noProof/>
                <w:color w:val="000000" w:themeColor="text1"/>
                <w:sz w:val="16"/>
                <w:szCs w:val="16"/>
              </w:rPr>
              <w:t xml:space="preserve"> 01 04 </w:t>
            </w:r>
            <w:r>
              <w:rPr>
                <w:b/>
                <w:noProof/>
                <w:color w:val="000000" w:themeColor="text1"/>
                <w:sz w:val="16"/>
                <w:szCs w:val="16"/>
              </w:rPr>
              <w:t>yy</w:t>
            </w:r>
            <w:r>
              <w:rPr>
                <w:b/>
                <w:i/>
                <w:noProof/>
                <w:color w:val="000000" w:themeColor="text1"/>
                <w:sz w:val="16"/>
              </w:rPr>
              <w:t xml:space="preserve"> </w:t>
            </w:r>
            <w:r>
              <w:rPr>
                <w:rStyle w:val="FootnoteReference"/>
                <w:b/>
                <w:i/>
                <w:noProof/>
                <w:color w:val="000000" w:themeColor="text1"/>
                <w:sz w:val="16"/>
              </w:rPr>
              <w:footnoteReference w:id="41"/>
            </w:r>
          </w:p>
          <w:p>
            <w:pPr>
              <w:pStyle w:val="Text1"/>
              <w:spacing w:beforeLines="20" w:before="48" w:afterLines="20" w:after="48"/>
              <w:ind w:left="136"/>
              <w:jc w:val="left"/>
              <w:rPr>
                <w:b/>
                <w:noProof/>
                <w:color w:val="000000" w:themeColor="text1"/>
                <w:sz w:val="16"/>
                <w:szCs w:val="16"/>
              </w:rPr>
            </w:pPr>
          </w:p>
        </w:tc>
        <w:tc>
          <w:tcPr>
            <w:tcW w:w="949" w:type="pct"/>
            <w:shd w:val="clear" w:color="auto" w:fill="auto"/>
            <w:vAlign w:val="center"/>
          </w:tcPr>
          <w:p>
            <w:pPr>
              <w:pStyle w:val="Text1"/>
              <w:spacing w:beforeLines="20" w:before="48" w:afterLines="20" w:after="48"/>
              <w:ind w:left="136"/>
              <w:jc w:val="left"/>
              <w:rPr>
                <w:b/>
                <w:noProof/>
                <w:color w:val="000000" w:themeColor="text1"/>
                <w:sz w:val="16"/>
                <w:szCs w:val="16"/>
              </w:rPr>
            </w:pPr>
            <w:r>
              <w:rPr>
                <w:noProof/>
                <w:color w:val="000000" w:themeColor="text1"/>
                <w:sz w:val="16"/>
              </w:rPr>
              <w:t>- at Headquarters</w:t>
            </w:r>
          </w:p>
          <w:p>
            <w:pPr>
              <w:pStyle w:val="Text1"/>
              <w:spacing w:beforeLines="20" w:before="48" w:afterLines="20" w:after="48"/>
              <w:ind w:left="136"/>
              <w:jc w:val="left"/>
              <w:rPr>
                <w:b/>
                <w:noProof/>
                <w:color w:val="000000" w:themeColor="text1"/>
                <w:sz w:val="16"/>
                <w:szCs w:val="16"/>
              </w:rPr>
            </w:pPr>
          </w:p>
        </w:tc>
        <w:tc>
          <w:tcPr>
            <w:tcW w:w="318" w:type="pct"/>
            <w:shd w:val="clear" w:color="auto" w:fill="auto"/>
            <w:vAlign w:val="center"/>
          </w:tcPr>
          <w:p>
            <w:pPr>
              <w:pStyle w:val="Text1"/>
              <w:spacing w:beforeLines="20" w:before="48" w:afterLines="20" w:after="48"/>
              <w:ind w:left="0"/>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948" w:type="pct"/>
            <w:vMerge/>
            <w:shd w:val="clear" w:color="auto" w:fill="auto"/>
            <w:vAlign w:val="center"/>
          </w:tcPr>
          <w:p>
            <w:pPr>
              <w:pStyle w:val="Text1"/>
              <w:spacing w:beforeLines="20" w:before="48" w:afterLines="20" w:after="48"/>
              <w:ind w:left="136"/>
              <w:jc w:val="left"/>
              <w:rPr>
                <w:b/>
                <w:noProof/>
                <w:color w:val="000000" w:themeColor="text1"/>
                <w:sz w:val="16"/>
                <w:szCs w:val="16"/>
              </w:rPr>
            </w:pPr>
          </w:p>
        </w:tc>
        <w:tc>
          <w:tcPr>
            <w:tcW w:w="949" w:type="pct"/>
            <w:shd w:val="clear" w:color="auto" w:fill="auto"/>
            <w:vAlign w:val="center"/>
          </w:tcPr>
          <w:p>
            <w:pPr>
              <w:pStyle w:val="Text1"/>
              <w:spacing w:beforeLines="20" w:before="48" w:afterLines="20" w:after="48"/>
              <w:ind w:left="136"/>
              <w:jc w:val="left"/>
              <w:rPr>
                <w:b/>
                <w:noProof/>
                <w:color w:val="000000" w:themeColor="text1"/>
                <w:sz w:val="16"/>
                <w:szCs w:val="16"/>
              </w:rPr>
            </w:pPr>
            <w:r>
              <w:rPr>
                <w:noProof/>
                <w:color w:val="000000" w:themeColor="text1"/>
                <w:sz w:val="16"/>
              </w:rPr>
              <w:t xml:space="preserve">- in Delegations </w:t>
            </w:r>
          </w:p>
        </w:tc>
        <w:tc>
          <w:tcPr>
            <w:tcW w:w="318" w:type="pct"/>
            <w:shd w:val="clear" w:color="auto" w:fill="auto"/>
            <w:vAlign w:val="center"/>
          </w:tcPr>
          <w:p>
            <w:pPr>
              <w:pStyle w:val="Text1"/>
              <w:spacing w:beforeLines="20" w:before="48" w:afterLines="20" w:after="48"/>
              <w:ind w:left="0"/>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color w:val="000000" w:themeColor="text1"/>
                <w:sz w:val="16"/>
                <w:szCs w:val="16"/>
              </w:rPr>
            </w:pPr>
            <w:r>
              <w:rPr>
                <w:b/>
                <w:noProof/>
                <w:color w:val="000000" w:themeColor="text1"/>
                <w:sz w:val="16"/>
                <w:szCs w:val="16"/>
              </w:rPr>
              <w:t>XX</w:t>
            </w:r>
            <w:r>
              <w:rPr>
                <w:noProof/>
                <w:color w:val="000000" w:themeColor="text1"/>
                <w:sz w:val="16"/>
                <w:szCs w:val="16"/>
              </w:rPr>
              <w:t xml:space="preserve"> 01 05 02 (AC, END, INT - Indirect research)</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shd w:val="clear" w:color="auto" w:fill="auto"/>
            <w:vAlign w:val="center"/>
          </w:tcPr>
          <w:p>
            <w:pPr>
              <w:pStyle w:val="Text1"/>
              <w:spacing w:beforeLines="20" w:before="48" w:afterLines="20" w:after="48"/>
              <w:ind w:left="136"/>
              <w:jc w:val="left"/>
              <w:rPr>
                <w:noProof/>
                <w:color w:val="000000" w:themeColor="text1"/>
                <w:sz w:val="16"/>
                <w:szCs w:val="16"/>
              </w:rPr>
            </w:pPr>
            <w:r>
              <w:rPr>
                <w:noProof/>
                <w:color w:val="000000" w:themeColor="text1"/>
                <w:sz w:val="16"/>
              </w:rPr>
              <w:t>10 01 05 02 (AC, END, INT - Direct research)</w:t>
            </w: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318" w:type="pct"/>
            <w:shd w:val="clear" w:color="auto" w:fill="auto"/>
            <w:vAlign w:val="center"/>
          </w:tcPr>
          <w:p>
            <w:pPr>
              <w:spacing w:beforeLines="20" w:before="48" w:afterLines="20" w:after="48"/>
              <w:jc w:val="center"/>
              <w:rPr>
                <w:noProof/>
                <w:color w:val="000000" w:themeColor="text1"/>
                <w:sz w:val="16"/>
                <w:szCs w:val="16"/>
              </w:rPr>
            </w:pPr>
          </w:p>
        </w:tc>
        <w:tc>
          <w:tcPr>
            <w:tcW w:w="1891" w:type="pct"/>
            <w:shd w:val="clear" w:color="auto" w:fill="auto"/>
            <w:vAlign w:val="center"/>
          </w:tcPr>
          <w:p>
            <w:pPr>
              <w:spacing w:beforeLines="20" w:before="48" w:afterLines="20" w:after="48"/>
              <w:jc w:val="center"/>
              <w:rPr>
                <w:noProof/>
                <w:color w:val="000000" w:themeColor="text1"/>
                <w:sz w:val="16"/>
                <w:szCs w:val="16"/>
              </w:rPr>
            </w:pPr>
          </w:p>
        </w:tc>
        <w:tc>
          <w:tcPr>
            <w:tcW w:w="226"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c>
          <w:tcPr>
            <w:tcW w:w="115" w:type="pct"/>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tcBorders>
              <w:bottom w:val="double" w:sz="4" w:space="0" w:color="auto"/>
            </w:tcBorders>
            <w:shd w:val="clear" w:color="auto" w:fill="auto"/>
            <w:vAlign w:val="center"/>
          </w:tcPr>
          <w:p>
            <w:pPr>
              <w:pStyle w:val="Text1"/>
              <w:spacing w:beforeLines="20" w:before="48" w:afterLines="20" w:after="48"/>
              <w:ind w:left="134"/>
              <w:jc w:val="left"/>
              <w:rPr>
                <w:noProof/>
                <w:color w:val="000000" w:themeColor="text1"/>
                <w:sz w:val="16"/>
                <w:szCs w:val="16"/>
              </w:rPr>
            </w:pPr>
            <w:r>
              <w:rPr>
                <w:noProof/>
                <w:color w:val="000000" w:themeColor="text1"/>
                <w:sz w:val="16"/>
              </w:rPr>
              <w:t>Other budget lines (specify)</w:t>
            </w:r>
          </w:p>
        </w:tc>
        <w:tc>
          <w:tcPr>
            <w:tcW w:w="318"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318"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1891"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226"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c>
          <w:tcPr>
            <w:tcW w:w="115" w:type="pct"/>
            <w:tcBorders>
              <w:bottom w:val="double" w:sz="4" w:space="0" w:color="auto"/>
            </w:tcBorders>
            <w:shd w:val="clear" w:color="auto" w:fill="auto"/>
            <w:vAlign w:val="center"/>
          </w:tcPr>
          <w:p>
            <w:pPr>
              <w:spacing w:beforeLines="20" w:before="48" w:afterLines="20" w:after="48"/>
              <w:jc w:val="center"/>
              <w:rPr>
                <w:noProof/>
                <w:color w:val="000000" w:themeColor="text1"/>
                <w:sz w:val="16"/>
                <w:szCs w:val="16"/>
              </w:rPr>
            </w:pPr>
          </w:p>
        </w:tc>
      </w:tr>
      <w:tr>
        <w:trPr>
          <w:gridBefore w:val="1"/>
          <w:wBefore w:w="6" w:type="pct"/>
          <w:trHeight w:val="289"/>
          <w:jc w:val="center"/>
        </w:trPr>
        <w:tc>
          <w:tcPr>
            <w:tcW w:w="1897" w:type="pct"/>
            <w:gridSpan w:val="2"/>
            <w:tcBorders>
              <w:top w:val="double" w:sz="4" w:space="0" w:color="auto"/>
            </w:tcBorders>
            <w:shd w:val="clear" w:color="auto" w:fill="auto"/>
            <w:vAlign w:val="center"/>
          </w:tcPr>
          <w:p>
            <w:pPr>
              <w:pStyle w:val="Text1"/>
              <w:spacing w:beforeLines="20" w:before="48" w:afterLines="20" w:after="48"/>
              <w:ind w:left="136"/>
              <w:jc w:val="left"/>
              <w:rPr>
                <w:noProof/>
                <w:color w:val="000000" w:themeColor="text1"/>
                <w:sz w:val="16"/>
                <w:szCs w:val="16"/>
              </w:rPr>
            </w:pPr>
            <w:r>
              <w:rPr>
                <w:b/>
                <w:noProof/>
                <w:color w:val="000000" w:themeColor="text1"/>
                <w:sz w:val="16"/>
              </w:rPr>
              <w:t>TOTAL</w:t>
            </w:r>
          </w:p>
        </w:tc>
        <w:tc>
          <w:tcPr>
            <w:tcW w:w="318"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r>
              <w:rPr>
                <w:b/>
                <w:noProof/>
                <w:color w:val="000000" w:themeColor="text1"/>
                <w:sz w:val="16"/>
                <w:szCs w:val="16"/>
              </w:rPr>
              <w:t>1</w:t>
            </w:r>
          </w:p>
        </w:tc>
        <w:tc>
          <w:tcPr>
            <w:tcW w:w="318"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r>
              <w:rPr>
                <w:b/>
                <w:noProof/>
                <w:color w:val="000000" w:themeColor="text1"/>
                <w:sz w:val="16"/>
                <w:szCs w:val="16"/>
              </w:rPr>
              <w:t>1</w:t>
            </w:r>
          </w:p>
        </w:tc>
        <w:tc>
          <w:tcPr>
            <w:tcW w:w="1891"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r>
              <w:rPr>
                <w:b/>
                <w:noProof/>
                <w:color w:val="000000" w:themeColor="text1"/>
                <w:sz w:val="16"/>
                <w:szCs w:val="16"/>
              </w:rPr>
              <w:t>1</w:t>
            </w:r>
          </w:p>
        </w:tc>
        <w:tc>
          <w:tcPr>
            <w:tcW w:w="226"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p>
        </w:tc>
        <w:tc>
          <w:tcPr>
            <w:tcW w:w="115" w:type="pct"/>
            <w:tcBorders>
              <w:top w:val="double" w:sz="4" w:space="0" w:color="auto"/>
            </w:tcBorders>
            <w:shd w:val="clear" w:color="auto" w:fill="auto"/>
            <w:vAlign w:val="center"/>
          </w:tcPr>
          <w:p>
            <w:pPr>
              <w:spacing w:beforeLines="20" w:before="48" w:afterLines="20" w:after="48"/>
              <w:jc w:val="center"/>
              <w:rPr>
                <w:b/>
                <w:noProof/>
                <w:color w:val="000000" w:themeColor="text1"/>
                <w:sz w:val="16"/>
                <w:szCs w:val="16"/>
              </w:rPr>
            </w:pPr>
          </w:p>
        </w:tc>
      </w:tr>
    </w:tbl>
    <w:p>
      <w:pPr>
        <w:pStyle w:val="Text1"/>
        <w:spacing w:before="60" w:after="60"/>
        <w:ind w:left="851"/>
        <w:rPr>
          <w:noProof/>
          <w:color w:val="000000" w:themeColor="text1"/>
          <w:sz w:val="18"/>
          <w:szCs w:val="18"/>
        </w:rPr>
      </w:pPr>
      <w:r>
        <w:rPr>
          <w:b/>
          <w:noProof/>
          <w:color w:val="000000" w:themeColor="text1"/>
          <w:sz w:val="18"/>
          <w:szCs w:val="18"/>
        </w:rPr>
        <w:t>XX</w:t>
      </w:r>
      <w:r>
        <w:rPr>
          <w:noProof/>
          <w:color w:val="000000" w:themeColor="text1"/>
          <w:sz w:val="18"/>
          <w:szCs w:val="18"/>
        </w:rPr>
        <w:t xml:space="preserve"> is the policy area or budget title concerned.</w:t>
      </w:r>
    </w:p>
    <w:p>
      <w:pPr>
        <w:pStyle w:val="Text1"/>
        <w:rPr>
          <w:noProof/>
          <w:color w:val="000000" w:themeColor="text1"/>
          <w:sz w:val="18"/>
          <w:szCs w:val="18"/>
        </w:rPr>
      </w:pPr>
      <w:r>
        <w:rPr>
          <w:noProof/>
          <w:color w:val="000000" w:themeColor="text1"/>
          <w:sz w:val="18"/>
        </w:rPr>
        <w:t>The human resources required will be met by staff from the DG who are already assigned to management of the action and/or have been redeployed within the DG, together if necessary with any additional allocation which may be granted to the managing DG under the annual allocation procedure and in the light of budgetary constraints.</w:t>
      </w:r>
    </w:p>
    <w:p>
      <w:pPr>
        <w:rPr>
          <w:noProof/>
          <w:color w:val="000000" w:themeColor="text1"/>
          <w:sz w:val="20"/>
        </w:rPr>
      </w:pPr>
      <w:r>
        <w:rPr>
          <w:noProof/>
          <w:color w:val="000000" w:themeColor="text1"/>
          <w:sz w:val="20"/>
        </w:rPr>
        <w:t>Description of tasks to be carried out:</w:t>
      </w:r>
    </w:p>
    <w:tbl>
      <w:tblPr>
        <w:tblW w:w="10440" w:type="dxa"/>
        <w:tblInd w:w="-43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3240"/>
        <w:gridCol w:w="7200"/>
      </w:tblGrid>
      <w:tr>
        <w:tc>
          <w:tcPr>
            <w:tcW w:w="3240" w:type="dxa"/>
          </w:tcPr>
          <w:p>
            <w:pPr>
              <w:rPr>
                <w:noProof/>
                <w:color w:val="000000" w:themeColor="text1"/>
                <w:sz w:val="20"/>
              </w:rPr>
            </w:pPr>
            <w:r>
              <w:rPr>
                <w:noProof/>
                <w:color w:val="000000" w:themeColor="text1"/>
                <w:sz w:val="20"/>
              </w:rPr>
              <w:t>Officials and temporary staff</w:t>
            </w:r>
          </w:p>
        </w:tc>
        <w:tc>
          <w:tcPr>
            <w:tcW w:w="7200" w:type="dxa"/>
          </w:tcPr>
          <w:p>
            <w:pPr>
              <w:rPr>
                <w:noProof/>
                <w:color w:val="000000" w:themeColor="text1"/>
                <w:sz w:val="20"/>
              </w:rPr>
            </w:pPr>
            <w:r>
              <w:rPr>
                <w:noProof/>
                <w:color w:val="000000" w:themeColor="text1"/>
                <w:sz w:val="20"/>
              </w:rPr>
              <w:t>Formulating and coordinating with other services the work plan of the Year; drawing up the terms of reference for service and purchase contracts and accompanying the selection process; ensuring the interinstitutional coordination; preparing briefings and speeches for Commissioner and DG; ensuring input for press work; accompanying ex-post evaluation</w:t>
            </w:r>
          </w:p>
        </w:tc>
      </w:tr>
      <w:tr>
        <w:tc>
          <w:tcPr>
            <w:tcW w:w="3240" w:type="dxa"/>
          </w:tcPr>
          <w:p>
            <w:pPr>
              <w:spacing w:before="60" w:after="60"/>
              <w:rPr>
                <w:noProof/>
                <w:color w:val="000000" w:themeColor="text1"/>
                <w:sz w:val="20"/>
              </w:rPr>
            </w:pPr>
            <w:r>
              <w:rPr>
                <w:noProof/>
                <w:color w:val="000000" w:themeColor="text1"/>
                <w:sz w:val="20"/>
              </w:rPr>
              <w:t>External staff</w:t>
            </w:r>
          </w:p>
        </w:tc>
        <w:tc>
          <w:tcPr>
            <w:tcW w:w="7200" w:type="dxa"/>
          </w:tcPr>
          <w:p>
            <w:pPr>
              <w:rPr>
                <w:noProof/>
                <w:color w:val="000000" w:themeColor="text1"/>
                <w:sz w:val="20"/>
              </w:rPr>
            </w:pPr>
          </w:p>
        </w:tc>
      </w:tr>
    </w:tbl>
    <w:p>
      <w:pPr>
        <w:rPr>
          <w:noProof/>
          <w:color w:val="000000" w:themeColor="text1"/>
        </w:rPr>
        <w:sectPr>
          <w:pgSz w:w="11907" w:h="16840"/>
          <w:pgMar w:top="1134" w:right="1418" w:bottom="1134" w:left="1418" w:header="709" w:footer="709" w:gutter="0"/>
          <w:cols w:space="708"/>
          <w:docGrid w:linePitch="360"/>
        </w:sectPr>
      </w:pPr>
    </w:p>
    <w:p>
      <w:pPr>
        <w:pStyle w:val="ManualHeading3"/>
        <w:rPr>
          <w:bCs/>
          <w:noProof/>
          <w:szCs w:val="24"/>
        </w:rPr>
      </w:pPr>
      <w:r>
        <w:t>3.2.4.</w:t>
      </w:r>
      <w:r>
        <w:tab/>
      </w:r>
      <w:r>
        <w:rPr>
          <w:noProof/>
        </w:rPr>
        <w:t xml:space="preserve">Compatibility with the current multiannual financial framework </w:t>
      </w:r>
    </w:p>
    <w:p>
      <w:pPr>
        <w:pStyle w:val="ListDash1"/>
        <w:rPr>
          <w:noProof/>
          <w:color w:val="000000" w:themeColor="text1"/>
        </w:rPr>
      </w:pPr>
      <w:r>
        <w:rPr>
          <w:noProof/>
          <w:color w:val="000000" w:themeColor="text1"/>
        </w:rPr>
        <w:t>X</w:t>
      </w:r>
      <w:r>
        <w:rPr>
          <w:noProof/>
          <w:color w:val="000000" w:themeColor="text1"/>
        </w:rPr>
        <w:tab/>
        <w:t>The proposal/initiative is compatible the current multiannual financial framework.</w:t>
      </w:r>
    </w:p>
    <w:p>
      <w:pPr>
        <w:pStyle w:val="ListDash1"/>
        <w:rPr>
          <w:noProof/>
          <w:color w:val="000000" w:themeColor="text1"/>
        </w:rPr>
      </w:pPr>
      <w:r>
        <w:rPr>
          <w:noProof/>
          <w:color w:val="000000" w:themeColor="text1"/>
        </w:rPr>
        <w:sym w:font="Wingdings" w:char="F0A8"/>
      </w:r>
      <w:r>
        <w:rPr>
          <w:noProof/>
          <w:color w:val="000000" w:themeColor="text1"/>
        </w:rPr>
        <w:tab/>
        <w:t>The proposal/initiative will entail reprogramming of the relevant heading in the multiannual financial framework.</w:t>
      </w:r>
    </w:p>
    <w:p>
      <w:pPr>
        <w:pStyle w:val="Text1"/>
        <w:pBdr>
          <w:top w:val="single" w:sz="4" w:space="1" w:color="auto"/>
          <w:left w:val="single" w:sz="4" w:space="4" w:color="auto"/>
          <w:bottom w:val="single" w:sz="4" w:space="1" w:color="auto"/>
          <w:right w:val="single" w:sz="4" w:space="4" w:color="auto"/>
        </w:pBdr>
        <w:rPr>
          <w:noProof/>
          <w:color w:val="000000" w:themeColor="text1"/>
          <w:sz w:val="20"/>
        </w:rPr>
      </w:pPr>
      <w:r>
        <w:rPr>
          <w:noProof/>
          <w:color w:val="000000" w:themeColor="text1"/>
          <w:sz w:val="20"/>
        </w:rPr>
        <w:t>Explain what reprogramming is required, specifying the budget lines concerned and the corresponding amounts.</w:t>
      </w:r>
    </w:p>
    <w:p>
      <w:pPr>
        <w:pStyle w:val="ListDash1"/>
        <w:rPr>
          <w:noProof/>
          <w:color w:val="000000" w:themeColor="text1"/>
        </w:rPr>
      </w:pPr>
      <w:r>
        <w:rPr>
          <w:noProof/>
          <w:color w:val="000000" w:themeColor="text1"/>
        </w:rPr>
        <w:sym w:font="Wingdings" w:char="F0A8"/>
      </w:r>
      <w:r>
        <w:rPr>
          <w:noProof/>
          <w:color w:val="000000" w:themeColor="text1"/>
        </w:rPr>
        <w:tab/>
        <w:t>The proposal/initiative requires application of the flexibility instrument or revision of the multiannual financial framework.</w:t>
      </w:r>
    </w:p>
    <w:p>
      <w:pPr>
        <w:pStyle w:val="Text1"/>
        <w:pBdr>
          <w:top w:val="single" w:sz="4" w:space="1" w:color="auto"/>
          <w:left w:val="single" w:sz="4" w:space="4" w:color="auto"/>
          <w:bottom w:val="single" w:sz="4" w:space="1" w:color="auto"/>
          <w:right w:val="single" w:sz="4" w:space="4" w:color="auto"/>
        </w:pBdr>
        <w:rPr>
          <w:noProof/>
          <w:color w:val="000000" w:themeColor="text1"/>
          <w:sz w:val="20"/>
        </w:rPr>
      </w:pPr>
      <w:r>
        <w:rPr>
          <w:noProof/>
          <w:color w:val="000000" w:themeColor="text1"/>
          <w:sz w:val="20"/>
        </w:rPr>
        <w:t>Explain what is required, specifying the headings and budget lines concerned and the corresponding amounts.</w:t>
      </w:r>
    </w:p>
    <w:p>
      <w:pPr>
        <w:pStyle w:val="ManualHeading3"/>
        <w:rPr>
          <w:bCs/>
          <w:noProof/>
          <w:szCs w:val="24"/>
        </w:rPr>
      </w:pPr>
      <w:r>
        <w:t>3.2.5.</w:t>
      </w:r>
      <w:r>
        <w:tab/>
      </w:r>
      <w:r>
        <w:rPr>
          <w:noProof/>
        </w:rPr>
        <w:t xml:space="preserve">Third-party contributions </w:t>
      </w:r>
    </w:p>
    <w:p>
      <w:pPr>
        <w:pStyle w:val="ListDash1"/>
        <w:rPr>
          <w:noProof/>
          <w:color w:val="000000" w:themeColor="text1"/>
        </w:rPr>
      </w:pPr>
      <w:r>
        <w:rPr>
          <w:noProof/>
          <w:color w:val="000000" w:themeColor="text1"/>
        </w:rPr>
        <w:t xml:space="preserve">X The proposal/initiative does not provide for co-financing by third parties. </w:t>
      </w:r>
    </w:p>
    <w:p>
      <w:pPr>
        <w:pStyle w:val="ListDash1"/>
        <w:rPr>
          <w:noProof/>
          <w:color w:val="000000" w:themeColor="text1"/>
        </w:rPr>
      </w:pPr>
      <w:r>
        <w:rPr>
          <w:noProof/>
          <w:color w:val="000000" w:themeColor="text1"/>
        </w:rPr>
        <w:t>The proposal/initiative provides for the co-financing estimated below:</w:t>
      </w:r>
    </w:p>
    <w:p>
      <w:pPr>
        <w:jc w:val="right"/>
        <w:rPr>
          <w:noProof/>
          <w:color w:val="000000" w:themeColor="text1"/>
          <w:sz w:val="20"/>
        </w:rPr>
      </w:pPr>
      <w:r>
        <w:rPr>
          <w:noProof/>
          <w:color w:val="000000" w:themeColor="text1"/>
          <w:sz w:val="20"/>
        </w:rPr>
        <w:t>Appropriations in EUR million (to three decimal places)</w:t>
      </w:r>
    </w:p>
    <w:tbl>
      <w:tblPr>
        <w:tblW w:w="10246" w:type="dxa"/>
        <w:tblInd w:w="-43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40"/>
        <w:gridCol w:w="964"/>
        <w:gridCol w:w="964"/>
        <w:gridCol w:w="964"/>
        <w:gridCol w:w="964"/>
        <w:gridCol w:w="964"/>
        <w:gridCol w:w="964"/>
        <w:gridCol w:w="964"/>
        <w:gridCol w:w="1158"/>
      </w:tblGrid>
      <w:tr>
        <w:trPr>
          <w:cantSplit/>
        </w:trPr>
        <w:tc>
          <w:tcPr>
            <w:tcW w:w="2340" w:type="dxa"/>
          </w:tcPr>
          <w:p>
            <w:pPr>
              <w:spacing w:before="60" w:after="60"/>
              <w:rPr>
                <w:noProof/>
                <w:color w:val="000000" w:themeColor="text1"/>
                <w:sz w:val="20"/>
              </w:rPr>
            </w:pPr>
          </w:p>
        </w:tc>
        <w:tc>
          <w:tcPr>
            <w:tcW w:w="964"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w:t>
            </w:r>
          </w:p>
        </w:tc>
        <w:tc>
          <w:tcPr>
            <w:tcW w:w="964"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N+1</w:t>
            </w:r>
          </w:p>
        </w:tc>
        <w:tc>
          <w:tcPr>
            <w:tcW w:w="964"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N+2</w:t>
            </w:r>
          </w:p>
        </w:tc>
        <w:tc>
          <w:tcPr>
            <w:tcW w:w="964" w:type="dxa"/>
            <w:vAlign w:val="center"/>
          </w:tcPr>
          <w:p>
            <w:pPr>
              <w:jc w:val="center"/>
              <w:rPr>
                <w:noProof/>
                <w:color w:val="000000" w:themeColor="text1"/>
                <w:sz w:val="20"/>
              </w:rPr>
            </w:pPr>
            <w:r>
              <w:rPr>
                <w:noProof/>
                <w:color w:val="000000" w:themeColor="text1"/>
                <w:sz w:val="20"/>
              </w:rPr>
              <w:t>Year</w:t>
            </w:r>
            <w:r>
              <w:rPr>
                <w:noProof/>
                <w:color w:val="000000" w:themeColor="text1"/>
                <w:sz w:val="22"/>
              </w:rPr>
              <w:br/>
            </w:r>
            <w:r>
              <w:rPr>
                <w:b/>
                <w:noProof/>
                <w:color w:val="000000" w:themeColor="text1"/>
                <w:sz w:val="20"/>
              </w:rPr>
              <w:t>N+3</w:t>
            </w:r>
          </w:p>
        </w:tc>
        <w:tc>
          <w:tcPr>
            <w:tcW w:w="2892" w:type="dxa"/>
            <w:gridSpan w:val="3"/>
            <w:vAlign w:val="center"/>
          </w:tcPr>
          <w:p>
            <w:pPr>
              <w:jc w:val="center"/>
              <w:rPr>
                <w:b/>
                <w:noProof/>
                <w:color w:val="000000" w:themeColor="text1"/>
                <w:sz w:val="20"/>
              </w:rPr>
            </w:pPr>
            <w:r>
              <w:rPr>
                <w:noProof/>
                <w:color w:val="000000" w:themeColor="text1"/>
                <w:sz w:val="20"/>
              </w:rPr>
              <w:t>Enter as many years as necessary to show the duration of the impact (see point 1.6)</w:t>
            </w:r>
          </w:p>
        </w:tc>
        <w:tc>
          <w:tcPr>
            <w:tcW w:w="1158" w:type="dxa"/>
            <w:vAlign w:val="center"/>
          </w:tcPr>
          <w:p>
            <w:pPr>
              <w:spacing w:before="60" w:after="60"/>
              <w:jc w:val="center"/>
              <w:rPr>
                <w:noProof/>
                <w:color w:val="000000" w:themeColor="text1"/>
                <w:sz w:val="20"/>
              </w:rPr>
            </w:pPr>
            <w:r>
              <w:rPr>
                <w:noProof/>
                <w:color w:val="000000" w:themeColor="text1"/>
                <w:sz w:val="20"/>
              </w:rPr>
              <w:t>Total</w:t>
            </w:r>
          </w:p>
        </w:tc>
      </w:tr>
      <w:tr>
        <w:trPr>
          <w:cantSplit/>
        </w:trPr>
        <w:tc>
          <w:tcPr>
            <w:tcW w:w="2340" w:type="dxa"/>
          </w:tcPr>
          <w:p>
            <w:pPr>
              <w:rPr>
                <w:noProof/>
                <w:color w:val="000000" w:themeColor="text1"/>
                <w:sz w:val="22"/>
              </w:rPr>
            </w:pPr>
            <w:r>
              <w:rPr>
                <w:noProof/>
                <w:color w:val="000000" w:themeColor="text1"/>
                <w:sz w:val="20"/>
              </w:rPr>
              <w:t>Specify the co-financing body</w:t>
            </w:r>
            <w:r>
              <w:rPr>
                <w:i/>
                <w:noProof/>
                <w:color w:val="000000" w:themeColor="text1"/>
                <w:sz w:val="20"/>
              </w:rPr>
              <w:t xml:space="preserve"> </w:t>
            </w: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1158" w:type="dxa"/>
            <w:vAlign w:val="center"/>
          </w:tcPr>
          <w:p>
            <w:pPr>
              <w:spacing w:before="60" w:after="60"/>
              <w:jc w:val="center"/>
              <w:rPr>
                <w:noProof/>
                <w:color w:val="000000" w:themeColor="text1"/>
                <w:sz w:val="20"/>
              </w:rPr>
            </w:pPr>
          </w:p>
        </w:tc>
      </w:tr>
      <w:tr>
        <w:trPr>
          <w:cantSplit/>
        </w:trPr>
        <w:tc>
          <w:tcPr>
            <w:tcW w:w="2340" w:type="dxa"/>
          </w:tcPr>
          <w:p>
            <w:pPr>
              <w:spacing w:before="60" w:after="60"/>
              <w:jc w:val="left"/>
              <w:rPr>
                <w:noProof/>
                <w:color w:val="000000" w:themeColor="text1"/>
                <w:sz w:val="20"/>
              </w:rPr>
            </w:pPr>
            <w:r>
              <w:rPr>
                <w:noProof/>
                <w:color w:val="000000" w:themeColor="text1"/>
                <w:sz w:val="20"/>
              </w:rPr>
              <w:t xml:space="preserve">TOTAL appropriations co-financed </w:t>
            </w: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964" w:type="dxa"/>
            <w:vAlign w:val="center"/>
          </w:tcPr>
          <w:p>
            <w:pPr>
              <w:spacing w:before="60" w:after="60"/>
              <w:jc w:val="center"/>
              <w:rPr>
                <w:noProof/>
                <w:color w:val="000000" w:themeColor="text1"/>
                <w:sz w:val="20"/>
              </w:rPr>
            </w:pPr>
          </w:p>
        </w:tc>
        <w:tc>
          <w:tcPr>
            <w:tcW w:w="1158" w:type="dxa"/>
            <w:vAlign w:val="center"/>
          </w:tcPr>
          <w:p>
            <w:pPr>
              <w:spacing w:before="60" w:after="60"/>
              <w:jc w:val="center"/>
              <w:rPr>
                <w:noProof/>
                <w:color w:val="000000" w:themeColor="text1"/>
                <w:sz w:val="20"/>
              </w:rPr>
            </w:pPr>
          </w:p>
        </w:tc>
      </w:tr>
    </w:tbl>
    <w:p>
      <w:pPr>
        <w:rPr>
          <w:noProof/>
          <w:color w:val="000000" w:themeColor="text1"/>
        </w:rPr>
      </w:pPr>
      <w:r>
        <w:rPr>
          <w:noProof/>
          <w:color w:val="000000" w:themeColor="text1"/>
        </w:rPr>
        <w:br/>
      </w:r>
    </w:p>
    <w:p>
      <w:pPr>
        <w:pStyle w:val="ManualHeading2"/>
        <w:rPr>
          <w:bCs/>
          <w:noProof/>
          <w:szCs w:val="24"/>
        </w:rPr>
      </w:pPr>
      <w:r>
        <w:rPr>
          <w:noProof/>
        </w:rPr>
        <w:br w:type="page"/>
      </w:r>
      <w:r>
        <w:t>3.3.</w:t>
      </w:r>
      <w:r>
        <w:tab/>
      </w:r>
      <w:r>
        <w:rPr>
          <w:noProof/>
        </w:rPr>
        <w:t xml:space="preserve">Estimated impact on revenue </w:t>
      </w:r>
    </w:p>
    <w:p>
      <w:pPr>
        <w:pStyle w:val="ListDash1"/>
        <w:rPr>
          <w:noProof/>
          <w:color w:val="000000" w:themeColor="text1"/>
        </w:rPr>
      </w:pPr>
      <w:r>
        <w:rPr>
          <w:noProof/>
          <w:color w:val="000000" w:themeColor="text1"/>
        </w:rPr>
        <w:t>X</w:t>
      </w:r>
      <w:r>
        <w:rPr>
          <w:noProof/>
          <w:color w:val="000000" w:themeColor="text1"/>
        </w:rPr>
        <w:tab/>
        <w:t>The proposal/initiative has no financial impact on revenue.</w:t>
      </w:r>
    </w:p>
    <w:p>
      <w:pPr>
        <w:pStyle w:val="ListDash1"/>
        <w:rPr>
          <w:noProof/>
          <w:color w:val="000000" w:themeColor="text1"/>
        </w:rPr>
      </w:pPr>
      <w:r>
        <w:rPr>
          <w:noProof/>
          <w:color w:val="000000" w:themeColor="text1"/>
        </w:rPr>
        <w:sym w:font="Wingdings" w:char="F0A8"/>
      </w:r>
      <w:r>
        <w:rPr>
          <w:noProof/>
          <w:color w:val="000000" w:themeColor="text1"/>
        </w:rPr>
        <w:tab/>
        <w:t>The proposal/initiative has the following financial impact:</w:t>
      </w:r>
    </w:p>
    <w:p>
      <w:pPr>
        <w:pStyle w:val="ListNumberLevel3"/>
        <w:tabs>
          <w:tab w:val="clear" w:pos="2126"/>
        </w:tabs>
        <w:rPr>
          <w:noProof/>
          <w:color w:val="000000" w:themeColor="text1"/>
        </w:rPr>
      </w:pPr>
      <w:r>
        <w:rPr>
          <w:noProof/>
          <w:color w:val="000000" w:themeColor="text1"/>
        </w:rPr>
        <w:sym w:font="Wingdings" w:char="F0A8"/>
      </w:r>
      <w:r>
        <w:rPr>
          <w:noProof/>
          <w:color w:val="000000" w:themeColor="text1"/>
        </w:rPr>
        <w:tab/>
        <w:t xml:space="preserve">on own resources </w:t>
      </w:r>
    </w:p>
    <w:p>
      <w:pPr>
        <w:pStyle w:val="ListNumberLevel3"/>
        <w:tabs>
          <w:tab w:val="clear" w:pos="2126"/>
        </w:tabs>
        <w:rPr>
          <w:noProof/>
          <w:color w:val="000000" w:themeColor="text1"/>
        </w:rPr>
      </w:pPr>
      <w:r>
        <w:rPr>
          <w:noProof/>
          <w:color w:val="000000" w:themeColor="text1"/>
        </w:rPr>
        <w:sym w:font="Wingdings" w:char="F0A8"/>
      </w:r>
      <w:r>
        <w:rPr>
          <w:noProof/>
          <w:color w:val="000000" w:themeColor="text1"/>
        </w:rPr>
        <w:tab/>
        <w:t xml:space="preserve">on miscellaneous revenue </w:t>
      </w:r>
    </w:p>
    <w:p>
      <w:pPr>
        <w:jc w:val="right"/>
        <w:rPr>
          <w:i/>
          <w:noProof/>
          <w:color w:val="000000" w:themeColor="text1"/>
          <w:sz w:val="20"/>
        </w:rPr>
      </w:pPr>
      <w:r>
        <w:rPr>
          <w:noProof/>
          <w:color w:val="000000" w:themeColor="text1"/>
        </w:rPr>
        <w:t>EUR million (to three decimal places)</w:t>
      </w:r>
    </w:p>
    <w:tbl>
      <w:tblPr>
        <w:tblW w:w="1062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1276"/>
        <w:gridCol w:w="1080"/>
        <w:gridCol w:w="900"/>
        <w:gridCol w:w="900"/>
        <w:gridCol w:w="1080"/>
        <w:gridCol w:w="1080"/>
        <w:gridCol w:w="1080"/>
        <w:gridCol w:w="1080"/>
      </w:tblGrid>
      <w:tr>
        <w:trPr>
          <w:trHeight w:val="388"/>
        </w:trPr>
        <w:tc>
          <w:tcPr>
            <w:tcW w:w="2144" w:type="dxa"/>
            <w:vMerge w:val="restart"/>
            <w:vAlign w:val="center"/>
          </w:tcPr>
          <w:p>
            <w:pPr>
              <w:spacing w:before="40" w:after="40"/>
              <w:rPr>
                <w:noProof/>
                <w:color w:val="000000" w:themeColor="text1"/>
                <w:sz w:val="18"/>
              </w:rPr>
            </w:pPr>
            <w:r>
              <w:rPr>
                <w:noProof/>
                <w:color w:val="000000" w:themeColor="text1"/>
                <w:sz w:val="18"/>
              </w:rPr>
              <w:t>Budget revenue line:</w:t>
            </w:r>
          </w:p>
        </w:tc>
        <w:tc>
          <w:tcPr>
            <w:tcW w:w="1276" w:type="dxa"/>
            <w:vMerge w:val="restart"/>
            <w:vAlign w:val="center"/>
          </w:tcPr>
          <w:p>
            <w:pPr>
              <w:jc w:val="center"/>
              <w:rPr>
                <w:noProof/>
                <w:color w:val="000000" w:themeColor="text1"/>
                <w:sz w:val="18"/>
              </w:rPr>
            </w:pPr>
            <w:r>
              <w:rPr>
                <w:noProof/>
                <w:color w:val="000000" w:themeColor="text1"/>
                <w:sz w:val="18"/>
              </w:rPr>
              <w:t>Appropriations available for the current financial year</w:t>
            </w:r>
          </w:p>
        </w:tc>
        <w:tc>
          <w:tcPr>
            <w:tcW w:w="7200" w:type="dxa"/>
            <w:gridSpan w:val="7"/>
            <w:vAlign w:val="center"/>
          </w:tcPr>
          <w:p>
            <w:pPr>
              <w:jc w:val="center"/>
              <w:rPr>
                <w:noProof/>
                <w:color w:val="000000" w:themeColor="text1"/>
                <w:sz w:val="18"/>
              </w:rPr>
            </w:pPr>
            <w:r>
              <w:rPr>
                <w:noProof/>
                <w:color w:val="000000" w:themeColor="text1"/>
                <w:sz w:val="18"/>
              </w:rPr>
              <w:t>Impact of the proposal/initiative</w:t>
            </w:r>
            <w:r>
              <w:rPr>
                <w:rStyle w:val="FootnoteReference"/>
                <w:noProof/>
                <w:color w:val="000000" w:themeColor="text1"/>
                <w:sz w:val="18"/>
              </w:rPr>
              <w:footnoteReference w:id="42"/>
            </w:r>
          </w:p>
        </w:tc>
      </w:tr>
      <w:tr>
        <w:trPr>
          <w:trHeight w:val="388"/>
        </w:trPr>
        <w:tc>
          <w:tcPr>
            <w:tcW w:w="2144" w:type="dxa"/>
            <w:vMerge/>
          </w:tcPr>
          <w:p>
            <w:pPr>
              <w:spacing w:before="40" w:after="40"/>
              <w:rPr>
                <w:noProof/>
                <w:color w:val="000000" w:themeColor="text1"/>
                <w:sz w:val="18"/>
              </w:rPr>
            </w:pPr>
          </w:p>
        </w:tc>
        <w:tc>
          <w:tcPr>
            <w:tcW w:w="1276" w:type="dxa"/>
            <w:vMerge/>
          </w:tcPr>
          <w:p>
            <w:pPr>
              <w:spacing w:beforeLines="40" w:before="96" w:afterLines="40" w:after="96"/>
              <w:rPr>
                <w:i/>
                <w:noProof/>
                <w:color w:val="000000" w:themeColor="text1"/>
                <w:sz w:val="18"/>
              </w:rPr>
            </w:pPr>
          </w:p>
        </w:tc>
        <w:tc>
          <w:tcPr>
            <w:tcW w:w="1080" w:type="dxa"/>
            <w:vAlign w:val="center"/>
          </w:tcPr>
          <w:p>
            <w:pPr>
              <w:jc w:val="center"/>
              <w:rPr>
                <w:noProof/>
                <w:color w:val="000000" w:themeColor="text1"/>
                <w:sz w:val="18"/>
              </w:rPr>
            </w:pPr>
            <w:r>
              <w:rPr>
                <w:noProof/>
                <w:color w:val="000000" w:themeColor="text1"/>
                <w:sz w:val="18"/>
              </w:rPr>
              <w:t>Year</w:t>
            </w:r>
            <w:r>
              <w:rPr>
                <w:noProof/>
                <w:color w:val="000000" w:themeColor="text1"/>
                <w:sz w:val="22"/>
              </w:rPr>
              <w:br/>
            </w:r>
            <w:r>
              <w:rPr>
                <w:b/>
                <w:noProof/>
                <w:color w:val="000000" w:themeColor="text1"/>
                <w:sz w:val="18"/>
              </w:rPr>
              <w:t>N</w:t>
            </w:r>
          </w:p>
        </w:tc>
        <w:tc>
          <w:tcPr>
            <w:tcW w:w="900" w:type="dxa"/>
            <w:vAlign w:val="center"/>
          </w:tcPr>
          <w:p>
            <w:pPr>
              <w:jc w:val="center"/>
              <w:rPr>
                <w:noProof/>
                <w:color w:val="000000" w:themeColor="text1"/>
                <w:sz w:val="18"/>
              </w:rPr>
            </w:pPr>
            <w:r>
              <w:rPr>
                <w:noProof/>
                <w:color w:val="000000" w:themeColor="text1"/>
                <w:sz w:val="18"/>
              </w:rPr>
              <w:t>Year</w:t>
            </w:r>
            <w:r>
              <w:rPr>
                <w:noProof/>
                <w:color w:val="000000" w:themeColor="text1"/>
                <w:sz w:val="22"/>
              </w:rPr>
              <w:br/>
            </w:r>
            <w:r>
              <w:rPr>
                <w:b/>
                <w:noProof/>
                <w:color w:val="000000" w:themeColor="text1"/>
                <w:sz w:val="18"/>
              </w:rPr>
              <w:t>N+1</w:t>
            </w:r>
          </w:p>
        </w:tc>
        <w:tc>
          <w:tcPr>
            <w:tcW w:w="900" w:type="dxa"/>
            <w:vAlign w:val="center"/>
          </w:tcPr>
          <w:p>
            <w:pPr>
              <w:jc w:val="center"/>
              <w:rPr>
                <w:noProof/>
                <w:color w:val="000000" w:themeColor="text1"/>
                <w:sz w:val="18"/>
              </w:rPr>
            </w:pPr>
            <w:r>
              <w:rPr>
                <w:noProof/>
                <w:color w:val="000000" w:themeColor="text1"/>
                <w:sz w:val="18"/>
              </w:rPr>
              <w:t>Year</w:t>
            </w:r>
            <w:r>
              <w:rPr>
                <w:noProof/>
                <w:color w:val="000000" w:themeColor="text1"/>
                <w:sz w:val="22"/>
              </w:rPr>
              <w:br/>
            </w:r>
            <w:r>
              <w:rPr>
                <w:b/>
                <w:noProof/>
                <w:color w:val="000000" w:themeColor="text1"/>
                <w:sz w:val="18"/>
              </w:rPr>
              <w:t>N+2</w:t>
            </w:r>
          </w:p>
        </w:tc>
        <w:tc>
          <w:tcPr>
            <w:tcW w:w="1080" w:type="dxa"/>
            <w:vAlign w:val="center"/>
          </w:tcPr>
          <w:p>
            <w:pPr>
              <w:jc w:val="center"/>
              <w:rPr>
                <w:noProof/>
                <w:color w:val="000000" w:themeColor="text1"/>
                <w:sz w:val="18"/>
              </w:rPr>
            </w:pPr>
            <w:r>
              <w:rPr>
                <w:noProof/>
                <w:color w:val="000000" w:themeColor="text1"/>
                <w:sz w:val="18"/>
              </w:rPr>
              <w:t>Year</w:t>
            </w:r>
            <w:r>
              <w:rPr>
                <w:noProof/>
                <w:color w:val="000000" w:themeColor="text1"/>
                <w:sz w:val="22"/>
              </w:rPr>
              <w:br/>
            </w:r>
            <w:r>
              <w:rPr>
                <w:b/>
                <w:noProof/>
                <w:color w:val="000000" w:themeColor="text1"/>
                <w:sz w:val="18"/>
              </w:rPr>
              <w:t>N+3</w:t>
            </w:r>
          </w:p>
        </w:tc>
        <w:tc>
          <w:tcPr>
            <w:tcW w:w="3240" w:type="dxa"/>
            <w:gridSpan w:val="3"/>
            <w:vAlign w:val="center"/>
          </w:tcPr>
          <w:p>
            <w:pPr>
              <w:jc w:val="center"/>
              <w:rPr>
                <w:b/>
                <w:noProof/>
                <w:color w:val="000000" w:themeColor="text1"/>
                <w:sz w:val="18"/>
              </w:rPr>
            </w:pPr>
            <w:r>
              <w:rPr>
                <w:noProof/>
                <w:color w:val="000000" w:themeColor="text1"/>
                <w:sz w:val="18"/>
              </w:rPr>
              <w:t>Enter as many years as necessary to show the duration of the impact (see point 1.6)</w:t>
            </w:r>
          </w:p>
        </w:tc>
      </w:tr>
      <w:tr>
        <w:trPr>
          <w:trHeight w:val="388"/>
        </w:trPr>
        <w:tc>
          <w:tcPr>
            <w:tcW w:w="2144" w:type="dxa"/>
            <w:vAlign w:val="center"/>
          </w:tcPr>
          <w:p>
            <w:pPr>
              <w:spacing w:before="40" w:after="40"/>
              <w:rPr>
                <w:noProof/>
                <w:color w:val="000000" w:themeColor="text1"/>
                <w:sz w:val="18"/>
              </w:rPr>
            </w:pPr>
            <w:r>
              <w:rPr>
                <w:noProof/>
                <w:color w:val="000000" w:themeColor="text1"/>
                <w:sz w:val="18"/>
              </w:rPr>
              <w:t>Article ………….</w:t>
            </w:r>
          </w:p>
        </w:tc>
        <w:tc>
          <w:tcPr>
            <w:tcW w:w="1276" w:type="dxa"/>
          </w:tcPr>
          <w:p>
            <w:pPr>
              <w:spacing w:beforeLines="40" w:before="96" w:afterLines="40" w:after="96"/>
              <w:jc w:val="center"/>
              <w:rPr>
                <w:i/>
                <w:noProof/>
                <w:color w:val="000000" w:themeColor="text1"/>
                <w:sz w:val="18"/>
              </w:rPr>
            </w:pPr>
          </w:p>
        </w:tc>
        <w:tc>
          <w:tcPr>
            <w:tcW w:w="1080" w:type="dxa"/>
          </w:tcPr>
          <w:p>
            <w:pPr>
              <w:spacing w:beforeLines="40" w:before="96" w:afterLines="40" w:after="96"/>
              <w:jc w:val="center"/>
              <w:rPr>
                <w:noProof/>
                <w:color w:val="000000" w:themeColor="text1"/>
                <w:sz w:val="18"/>
              </w:rPr>
            </w:pPr>
          </w:p>
        </w:tc>
        <w:tc>
          <w:tcPr>
            <w:tcW w:w="900" w:type="dxa"/>
          </w:tcPr>
          <w:p>
            <w:pPr>
              <w:spacing w:beforeLines="40" w:before="96" w:afterLines="40" w:after="96"/>
              <w:jc w:val="center"/>
              <w:rPr>
                <w:noProof/>
                <w:color w:val="000000" w:themeColor="text1"/>
                <w:sz w:val="18"/>
              </w:rPr>
            </w:pPr>
          </w:p>
        </w:tc>
        <w:tc>
          <w:tcPr>
            <w:tcW w:w="900" w:type="dxa"/>
          </w:tcPr>
          <w:p>
            <w:pPr>
              <w:spacing w:beforeLines="40" w:before="96" w:afterLines="40" w:after="96"/>
              <w:jc w:val="center"/>
              <w:rPr>
                <w:noProof/>
                <w:color w:val="000000" w:themeColor="text1"/>
                <w:sz w:val="18"/>
              </w:rPr>
            </w:pPr>
          </w:p>
        </w:tc>
        <w:tc>
          <w:tcPr>
            <w:tcW w:w="1080" w:type="dxa"/>
          </w:tcPr>
          <w:p>
            <w:pPr>
              <w:spacing w:beforeLines="40" w:before="96" w:afterLines="40" w:after="96"/>
              <w:jc w:val="center"/>
              <w:rPr>
                <w:noProof/>
                <w:color w:val="000000" w:themeColor="text1"/>
                <w:sz w:val="18"/>
              </w:rPr>
            </w:pPr>
          </w:p>
        </w:tc>
        <w:tc>
          <w:tcPr>
            <w:tcW w:w="1080" w:type="dxa"/>
          </w:tcPr>
          <w:p>
            <w:pPr>
              <w:spacing w:beforeLines="40" w:before="96" w:afterLines="40" w:after="96"/>
              <w:jc w:val="center"/>
              <w:rPr>
                <w:noProof/>
                <w:color w:val="000000" w:themeColor="text1"/>
                <w:sz w:val="18"/>
              </w:rPr>
            </w:pPr>
          </w:p>
        </w:tc>
        <w:tc>
          <w:tcPr>
            <w:tcW w:w="1080" w:type="dxa"/>
          </w:tcPr>
          <w:p>
            <w:pPr>
              <w:spacing w:beforeLines="40" w:before="96" w:afterLines="40" w:after="96"/>
              <w:jc w:val="center"/>
              <w:rPr>
                <w:noProof/>
                <w:color w:val="000000" w:themeColor="text1"/>
                <w:sz w:val="18"/>
              </w:rPr>
            </w:pPr>
          </w:p>
        </w:tc>
        <w:tc>
          <w:tcPr>
            <w:tcW w:w="1080" w:type="dxa"/>
          </w:tcPr>
          <w:p>
            <w:pPr>
              <w:spacing w:beforeLines="40" w:before="96" w:afterLines="40" w:after="96"/>
              <w:jc w:val="center"/>
              <w:rPr>
                <w:noProof/>
                <w:color w:val="000000" w:themeColor="text1"/>
                <w:sz w:val="18"/>
              </w:rPr>
            </w:pPr>
          </w:p>
        </w:tc>
      </w:tr>
    </w:tbl>
    <w:p>
      <w:pPr>
        <w:pStyle w:val="Text1"/>
        <w:rPr>
          <w:noProof/>
          <w:color w:val="000000" w:themeColor="text1"/>
          <w:sz w:val="20"/>
        </w:rPr>
      </w:pPr>
      <w:r>
        <w:rPr>
          <w:noProof/>
          <w:color w:val="000000" w:themeColor="text1"/>
          <w:sz w:val="20"/>
        </w:rPr>
        <w:t>For miscellaneous ‘assigned’ revenue, specify the budget expenditure line(s) affected.</w:t>
      </w:r>
    </w:p>
    <w:p>
      <w:pPr>
        <w:pStyle w:val="Text1"/>
        <w:pBdr>
          <w:top w:val="single" w:sz="4" w:space="1" w:color="auto"/>
          <w:left w:val="single" w:sz="4" w:space="4" w:color="auto"/>
          <w:bottom w:val="single" w:sz="4" w:space="1" w:color="auto"/>
          <w:right w:val="single" w:sz="4" w:space="4" w:color="auto"/>
        </w:pBdr>
        <w:rPr>
          <w:noProof/>
          <w:color w:val="000000" w:themeColor="text1"/>
        </w:rPr>
      </w:pPr>
    </w:p>
    <w:p>
      <w:pPr>
        <w:pStyle w:val="Text1"/>
        <w:rPr>
          <w:noProof/>
          <w:color w:val="000000" w:themeColor="text1"/>
          <w:sz w:val="20"/>
        </w:rPr>
      </w:pPr>
      <w:r>
        <w:rPr>
          <w:noProof/>
          <w:color w:val="000000" w:themeColor="text1"/>
          <w:sz w:val="20"/>
        </w:rPr>
        <w:t>Specify the method for calculating the impact on revenue.</w:t>
      </w:r>
    </w:p>
    <w:p>
      <w:pPr>
        <w:pStyle w:val="Text1"/>
        <w:pBdr>
          <w:top w:val="single" w:sz="4" w:space="1" w:color="auto"/>
          <w:left w:val="single" w:sz="4" w:space="4" w:color="auto"/>
          <w:bottom w:val="single" w:sz="4" w:space="1" w:color="auto"/>
          <w:right w:val="single" w:sz="4" w:space="4" w:color="auto"/>
        </w:pBdr>
        <w:rPr>
          <w:noProof/>
          <w:color w:val="000000" w:themeColor="text1"/>
        </w:rPr>
      </w:pPr>
    </w:p>
    <w:p>
      <w:pPr>
        <w:rPr>
          <w:noProof/>
        </w:rPr>
      </w:pPr>
    </w:p>
    <w:p>
      <w:pPr>
        <w:rPr>
          <w:noProof/>
          <w:color w:val="000000" w:themeColor="text1"/>
        </w:rPr>
      </w:pPr>
    </w:p>
    <w:sectPr>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15</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27</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Landscap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32</w:t>
    </w:r>
    <w:r>
      <w:fldChar w:fldCharType="end"/>
    </w:r>
    <w: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EN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Resolution of the Council of 16 November 2007 on a European Agenda for Culture (2007/C 287/01) OJ C 287, 29.11.2007, p. 1.</w:t>
      </w:r>
    </w:p>
  </w:footnote>
  <w:footnote w:id="2">
    <w:p>
      <w:pPr>
        <w:pStyle w:val="FootnoteText"/>
      </w:pPr>
      <w:r>
        <w:rPr>
          <w:rStyle w:val="FootnoteReference"/>
        </w:rPr>
        <w:footnoteRef/>
      </w:r>
      <w:r>
        <w:tab/>
        <w:t>Conclusions of the Council and of the Representatives of the Governments of the Member States, meeting within the Council, on a Work Plan for Culture 2015-2018 (2014/C/463/02)</w:t>
      </w:r>
    </w:p>
  </w:footnote>
  <w:footnote w:id="3">
    <w:p>
      <w:pPr>
        <w:pStyle w:val="FootnoteText"/>
      </w:pPr>
      <w:r>
        <w:rPr>
          <w:rStyle w:val="FootnoteReference"/>
        </w:rPr>
        <w:footnoteRef/>
      </w:r>
      <w:r>
        <w:tab/>
        <w:t>Council conclusions of 21 May 2014 on cultural heritage as a strategic resource for a sustainable Europe (2014/C 183/08) OJ C 183, 14.6.2014, p. 36.</w:t>
      </w:r>
    </w:p>
  </w:footnote>
  <w:footnote w:id="4">
    <w:p>
      <w:pPr>
        <w:pStyle w:val="FootnoteText"/>
      </w:pPr>
      <w:r>
        <w:rPr>
          <w:rStyle w:val="FootnoteReference"/>
        </w:rPr>
        <w:footnoteRef/>
      </w:r>
      <w:r>
        <w:tab/>
        <w:t>Communication from the Commission to the European Parliament, the Council, the European Social and Economic Committee and the Committee of the Regions of 22 July 2014 Towards an integrated approach to cultural heritage for Europe COM(2014) 477 final.</w:t>
      </w:r>
    </w:p>
  </w:footnote>
  <w:footnote w:id="5">
    <w:p>
      <w:pPr>
        <w:pStyle w:val="FootnoteText"/>
      </w:pPr>
      <w:r>
        <w:rPr>
          <w:rStyle w:val="FootnoteReference"/>
        </w:rPr>
        <w:footnoteRef/>
      </w:r>
      <w:r>
        <w:tab/>
        <w:t>Opinion of the European Committee of the Regions — Towards an integrated approach to cultural heritage for Europe (2015/C 195/04) OJ C 195, 12.6.2015, p. 22.</w:t>
      </w:r>
    </w:p>
  </w:footnote>
  <w:footnote w:id="6">
    <w:p>
      <w:pPr>
        <w:pStyle w:val="FootnoteText"/>
      </w:pPr>
      <w:r>
        <w:rPr>
          <w:rStyle w:val="FootnoteReference"/>
        </w:rPr>
        <w:footnoteRef/>
      </w:r>
      <w:r>
        <w:tab/>
        <w:t>European Parliament resolution of 8 September 2015 Towards an integrated approach to cultural heritage for Europe (2014/2149(INI)) P8_TA(2015)0293</w:t>
      </w:r>
    </w:p>
  </w:footnote>
  <w:footnote w:id="7">
    <w:p>
      <w:pPr>
        <w:pStyle w:val="FootnoteText"/>
      </w:pPr>
      <w:r>
        <w:rPr>
          <w:rStyle w:val="FootnoteReference"/>
        </w:rPr>
        <w:footnoteRef/>
      </w:r>
      <w:r>
        <w:tab/>
        <w:t>Council conclusions on participatory governance of cultural heritage (2014/C 463/01) OJ C 463, 23.12.2014, p. 1</w:t>
      </w:r>
    </w:p>
  </w:footnote>
  <w:footnote w:id="8">
    <w:p>
      <w:pPr>
        <w:pStyle w:val="FootnoteText"/>
      </w:pPr>
      <w:r>
        <w:rPr>
          <w:rStyle w:val="FootnoteReference"/>
        </w:rPr>
        <w:footnoteRef/>
      </w:r>
      <w:r>
        <w:tab/>
        <w:t>As highlighted in the Joint Communication of the High Representative of the Union for Foreign Affairs and Security Policy and the Commission, "Towards an EU strategy for international cultural relations", JOIN(2016) 29 final</w:t>
      </w:r>
    </w:p>
  </w:footnote>
  <w:footnote w:id="9">
    <w:p>
      <w:pPr>
        <w:pStyle w:val="FootnoteText"/>
      </w:pPr>
      <w:r>
        <w:rPr>
          <w:rStyle w:val="FootnoteReference"/>
        </w:rPr>
        <w:footnoteRef/>
      </w:r>
      <w:r>
        <w:tab/>
        <w:t xml:space="preserve">An alliance bringing together networks and organisations in the field, coordinated by Europa Nostra. Alliance 3.3 refers to Article 3(3) of the Treaty on European Union (TEU) </w:t>
      </w:r>
    </w:p>
  </w:footnote>
  <w:footnote w:id="10">
    <w:p>
      <w:pPr>
        <w:pStyle w:val="FootnoteText"/>
      </w:pPr>
      <w:r>
        <w:rPr>
          <w:rStyle w:val="FootnoteReference"/>
        </w:rPr>
        <w:footnoteRef/>
      </w:r>
      <w:r>
        <w:tab/>
      </w:r>
      <w:hyperlink r:id="rId1" w:history="1">
        <w:r>
          <w:rPr>
            <w:rStyle w:val="Hyperlink"/>
          </w:rPr>
          <w:t>http://www.sharingheritage.de/en/main/</w:t>
        </w:r>
      </w:hyperlink>
    </w:p>
  </w:footnote>
  <w:footnote w:id="11">
    <w:p>
      <w:pPr>
        <w:pStyle w:val="FootnoteText"/>
      </w:pPr>
      <w:r>
        <w:rPr>
          <w:rStyle w:val="FootnoteReference"/>
        </w:rPr>
        <w:footnoteRef/>
      </w:r>
      <w:r>
        <w:tab/>
      </w:r>
      <w:hyperlink r:id="rId2" w:history="1">
        <w:r>
          <w:rPr>
            <w:rStyle w:val="Hyperlink0"/>
            <w:lang w:val="en-GB"/>
          </w:rPr>
          <w:t>http://ec.europa.eu/culture/news/2015/0612-cultural-heritage-counts_en.htm</w:t>
        </w:r>
      </w:hyperlink>
      <w:r>
        <w:t>.</w:t>
      </w:r>
    </w:p>
  </w:footnote>
  <w:footnote w:id="12">
    <w:p>
      <w:pPr>
        <w:pStyle w:val="FootnoteText"/>
      </w:pPr>
      <w:r>
        <w:rPr>
          <w:rStyle w:val="FootnoteReference"/>
        </w:rPr>
        <w:footnoteRef/>
      </w:r>
      <w:r>
        <w:tab/>
      </w:r>
      <w:hyperlink r:id="rId3" w:history="1">
        <w:r>
          <w:rPr>
            <w:rStyle w:val="Hyperlink0"/>
            <w:lang w:val="en-GB"/>
          </w:rPr>
          <w:t>http://bookshop.europa.eu/en/getting-cultural-heritage-to-work-for-europe-pbKI0  115128/</w:t>
        </w:r>
      </w:hyperlink>
      <w:r>
        <w:t>.</w:t>
      </w:r>
    </w:p>
  </w:footnote>
  <w:footnote w:id="13">
    <w:p>
      <w:pPr>
        <w:pStyle w:val="FootnoteText"/>
      </w:pPr>
      <w:r>
        <w:rPr>
          <w:rStyle w:val="FootnoteReference"/>
        </w:rPr>
        <w:footnoteRef/>
      </w:r>
      <w:r>
        <w:tab/>
      </w:r>
      <w:hyperlink r:id="rId4" w:history="1">
        <w:r>
          <w:rPr>
            <w:rStyle w:val="Hyperlink0"/>
            <w:lang w:val="en-GB"/>
          </w:rPr>
          <w:t>http://www.jpi-culturalheritage.eu/wp-content/uploads/SRA-2014-06.pdf</w:t>
        </w:r>
      </w:hyperlink>
      <w:r>
        <w:t>.</w:t>
      </w:r>
    </w:p>
  </w:footnote>
  <w:footnote w:id="14">
    <w:p>
      <w:pPr>
        <w:pStyle w:val="FootnoteText"/>
        <w:rPr>
          <w:lang w:val="hu-HU"/>
        </w:rPr>
      </w:pPr>
      <w:r>
        <w:rPr>
          <w:rStyle w:val="FootnoteReference"/>
        </w:rPr>
        <w:footnoteRef/>
      </w:r>
      <w:r>
        <w:tab/>
      </w:r>
      <w:hyperlink r:id="rId5" w:history="1">
        <w:r>
          <w:rPr>
            <w:rStyle w:val="Hyperlink"/>
            <w:lang w:val="hu-HU"/>
          </w:rPr>
          <w:t>http://www.culturalbase.eu</w:t>
        </w:r>
      </w:hyperlink>
    </w:p>
  </w:footnote>
  <w:footnote w:id="15">
    <w:p>
      <w:pPr>
        <w:pStyle w:val="FootnoteText"/>
      </w:pPr>
      <w:r>
        <w:rPr>
          <w:rStyle w:val="FootnoteReference"/>
        </w:rPr>
        <w:footnoteRef/>
      </w:r>
      <w:r>
        <w:tab/>
        <w:t xml:space="preserve">ESFRI, Strategy Report on Research Infrastructures, Roadmap 2016. </w:t>
      </w:r>
    </w:p>
  </w:footnote>
  <w:footnote w:id="16">
    <w:p>
      <w:pPr>
        <w:pStyle w:val="FootnoteText"/>
      </w:pPr>
      <w:r>
        <w:rPr>
          <w:rStyle w:val="FootnoteReference"/>
        </w:rPr>
        <w:footnoteRef/>
      </w:r>
      <w:r>
        <w:tab/>
        <w:t>OJ C , , p. .</w:t>
      </w:r>
    </w:p>
  </w:footnote>
  <w:footnote w:id="17">
    <w:p>
      <w:pPr>
        <w:pStyle w:val="FootnoteText"/>
      </w:pPr>
      <w:r>
        <w:rPr>
          <w:rStyle w:val="FootnoteReference"/>
        </w:rPr>
        <w:footnoteRef/>
      </w:r>
      <w:r>
        <w:tab/>
        <w:t>Communication from the Commission to the European Parliament, the Council, the European Social and Economic Committee and the Committee of the Regions of 22 July 2014 Towards an integrated approach to cultural heritage for Europe COM(2014) 477 final.</w:t>
      </w:r>
    </w:p>
  </w:footnote>
  <w:footnote w:id="18">
    <w:p>
      <w:pPr>
        <w:pStyle w:val="FootnoteText"/>
      </w:pPr>
      <w:r>
        <w:rPr>
          <w:rStyle w:val="FootnoteReference"/>
        </w:rPr>
        <w:footnoteRef/>
      </w:r>
      <w:r>
        <w:rPr>
          <w:rFonts w:eastAsia="Arial Unicode MS" w:cs="Arial Unicode MS"/>
        </w:rPr>
        <w:tab/>
        <w:t>Council conclusions of 21 May 2014 on cultural heritage as a strategic resource for a sustainable Europe (2014/C 183/08) OJ C 183, 14.6.2014, p. 36.</w:t>
      </w:r>
    </w:p>
  </w:footnote>
  <w:footnote w:id="19">
    <w:p>
      <w:pPr>
        <w:pStyle w:val="FootnoteText"/>
      </w:pPr>
      <w:r>
        <w:rPr>
          <w:rStyle w:val="FootnoteReference"/>
        </w:rPr>
        <w:footnoteRef/>
      </w:r>
      <w:r>
        <w:rPr>
          <w:rFonts w:eastAsia="Arial Unicode MS" w:cs="Arial Unicode MS"/>
        </w:rPr>
        <w:tab/>
        <w:t>Resolution of the Council of 16 November 2007 on a European Agenda for Culture (2007/C 287/01) OJ C 287, 29.11.2007, p. 1.</w:t>
      </w:r>
    </w:p>
  </w:footnote>
  <w:footnote w:id="20">
    <w:p>
      <w:pPr>
        <w:pStyle w:val="FootnoteText"/>
      </w:pPr>
      <w:r>
        <w:rPr>
          <w:rStyle w:val="FootnoteReference"/>
        </w:rPr>
        <w:footnoteRef/>
      </w:r>
      <w:r>
        <w:rPr>
          <w:rFonts w:eastAsia="Arial Unicode MS" w:cs="Arial Unicode MS"/>
        </w:rPr>
        <w:tab/>
        <w:t>Conclusions of the Council and of the Representatives of the Governments of the Member States, meeting within the Council, on a Work Plan for Culture (2015-2018) (2014/C 463/02) OJ C 463, 23.12.2014, p. 4.</w:t>
      </w:r>
    </w:p>
  </w:footnote>
  <w:footnote w:id="21">
    <w:p>
      <w:pPr>
        <w:pStyle w:val="FootnoteText"/>
      </w:pPr>
      <w:r>
        <w:rPr>
          <w:rStyle w:val="FootnoteReference"/>
        </w:rPr>
        <w:footnoteRef/>
      </w:r>
      <w:r>
        <w:tab/>
        <w:t>Convention on the Protection and Promotion of the Diversity of Cultural Expressions 2005, Paris, 20 October 2005</w:t>
      </w:r>
    </w:p>
  </w:footnote>
  <w:footnote w:id="22">
    <w:p>
      <w:pPr>
        <w:pStyle w:val="FootnoteText"/>
      </w:pPr>
      <w:r>
        <w:rPr>
          <w:rStyle w:val="FootnoteReference"/>
        </w:rPr>
        <w:footnoteRef/>
      </w:r>
      <w:r>
        <w:tab/>
        <w:t>United Nations Resolution adopted by the General Assembly on 25 September 2015 Transforming our world: the 2030 Agenda for Sustainable Development</w:t>
      </w:r>
    </w:p>
  </w:footnote>
  <w:footnote w:id="23">
    <w:p>
      <w:pPr>
        <w:pStyle w:val="FootnoteText"/>
      </w:pPr>
      <w:r>
        <w:rPr>
          <w:rStyle w:val="FootnoteReference"/>
        </w:rPr>
        <w:footnoteRef/>
      </w:r>
      <w:r>
        <w:tab/>
        <w:t>Council conclusions on participatory governance of cultural heritage (2014/C 463/01) OJ C 463, 23.12.2014, p. 1</w:t>
      </w:r>
    </w:p>
  </w:footnote>
  <w:footnote w:id="24">
    <w:p>
      <w:pPr>
        <w:pStyle w:val="FootnoteText"/>
      </w:pPr>
      <w:r>
        <w:rPr>
          <w:rStyle w:val="FootnoteReference"/>
        </w:rPr>
        <w:footnoteRef/>
      </w:r>
      <w:r>
        <w:rPr>
          <w:rFonts w:eastAsia="Arial Unicode MS" w:cs="Arial Unicode MS"/>
        </w:rPr>
        <w:tab/>
        <w:t>European Parliament resolution of 8 September 2015 towards an integrated approach to cultural heritage for Europe (2014/2149(INI)) P8_TA(2015)0293.</w:t>
      </w:r>
    </w:p>
  </w:footnote>
  <w:footnote w:id="25">
    <w:p>
      <w:pPr>
        <w:pStyle w:val="FootnoteText"/>
      </w:pPr>
      <w:r>
        <w:rPr>
          <w:rStyle w:val="FootnoteReference"/>
        </w:rPr>
        <w:footnoteRef/>
      </w:r>
      <w:r>
        <w:tab/>
        <w:t>Opinion of the European Committee of the Regions — Towards an integrated approach to cultural heritage for Europe (2015/C 195/04) OJ C 195, 12.6.2015, p. 22.</w:t>
      </w:r>
    </w:p>
  </w:footnote>
  <w:footnote w:id="26">
    <w:p>
      <w:pPr>
        <w:pStyle w:val="FootnoteText"/>
      </w:pPr>
      <w:r>
        <w:rPr>
          <w:rStyle w:val="FootnoteReference"/>
        </w:rPr>
        <w:footnoteRef/>
      </w:r>
      <w:r>
        <w:tab/>
        <w:t>As highlighted in the Joint Communication of the High Representative of the Union for Foreign Affairs and Security Policy and the Commission, "Towards an EU strategy for international cultural relations", JOIN(2016) 29 final</w:t>
      </w:r>
    </w:p>
  </w:footnote>
  <w:footnote w:id="27">
    <w:p>
      <w:pPr>
        <w:pStyle w:val="FootnoteText"/>
        <w:rPr>
          <w:szCs w:val="24"/>
        </w:rPr>
      </w:pPr>
      <w:r>
        <w:rPr>
          <w:rStyle w:val="FootnoteReference"/>
        </w:rPr>
        <w:footnoteRef/>
      </w:r>
      <w:r>
        <w:tab/>
        <w:t>ABM: activity-based management; ABB: activity-based budgeting.</w:t>
      </w:r>
    </w:p>
  </w:footnote>
  <w:footnote w:id="28">
    <w:p>
      <w:pPr>
        <w:pStyle w:val="FootnoteText"/>
        <w:rPr>
          <w:szCs w:val="24"/>
        </w:rPr>
      </w:pPr>
      <w:r>
        <w:rPr>
          <w:rStyle w:val="FootnoteReference"/>
        </w:rPr>
        <w:footnoteRef/>
      </w:r>
      <w:r>
        <w:tab/>
        <w:t>As referred to in Article 54(2) (a) or (b) of the Financial Regulation.</w:t>
      </w:r>
    </w:p>
  </w:footnote>
  <w:footnote w:id="29">
    <w:p>
      <w:pPr>
        <w:pStyle w:val="FootnoteText"/>
        <w:rPr>
          <w:szCs w:val="24"/>
        </w:rPr>
      </w:pPr>
      <w:r>
        <w:rPr>
          <w:rStyle w:val="FootnoteReference"/>
        </w:rPr>
        <w:footnoteRef/>
      </w:r>
      <w:r>
        <w:tab/>
        <w:t>Details of management modes and references to the Financial Regulation may be found on the BudgWeb site: https://myintracomm.ec.testa.eu/budgweb/EN/man/budgmanag/Pages/budgmanag.aspx</w:t>
      </w:r>
    </w:p>
  </w:footnote>
  <w:footnote w:id="30">
    <w:p>
      <w:pPr>
        <w:pStyle w:val="FootnoteText"/>
        <w:rPr>
          <w:szCs w:val="24"/>
        </w:rPr>
      </w:pPr>
      <w:r>
        <w:rPr>
          <w:rStyle w:val="FootnoteReference"/>
        </w:rPr>
        <w:footnoteRef/>
      </w:r>
      <w:r>
        <w:tab/>
        <w:t>Diff. = Differentiated appropriations / Non-diff. = Non-differentiated appropriations.</w:t>
      </w:r>
    </w:p>
  </w:footnote>
  <w:footnote w:id="31">
    <w:p>
      <w:pPr>
        <w:pStyle w:val="FootnoteText"/>
        <w:rPr>
          <w:szCs w:val="24"/>
        </w:rPr>
      </w:pPr>
      <w:r>
        <w:rPr>
          <w:rStyle w:val="FootnoteReference"/>
        </w:rPr>
        <w:footnoteRef/>
      </w:r>
      <w:r>
        <w:tab/>
        <w:t xml:space="preserve">EFTA: European Free Trade Association. </w:t>
      </w:r>
    </w:p>
  </w:footnote>
  <w:footnote w:id="32">
    <w:p>
      <w:pPr>
        <w:pStyle w:val="FootnoteText"/>
        <w:rPr>
          <w:szCs w:val="24"/>
        </w:rPr>
      </w:pPr>
      <w:r>
        <w:rPr>
          <w:rStyle w:val="FootnoteReference"/>
        </w:rPr>
        <w:footnoteRef/>
      </w:r>
      <w:r>
        <w:tab/>
        <w:t>Candidate countries and, where applicable, potential candidate countries from the Western Balkans.</w:t>
      </w:r>
    </w:p>
  </w:footnote>
  <w:footnote w:id="33">
    <w:p>
      <w:pPr>
        <w:pStyle w:val="FootnoteText"/>
        <w:rPr>
          <w:szCs w:val="24"/>
        </w:rPr>
      </w:pPr>
      <w:r>
        <w:rPr>
          <w:rStyle w:val="FootnoteReference"/>
        </w:rPr>
        <w:footnoteRef/>
      </w:r>
      <w:r>
        <w:tab/>
        <w:t>Year N is the year in which implementation of the proposal/initiative starts.</w:t>
      </w:r>
    </w:p>
  </w:footnote>
  <w:footnote w:id="34">
    <w:p>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35">
    <w:p>
      <w:pPr>
        <w:pStyle w:val="FootnoteText"/>
        <w:rPr>
          <w:szCs w:val="24"/>
        </w:rPr>
      </w:pPr>
      <w:r>
        <w:rPr>
          <w:rStyle w:val="FootnoteReference"/>
        </w:rPr>
        <w:footnoteRef/>
      </w:r>
      <w:r>
        <w:tab/>
        <w:t>Year N is the year in which implementation of the proposal/initiative starts.</w:t>
      </w:r>
    </w:p>
  </w:footnote>
  <w:footnote w:id="36">
    <w:p>
      <w:pPr>
        <w:pStyle w:val="FootnoteText"/>
        <w:rPr>
          <w:szCs w:val="24"/>
        </w:rPr>
      </w:pPr>
      <w:r>
        <w:rPr>
          <w:rStyle w:val="FootnoteReference"/>
        </w:rPr>
        <w:footnoteRef/>
      </w:r>
      <w:r>
        <w:tab/>
        <w:t>Outputs are products and services to be supplied (e.g.: number of student exchanges financed, number of km of roads built, etc.).</w:t>
      </w:r>
    </w:p>
  </w:footnote>
  <w:footnote w:id="37">
    <w:p>
      <w:pPr>
        <w:pStyle w:val="FootnoteText"/>
        <w:rPr>
          <w:szCs w:val="24"/>
        </w:rPr>
      </w:pPr>
      <w:r>
        <w:rPr>
          <w:rStyle w:val="FootnoteReference"/>
        </w:rPr>
        <w:footnoteRef/>
      </w:r>
      <w:r>
        <w:tab/>
        <w:t xml:space="preserve">As described in point 1.4.2. ‘Specific objective(s)…’ </w:t>
      </w:r>
    </w:p>
  </w:footnote>
  <w:footnote w:id="38">
    <w:p>
      <w:pPr>
        <w:pStyle w:val="FootnoteText"/>
        <w:rPr>
          <w:szCs w:val="24"/>
        </w:rPr>
      </w:pPr>
      <w:r>
        <w:rPr>
          <w:rStyle w:val="FootnoteReference"/>
        </w:rPr>
        <w:footnoteRef/>
      </w:r>
      <w:r>
        <w:tab/>
        <w:t>Year N is the year in which implementation of the proposal/initiative starts.</w:t>
      </w:r>
    </w:p>
  </w:footnote>
  <w:footnote w:id="39">
    <w:p>
      <w:pPr>
        <w:pStyle w:val="FootnoteText"/>
        <w:rPr>
          <w:szCs w:val="24"/>
        </w:rPr>
      </w:pPr>
      <w:r>
        <w:rPr>
          <w:rStyle w:val="FootnoteReference"/>
        </w:rPr>
        <w:footnoteRef/>
      </w:r>
      <w:r>
        <w:tab/>
        <w:t>Technical and/or administrative assistance and expenditure in support of the implementation of EU programmes and/or actions (former ‘BA’ lines), indirect research, direct research.</w:t>
      </w:r>
    </w:p>
  </w:footnote>
  <w:footnote w:id="40">
    <w:p>
      <w:pPr>
        <w:pStyle w:val="FootnoteText"/>
        <w:rPr>
          <w:szCs w:val="24"/>
        </w:rPr>
      </w:pPr>
      <w:r>
        <w:rPr>
          <w:rStyle w:val="FootnoteReference"/>
        </w:rPr>
        <w:footnoteRef/>
      </w:r>
      <w:r>
        <w:tab/>
        <w:t xml:space="preserve">AC= Contract Staff; AL = Local Staff; END= Seconded National Expert; INT = agency staff; JED= Junior Experts in Delegations. </w:t>
      </w:r>
    </w:p>
  </w:footnote>
  <w:footnote w:id="41">
    <w:p>
      <w:pPr>
        <w:pStyle w:val="FootnoteText"/>
        <w:rPr>
          <w:szCs w:val="24"/>
        </w:rPr>
      </w:pPr>
      <w:r>
        <w:rPr>
          <w:rStyle w:val="FootnoteReference"/>
        </w:rPr>
        <w:footnoteRef/>
      </w:r>
      <w:r>
        <w:tab/>
        <w:t>Sub-ceiling for external staff covered by operational appropriations (former ‘BA’ lines).</w:t>
      </w:r>
    </w:p>
  </w:footnote>
  <w:footnote w:id="42">
    <w:p>
      <w:pPr>
        <w:pStyle w:val="FootnoteText"/>
        <w:rPr>
          <w:szCs w:val="24"/>
        </w:rPr>
      </w:pPr>
      <w:r>
        <w:rPr>
          <w:rStyle w:val="FootnoteReference"/>
        </w:rPr>
        <w:footnoteRef/>
      </w:r>
      <w:r>
        <w:tab/>
        <w:t>As regards traditional own resources (customs duties, sugar levies), the amounts indicated must be net amounts, i.e. gross amounts after deduction of 25 % for collection costs.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Landscap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B1442822"/>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9024251E"/>
    <w:lvl w:ilvl="0">
      <w:start w:val="1"/>
      <w:numFmt w:val="decimal"/>
      <w:pStyle w:val="ListNumber3"/>
      <w:lvlText w:val="%1."/>
      <w:lvlJc w:val="left"/>
      <w:pPr>
        <w:tabs>
          <w:tab w:val="num" w:pos="926"/>
        </w:tabs>
        <w:ind w:left="926" w:hanging="360"/>
      </w:pPr>
    </w:lvl>
  </w:abstractNum>
  <w:abstractNum w:abstractNumId="2">
    <w:nsid w:val="FFFFFF7F"/>
    <w:multiLevelType w:val="singleLevel"/>
    <w:tmpl w:val="BAC487B6"/>
    <w:lvl w:ilvl="0">
      <w:start w:val="1"/>
      <w:numFmt w:val="decimal"/>
      <w:pStyle w:val="ListNumber2"/>
      <w:lvlText w:val="%1."/>
      <w:lvlJc w:val="left"/>
      <w:pPr>
        <w:tabs>
          <w:tab w:val="num" w:pos="643"/>
        </w:tabs>
        <w:ind w:left="643" w:hanging="360"/>
      </w:pPr>
    </w:lvl>
  </w:abstractNum>
  <w:abstractNum w:abstractNumId="3">
    <w:nsid w:val="FFFFFF81"/>
    <w:multiLevelType w:val="singleLevel"/>
    <w:tmpl w:val="38A68C1A"/>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A09645F6"/>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512C8870"/>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1960C650"/>
    <w:lvl w:ilvl="0">
      <w:start w:val="1"/>
      <w:numFmt w:val="decimal"/>
      <w:pStyle w:val="ListNumber"/>
      <w:lvlText w:val="%1."/>
      <w:lvlJc w:val="left"/>
      <w:pPr>
        <w:tabs>
          <w:tab w:val="num" w:pos="360"/>
        </w:tabs>
        <w:ind w:left="360" w:hanging="360"/>
      </w:pPr>
    </w:lvl>
  </w:abstractNum>
  <w:abstractNum w:abstractNumId="7">
    <w:nsid w:val="FFFFFF89"/>
    <w:multiLevelType w:val="singleLevel"/>
    <w:tmpl w:val="ADC26430"/>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9">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2">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3">
    <w:nsid w:val="358D1B6B"/>
    <w:multiLevelType w:val="hybridMultilevel"/>
    <w:tmpl w:val="FFD05CB6"/>
    <w:styleLink w:val="Stileimportato2"/>
    <w:lvl w:ilvl="0" w:tplc="4242606A">
      <w:start w:val="1"/>
      <w:numFmt w:val="decimal"/>
      <w:lvlText w:val="(%1)"/>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1" w:tplc="5C4E8F6A">
      <w:start w:val="1"/>
      <w:numFmt w:val="decimal"/>
      <w:lvlText w:val="(%2)"/>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5D4CC31E">
      <w:start w:val="1"/>
      <w:numFmt w:val="decimal"/>
      <w:lvlText w:val="(%3)"/>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3" w:tplc="FA3C9D78">
      <w:start w:val="1"/>
      <w:numFmt w:val="decimal"/>
      <w:lvlText w:val="(%4)"/>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4" w:tplc="93A0E044">
      <w:start w:val="1"/>
      <w:numFmt w:val="decimal"/>
      <w:lvlText w:val="(%5)"/>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5" w:tplc="3732F2B8">
      <w:start w:val="1"/>
      <w:numFmt w:val="decimal"/>
      <w:lvlText w:val="(%6)"/>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6" w:tplc="0D408D16">
      <w:start w:val="1"/>
      <w:numFmt w:val="decimal"/>
      <w:lvlText w:val="(%7)"/>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7" w:tplc="0C241C22">
      <w:start w:val="1"/>
      <w:numFmt w:val="decimal"/>
      <w:lvlText w:val="(%8)"/>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lvl w:ilvl="8" w:tplc="9B86F2D8">
      <w:start w:val="1"/>
      <w:numFmt w:val="decimal"/>
      <w:lvlText w:val="(%9)"/>
      <w:lvlJc w:val="left"/>
      <w:pPr>
        <w:ind w:left="709" w:hanging="70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7">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8">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9">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1">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2">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3">
    <w:nsid w:val="5F700930"/>
    <w:multiLevelType w:val="hybridMultilevel"/>
    <w:tmpl w:val="43347B4A"/>
    <w:styleLink w:val="Stileimportato4"/>
    <w:lvl w:ilvl="0" w:tplc="62A26DC8">
      <w:start w:val="1"/>
      <w:numFmt w:val="decimal"/>
      <w:lvlText w:val="(%1)"/>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1" w:tplc="05AE2482">
      <w:start w:val="1"/>
      <w:numFmt w:val="lowerLetter"/>
      <w:lvlText w:val="(%2)"/>
      <w:lvlJc w:val="left"/>
      <w:pPr>
        <w:ind w:left="850" w:hanging="850"/>
      </w:pPr>
      <w:rPr>
        <w:rFonts w:hAnsi="Arial Unicode MS"/>
        <w:caps w:val="0"/>
        <w:smallCaps w:val="0"/>
        <w:strike w:val="0"/>
        <w:dstrike w:val="0"/>
        <w:outline w:val="0"/>
        <w:emboss w:val="0"/>
        <w:imprint w:val="0"/>
        <w:spacing w:val="0"/>
        <w:w w:val="100"/>
        <w:kern w:val="0"/>
        <w:position w:val="0"/>
        <w:highlight w:val="none"/>
        <w:vertAlign w:val="baseline"/>
      </w:rPr>
    </w:lvl>
    <w:lvl w:ilvl="2" w:tplc="09F45A00">
      <w:start w:val="1"/>
      <w:numFmt w:val="decimal"/>
      <w:lvlText w:val="(%3)"/>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3" w:tplc="4BC8AD12">
      <w:start w:val="1"/>
      <w:numFmt w:val="lowerLetter"/>
      <w:lvlText w:val="(%4)"/>
      <w:lvlJc w:val="left"/>
      <w:pPr>
        <w:ind w:left="1417" w:hanging="567"/>
      </w:pPr>
      <w:rPr>
        <w:rFonts w:hAnsi="Arial Unicode MS"/>
        <w:caps w:val="0"/>
        <w:smallCaps w:val="0"/>
        <w:strike w:val="0"/>
        <w:dstrike w:val="0"/>
        <w:outline w:val="0"/>
        <w:emboss w:val="0"/>
        <w:imprint w:val="0"/>
        <w:spacing w:val="0"/>
        <w:w w:val="100"/>
        <w:kern w:val="0"/>
        <w:position w:val="0"/>
        <w:highlight w:val="none"/>
        <w:vertAlign w:val="baseline"/>
      </w:rPr>
    </w:lvl>
    <w:lvl w:ilvl="4" w:tplc="3B907EC4">
      <w:start w:val="1"/>
      <w:numFmt w:val="decimal"/>
      <w:lvlText w:val="(%5)"/>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5" w:tplc="BEA2CD34">
      <w:start w:val="1"/>
      <w:numFmt w:val="lowerLetter"/>
      <w:lvlText w:val="(%6)"/>
      <w:lvlJc w:val="left"/>
      <w:pPr>
        <w:ind w:left="1984" w:hanging="567"/>
      </w:pPr>
      <w:rPr>
        <w:rFonts w:hAnsi="Arial Unicode MS"/>
        <w:caps w:val="0"/>
        <w:smallCaps w:val="0"/>
        <w:strike w:val="0"/>
        <w:dstrike w:val="0"/>
        <w:outline w:val="0"/>
        <w:emboss w:val="0"/>
        <w:imprint w:val="0"/>
        <w:spacing w:val="0"/>
        <w:w w:val="100"/>
        <w:kern w:val="0"/>
        <w:position w:val="0"/>
        <w:highlight w:val="none"/>
        <w:vertAlign w:val="baseline"/>
      </w:rPr>
    </w:lvl>
    <w:lvl w:ilvl="6" w:tplc="EE10698A">
      <w:start w:val="1"/>
      <w:numFmt w:val="decimal"/>
      <w:lvlText w:val="(%7)"/>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7" w:tplc="61C89A60">
      <w:start w:val="1"/>
      <w:numFmt w:val="lowerLetter"/>
      <w:lvlText w:val="(%8)"/>
      <w:lvlJc w:val="left"/>
      <w:pPr>
        <w:ind w:left="2551" w:hanging="567"/>
      </w:pPr>
      <w:rPr>
        <w:rFonts w:hAnsi="Arial Unicode MS"/>
        <w:caps w:val="0"/>
        <w:smallCaps w:val="0"/>
        <w:strike w:val="0"/>
        <w:dstrike w:val="0"/>
        <w:outline w:val="0"/>
        <w:emboss w:val="0"/>
        <w:imprint w:val="0"/>
        <w:spacing w:val="0"/>
        <w:w w:val="100"/>
        <w:kern w:val="0"/>
        <w:position w:val="0"/>
        <w:highlight w:val="none"/>
        <w:vertAlign w:val="baseline"/>
      </w:rPr>
    </w:lvl>
    <w:lvl w:ilvl="8" w:tplc="F516D676">
      <w:start w:val="1"/>
      <w:numFmt w:val="lowerLetter"/>
      <w:lvlText w:val="(%9)"/>
      <w:lvlJc w:val="left"/>
      <w:pPr>
        <w:ind w:left="3118" w:hanging="56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6">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3"/>
  </w:num>
  <w:num w:numId="2">
    <w:abstractNumId w:val="23"/>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6"/>
    <w:lvlOverride w:ilvl="0">
      <w:startOverride w:val="1"/>
    </w:lvlOverride>
  </w:num>
  <w:num w:numId="5">
    <w:abstractNumId w:val="7"/>
  </w:num>
  <w:num w:numId="6">
    <w:abstractNumId w:val="5"/>
  </w:num>
  <w:num w:numId="7">
    <w:abstractNumId w:val="4"/>
  </w:num>
  <w:num w:numId="8">
    <w:abstractNumId w:val="3"/>
  </w:num>
  <w:num w:numId="9">
    <w:abstractNumId w:val="6"/>
  </w:num>
  <w:num w:numId="10">
    <w:abstractNumId w:val="2"/>
  </w:num>
  <w:num w:numId="11">
    <w:abstractNumId w:val="1"/>
  </w:num>
  <w:num w:numId="12">
    <w:abstractNumId w:val="0"/>
  </w:num>
  <w:num w:numId="13">
    <w:abstractNumId w:val="22"/>
    <w:lvlOverride w:ilvl="0">
      <w:startOverride w:val="1"/>
    </w:lvlOverride>
  </w:num>
  <w:num w:numId="14">
    <w:abstractNumId w:val="8"/>
  </w:num>
  <w:num w:numId="15">
    <w:abstractNumId w:val="18"/>
  </w:num>
  <w:num w:numId="16">
    <w:abstractNumId w:val="17"/>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num>
  <w:num w:numId="19">
    <w:abstractNumId w:val="14"/>
  </w:num>
  <w:num w:numId="20">
    <w:abstractNumId w:val="25"/>
  </w:num>
  <w:num w:numId="21">
    <w:abstractNumId w:val="12"/>
  </w:num>
  <w:num w:numId="22">
    <w:abstractNumId w:val="15"/>
  </w:num>
  <w:num w:numId="23">
    <w:abstractNumId w:val="10"/>
  </w:num>
  <w:num w:numId="24">
    <w:abstractNumId w:val="24"/>
  </w:num>
  <w:num w:numId="25">
    <w:abstractNumId w:val="9"/>
  </w:num>
  <w:num w:numId="26">
    <w:abstractNumId w:val="16"/>
  </w:num>
  <w:num w:numId="27">
    <w:abstractNumId w:val="20"/>
  </w:num>
  <w:num w:numId="28">
    <w:abstractNumId w:val="21"/>
  </w:num>
  <w:num w:numId="29">
    <w:abstractNumId w:val="11"/>
  </w:num>
  <w:num w:numId="30">
    <w:abstractNumId w:val="19"/>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isplayBackgroundShape/>
  <w:hideSpellingErrors/>
  <w:hideGrammaticalErrors/>
  <w:attachedTemplate r:id="rId1"/>
  <w:revisionView w:markup="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QCDateTime" w:val="2016-08-18 12:13:38"/>
    <w:docVar w:name="DQCResult_Distribution" w:val="0;1"/>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3"/>
    <w:docVar w:name="DQCResult_ModifiedMarkers" w:val="0;0"/>
    <w:docVar w:name="DQCResult_ModifiedNumbering" w:val="0;0"/>
    <w:docVar w:name="DQCResult_Objects" w:val="0;0"/>
    <w:docVar w:name="DQCResult_Sections" w:val="0;0"/>
    <w:docVar w:name="DQCResult_StructureCheck" w:val="0;0"/>
    <w:docVar w:name="DQCResult_SuperfluousWhitespace" w:val="0;23"/>
    <w:docVar w:name="DQCResult_UnknownFonts" w:val="0;0"/>
    <w:docVar w:name="DQCResult_UnknownStyles" w:val="0;19"/>
    <w:docVar w:name="DQCStatus" w:val="Green"/>
    <w:docVar w:name="DQCVersion" w:val="3"/>
    <w:docVar w:name="DQCWithWarnings" w:val="0"/>
    <w:docVar w:name="LW_CONFIDENCE" w:val=" "/>
    <w:docVar w:name="LW_CONST_RESTREINT_UE" w:val="RESTREINT UE"/>
    <w:docVar w:name="LW_CORRIGENDUM" w:val="&lt;UNUSED&gt;"/>
    <w:docVar w:name="LW_COVERPAGE_GUID" w:val="FC0E65171D804588A005DA04A5BABC2B"/>
    <w:docVar w:name="LW_CROSSREFERENCE" w:val="&lt;UNUSED&gt;"/>
    <w:docVar w:name="LW_DocType" w:val="COM"/>
    <w:docVar w:name="LW_EMISSION" w:val="30.8.2016"/>
    <w:docVar w:name="LW_EMISSION_ISODATE" w:val="2016-08-30"/>
    <w:docVar w:name="LW_EMISSION_LOCATION" w:val="BRX"/>
    <w:docVar w:name="LW_EMISSION_PREFIX" w:val="Brussels, "/>
    <w:docVar w:name="LW_EMISSION_SUFFIX" w:val=" "/>
    <w:docVar w:name="LW_ID_DOCMODEL" w:val="SJ-025"/>
    <w:docVar w:name="LW_ID_DOCSIGNATURE" w:val="SJ-025"/>
    <w:docVar w:name="LW_ID_DOCSTRUCTURE" w:val="COM/PL/ORG"/>
    <w:docVar w:name="LW_ID_DOCTYPE" w:val="SJ-025"/>
    <w:docVar w:name="LW_ID_STATUT" w:val="SJ-025"/>
    <w:docVar w:name="LW_INTERETEEE.CP" w:val="&lt;UNUSED&gt;"/>
    <w:docVar w:name="LW_LANGUE" w:val="EN"/>
    <w:docVar w:name="LW_MARKING" w:val="&lt;UNUSED&gt;"/>
    <w:docVar w:name="LW_NOM.INST" w:val="EUROPEAN COMMISSION"/>
    <w:docVar w:name="LW_NOM.INST_JOINTDOC" w:val="&lt;EMPTY&gt;"/>
    <w:docVar w:name="LW_PART_NBR" w:val="1"/>
    <w:docVar w:name="LW_PART_NBR_TOTAL" w:val="1"/>
    <w:docVar w:name="LW_REF.II.NEW.CP" w:val="COD"/>
    <w:docVar w:name="LW_REF.II.NEW.CP_NUMBER" w:val="0259"/>
    <w:docVar w:name="LW_REF.II.NEW.CP_YEAR" w:val="2016"/>
    <w:docVar w:name="LW_REF.INST.NEW" w:val="COM"/>
    <w:docVar w:name="LW_REF.INST.NEW_ADOPTED" w:val="final"/>
    <w:docVar w:name="LW_REF.INST.NEW_TEXT" w:val="(2016) 543"/>
    <w:docVar w:name="LW_REF.INTERNE" w:val="&lt;UNUSED&gt;"/>
    <w:docVar w:name="LW_SOUS.TITRE.OBJ.CP" w:val="&lt;UNUSED&gt;"/>
    <w:docVar w:name="LW_STATUT.CP" w:val="Proposal for a"/>
    <w:docVar w:name="LW_SUPERTITRE" w:val="&lt;UNUSED&gt;"/>
    <w:docVar w:name="LW_TITRE.OBJ.CP" w:val="on a European Year of Cultural Heritage"/>
    <w:docVar w:name="LW_TYPE.DOC.CP" w:val="DECIS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o">
    <w:name w:val="Corpo"/>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val="en-GB" w:eastAsia="en-GB"/>
    </w:rPr>
  </w:style>
  <w:style w:type="paragraph" w:styleId="CommentText">
    <w:name w:val="annotation text"/>
    <w:basedOn w:val="Normal"/>
    <w:link w:val="CommentTextChar"/>
    <w:uiPriority w:val="99"/>
    <w:semiHidden/>
    <w:unhideWhenUsed/>
    <w:pPr>
      <w:pBdr>
        <w:top w:val="nil"/>
        <w:left w:val="nil"/>
        <w:bottom w:val="nil"/>
        <w:right w:val="nil"/>
        <w:between w:val="nil"/>
        <w:bar w:val="nil"/>
      </w:pBdr>
      <w:spacing w:before="0" w:after="0"/>
      <w:jc w:val="left"/>
    </w:pPr>
    <w:rPr>
      <w:rFonts w:eastAsia="Arial Unicode MS"/>
      <w:sz w:val="20"/>
      <w:szCs w:val="20"/>
      <w:bdr w:val="nil"/>
    </w:rPr>
  </w:style>
  <w:style w:type="character" w:customStyle="1" w:styleId="CommentTextChar">
    <w:name w:val="Comment Text Char"/>
    <w:basedOn w:val="DefaultParagraphFont"/>
    <w:link w:val="CommentText"/>
    <w:uiPriority w:val="99"/>
    <w:semiHidden/>
    <w:rPr>
      <w:rFonts w:ascii="Times New Roman" w:eastAsia="Arial Unicode MS" w:hAnsi="Times New Roman" w:cs="Times New Roman"/>
      <w:sz w:val="20"/>
      <w:szCs w:val="20"/>
      <w:bdr w:val="nil"/>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rPr>
      <w:u w:val="single"/>
    </w:rPr>
  </w:style>
  <w:style w:type="character" w:customStyle="1" w:styleId="Hyperlink0">
    <w:name w:val="Hyperlink.0"/>
    <w:basedOn w:val="DefaultParagraphFont"/>
    <w:rPr>
      <w:color w:val="0000FF"/>
      <w:u w:val="single" w:color="0000FF"/>
      <w:lang w:val="pt-PT"/>
    </w:rPr>
  </w:style>
  <w:style w:type="numbering" w:customStyle="1" w:styleId="Stileimportato2">
    <w:name w:val="Stile importato 2"/>
    <w:pPr>
      <w:numPr>
        <w:numId w:val="1"/>
      </w:numPr>
    </w:pPr>
  </w:style>
  <w:style w:type="paragraph" w:styleId="ListParagraph">
    <w:name w:val="List Paragraph"/>
    <w:basedOn w:val="Normal"/>
    <w:uiPriority w:val="34"/>
    <w:qFormat/>
    <w:pPr>
      <w:pBdr>
        <w:top w:val="nil"/>
        <w:left w:val="nil"/>
        <w:bottom w:val="nil"/>
        <w:right w:val="nil"/>
        <w:between w:val="nil"/>
        <w:bar w:val="nil"/>
      </w:pBdr>
      <w:spacing w:before="0" w:after="0"/>
      <w:ind w:left="720"/>
      <w:contextualSpacing/>
      <w:jc w:val="left"/>
    </w:pPr>
    <w:rPr>
      <w:rFonts w:eastAsia="Arial Unicode MS"/>
      <w:szCs w:val="24"/>
      <w:bdr w:val="nil"/>
    </w:rPr>
  </w:style>
  <w:style w:type="numbering" w:customStyle="1" w:styleId="Stileimportato4">
    <w:name w:val="Stile importato 4"/>
    <w:pPr>
      <w:numPr>
        <w:numId w:val="2"/>
      </w:numP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
    <w:name w:val="List Number"/>
    <w:basedOn w:val="Normal"/>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bdr w:val="none" w:sz="0" w:space="0" w:color="auto"/>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sz w:val="20"/>
      <w:szCs w:val="20"/>
      <w:bdr w:val="nil"/>
      <w:lang w:val="en-GB"/>
    </w:rPr>
  </w:style>
  <w:style w:type="paragraph" w:customStyle="1" w:styleId="ListBullet1">
    <w:name w:val="List Bullet 1"/>
    <w:basedOn w:val="Normal"/>
    <w:pPr>
      <w:numPr>
        <w:numId w:val="14"/>
      </w:numPr>
    </w:pPr>
    <w:rPr>
      <w:rFonts w:eastAsia="Times New Roman"/>
      <w:lang w:eastAsia="de-DE"/>
    </w:rPr>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24"/>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4"/>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4"/>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4"/>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rpo">
    <w:name w:val="Corpo"/>
    <w:pPr>
      <w:pBdr>
        <w:top w:val="nil"/>
        <w:left w:val="nil"/>
        <w:bottom w:val="nil"/>
        <w:right w:val="nil"/>
        <w:between w:val="nil"/>
        <w:bar w:val="nil"/>
      </w:pBdr>
      <w:spacing w:before="120" w:after="120" w:line="240" w:lineRule="auto"/>
      <w:jc w:val="both"/>
    </w:pPr>
    <w:rPr>
      <w:rFonts w:ascii="Times New Roman" w:eastAsia="Times New Roman" w:hAnsi="Times New Roman" w:cs="Times New Roman"/>
      <w:color w:val="000000"/>
      <w:sz w:val="24"/>
      <w:szCs w:val="24"/>
      <w:u w:color="000000"/>
      <w:bdr w:val="nil"/>
      <w:lang w:val="en-GB" w:eastAsia="en-GB"/>
    </w:rPr>
  </w:style>
  <w:style w:type="paragraph" w:styleId="CommentText">
    <w:name w:val="annotation text"/>
    <w:basedOn w:val="Normal"/>
    <w:link w:val="CommentTextChar"/>
    <w:uiPriority w:val="99"/>
    <w:semiHidden/>
    <w:unhideWhenUsed/>
    <w:pPr>
      <w:pBdr>
        <w:top w:val="nil"/>
        <w:left w:val="nil"/>
        <w:bottom w:val="nil"/>
        <w:right w:val="nil"/>
        <w:between w:val="nil"/>
        <w:bar w:val="nil"/>
      </w:pBdr>
      <w:spacing w:before="0" w:after="0"/>
      <w:jc w:val="left"/>
    </w:pPr>
    <w:rPr>
      <w:rFonts w:eastAsia="Arial Unicode MS"/>
      <w:sz w:val="20"/>
      <w:szCs w:val="20"/>
      <w:bdr w:val="nil"/>
    </w:rPr>
  </w:style>
  <w:style w:type="character" w:customStyle="1" w:styleId="CommentTextChar">
    <w:name w:val="Comment Text Char"/>
    <w:basedOn w:val="DefaultParagraphFont"/>
    <w:link w:val="CommentText"/>
    <w:uiPriority w:val="99"/>
    <w:semiHidden/>
    <w:rPr>
      <w:rFonts w:ascii="Times New Roman" w:eastAsia="Arial Unicode MS" w:hAnsi="Times New Roman" w:cs="Times New Roman"/>
      <w:sz w:val="20"/>
      <w:szCs w:val="20"/>
      <w:bdr w:val="nil"/>
      <w:lang w:val="en-GB"/>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val="en-GB"/>
    </w:rPr>
  </w:style>
  <w:style w:type="character" w:styleId="Hyperlink">
    <w:name w:val="Hyperlink"/>
    <w:rPr>
      <w:u w:val="single"/>
    </w:rPr>
  </w:style>
  <w:style w:type="character" w:customStyle="1" w:styleId="Hyperlink0">
    <w:name w:val="Hyperlink.0"/>
    <w:basedOn w:val="DefaultParagraphFont"/>
    <w:rPr>
      <w:color w:val="0000FF"/>
      <w:u w:val="single" w:color="0000FF"/>
      <w:lang w:val="pt-PT"/>
    </w:rPr>
  </w:style>
  <w:style w:type="numbering" w:customStyle="1" w:styleId="Stileimportato2">
    <w:name w:val="Stile importato 2"/>
    <w:pPr>
      <w:numPr>
        <w:numId w:val="1"/>
      </w:numPr>
    </w:pPr>
  </w:style>
  <w:style w:type="paragraph" w:styleId="ListParagraph">
    <w:name w:val="List Paragraph"/>
    <w:basedOn w:val="Normal"/>
    <w:uiPriority w:val="34"/>
    <w:qFormat/>
    <w:pPr>
      <w:pBdr>
        <w:top w:val="nil"/>
        <w:left w:val="nil"/>
        <w:bottom w:val="nil"/>
        <w:right w:val="nil"/>
        <w:between w:val="nil"/>
        <w:bar w:val="nil"/>
      </w:pBdr>
      <w:spacing w:before="0" w:after="0"/>
      <w:ind w:left="720"/>
      <w:contextualSpacing/>
      <w:jc w:val="left"/>
    </w:pPr>
    <w:rPr>
      <w:rFonts w:eastAsia="Arial Unicode MS"/>
      <w:szCs w:val="24"/>
      <w:bdr w:val="nil"/>
    </w:rPr>
  </w:style>
  <w:style w:type="numbering" w:customStyle="1" w:styleId="Stileimportato4">
    <w:name w:val="Stile importato 4"/>
    <w:pPr>
      <w:numPr>
        <w:numId w:val="2"/>
      </w:numPr>
    </w:pPr>
  </w:style>
  <w:style w:type="paragraph" w:styleId="Caption">
    <w:name w:val="caption"/>
    <w:basedOn w:val="Normal"/>
    <w:next w:val="Normal"/>
    <w:uiPriority w:val="35"/>
    <w:semiHidden/>
    <w:unhideWhenUsed/>
    <w:qFormat/>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Bullet3">
    <w:name w:val="List Bullet 3"/>
    <w:basedOn w:val="Normal"/>
    <w:uiPriority w:val="99"/>
    <w:semiHidden/>
    <w:unhideWhenUsed/>
    <w:pPr>
      <w:numPr>
        <w:numId w:val="7"/>
      </w:numPr>
      <w:contextualSpacing/>
    </w:pPr>
  </w:style>
  <w:style w:type="paragraph" w:styleId="ListBullet4">
    <w:name w:val="List Bullet 4"/>
    <w:basedOn w:val="Normal"/>
    <w:uiPriority w:val="99"/>
    <w:semiHidden/>
    <w:unhideWhenUsed/>
    <w:pPr>
      <w:numPr>
        <w:numId w:val="8"/>
      </w:numPr>
      <w:contextualSpacing/>
    </w:pPr>
  </w:style>
  <w:style w:type="paragraph" w:styleId="ListNumber">
    <w:name w:val="List Number"/>
    <w:basedOn w:val="Normal"/>
    <w:unhideWhenUsed/>
    <w:pPr>
      <w:numPr>
        <w:numId w:val="9"/>
      </w:numPr>
      <w:contextualSpacing/>
    </w:pPr>
  </w:style>
  <w:style w:type="paragraph" w:styleId="ListNumber2">
    <w:name w:val="List Number 2"/>
    <w:basedOn w:val="Normal"/>
    <w:uiPriority w:val="99"/>
    <w:semiHidden/>
    <w:unhideWhenUsed/>
    <w:pPr>
      <w:numPr>
        <w:numId w:val="10"/>
      </w:numPr>
      <w:contextualSpacing/>
    </w:pPr>
  </w:style>
  <w:style w:type="paragraph" w:styleId="ListNumber3">
    <w:name w:val="List Number 3"/>
    <w:basedOn w:val="Normal"/>
    <w:uiPriority w:val="99"/>
    <w:semiHidden/>
    <w:unhideWhenUsed/>
    <w:pPr>
      <w:numPr>
        <w:numId w:val="11"/>
      </w:numPr>
      <w:contextualSpacing/>
    </w:pPr>
  </w:style>
  <w:style w:type="paragraph" w:styleId="ListNumber4">
    <w:name w:val="List Number 4"/>
    <w:basedOn w:val="Normal"/>
    <w:uiPriority w:val="99"/>
    <w:semiHidden/>
    <w:unhideWhenUsed/>
    <w:pPr>
      <w:numPr>
        <w:numId w:val="12"/>
      </w:numPr>
      <w:contextualSpacing/>
    </w:pPr>
  </w:style>
  <w:style w:type="paragraph" w:styleId="CommentSubject">
    <w:name w:val="annotation subject"/>
    <w:basedOn w:val="CommentText"/>
    <w:next w:val="CommentText"/>
    <w:link w:val="CommentSubjectChar"/>
    <w:uiPriority w:val="99"/>
    <w:semiHidden/>
    <w:unhideWhenUsed/>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heme="minorHAnsi"/>
      <w:b/>
      <w:bCs/>
      <w:bdr w:val="none" w:sz="0" w:space="0" w:color="auto"/>
    </w:rPr>
  </w:style>
  <w:style w:type="character" w:customStyle="1" w:styleId="CommentSubjectChar">
    <w:name w:val="Comment Subject Char"/>
    <w:basedOn w:val="CommentTextChar"/>
    <w:link w:val="CommentSubject"/>
    <w:uiPriority w:val="99"/>
    <w:semiHidden/>
    <w:rPr>
      <w:rFonts w:ascii="Times New Roman" w:eastAsia="Arial Unicode MS" w:hAnsi="Times New Roman" w:cs="Times New Roman"/>
      <w:b/>
      <w:bCs/>
      <w:sz w:val="20"/>
      <w:szCs w:val="20"/>
      <w:bdr w:val="nil"/>
      <w:lang w:val="en-GB"/>
    </w:rPr>
  </w:style>
  <w:style w:type="paragraph" w:customStyle="1" w:styleId="ListBullet1">
    <w:name w:val="List Bullet 1"/>
    <w:basedOn w:val="Normal"/>
    <w:pPr>
      <w:numPr>
        <w:numId w:val="14"/>
      </w:numPr>
    </w:pPr>
    <w:rPr>
      <w:rFonts w:eastAsia="Times New Roman"/>
      <w:lang w:eastAsia="de-DE"/>
    </w:rPr>
  </w:style>
  <w:style w:type="paragraph" w:customStyle="1" w:styleId="ListDash1">
    <w:name w:val="List Dash 1"/>
    <w:basedOn w:val="Normal"/>
    <w:pPr>
      <w:numPr>
        <w:numId w:val="15"/>
      </w:numPr>
    </w:pPr>
    <w:rPr>
      <w:rFonts w:eastAsia="Times New Roman"/>
      <w:lang w:eastAsia="de-DE"/>
    </w:rPr>
  </w:style>
  <w:style w:type="paragraph" w:customStyle="1" w:styleId="ListDash2">
    <w:name w:val="List Dash 2"/>
    <w:basedOn w:val="Normal"/>
    <w:pPr>
      <w:numPr>
        <w:numId w:val="16"/>
      </w:numPr>
    </w:pPr>
    <w:rPr>
      <w:rFonts w:eastAsia="Times New Roman"/>
      <w:lang w:eastAsia="de-DE"/>
    </w:rPr>
  </w:style>
  <w:style w:type="paragraph" w:customStyle="1" w:styleId="ListNumberLevel2">
    <w:name w:val="List Number (Level 2)"/>
    <w:basedOn w:val="Normal"/>
    <w:pPr>
      <w:tabs>
        <w:tab w:val="num" w:pos="1417"/>
      </w:tabs>
      <w:ind w:left="1417" w:hanging="708"/>
    </w:pPr>
    <w:rPr>
      <w:rFonts w:eastAsia="Times New Roman"/>
      <w:lang w:eastAsia="de-DE"/>
    </w:rPr>
  </w:style>
  <w:style w:type="paragraph" w:customStyle="1" w:styleId="ListNumberLevel3">
    <w:name w:val="List Number (Level 3)"/>
    <w:basedOn w:val="Normal"/>
    <w:pPr>
      <w:tabs>
        <w:tab w:val="num" w:pos="2126"/>
      </w:tabs>
      <w:ind w:left="2126" w:hanging="709"/>
    </w:pPr>
    <w:rPr>
      <w:rFonts w:eastAsia="Times New Roman"/>
      <w:lang w:eastAsia="de-DE"/>
    </w:rPr>
  </w:style>
  <w:style w:type="paragraph" w:customStyle="1" w:styleId="ListNumberLevel4">
    <w:name w:val="List Number (Level 4)"/>
    <w:basedOn w:val="Normal"/>
    <w:pPr>
      <w:tabs>
        <w:tab w:val="num" w:pos="2835"/>
      </w:tabs>
      <w:ind w:left="2835" w:hanging="709"/>
    </w:pPr>
    <w:rPr>
      <w:rFonts w:eastAsia="Times New Roman"/>
      <w:lang w:eastAsia="de-DE"/>
    </w:rPr>
  </w:style>
  <w:style w:type="paragraph" w:customStyle="1" w:styleId="Default">
    <w:name w:val="Default"/>
    <w:pPr>
      <w:autoSpaceDE w:val="0"/>
      <w:autoSpaceDN w:val="0"/>
      <w:adjustRightInd w:val="0"/>
      <w:spacing w:after="0" w:line="240" w:lineRule="auto"/>
    </w:pPr>
    <w:rPr>
      <w:rFonts w:ascii="EUAlbertina" w:hAnsi="EUAlbertina" w:cs="EUAlbertina"/>
      <w:color w:val="000000"/>
      <w:sz w:val="24"/>
      <w:szCs w:val="24"/>
      <w:lang w:val="en-GB"/>
    </w:rPr>
  </w:style>
  <w:style w:type="character" w:styleId="FollowedHyperlink">
    <w:name w:val="FollowedHyperlink"/>
    <w:basedOn w:val="DefaultParagraphFont"/>
    <w:uiPriority w:val="99"/>
    <w:semiHidden/>
    <w:unhideWhenUsed/>
    <w:rPr>
      <w:color w:val="800080" w:themeColor="followedHyperlink"/>
      <w:u w:val="singl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shd w:val="clear" w:color="auto" w:fill="auto"/>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8"/>
      </w:numPr>
    </w:pPr>
  </w:style>
  <w:style w:type="paragraph" w:customStyle="1" w:styleId="Tiret1">
    <w:name w:val="Tiret 1"/>
    <w:basedOn w:val="Point1"/>
    <w:pPr>
      <w:numPr>
        <w:numId w:val="19"/>
      </w:numPr>
    </w:pPr>
  </w:style>
  <w:style w:type="paragraph" w:customStyle="1" w:styleId="Tiret2">
    <w:name w:val="Tiret 2"/>
    <w:basedOn w:val="Point2"/>
    <w:pPr>
      <w:numPr>
        <w:numId w:val="20"/>
      </w:numPr>
    </w:pPr>
  </w:style>
  <w:style w:type="paragraph" w:customStyle="1" w:styleId="Tiret3">
    <w:name w:val="Tiret 3"/>
    <w:basedOn w:val="Point3"/>
    <w:pPr>
      <w:numPr>
        <w:numId w:val="21"/>
      </w:numPr>
    </w:pPr>
  </w:style>
  <w:style w:type="paragraph" w:customStyle="1" w:styleId="Tiret4">
    <w:name w:val="Tiret 4"/>
    <w:basedOn w:val="Point4"/>
    <w:pPr>
      <w:numPr>
        <w:numId w:val="22"/>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3"/>
      </w:numPr>
    </w:pPr>
  </w:style>
  <w:style w:type="paragraph" w:customStyle="1" w:styleId="NumPar2">
    <w:name w:val="NumPar 2"/>
    <w:basedOn w:val="Normal"/>
    <w:next w:val="Text1"/>
    <w:pPr>
      <w:numPr>
        <w:ilvl w:val="1"/>
        <w:numId w:val="23"/>
      </w:numPr>
    </w:pPr>
  </w:style>
  <w:style w:type="paragraph" w:customStyle="1" w:styleId="NumPar3">
    <w:name w:val="NumPar 3"/>
    <w:basedOn w:val="Normal"/>
    <w:next w:val="Text1"/>
    <w:pPr>
      <w:numPr>
        <w:ilvl w:val="2"/>
        <w:numId w:val="23"/>
      </w:numPr>
    </w:pPr>
  </w:style>
  <w:style w:type="paragraph" w:customStyle="1" w:styleId="NumPar4">
    <w:name w:val="NumPar 4"/>
    <w:basedOn w:val="Normal"/>
    <w:next w:val="Text1"/>
    <w:pPr>
      <w:numPr>
        <w:ilvl w:val="3"/>
        <w:numId w:val="23"/>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25"/>
      </w:numPr>
    </w:pPr>
  </w:style>
  <w:style w:type="paragraph" w:customStyle="1" w:styleId="Point1number">
    <w:name w:val="Point 1 (number)"/>
    <w:basedOn w:val="Normal"/>
    <w:pPr>
      <w:numPr>
        <w:ilvl w:val="2"/>
        <w:numId w:val="25"/>
      </w:numPr>
    </w:pPr>
  </w:style>
  <w:style w:type="paragraph" w:customStyle="1" w:styleId="Point2number">
    <w:name w:val="Point 2 (number)"/>
    <w:basedOn w:val="Normal"/>
    <w:pPr>
      <w:numPr>
        <w:ilvl w:val="4"/>
        <w:numId w:val="25"/>
      </w:numPr>
    </w:pPr>
  </w:style>
  <w:style w:type="paragraph" w:customStyle="1" w:styleId="Point3number">
    <w:name w:val="Point 3 (number)"/>
    <w:basedOn w:val="Normal"/>
    <w:pPr>
      <w:numPr>
        <w:ilvl w:val="6"/>
        <w:numId w:val="25"/>
      </w:numPr>
    </w:pPr>
  </w:style>
  <w:style w:type="paragraph" w:customStyle="1" w:styleId="Point0letter">
    <w:name w:val="Point 0 (letter)"/>
    <w:basedOn w:val="Normal"/>
    <w:pPr>
      <w:numPr>
        <w:ilvl w:val="1"/>
        <w:numId w:val="25"/>
      </w:numPr>
    </w:pPr>
  </w:style>
  <w:style w:type="paragraph" w:customStyle="1" w:styleId="Point1letter">
    <w:name w:val="Point 1 (letter)"/>
    <w:basedOn w:val="Normal"/>
    <w:pPr>
      <w:numPr>
        <w:ilvl w:val="3"/>
        <w:numId w:val="25"/>
      </w:numPr>
    </w:pPr>
  </w:style>
  <w:style w:type="paragraph" w:customStyle="1" w:styleId="Point2letter">
    <w:name w:val="Point 2 (letter)"/>
    <w:basedOn w:val="Normal"/>
    <w:pPr>
      <w:numPr>
        <w:ilvl w:val="5"/>
        <w:numId w:val="25"/>
      </w:numPr>
    </w:pPr>
  </w:style>
  <w:style w:type="paragraph" w:customStyle="1" w:styleId="Point3letter">
    <w:name w:val="Point 3 (letter)"/>
    <w:basedOn w:val="Normal"/>
    <w:pPr>
      <w:numPr>
        <w:ilvl w:val="7"/>
        <w:numId w:val="25"/>
      </w:numPr>
    </w:pPr>
  </w:style>
  <w:style w:type="paragraph" w:customStyle="1" w:styleId="Point4letter">
    <w:name w:val="Point 4 (letter)"/>
    <w:basedOn w:val="Normal"/>
    <w:pPr>
      <w:numPr>
        <w:ilvl w:val="8"/>
        <w:numId w:val="25"/>
      </w:numPr>
    </w:pPr>
  </w:style>
  <w:style w:type="paragraph" w:customStyle="1" w:styleId="Bullet0">
    <w:name w:val="Bullet 0"/>
    <w:basedOn w:val="Normal"/>
    <w:pPr>
      <w:numPr>
        <w:numId w:val="26"/>
      </w:numPr>
    </w:pPr>
  </w:style>
  <w:style w:type="paragraph" w:customStyle="1" w:styleId="Bullet1">
    <w:name w:val="Bullet 1"/>
    <w:basedOn w:val="Normal"/>
    <w:pPr>
      <w:numPr>
        <w:numId w:val="27"/>
      </w:numPr>
    </w:pPr>
  </w:style>
  <w:style w:type="paragraph" w:customStyle="1" w:styleId="Bullet2">
    <w:name w:val="Bullet 2"/>
    <w:basedOn w:val="Normal"/>
    <w:pPr>
      <w:numPr>
        <w:numId w:val="28"/>
      </w:numPr>
    </w:pPr>
  </w:style>
  <w:style w:type="paragraph" w:customStyle="1" w:styleId="Bullet3">
    <w:name w:val="Bullet 3"/>
    <w:basedOn w:val="Normal"/>
    <w:pPr>
      <w:numPr>
        <w:numId w:val="29"/>
      </w:numPr>
    </w:pPr>
  </w:style>
  <w:style w:type="paragraph" w:customStyle="1" w:styleId="Bullet4">
    <w:name w:val="Bullet 4"/>
    <w:basedOn w:val="Normal"/>
    <w:pPr>
      <w:numPr>
        <w:numId w:val="30"/>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1"/>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c.cec/budg/leg/internal/leg-070_internal_en.html"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bookshop.europa.eu/en/getting-cultural-heritage-to-work-for-europe-pbKI0115128/" TargetMode="External"/><Relationship Id="rId2" Type="http://schemas.openxmlformats.org/officeDocument/2006/relationships/hyperlink" Target="http://ec.europa.eu/culture/news/2015/0612-cultural-heritage-counts_en.htm" TargetMode="External"/><Relationship Id="rId1" Type="http://schemas.openxmlformats.org/officeDocument/2006/relationships/hyperlink" Target="http://www.sharingheritage.de/en/main/" TargetMode="External"/><Relationship Id="rId5" Type="http://schemas.openxmlformats.org/officeDocument/2006/relationships/hyperlink" Target="http://www.culturalbase.eu" TargetMode="External"/><Relationship Id="rId4" Type="http://schemas.openxmlformats.org/officeDocument/2006/relationships/hyperlink" Target="http://www.jpi-culturalheritage.eu/wp-content/uploads/SRA-2014-06.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5DEA7-0D2C-45D7-BF8E-C8C1DDCFA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32</Pages>
  <Words>8042</Words>
  <Characters>46322</Characters>
  <Application>Microsoft Office Word</Application>
  <DocSecurity>0</DocSecurity>
  <Lines>1852</Lines>
  <Paragraphs>724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18</cp:revision>
  <cp:lastPrinted>2016-07-26T11:42:00Z</cp:lastPrinted>
  <dcterms:created xsi:type="dcterms:W3CDTF">2016-07-26T14:27:00Z</dcterms:created>
  <dcterms:modified xsi:type="dcterms:W3CDTF">2016-08-18T10:13:00Z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5.84.2.0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SJ-025</vt:lpwstr>
  </property>
  <property fmtid="{D5CDD505-2E9C-101B-9397-08002B2CF9AE}" pid="10" name="DQCStatus">
    <vt:lpwstr>Green (DQC version 03)</vt:lpwstr>
  </property>
  <property name="OP_sanitized" fmtid="{D5CDD505-2E9C-101B-9397-08002B2CF9AE}" pid="11">
    <vt:lpwstr>True</vt:lpwstr>
  </property>
</Properties>
</file>