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5D07A6" w:rsidTr="005D07A6">
        <w:trPr>
          <w:trHeight w:val="1440"/>
        </w:trPr>
        <w:tc>
          <w:tcPr>
            <w:tcW w:w="2381" w:type="dxa"/>
            <w:tcBorders>
              <w:top w:val="nil"/>
              <w:left w:val="nil"/>
              <w:bottom w:val="nil"/>
              <w:right w:val="nil"/>
            </w:tcBorders>
          </w:tcPr>
          <w:p w:rsidR="005D07A6" w:rsidRDefault="00461C24">
            <w:pPr>
              <w:pStyle w:val="ZCom"/>
            </w:pPr>
            <w:bookmarkStart w:id="0" w:name="_GoBack"/>
            <w:bookmarkEnd w:id="0"/>
            <w:r>
              <w:rPr>
                <w:sz w:val="20"/>
                <w:szCs w:val="20"/>
              </w:rPr>
              <w:pict w14:anchorId="779EE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51.85pt" fillcolor="window">
                  <v:imagedata r:id="rId11" o:title=""/>
                </v:shape>
              </w:pict>
            </w:r>
            <w:bookmarkStart w:id="1" w:name="_Ref517709753"/>
            <w:bookmarkEnd w:id="1"/>
          </w:p>
        </w:tc>
        <w:tc>
          <w:tcPr>
            <w:tcW w:w="7087" w:type="dxa"/>
            <w:tcBorders>
              <w:top w:val="nil"/>
              <w:left w:val="nil"/>
              <w:bottom w:val="nil"/>
              <w:right w:val="nil"/>
            </w:tcBorders>
          </w:tcPr>
          <w:p w:rsidR="005D07A6" w:rsidRDefault="005D07A6">
            <w:pPr>
              <w:pStyle w:val="ZCom"/>
              <w:spacing w:before="90"/>
            </w:pPr>
            <w:r>
              <w:t>EUROPEAN COMMISSION</w:t>
            </w:r>
          </w:p>
          <w:p w:rsidR="005D07A6" w:rsidRDefault="005D07A6">
            <w:pPr>
              <w:pStyle w:val="ZDGName"/>
            </w:pPr>
          </w:p>
          <w:p w:rsidR="005D07A6" w:rsidRDefault="005D07A6">
            <w:pPr>
              <w:pStyle w:val="ZDGName"/>
            </w:pPr>
          </w:p>
          <w:p w:rsidR="005D07A6" w:rsidRDefault="005D07A6">
            <w:pPr>
              <w:pStyle w:val="ZDGName"/>
            </w:pPr>
          </w:p>
          <w:p w:rsidR="005D07A6" w:rsidRDefault="005D07A6">
            <w:pPr>
              <w:pStyle w:val="ZDGName"/>
            </w:pPr>
          </w:p>
          <w:p w:rsidR="005D07A6" w:rsidRDefault="005D07A6">
            <w:pPr>
              <w:pStyle w:val="ZDGName"/>
            </w:pPr>
          </w:p>
        </w:tc>
      </w:tr>
    </w:tbl>
    <w:p w:rsidR="005D07A6" w:rsidRDefault="00C063D0" w:rsidP="005D07A6">
      <w:pPr>
        <w:pStyle w:val="Date"/>
      </w:pPr>
      <w:r>
        <w:rPr>
          <w:noProof/>
          <w:lang w:val="pl-PL" w:eastAsia="pl-PL"/>
        </w:rPr>
        <mc:AlternateContent>
          <mc:Choice Requires="wps">
            <w:drawing>
              <wp:anchor distT="0" distB="0" distL="114300" distR="114300" simplePos="0" relativeHeight="251658240" behindDoc="0" locked="0" layoutInCell="0" allowOverlap="1" wp14:editId="3892FAFE">
                <wp:simplePos x="0" y="0"/>
                <wp:positionH relativeFrom="column">
                  <wp:posOffset>-36830</wp:posOffset>
                </wp:positionH>
                <wp:positionV relativeFrom="paragraph">
                  <wp:posOffset>137160</wp:posOffset>
                </wp:positionV>
                <wp:extent cx="2926080" cy="1280160"/>
                <wp:effectExtent l="0" t="0" r="2667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2801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687A" w:rsidRDefault="003B687A">
                            <w:pPr>
                              <w:ind w:left="142" w:right="210"/>
                              <w:rPr>
                                <w:sz w:val="20"/>
                              </w:rPr>
                            </w:pPr>
                            <w:r w:rsidRPr="00FC405C">
                              <w:rPr>
                                <w:sz w:val="20"/>
                              </w:rPr>
                              <w:t xml:space="preserve">In the published version of this decision, some information has been omitted pursuant to Article 17(2) of Council Regulation (EC) No </w:t>
                            </w:r>
                            <w:r>
                              <w:rPr>
                                <w:sz w:val="20"/>
                              </w:rPr>
                              <w:t>139/2004</w:t>
                            </w:r>
                            <w:r w:rsidRPr="00FC405C">
                              <w:rPr>
                                <w:sz w:val="20"/>
                              </w:rPr>
                              <w:t xml:space="preserve"> concerning non-disclosure of business secrets and other confidential information. The omissions are shown thus […]. Where possible the information omitted has been replaced by ranges of figures or a general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9pt;margin-top:10.8pt;width:230.4pt;height:10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" o:allowincell="f">
                <v:textbox inset="0,0,0,0">
                  <w:txbxContent>
                    <w:p w:rsidR="003B687A" w:rsidRDefault="003B687A">
                      <w:pPr>
                        <w:ind w:left="142" w:right="210"/>
                        <w:rPr>
                          <w:sz w:val="20"/>
                        </w:rPr>
                      </w:pPr>
                      <w:r w:rsidRPr="00FC405C">
                        <w:rPr>
                          <w:sz w:val="20"/>
                        </w:rPr>
                        <w:t xml:space="preserve">In the published version of this decision, some information has been omitted pursuant to Article 17(2) of Council Regulation (EC) No </w:t>
                      </w:r>
                      <w:r>
                        <w:rPr>
                          <w:sz w:val="20"/>
                        </w:rPr>
                        <w:t>139/2004</w:t>
                      </w:r>
                      <w:r w:rsidRPr="00FC405C">
                        <w:rPr>
                          <w:sz w:val="20"/>
                        </w:rPr>
                        <w:t xml:space="preserve"> concerning non-disclosure of business secrets and other confidential information. The omissions are shown thus […]. Where possible the information omitted has been replaced by ranges of figures or a general description.</w:t>
                      </w:r>
                    </w:p>
                  </w:txbxContent>
                </v:textbox>
              </v:rect>
            </w:pict>
          </mc:Fallback>
        </mc:AlternateContent>
      </w:r>
      <w:r w:rsidR="005D07A6">
        <w:t xml:space="preserve">Brussels, </w:t>
      </w:r>
      <w:r w:rsidR="000C7449">
        <w:t>29.06.2018</w:t>
      </w:r>
    </w:p>
    <w:p w:rsidR="005D07A6" w:rsidRDefault="00C063D0" w:rsidP="005D07A6">
      <w:pPr>
        <w:pStyle w:val="References"/>
        <w:rPr>
          <w:sz w:val="24"/>
        </w:rPr>
      </w:pPr>
      <w:r>
        <w:rPr>
          <w:noProof/>
          <w:lang w:val="pl-PL" w:eastAsia="pl-PL"/>
        </w:rPr>
        <mc:AlternateContent>
          <mc:Choice Requires="wps">
            <w:drawing>
              <wp:anchor distT="0" distB="0" distL="114300" distR="114300" simplePos="0" relativeHeight="251659264" behindDoc="0" locked="0" layoutInCell="0" allowOverlap="1" wp14:editId="40A76840">
                <wp:simplePos x="0" y="0"/>
                <wp:positionH relativeFrom="column">
                  <wp:posOffset>3224530</wp:posOffset>
                </wp:positionH>
                <wp:positionV relativeFrom="paragraph">
                  <wp:posOffset>297180</wp:posOffset>
                </wp:positionV>
                <wp:extent cx="2106295" cy="465455"/>
                <wp:effectExtent l="0" t="0" r="2730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4654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687A" w:rsidRPr="00FC3099" w:rsidRDefault="003B687A" w:rsidP="00C063D0">
                            <w:pPr>
                              <w:spacing w:before="180" w:after="100" w:afterAutospacing="1"/>
                              <w:jc w:val="center"/>
                              <w:rPr>
                                <w:lang w:val="fr-BE"/>
                              </w:rPr>
                            </w:pPr>
                            <w:r w:rsidRPr="00C063D0">
                              <w:rPr>
                                <w:lang w:val="fr-BE"/>
                              </w:rPr>
                              <w:t>PUBLIC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53.9pt;margin-top:23.4pt;width:165.8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" o:allowincell="f">
                <v:textbox inset="0,0,0,0">
                  <w:txbxContent>
                    <w:p w:rsidR="003B687A" w:rsidRPr="00FC3099" w:rsidRDefault="003B687A" w:rsidP="00C063D0">
                      <w:pPr>
                        <w:spacing w:before="180" w:after="100" w:afterAutospacing="1"/>
                        <w:jc w:val="center"/>
                        <w:rPr>
                          <w:lang w:val="fr-BE"/>
                        </w:rPr>
                      </w:pPr>
                      <w:r w:rsidRPr="00C063D0">
                        <w:rPr>
                          <w:lang w:val="fr-BE"/>
                        </w:rPr>
                        <w:t>PUBLIC VERSION</w:t>
                      </w:r>
                    </w:p>
                  </w:txbxContent>
                </v:textbox>
              </v:rect>
            </w:pict>
          </mc:Fallback>
        </mc:AlternateContent>
      </w:r>
      <w:r w:rsidR="009A4B61">
        <w:rPr>
          <w:sz w:val="24"/>
        </w:rPr>
        <w:t>C(2018</w:t>
      </w:r>
      <w:r w:rsidR="005D07A6">
        <w:rPr>
          <w:sz w:val="24"/>
        </w:rPr>
        <w:t>)</w:t>
      </w:r>
      <w:r w:rsidR="000C7449">
        <w:rPr>
          <w:sz w:val="24"/>
        </w:rPr>
        <w:t xml:space="preserve"> 4214 final</w:t>
      </w:r>
    </w:p>
    <w:p w:rsidR="005D07A6" w:rsidRPr="005D07A6" w:rsidRDefault="005D07A6" w:rsidP="005D07A6">
      <w:pPr>
        <w:tabs>
          <w:tab w:val="left" w:pos="5103"/>
        </w:tabs>
        <w:rPr>
          <w:i/>
          <w:sz w:val="32"/>
          <w:szCs w:val="32"/>
        </w:rPr>
      </w:pPr>
      <w:r>
        <w:tab/>
      </w:r>
    </w:p>
    <w:p w:rsidR="005D07A6" w:rsidRDefault="005D07A6" w:rsidP="005D07A6">
      <w:pPr>
        <w:pStyle w:val="AddressTR"/>
      </w:pPr>
      <w:r>
        <w:br/>
      </w:r>
      <w:r w:rsidR="00C063D0" w:rsidRPr="00C063D0">
        <w:rPr>
          <w:b/>
          <w:u w:val="single"/>
        </w:rPr>
        <w:t>To the notifying party:</w:t>
      </w:r>
      <w:r w:rsidRPr="0025586B">
        <w:rPr>
          <w:highlight w:val="yellow"/>
        </w:rPr>
        <w:br/>
      </w:r>
    </w:p>
    <w:p w:rsidR="00157C91" w:rsidRDefault="005D07A6" w:rsidP="00843468">
      <w:pPr>
        <w:pStyle w:val="Subject"/>
        <w:rPr>
          <w:spacing w:val="-3"/>
        </w:rPr>
      </w:pPr>
      <w:r>
        <w:rPr>
          <w:u w:val="single"/>
        </w:rPr>
        <w:t>Subject</w:t>
      </w:r>
      <w:r>
        <w:t>:</w:t>
      </w:r>
      <w:r>
        <w:tab/>
        <w:t>Case M.</w:t>
      </w:r>
      <w:r w:rsidR="002D2887">
        <w:t xml:space="preserve">8889 – </w:t>
      </w:r>
      <w:r w:rsidR="002D2887" w:rsidRPr="002D2887">
        <w:t>Teva/PGT OTC Assets</w:t>
      </w:r>
      <w:r>
        <w:br/>
        <w:t xml:space="preserve">Commission decision pursuant to Article </w:t>
      </w:r>
      <w:r w:rsidRPr="004A4EB9">
        <w:t xml:space="preserve">6(1)(b) </w:t>
      </w:r>
      <w:r>
        <w:t>of Council Regulation No 139</w:t>
      </w:r>
      <w:r w:rsidRPr="000D5C08">
        <w:t>/2004</w:t>
      </w:r>
      <w:r w:rsidRPr="000D5C08">
        <w:rPr>
          <w:rStyle w:val="FootnoteReference"/>
          <w:spacing w:val="-3"/>
        </w:rPr>
        <w:footnoteReference w:id="2"/>
      </w:r>
      <w:r w:rsidRPr="000D5C08">
        <w:t xml:space="preserve"> </w:t>
      </w:r>
      <w:r w:rsidRPr="000D5C08">
        <w:rPr>
          <w:spacing w:val="-3"/>
        </w:rPr>
        <w:t>and Article 57 of the Agreement on the European Economic Area</w:t>
      </w:r>
      <w:r w:rsidRPr="000D5C08">
        <w:rPr>
          <w:rStyle w:val="FootnoteReference"/>
          <w:spacing w:val="-3"/>
        </w:rPr>
        <w:footnoteReference w:id="3"/>
      </w:r>
    </w:p>
    <w:p w:rsidR="005D07A6" w:rsidRPr="005D07A6" w:rsidRDefault="005D07A6" w:rsidP="005D07A6">
      <w:r w:rsidRPr="005D07A6">
        <w:t>Dear Sir or Madam,</w:t>
      </w:r>
    </w:p>
    <w:p w:rsidR="005D07A6" w:rsidRDefault="005D07A6" w:rsidP="00563368">
      <w:pPr>
        <w:pStyle w:val="ListNumber"/>
      </w:pPr>
      <w:r w:rsidRPr="002D2887">
        <w:t xml:space="preserve">On </w:t>
      </w:r>
      <w:r w:rsidR="002D2887" w:rsidRPr="002D2887">
        <w:t>25 May 2018</w:t>
      </w:r>
      <w:r w:rsidRPr="002D2887">
        <w:t>,</w:t>
      </w:r>
      <w:r>
        <w:t xml:space="preserve"> the European Commission received notification of a proposed concentration pursuant to Article 4 of the Merger Regulation by which</w:t>
      </w:r>
      <w:r w:rsidR="002D2887">
        <w:t xml:space="preserve"> </w:t>
      </w:r>
      <w:r w:rsidR="002D2887" w:rsidRPr="002D2887">
        <w:t xml:space="preserve">Teva Pharmaceuticals Industries Ltd ("Teva", Israel) will acquire control </w:t>
      </w:r>
      <w:r w:rsidR="00C418A8">
        <w:t>within the meaning of Article 3.1(b) of the Merger Regulation</w:t>
      </w:r>
      <w:r w:rsidR="00C418A8" w:rsidRPr="002D2887">
        <w:t xml:space="preserve"> </w:t>
      </w:r>
      <w:r w:rsidR="002D2887" w:rsidRPr="002D2887">
        <w:t>over part of the over-the-counter ("OTC") business (the "Target business</w:t>
      </w:r>
      <w:r w:rsidR="00CF4A29">
        <w:t>"</w:t>
      </w:r>
      <w:r w:rsidR="002D2887" w:rsidRPr="002D2887">
        <w:t xml:space="preserve">) </w:t>
      </w:r>
      <w:r w:rsidR="00BB11C8">
        <w:t>of</w:t>
      </w:r>
      <w:r w:rsidR="002D2887" w:rsidRPr="002D2887">
        <w:t xml:space="preserve"> a joint venture (</w:t>
      </w:r>
      <w:r w:rsidR="00C36DD0">
        <w:t>PGT Healthcare LLP,</w:t>
      </w:r>
      <w:r w:rsidR="00C36DD0" w:rsidRPr="002D2887">
        <w:t xml:space="preserve"> </w:t>
      </w:r>
      <w:r w:rsidR="002D2887" w:rsidRPr="002D2887">
        <w:t xml:space="preserve">"PGT") controlled by The Procter &amp; Gamble Company ("P&amp;G", USA) ("the Transaction"). Teva </w:t>
      </w:r>
      <w:r w:rsidR="00F35FB8">
        <w:t xml:space="preserve">is referred to as "the Notifying Party" and Teva </w:t>
      </w:r>
      <w:r w:rsidR="002D2887" w:rsidRPr="002D2887">
        <w:t>and the Target collectively as "</w:t>
      </w:r>
      <w:r w:rsidR="00F35FB8">
        <w:t xml:space="preserve">the </w:t>
      </w:r>
      <w:r w:rsidR="002D2887" w:rsidRPr="002D2887">
        <w:t xml:space="preserve">Parties". </w:t>
      </w:r>
    </w:p>
    <w:p w:rsidR="005D07A6" w:rsidRDefault="00C84012" w:rsidP="00C84012">
      <w:pPr>
        <w:pStyle w:val="Heading1"/>
        <w:tabs>
          <w:tab w:val="clear" w:pos="480"/>
          <w:tab w:val="num" w:pos="851"/>
        </w:tabs>
        <w:ind w:left="709" w:hanging="709"/>
      </w:pPr>
      <w:bookmarkStart w:id="2" w:name="_Toc517444563"/>
      <w:bookmarkStart w:id="3" w:name="_Toc517710367"/>
      <w:bookmarkStart w:id="4" w:name="_Toc517812897"/>
      <w:r w:rsidRPr="00C9265A">
        <w:t xml:space="preserve">The </w:t>
      </w:r>
      <w:r w:rsidRPr="00C84012">
        <w:t>parties</w:t>
      </w:r>
      <w:bookmarkEnd w:id="2"/>
      <w:bookmarkEnd w:id="3"/>
      <w:bookmarkEnd w:id="4"/>
    </w:p>
    <w:p w:rsidR="002D2887" w:rsidRDefault="002D2887" w:rsidP="002D2887">
      <w:pPr>
        <w:pStyle w:val="ListNumber"/>
      </w:pPr>
      <w:r>
        <w:t>Teva is a global pharmaceutical company involved in the development, production, and marketing of generic and proprietary pharmaceutical products; biopharmaceuticals; and active pharmaceutical ingredients.</w:t>
      </w:r>
    </w:p>
    <w:p w:rsidR="005D07A6" w:rsidRPr="007543E6" w:rsidRDefault="002D2887" w:rsidP="002D2887">
      <w:pPr>
        <w:pStyle w:val="ListNumber"/>
      </w:pPr>
      <w:r>
        <w:t xml:space="preserve">The Target business </w:t>
      </w:r>
      <w:r w:rsidR="00CF4A29">
        <w:t xml:space="preserve">is comprised of </w:t>
      </w:r>
      <w:r>
        <w:t xml:space="preserve">a number of pharmaceutical products </w:t>
      </w:r>
      <w:r w:rsidR="004F29AF">
        <w:t xml:space="preserve">sold </w:t>
      </w:r>
      <w:r w:rsidR="004F29AF">
        <w:rPr>
          <w:rFonts w:ascii="Times" w:hAnsi="Times"/>
          <w:szCs w:val="24"/>
        </w:rPr>
        <w:t>Over-the-Counter</w:t>
      </w:r>
      <w:r w:rsidR="004F29AF" w:rsidRPr="004C613C">
        <w:rPr>
          <w:rFonts w:ascii="Times" w:hAnsi="Times"/>
          <w:szCs w:val="24"/>
        </w:rPr>
        <w:t xml:space="preserve"> </w:t>
      </w:r>
      <w:r w:rsidR="004F29AF" w:rsidRPr="00A1512F">
        <w:rPr>
          <w:rFonts w:ascii="Times" w:hAnsi="Times"/>
          <w:szCs w:val="24"/>
        </w:rPr>
        <w:t>(OTC</w:t>
      </w:r>
      <w:r w:rsidR="004F29AF">
        <w:rPr>
          <w:rFonts w:ascii="Times" w:hAnsi="Times"/>
          <w:szCs w:val="24"/>
        </w:rPr>
        <w:t>)</w:t>
      </w:r>
      <w:r w:rsidR="004F29AF">
        <w:t xml:space="preserve"> </w:t>
      </w:r>
      <w:r>
        <w:t xml:space="preserve">previously contributed by Teva to PGT. The Target business </w:t>
      </w:r>
      <w:r w:rsidR="00CF4A29">
        <w:t>also</w:t>
      </w:r>
      <w:r>
        <w:t xml:space="preserve"> includes marginal sales in cosmetic products, medical devices, food supplements and general articles.</w:t>
      </w:r>
    </w:p>
    <w:p w:rsidR="005D07A6" w:rsidRPr="00605611" w:rsidRDefault="00C84012" w:rsidP="00C84012">
      <w:pPr>
        <w:pStyle w:val="Heading1"/>
        <w:tabs>
          <w:tab w:val="clear" w:pos="480"/>
          <w:tab w:val="num" w:pos="851"/>
        </w:tabs>
        <w:ind w:left="709" w:hanging="709"/>
      </w:pPr>
      <w:bookmarkStart w:id="5" w:name="_Toc517444564"/>
      <w:bookmarkStart w:id="6" w:name="_Toc517710368"/>
      <w:bookmarkStart w:id="7" w:name="_Toc517812898"/>
      <w:r w:rsidRPr="00605611">
        <w:lastRenderedPageBreak/>
        <w:t xml:space="preserve">The </w:t>
      </w:r>
      <w:r w:rsidR="002D2887">
        <w:t>concentration</w:t>
      </w:r>
      <w:bookmarkEnd w:id="5"/>
      <w:bookmarkEnd w:id="6"/>
      <w:bookmarkEnd w:id="7"/>
    </w:p>
    <w:p w:rsidR="002D2887" w:rsidRDefault="002D2887" w:rsidP="002D2887">
      <w:pPr>
        <w:pStyle w:val="ListNumber"/>
      </w:pPr>
      <w:r>
        <w:t>The Transaction will be structured as follows</w:t>
      </w:r>
      <w:r w:rsidR="00B51B76">
        <w:t>. Teva will withdraw from PGT, and Teva's</w:t>
      </w:r>
      <w:r>
        <w:t xml:space="preserve"> </w:t>
      </w:r>
      <w:r w:rsidR="002A0EDE">
        <w:t xml:space="preserve">49% </w:t>
      </w:r>
      <w:r>
        <w:t xml:space="preserve">interests in </w:t>
      </w:r>
      <w:r w:rsidR="00B51B76">
        <w:t xml:space="preserve">this company </w:t>
      </w:r>
      <w:r>
        <w:t>will be cancelled</w:t>
      </w:r>
      <w:r w:rsidR="00B51B76">
        <w:t xml:space="preserve">, as a result of which </w:t>
      </w:r>
      <w:r w:rsidR="00C36DD0">
        <w:t xml:space="preserve">P&amp;G </w:t>
      </w:r>
      <w:r w:rsidR="00B51B76">
        <w:t>will own 100% of the interests.</w:t>
      </w:r>
      <w:r>
        <w:t xml:space="preserve"> PGT and P&amp;G will transfer to Teva all of </w:t>
      </w:r>
      <w:r w:rsidR="001A6CC3">
        <w:t xml:space="preserve">the </w:t>
      </w:r>
      <w:r>
        <w:t>rights, titles, and interests in assets pertaining to the Target business.</w:t>
      </w:r>
    </w:p>
    <w:p w:rsidR="00CF4A29" w:rsidRPr="00B51B76" w:rsidRDefault="002D2887" w:rsidP="002D2887">
      <w:pPr>
        <w:pStyle w:val="ListNumber"/>
      </w:pPr>
      <w:r>
        <w:t>As a result, Teva will acquire parts of an undertaking</w:t>
      </w:r>
      <w:r w:rsidR="00CF4A29">
        <w:t xml:space="preserve"> within the meaning of </w:t>
      </w:r>
      <w:r w:rsidR="00B51B76" w:rsidRPr="00B51B76">
        <w:t>3(1)(b) of the Merger Regulation</w:t>
      </w:r>
      <w:r w:rsidR="00B51B76">
        <w:t>.</w:t>
      </w:r>
    </w:p>
    <w:p w:rsidR="005D07A6" w:rsidRPr="00605611" w:rsidRDefault="002D2887" w:rsidP="002D2887">
      <w:pPr>
        <w:pStyle w:val="ListNumber"/>
      </w:pPr>
      <w:r>
        <w:t xml:space="preserve">The Transaction </w:t>
      </w:r>
      <w:r w:rsidR="00CF4A29">
        <w:t xml:space="preserve">therefore </w:t>
      </w:r>
      <w:r>
        <w:t>constitutes a concentration within the meaning of Article 3(1)(b) of the Merger Regulation.</w:t>
      </w:r>
    </w:p>
    <w:p w:rsidR="005D07A6" w:rsidRPr="00605611" w:rsidRDefault="005D07A6" w:rsidP="00C84012">
      <w:pPr>
        <w:pStyle w:val="Heading1"/>
        <w:tabs>
          <w:tab w:val="clear" w:pos="480"/>
          <w:tab w:val="num" w:pos="851"/>
        </w:tabs>
        <w:ind w:left="709" w:hanging="709"/>
      </w:pPr>
      <w:bookmarkStart w:id="8" w:name="_Toc517444565"/>
      <w:bookmarkStart w:id="9" w:name="_Toc517710369"/>
      <w:bookmarkStart w:id="10" w:name="_Toc517812899"/>
      <w:r>
        <w:t>EU</w:t>
      </w:r>
      <w:r w:rsidRPr="00605611">
        <w:t xml:space="preserve"> D</w:t>
      </w:r>
      <w:r w:rsidRPr="00C84012">
        <w:rPr>
          <w:sz w:val="22"/>
        </w:rPr>
        <w:t>IMENSION</w:t>
      </w:r>
      <w:bookmarkEnd w:id="8"/>
      <w:bookmarkEnd w:id="9"/>
      <w:bookmarkEnd w:id="10"/>
    </w:p>
    <w:p w:rsidR="00CF4A29" w:rsidRDefault="005D07A6" w:rsidP="00C84012">
      <w:pPr>
        <w:pStyle w:val="ListNumber"/>
      </w:pPr>
      <w:r w:rsidRPr="00605611">
        <w:t>The undertakings concerned have a combined aggregate world-wide turnover of more than EUR 5 000 million</w:t>
      </w:r>
      <w:r w:rsidRPr="00605611">
        <w:rPr>
          <w:vertAlign w:val="superscript"/>
        </w:rPr>
        <w:footnoteReference w:id="4"/>
      </w:r>
      <w:r>
        <w:t xml:space="preserve">. </w:t>
      </w:r>
      <w:r w:rsidRPr="00605611">
        <w:t>Each of them has a</w:t>
      </w:r>
      <w:r>
        <w:t>n</w:t>
      </w:r>
      <w:r w:rsidRPr="00605611">
        <w:t xml:space="preserve"> </w:t>
      </w:r>
      <w:r>
        <w:t>EU-</w:t>
      </w:r>
      <w:r w:rsidRPr="00605611">
        <w:t xml:space="preserve">wide turnover in excess of EUR 250 million, but they do not achieve more than two-thirds of their aggregate </w:t>
      </w:r>
      <w:r>
        <w:t>EU-</w:t>
      </w:r>
      <w:r w:rsidRPr="00605611">
        <w:t xml:space="preserve">wide turnover within one and the same Member State. </w:t>
      </w:r>
    </w:p>
    <w:p w:rsidR="005D07A6" w:rsidRPr="00605611" w:rsidRDefault="005D07A6" w:rsidP="00C84012">
      <w:pPr>
        <w:pStyle w:val="ListNumber"/>
      </w:pPr>
      <w:r w:rsidRPr="00605611">
        <w:t>The notified operation therefore has an EU dimension</w:t>
      </w:r>
      <w:r w:rsidR="00CF4A29">
        <w:t xml:space="preserve"> within the meaning of Article 1(2) of the </w:t>
      </w:r>
      <w:r w:rsidR="00DA130E">
        <w:t>M</w:t>
      </w:r>
      <w:r w:rsidR="00CF4A29">
        <w:t>erger Regulation</w:t>
      </w:r>
      <w:r w:rsidRPr="00605611">
        <w:t>.</w:t>
      </w:r>
    </w:p>
    <w:p w:rsidR="005D07A6" w:rsidRDefault="00C84012" w:rsidP="00C84012">
      <w:pPr>
        <w:pStyle w:val="Heading1"/>
        <w:tabs>
          <w:tab w:val="clear" w:pos="480"/>
          <w:tab w:val="num" w:pos="851"/>
        </w:tabs>
        <w:ind w:left="709" w:hanging="709"/>
      </w:pPr>
      <w:bookmarkStart w:id="11" w:name="_Toc517444566"/>
      <w:bookmarkStart w:id="12" w:name="_Toc517710370"/>
      <w:bookmarkStart w:id="13" w:name="_Toc517812900"/>
      <w:r w:rsidRPr="00605611">
        <w:t>Competitive assessment</w:t>
      </w:r>
      <w:bookmarkEnd w:id="11"/>
      <w:bookmarkEnd w:id="12"/>
      <w:bookmarkEnd w:id="13"/>
    </w:p>
    <w:p w:rsidR="002D2887" w:rsidRDefault="002D2887" w:rsidP="002D2887">
      <w:pPr>
        <w:pStyle w:val="Heading2"/>
        <w:tabs>
          <w:tab w:val="clear" w:pos="1080"/>
          <w:tab w:val="num" w:pos="709"/>
        </w:tabs>
        <w:ind w:left="709"/>
      </w:pPr>
      <w:bookmarkStart w:id="14" w:name="_Toc517444567"/>
      <w:bookmarkStart w:id="15" w:name="_Toc517710371"/>
      <w:bookmarkStart w:id="16" w:name="_Toc517812901"/>
      <w:r>
        <w:t>Introduction</w:t>
      </w:r>
      <w:bookmarkEnd w:id="14"/>
      <w:bookmarkEnd w:id="15"/>
      <w:bookmarkEnd w:id="16"/>
    </w:p>
    <w:p w:rsidR="00CF4A29" w:rsidRDefault="002D2887" w:rsidP="002D2887">
      <w:pPr>
        <w:pStyle w:val="ListNumber"/>
      </w:pPr>
      <w:r w:rsidRPr="008A4632">
        <w:t>In 2011, Teva and P&amp;G creat</w:t>
      </w:r>
      <w:r w:rsidRPr="00E66996">
        <w:t>ed a joint venture, PGT</w:t>
      </w:r>
      <w:r w:rsidR="002A0EDE">
        <w:t>, in which they held 49% and 51% of equity interests respectively.</w:t>
      </w:r>
      <w:r w:rsidR="00CF4A29">
        <w:t xml:space="preserve"> </w:t>
      </w:r>
      <w:r w:rsidRPr="00E66996">
        <w:t xml:space="preserve">Each of Teva and P&amp;G contributed to PGT </w:t>
      </w:r>
      <w:r w:rsidR="00CF4A29">
        <w:t>the entirety of</w:t>
      </w:r>
      <w:r w:rsidRPr="00E66996">
        <w:t xml:space="preserve"> their OTC drug business.</w:t>
      </w:r>
      <w:r w:rsidRPr="00F35FB8">
        <w:t xml:space="preserve"> </w:t>
      </w:r>
      <w:r w:rsidR="00CF4A29">
        <w:t>PGT</w:t>
      </w:r>
      <w:r w:rsidR="00CF4A29" w:rsidRPr="00E66996">
        <w:t xml:space="preserve"> is solely controlled by P&amp;G.</w:t>
      </w:r>
      <w:r w:rsidR="00B51B76" w:rsidRPr="00E66996">
        <w:rPr>
          <w:rStyle w:val="FootnoteReference"/>
        </w:rPr>
        <w:footnoteReference w:id="5"/>
      </w:r>
      <w:r w:rsidR="00B51B76" w:rsidRPr="00F35FB8">
        <w:t xml:space="preserve"> </w:t>
      </w:r>
    </w:p>
    <w:p w:rsidR="002D2887" w:rsidRPr="00E66996" w:rsidRDefault="002D2887" w:rsidP="002D2887">
      <w:pPr>
        <w:pStyle w:val="ListNumber"/>
      </w:pPr>
      <w:r w:rsidRPr="00F35FB8">
        <w:t>Th</w:t>
      </w:r>
      <w:r w:rsidR="00F35FB8">
        <w:t>e</w:t>
      </w:r>
      <w:r w:rsidRPr="00E66996" w:rsidDel="00F35FB8">
        <w:t xml:space="preserve"> </w:t>
      </w:r>
      <w:r w:rsidR="00F35FB8">
        <w:t>Transaction</w:t>
      </w:r>
      <w:r w:rsidR="00F35FB8" w:rsidRPr="008A4632">
        <w:t xml:space="preserve"> </w:t>
      </w:r>
      <w:r w:rsidRPr="00E66996">
        <w:t>results from the dissolution of PGT. After cancelling its participation in the joint venture, Teva will re-acquire control over the</w:t>
      </w:r>
      <w:r w:rsidRPr="00E66996" w:rsidDel="00BA6D2B">
        <w:t xml:space="preserve"> </w:t>
      </w:r>
      <w:r w:rsidRPr="00E66996">
        <w:t xml:space="preserve">products it had contributed to PGT.  </w:t>
      </w:r>
      <w:r w:rsidR="00CF4A29">
        <w:t xml:space="preserve">The remaining PGT product will remain under </w:t>
      </w:r>
      <w:r w:rsidR="00C36DD0">
        <w:t xml:space="preserve">the </w:t>
      </w:r>
      <w:r w:rsidR="00CF4A29">
        <w:t>control of P&amp;G.</w:t>
      </w:r>
    </w:p>
    <w:p w:rsidR="00CF4A29" w:rsidRDefault="002D2887" w:rsidP="00E66996">
      <w:pPr>
        <w:pStyle w:val="ListNumber"/>
      </w:pPr>
      <w:r w:rsidRPr="00E66996">
        <w:t>T</w:t>
      </w:r>
      <w:r w:rsidR="00CF4A29">
        <w:t xml:space="preserve">here is a number of pre-existing links between </w:t>
      </w:r>
      <w:r w:rsidRPr="00E66996">
        <w:t xml:space="preserve">Teva </w:t>
      </w:r>
      <w:r w:rsidR="00CF4A29">
        <w:t>and the Target business. Specifically, T</w:t>
      </w:r>
      <w:r w:rsidRPr="00E66996">
        <w:t xml:space="preserve">eva </w:t>
      </w:r>
      <w:r w:rsidRPr="008A4632">
        <w:t xml:space="preserve">manufactures </w:t>
      </w:r>
      <w:r w:rsidR="00CF4A29">
        <w:t>all</w:t>
      </w:r>
      <w:r w:rsidRPr="008A4632">
        <w:t xml:space="preserve"> </w:t>
      </w:r>
      <w:r w:rsidR="00BB11C8">
        <w:t>the</w:t>
      </w:r>
      <w:r w:rsidRPr="008A4632">
        <w:t xml:space="preserve"> Target business products and offers them to PGT on the basis of </w:t>
      </w:r>
      <w:r w:rsidRPr="00E66996">
        <w:t>supply agreement</w:t>
      </w:r>
      <w:r w:rsidR="00F35FB8">
        <w:t>s</w:t>
      </w:r>
      <w:r w:rsidRPr="008A4632">
        <w:t>. Teva also</w:t>
      </w:r>
      <w:r w:rsidRPr="00E66996" w:rsidDel="00F66C2F">
        <w:t xml:space="preserve"> </w:t>
      </w:r>
      <w:r w:rsidRPr="00E66996">
        <w:t xml:space="preserve">distributes and holds the marketing authorization for </w:t>
      </w:r>
      <w:r w:rsidR="00C063D0">
        <w:t>[…]</w:t>
      </w:r>
      <w:r w:rsidRPr="00E66996">
        <w:t xml:space="preserve"> the Target business products in the EEA</w:t>
      </w:r>
      <w:r w:rsidR="00F35FB8">
        <w:t>.</w:t>
      </w:r>
      <w:r w:rsidR="00F35FB8">
        <w:rPr>
          <w:rStyle w:val="FootnoteReference"/>
        </w:rPr>
        <w:footnoteReference w:id="6"/>
      </w:r>
      <w:r w:rsidRPr="00E66996">
        <w:t xml:space="preserve">  </w:t>
      </w:r>
      <w:r w:rsidR="00F35FB8">
        <w:t xml:space="preserve">As a distributor of those products, </w:t>
      </w:r>
      <w:r w:rsidRPr="008A4632">
        <w:t>Teva is responsible for the "day-to-day" decisions related to the Target business products and sets the prices to wholesa</w:t>
      </w:r>
      <w:r w:rsidRPr="00E66996">
        <w:t xml:space="preserve">lers and customers.  </w:t>
      </w:r>
    </w:p>
    <w:p w:rsidR="00F35FB8" w:rsidRDefault="002D2887" w:rsidP="00E66996">
      <w:pPr>
        <w:pStyle w:val="ListNumber"/>
      </w:pPr>
      <w:r w:rsidRPr="008A4632">
        <w:lastRenderedPageBreak/>
        <w:t>The</w:t>
      </w:r>
      <w:r w:rsidRPr="008A4632" w:rsidDel="00E66996">
        <w:t xml:space="preserve"> </w:t>
      </w:r>
      <w:r w:rsidR="00804C56">
        <w:t xml:space="preserve">potential </w:t>
      </w:r>
      <w:r w:rsidR="00E66996">
        <w:t xml:space="preserve">overlaps between </w:t>
      </w:r>
      <w:r w:rsidR="00BB11C8">
        <w:t xml:space="preserve">the </w:t>
      </w:r>
      <w:r w:rsidR="00E66996">
        <w:t xml:space="preserve">Target </w:t>
      </w:r>
      <w:r w:rsidR="00CF4A29">
        <w:t xml:space="preserve">business </w:t>
      </w:r>
      <w:r w:rsidR="00E66996">
        <w:t xml:space="preserve">and Teva </w:t>
      </w:r>
      <w:r w:rsidR="00CF4A29">
        <w:t xml:space="preserve">are limited and </w:t>
      </w:r>
      <w:r w:rsidR="00C448BC">
        <w:t xml:space="preserve">essentially </w:t>
      </w:r>
      <w:r w:rsidR="00CF4A29">
        <w:t>concern</w:t>
      </w:r>
      <w:r w:rsidR="00CF4A29" w:rsidRPr="008A4632">
        <w:t xml:space="preserve"> </w:t>
      </w:r>
      <w:r w:rsidR="00E66996">
        <w:t xml:space="preserve">Teva </w:t>
      </w:r>
      <w:r w:rsidRPr="00E66996">
        <w:t>OTC products acquired after 2011, to the extent they were not contributed to PGT.</w:t>
      </w:r>
      <w:r w:rsidR="00F35FB8">
        <w:rPr>
          <w:rStyle w:val="FootnoteReference"/>
        </w:rPr>
        <w:footnoteReference w:id="7"/>
      </w:r>
    </w:p>
    <w:p w:rsidR="007E6CD9" w:rsidRDefault="00F35FB8" w:rsidP="002D2887">
      <w:pPr>
        <w:pStyle w:val="ListNumber"/>
      </w:pPr>
      <w:r>
        <w:t>In view of these close relations</w:t>
      </w:r>
      <w:r w:rsidR="00CF4A29">
        <w:t>hips</w:t>
      </w:r>
      <w:r>
        <w:t xml:space="preserve"> between Teva and the Target business pre-Transaction, the Commission </w:t>
      </w:r>
      <w:r w:rsidR="00804C56">
        <w:t xml:space="preserve">also </w:t>
      </w:r>
      <w:r>
        <w:t xml:space="preserve">investigated </w:t>
      </w:r>
      <w:r w:rsidR="00CF4A29">
        <w:t>the</w:t>
      </w:r>
      <w:r>
        <w:t xml:space="preserve"> extent </w:t>
      </w:r>
      <w:r w:rsidR="00CF4A29">
        <w:t>to which</w:t>
      </w:r>
      <w:r>
        <w:t xml:space="preserve"> Teva and the Target business were </w:t>
      </w:r>
      <w:r w:rsidR="007E6CD9">
        <w:t xml:space="preserve">perceived </w:t>
      </w:r>
      <w:r>
        <w:t xml:space="preserve">by competitors and customers as </w:t>
      </w:r>
      <w:r w:rsidR="007E6CD9">
        <w:t>competing against each other</w:t>
      </w:r>
      <w:r>
        <w:t>.</w:t>
      </w:r>
    </w:p>
    <w:p w:rsidR="00CE1148" w:rsidRDefault="007E6CD9" w:rsidP="006804D8">
      <w:pPr>
        <w:pStyle w:val="ListNumber"/>
      </w:pPr>
      <w:r>
        <w:t xml:space="preserve">The results of the market investigation </w:t>
      </w:r>
      <w:r w:rsidR="00CF4A29">
        <w:t xml:space="preserve">indicate </w:t>
      </w:r>
      <w:r>
        <w:t xml:space="preserve">that Teva and the Target business are generally perceived as two separate </w:t>
      </w:r>
      <w:r w:rsidR="00804C56">
        <w:t>competitors</w:t>
      </w:r>
      <w:r>
        <w:t>.</w:t>
      </w:r>
      <w:r>
        <w:rPr>
          <w:rStyle w:val="FootnoteReference"/>
        </w:rPr>
        <w:footnoteReference w:id="8"/>
      </w:r>
      <w:r>
        <w:t xml:space="preserve"> </w:t>
      </w:r>
      <w:r w:rsidR="00C448BC">
        <w:t xml:space="preserve">Pharmacies </w:t>
      </w:r>
      <w:r w:rsidR="006347D0">
        <w:t>explained that they negotiate separately and with different sales teams the purchase terms for Teva and</w:t>
      </w:r>
      <w:r w:rsidR="00C448BC">
        <w:t xml:space="preserve"> the</w:t>
      </w:r>
      <w:r w:rsidR="006347D0">
        <w:t xml:space="preserve"> Target business</w:t>
      </w:r>
      <w:r w:rsidR="00C448BC">
        <w:t>'</w:t>
      </w:r>
      <w:r w:rsidR="006347D0">
        <w:t xml:space="preserve"> products. </w:t>
      </w:r>
      <w:r w:rsidR="006804D8">
        <w:t>On this basis, for the purposes of the competitive assessment, the Commission considered the Parties as separate players competing with each other in the market pre-Transaction.</w:t>
      </w:r>
      <w:r w:rsidR="006804D8">
        <w:rPr>
          <w:rStyle w:val="FootnoteReference"/>
        </w:rPr>
        <w:footnoteReference w:id="9"/>
      </w:r>
      <w:r w:rsidR="006804D8">
        <w:t xml:space="preserve"> </w:t>
      </w:r>
    </w:p>
    <w:p w:rsidR="002D2887" w:rsidRPr="00E66996" w:rsidRDefault="00804C56" w:rsidP="002D2887">
      <w:pPr>
        <w:pStyle w:val="ListNumber"/>
      </w:pPr>
      <w:r>
        <w:t>Market participants also specified that they consider the two companies as being distant competitors.</w:t>
      </w:r>
      <w:r>
        <w:rPr>
          <w:rStyle w:val="FootnoteReference"/>
        </w:rPr>
        <w:footnoteReference w:id="10"/>
      </w:r>
      <w:r>
        <w:t xml:space="preserve"> They</w:t>
      </w:r>
      <w:r w:rsidR="007E6CD9">
        <w:t xml:space="preserve"> emphasised that the Target business focuses on branded OTC products, while Teva focuses on </w:t>
      </w:r>
      <w:r w:rsidR="00C448BC">
        <w:t xml:space="preserve">prescription </w:t>
      </w:r>
      <w:r w:rsidR="007E6CD9">
        <w:t>generic products, so that the two</w:t>
      </w:r>
      <w:r w:rsidR="00CE1148">
        <w:t xml:space="preserve"> Parties' products </w:t>
      </w:r>
      <w:r w:rsidR="007E6CD9">
        <w:t>generally target different patients groups.</w:t>
      </w:r>
      <w:r w:rsidR="00CE1148">
        <w:t xml:space="preserve"> </w:t>
      </w:r>
      <w:r w:rsidR="008C07BA" w:rsidRPr="00E66996">
        <w:t>The Commission will analyse below more specifically the overlaps between Teva and the Target business</w:t>
      </w:r>
      <w:r w:rsidR="00C448BC">
        <w:t>'</w:t>
      </w:r>
      <w:r w:rsidR="008C07BA" w:rsidRPr="00E66996">
        <w:t xml:space="preserve"> </w:t>
      </w:r>
      <w:r w:rsidR="008C07BA">
        <w:t xml:space="preserve">products </w:t>
      </w:r>
      <w:r w:rsidR="008C07BA" w:rsidRPr="008A4632">
        <w:t>resulting from the Transaction</w:t>
      </w:r>
      <w:r w:rsidR="00CE1148">
        <w:t>, taking into account the differences between the products</w:t>
      </w:r>
      <w:r w:rsidR="008C07BA" w:rsidRPr="008A4632">
        <w:t xml:space="preserve">. </w:t>
      </w:r>
    </w:p>
    <w:p w:rsidR="002D2887" w:rsidRPr="00B64208" w:rsidRDefault="002D2887" w:rsidP="002D2887">
      <w:pPr>
        <w:pStyle w:val="Heading2"/>
        <w:tabs>
          <w:tab w:val="clear" w:pos="1080"/>
          <w:tab w:val="num" w:pos="709"/>
        </w:tabs>
        <w:ind w:left="709"/>
        <w:rPr>
          <w:rFonts w:ascii="Times" w:hAnsi="Times"/>
          <w:szCs w:val="24"/>
        </w:rPr>
      </w:pPr>
      <w:bookmarkStart w:id="17" w:name="_Toc517444568"/>
      <w:bookmarkStart w:id="18" w:name="_Toc517710372"/>
      <w:bookmarkStart w:id="19" w:name="_Toc517812902"/>
      <w:r w:rsidRPr="00B64208">
        <w:rPr>
          <w:rFonts w:ascii="Times" w:hAnsi="Times"/>
          <w:szCs w:val="24"/>
        </w:rPr>
        <w:t>General considerations on market definition</w:t>
      </w:r>
      <w:bookmarkEnd w:id="17"/>
      <w:bookmarkEnd w:id="18"/>
      <w:bookmarkEnd w:id="19"/>
    </w:p>
    <w:p w:rsidR="002D2887" w:rsidRPr="00B64208" w:rsidRDefault="002D2887" w:rsidP="008A4632">
      <w:pPr>
        <w:pStyle w:val="Heading3"/>
        <w:rPr>
          <w:rFonts w:ascii="Times" w:hAnsi="Times"/>
          <w:szCs w:val="24"/>
        </w:rPr>
      </w:pPr>
      <w:bookmarkStart w:id="20" w:name="_Toc517444569"/>
      <w:bookmarkStart w:id="21" w:name="_Toc517710373"/>
      <w:bookmarkStart w:id="22" w:name="_Toc517812903"/>
      <w:r w:rsidRPr="00B64208">
        <w:rPr>
          <w:rFonts w:ascii="Times" w:hAnsi="Times"/>
          <w:szCs w:val="24"/>
        </w:rPr>
        <w:t>Relevant product market</w:t>
      </w:r>
      <w:bookmarkEnd w:id="20"/>
      <w:bookmarkEnd w:id="21"/>
      <w:bookmarkEnd w:id="22"/>
    </w:p>
    <w:p w:rsidR="008C07BA" w:rsidRPr="00B64208" w:rsidRDefault="008C07BA" w:rsidP="00B64208">
      <w:pPr>
        <w:pStyle w:val="Heading4"/>
        <w:rPr>
          <w:rFonts w:ascii="Times" w:hAnsi="Times"/>
          <w:szCs w:val="24"/>
        </w:rPr>
      </w:pPr>
      <w:bookmarkStart w:id="23" w:name="_Toc517710374"/>
      <w:bookmarkStart w:id="24" w:name="_Toc517812904"/>
      <w:r w:rsidRPr="00B64208">
        <w:rPr>
          <w:rFonts w:ascii="Times" w:hAnsi="Times"/>
          <w:szCs w:val="24"/>
        </w:rPr>
        <w:t>General approach to product market definition in pharmaceutical cases</w:t>
      </w:r>
      <w:bookmarkEnd w:id="23"/>
      <w:bookmarkEnd w:id="24"/>
    </w:p>
    <w:p w:rsidR="006347D0" w:rsidRPr="00B64208" w:rsidRDefault="008C07BA" w:rsidP="00E66996">
      <w:pPr>
        <w:pStyle w:val="ListNumber"/>
        <w:rPr>
          <w:rFonts w:ascii="Times" w:hAnsi="Times"/>
          <w:szCs w:val="24"/>
        </w:rPr>
      </w:pPr>
      <w:r w:rsidRPr="00B64208">
        <w:rPr>
          <w:rFonts w:ascii="Times" w:hAnsi="Times"/>
          <w:szCs w:val="24"/>
        </w:rPr>
        <w:t xml:space="preserve">When defining relevant markets in past decisions dealing with </w:t>
      </w:r>
      <w:r w:rsidR="00DF7178" w:rsidRPr="00B64208">
        <w:rPr>
          <w:rFonts w:ascii="Times" w:hAnsi="Times"/>
          <w:szCs w:val="24"/>
        </w:rPr>
        <w:t xml:space="preserve">finished dose </w:t>
      </w:r>
      <w:r w:rsidRPr="00B64208">
        <w:rPr>
          <w:rFonts w:ascii="Times" w:hAnsi="Times"/>
          <w:szCs w:val="24"/>
        </w:rPr>
        <w:t>pharmaceutical products, the Commission based its assessment on the following general approach.</w:t>
      </w:r>
      <w:r w:rsidRPr="00F16C5E">
        <w:rPr>
          <w:rStyle w:val="FootnoteReference"/>
          <w:rFonts w:ascii="Times" w:hAnsi="Times"/>
          <w:sz w:val="24"/>
          <w:vertAlign w:val="superscript"/>
        </w:rPr>
        <w:footnoteReference w:id="11"/>
      </w:r>
      <w:r w:rsidRPr="00EC30A1">
        <w:rPr>
          <w:rFonts w:ascii="Times" w:hAnsi="Times"/>
          <w:vertAlign w:val="superscript"/>
        </w:rPr>
        <w:t xml:space="preserve"> </w:t>
      </w:r>
    </w:p>
    <w:p w:rsidR="008C07BA" w:rsidRPr="00B64208" w:rsidRDefault="008C07BA" w:rsidP="00E66996">
      <w:pPr>
        <w:pStyle w:val="ListNumber"/>
        <w:rPr>
          <w:rFonts w:ascii="Times" w:hAnsi="Times"/>
          <w:szCs w:val="24"/>
        </w:rPr>
      </w:pPr>
      <w:r w:rsidRPr="00B64208">
        <w:rPr>
          <w:rFonts w:ascii="Times" w:hAnsi="Times"/>
          <w:szCs w:val="24"/>
        </w:rPr>
        <w:t xml:space="preserve">The Commission noted that medicines may be subdivided into therapeutic classes by reference to the "Anatomical Therapeutic Classification" (ATC), devised by </w:t>
      </w:r>
      <w:r w:rsidRPr="00B64208">
        <w:rPr>
          <w:rFonts w:ascii="Times" w:hAnsi="Times"/>
          <w:szCs w:val="24"/>
        </w:rPr>
        <w:lastRenderedPageBreak/>
        <w:t>the European Pharmaceutical Marketing Research Association (EphMRA) and maintained by EphMRA and Intercontinental Medical Statistics (IMS).</w:t>
      </w:r>
    </w:p>
    <w:p w:rsidR="008C07BA" w:rsidRPr="00B64208" w:rsidRDefault="008C07BA" w:rsidP="00E66996">
      <w:pPr>
        <w:pStyle w:val="ListNumber"/>
        <w:rPr>
          <w:rFonts w:ascii="Times" w:hAnsi="Times"/>
          <w:szCs w:val="24"/>
        </w:rPr>
      </w:pPr>
      <w:r w:rsidRPr="00B64208">
        <w:rPr>
          <w:rFonts w:ascii="Times" w:hAnsi="Times"/>
          <w:szCs w:val="24"/>
        </w:rPr>
        <w:t xml:space="preserve">The ATC system is a hierarchical and coded four-level system which classifies medicinal products </w:t>
      </w:r>
      <w:r w:rsidR="00BB11C8">
        <w:rPr>
          <w:rFonts w:ascii="Times" w:hAnsi="Times"/>
          <w:szCs w:val="24"/>
        </w:rPr>
        <w:t xml:space="preserve">by class </w:t>
      </w:r>
      <w:r w:rsidRPr="00B64208">
        <w:rPr>
          <w:rFonts w:ascii="Times" w:hAnsi="Times"/>
          <w:szCs w:val="24"/>
        </w:rPr>
        <w:t>according to their indication, therapeutic use, composition</w:t>
      </w:r>
      <w:r w:rsidR="006347D0" w:rsidRPr="00B64208">
        <w:rPr>
          <w:rFonts w:ascii="Times" w:hAnsi="Times"/>
          <w:szCs w:val="24"/>
        </w:rPr>
        <w:t>,</w:t>
      </w:r>
      <w:r w:rsidRPr="00B64208">
        <w:rPr>
          <w:rFonts w:ascii="Times" w:hAnsi="Times"/>
          <w:szCs w:val="24"/>
        </w:rPr>
        <w:t xml:space="preserve"> and mode of action. In the first and broadest level (ATC</w:t>
      </w:r>
      <w:r w:rsidR="00242F29">
        <w:rPr>
          <w:rFonts w:ascii="Times" w:hAnsi="Times"/>
          <w:szCs w:val="24"/>
        </w:rPr>
        <w:t xml:space="preserve"> </w:t>
      </w:r>
      <w:r w:rsidRPr="00B64208">
        <w:rPr>
          <w:rFonts w:ascii="Times" w:hAnsi="Times"/>
          <w:szCs w:val="24"/>
        </w:rPr>
        <w:t>1), medicinal products are divided into the 16 anatomical main groups. The second level (ATC</w:t>
      </w:r>
      <w:r w:rsidR="00242F29">
        <w:rPr>
          <w:rFonts w:ascii="Times" w:hAnsi="Times"/>
          <w:szCs w:val="24"/>
        </w:rPr>
        <w:t xml:space="preserve"> </w:t>
      </w:r>
      <w:r w:rsidRPr="00B64208">
        <w:rPr>
          <w:rFonts w:ascii="Times" w:hAnsi="Times"/>
          <w:szCs w:val="24"/>
        </w:rPr>
        <w:t>2) is either a pharmacological or therapeutic group. The third level (ATC</w:t>
      </w:r>
      <w:r w:rsidR="00242F29">
        <w:rPr>
          <w:rFonts w:ascii="Times" w:hAnsi="Times"/>
          <w:szCs w:val="24"/>
        </w:rPr>
        <w:t xml:space="preserve"> </w:t>
      </w:r>
      <w:r w:rsidRPr="00B64208">
        <w:rPr>
          <w:rFonts w:ascii="Times" w:hAnsi="Times"/>
          <w:szCs w:val="24"/>
        </w:rPr>
        <w:t>3) further groups medicinal products by their specific therapeutic indications. Finally, the ATC4 level is the most detailed one (not available for all ATC</w:t>
      </w:r>
      <w:r w:rsidR="00242F29">
        <w:rPr>
          <w:rFonts w:ascii="Times" w:hAnsi="Times"/>
          <w:szCs w:val="24"/>
        </w:rPr>
        <w:t xml:space="preserve"> </w:t>
      </w:r>
      <w:r w:rsidRPr="00B64208">
        <w:rPr>
          <w:rFonts w:ascii="Times" w:hAnsi="Times"/>
          <w:szCs w:val="24"/>
        </w:rPr>
        <w:t>3) and refers for instance to the mode of action (e.g. distinction of some ATC</w:t>
      </w:r>
      <w:r w:rsidR="00242F29">
        <w:rPr>
          <w:rFonts w:ascii="Times" w:hAnsi="Times"/>
          <w:szCs w:val="24"/>
        </w:rPr>
        <w:t xml:space="preserve"> </w:t>
      </w:r>
      <w:r w:rsidRPr="00B64208">
        <w:rPr>
          <w:rFonts w:ascii="Times" w:hAnsi="Times"/>
          <w:szCs w:val="24"/>
        </w:rPr>
        <w:t xml:space="preserve">3 classes into topical and systemic depending on their way of action) or any other subdivision of the group. </w:t>
      </w:r>
      <w:r w:rsidR="0044099A" w:rsidRPr="00B64208">
        <w:rPr>
          <w:rFonts w:ascii="Times" w:hAnsi="Times"/>
          <w:szCs w:val="24"/>
        </w:rPr>
        <w:t xml:space="preserve"> Medicinal products are classified according to the ATC system in the IMS </w:t>
      </w:r>
      <w:r w:rsidR="00502F24" w:rsidRPr="00B64208">
        <w:rPr>
          <w:rFonts w:ascii="Times" w:hAnsi="Times"/>
          <w:szCs w:val="24"/>
        </w:rPr>
        <w:t xml:space="preserve">Midas data base.  </w:t>
      </w:r>
    </w:p>
    <w:p w:rsidR="0058421A" w:rsidRPr="0058421A" w:rsidRDefault="008C07BA" w:rsidP="0058421A">
      <w:pPr>
        <w:pStyle w:val="ListNumber"/>
        <w:rPr>
          <w:rFonts w:ascii="Times" w:hAnsi="Times"/>
          <w:szCs w:val="24"/>
        </w:rPr>
      </w:pPr>
      <w:r w:rsidRPr="00B64208">
        <w:rPr>
          <w:rFonts w:ascii="Times" w:hAnsi="Times"/>
          <w:szCs w:val="24"/>
        </w:rPr>
        <w:t>The Commission has referred to the third level (ATC</w:t>
      </w:r>
      <w:r w:rsidR="00242F29">
        <w:rPr>
          <w:rFonts w:ascii="Times" w:hAnsi="Times"/>
          <w:szCs w:val="24"/>
        </w:rPr>
        <w:t xml:space="preserve"> </w:t>
      </w:r>
      <w:r w:rsidRPr="00B64208">
        <w:rPr>
          <w:rFonts w:ascii="Times" w:hAnsi="Times"/>
          <w:szCs w:val="24"/>
        </w:rPr>
        <w:t>3) as the starting point for defining the relevant product market. However, in a number of cases, the Commission found that the ATC</w:t>
      </w:r>
      <w:r w:rsidR="00242F29">
        <w:rPr>
          <w:rFonts w:ascii="Times" w:hAnsi="Times"/>
          <w:szCs w:val="24"/>
        </w:rPr>
        <w:t xml:space="preserve"> </w:t>
      </w:r>
      <w:r w:rsidRPr="00B64208">
        <w:rPr>
          <w:rFonts w:ascii="Times" w:hAnsi="Times"/>
          <w:szCs w:val="24"/>
        </w:rPr>
        <w:t>3 level classification did not yield the appropriate market definition within the meaning of the Commission Notice on the Definition of the Relevant Market.</w:t>
      </w:r>
      <w:r w:rsidR="00CE7712" w:rsidRPr="00F16C5E">
        <w:rPr>
          <w:rStyle w:val="FootnoteReference"/>
          <w:rFonts w:ascii="Times" w:hAnsi="Times"/>
          <w:sz w:val="24"/>
          <w:vertAlign w:val="superscript"/>
        </w:rPr>
        <w:footnoteReference w:id="12"/>
      </w:r>
      <w:r w:rsidR="00CE7712" w:rsidRPr="00B64208">
        <w:rPr>
          <w:rFonts w:ascii="Times" w:hAnsi="Times"/>
          <w:szCs w:val="24"/>
        </w:rPr>
        <w:t xml:space="preserve"> </w:t>
      </w:r>
      <w:r w:rsidR="0058421A">
        <w:rPr>
          <w:rFonts w:ascii="Times" w:hAnsi="Times"/>
          <w:szCs w:val="24"/>
        </w:rPr>
        <w:t xml:space="preserve"> </w:t>
      </w:r>
      <w:r w:rsidR="0058421A" w:rsidRPr="0058421A">
        <w:rPr>
          <w:rFonts w:ascii="Times" w:hAnsi="Times"/>
          <w:szCs w:val="24"/>
        </w:rPr>
        <w:t>In particular in relation to originator and generic medicines, the Commission has considered in previous decision plausible product markets at the ATC4 level, at a level of a molecule or a group of molecules that are considered interchangeable so as to exercise competitive pressure on one another. However, it should be borne in mind that the overlap in therapeutic uses does not necessarily imply any particular economic substitution patterns between products</w:t>
      </w:r>
      <w:r w:rsidR="0058421A">
        <w:rPr>
          <w:rFonts w:ascii="Times" w:hAnsi="Times"/>
          <w:szCs w:val="24"/>
        </w:rPr>
        <w:t>.</w:t>
      </w:r>
      <w:r w:rsidR="0058421A">
        <w:rPr>
          <w:rStyle w:val="FootnoteReference"/>
          <w:szCs w:val="24"/>
        </w:rPr>
        <w:footnoteReference w:id="13"/>
      </w:r>
    </w:p>
    <w:p w:rsidR="00DF7178" w:rsidRPr="009B4703" w:rsidRDefault="0058421A" w:rsidP="009B4703">
      <w:pPr>
        <w:pStyle w:val="ListNumber"/>
        <w:rPr>
          <w:rFonts w:ascii="Times" w:hAnsi="Times"/>
          <w:szCs w:val="24"/>
        </w:rPr>
      </w:pPr>
      <w:r>
        <w:rPr>
          <w:rFonts w:ascii="Times" w:hAnsi="Times"/>
          <w:szCs w:val="24"/>
        </w:rPr>
        <w:t>I</w:t>
      </w:r>
      <w:r w:rsidR="00115341" w:rsidRPr="00B64208">
        <w:rPr>
          <w:rFonts w:ascii="Times" w:hAnsi="Times"/>
          <w:szCs w:val="24"/>
        </w:rPr>
        <w:t>n relation to generic medicines</w:t>
      </w:r>
      <w:r w:rsidR="00804C56">
        <w:rPr>
          <w:rFonts w:ascii="Times" w:hAnsi="Times"/>
          <w:szCs w:val="24"/>
        </w:rPr>
        <w:t xml:space="preserve"> sold on prescription ("Rx")</w:t>
      </w:r>
      <w:r w:rsidR="00115341" w:rsidRPr="00B64208">
        <w:rPr>
          <w:rFonts w:ascii="Times" w:hAnsi="Times"/>
          <w:szCs w:val="24"/>
        </w:rPr>
        <w:t xml:space="preserve">, the Commission has </w:t>
      </w:r>
      <w:r>
        <w:rPr>
          <w:rFonts w:ascii="Times" w:hAnsi="Times"/>
          <w:szCs w:val="24"/>
        </w:rPr>
        <w:t xml:space="preserve">also </w:t>
      </w:r>
      <w:r w:rsidR="00115341" w:rsidRPr="00B64208">
        <w:rPr>
          <w:rFonts w:ascii="Times" w:hAnsi="Times"/>
          <w:szCs w:val="24"/>
        </w:rPr>
        <w:t xml:space="preserve">considered in previous decisions that the most plausible product market is generally at </w:t>
      </w:r>
      <w:r w:rsidR="006347D0" w:rsidRPr="00B64208">
        <w:rPr>
          <w:rFonts w:ascii="Times" w:hAnsi="Times"/>
          <w:szCs w:val="24"/>
        </w:rPr>
        <w:t>the</w:t>
      </w:r>
      <w:r w:rsidR="00115341" w:rsidRPr="00B64208">
        <w:rPr>
          <w:rFonts w:ascii="Times" w:hAnsi="Times"/>
          <w:szCs w:val="24"/>
        </w:rPr>
        <w:t xml:space="preserve"> level of a molecule</w:t>
      </w:r>
      <w:r w:rsidR="00DF7178" w:rsidRPr="00B64208">
        <w:rPr>
          <w:rFonts w:ascii="Times" w:hAnsi="Times"/>
          <w:szCs w:val="24"/>
        </w:rPr>
        <w:t xml:space="preserve"> since generics are the closest substitutes to the originator product based on the same molecule</w:t>
      </w:r>
      <w:r w:rsidR="00115341" w:rsidRPr="00B64208">
        <w:rPr>
          <w:rFonts w:ascii="Times" w:hAnsi="Times"/>
          <w:szCs w:val="24"/>
        </w:rPr>
        <w:t>.</w:t>
      </w:r>
      <w:r w:rsidR="009B4703" w:rsidRPr="009B4703">
        <w:rPr>
          <w:color w:val="000000"/>
          <w:szCs w:val="24"/>
          <w:lang w:eastAsia="en-GB"/>
        </w:rPr>
        <w:t xml:space="preserve"> </w:t>
      </w:r>
      <w:r w:rsidR="009B4703" w:rsidRPr="009B4703">
        <w:rPr>
          <w:rFonts w:ascii="Times" w:hAnsi="Times"/>
          <w:szCs w:val="24"/>
        </w:rPr>
        <w:t xml:space="preserve">The Commission </w:t>
      </w:r>
      <w:r w:rsidR="009B4703">
        <w:rPr>
          <w:rFonts w:ascii="Times" w:hAnsi="Times"/>
          <w:szCs w:val="24"/>
        </w:rPr>
        <w:t xml:space="preserve">then assesses </w:t>
      </w:r>
      <w:r w:rsidR="009B4703" w:rsidRPr="009B4703">
        <w:rPr>
          <w:rFonts w:ascii="Times" w:hAnsi="Times"/>
          <w:szCs w:val="24"/>
        </w:rPr>
        <w:t>the potential for these products to enter into competition with other products by reference to their characteristics, intended therapeutic use, and expected therapeutic and economic substitutability.</w:t>
      </w:r>
      <w:r w:rsidR="00115341" w:rsidRPr="00F16C5E">
        <w:rPr>
          <w:rStyle w:val="FootnoteReference"/>
          <w:rFonts w:ascii="Times" w:hAnsi="Times"/>
          <w:sz w:val="24"/>
          <w:vertAlign w:val="superscript"/>
        </w:rPr>
        <w:footnoteReference w:id="14"/>
      </w:r>
      <w:r w:rsidR="00115341" w:rsidRPr="009B4703">
        <w:rPr>
          <w:rFonts w:ascii="Times" w:hAnsi="Times"/>
          <w:szCs w:val="24"/>
        </w:rPr>
        <w:t xml:space="preserve"> </w:t>
      </w:r>
    </w:p>
    <w:p w:rsidR="00C448BC" w:rsidRPr="004C613C" w:rsidRDefault="00115341" w:rsidP="00C448BC">
      <w:pPr>
        <w:pStyle w:val="ListNumber"/>
        <w:rPr>
          <w:rFonts w:ascii="Times" w:hAnsi="Times"/>
        </w:rPr>
      </w:pPr>
      <w:bookmarkStart w:id="25" w:name="_Ref517857460"/>
      <w:r w:rsidRPr="004C613C">
        <w:rPr>
          <w:rFonts w:ascii="Times" w:hAnsi="Times"/>
          <w:szCs w:val="24"/>
        </w:rPr>
        <w:t xml:space="preserve">In relation to </w:t>
      </w:r>
      <w:r w:rsidR="004F29AF">
        <w:t xml:space="preserve">OTC </w:t>
      </w:r>
      <w:r w:rsidRPr="004C613C">
        <w:rPr>
          <w:rFonts w:ascii="Times" w:hAnsi="Times"/>
          <w:szCs w:val="24"/>
        </w:rPr>
        <w:t xml:space="preserve">products sold </w:t>
      </w:r>
      <w:r w:rsidRPr="00A1512F">
        <w:rPr>
          <w:rFonts w:ascii="Times" w:hAnsi="Times"/>
          <w:szCs w:val="24"/>
        </w:rPr>
        <w:t>in pharmacies</w:t>
      </w:r>
      <w:r w:rsidRPr="00B64208">
        <w:rPr>
          <w:rFonts w:ascii="Times" w:hAnsi="Times"/>
        </w:rPr>
        <w:t>, the active ingredient</w:t>
      </w:r>
      <w:r w:rsidR="006347D0" w:rsidRPr="00B64208">
        <w:rPr>
          <w:rFonts w:ascii="Times" w:hAnsi="Times"/>
        </w:rPr>
        <w:t xml:space="preserve"> (molecule)</w:t>
      </w:r>
      <w:r w:rsidRPr="00B64208">
        <w:rPr>
          <w:rFonts w:ascii="Times" w:hAnsi="Times"/>
        </w:rPr>
        <w:t xml:space="preserve"> appears to play a much more subordinated role, unless it is equivalent to a specific therapeutic/labelled indication</w:t>
      </w:r>
      <w:r w:rsidR="0058421A">
        <w:rPr>
          <w:rFonts w:ascii="Times" w:hAnsi="Times"/>
        </w:rPr>
        <w:t xml:space="preserve"> (in situations where all products based on the same molecule and only those, have the same indication)</w:t>
      </w:r>
      <w:r w:rsidRPr="00B64208">
        <w:rPr>
          <w:rFonts w:ascii="Times" w:hAnsi="Times"/>
        </w:rPr>
        <w:t>.</w:t>
      </w:r>
      <w:r w:rsidR="0058421A">
        <w:rPr>
          <w:rStyle w:val="FootnoteReference"/>
        </w:rPr>
        <w:footnoteReference w:id="15"/>
      </w:r>
      <w:r w:rsidRPr="00B64208">
        <w:rPr>
          <w:rFonts w:ascii="Times" w:hAnsi="Times"/>
        </w:rPr>
        <w:t xml:space="preserve"> The Commission has considered in previous decisions that the most plausible product market is generally at the level of the therapeutic indication, which may be a sub-division of the ATC</w:t>
      </w:r>
      <w:r w:rsidR="00242F29">
        <w:rPr>
          <w:rFonts w:ascii="Times" w:hAnsi="Times"/>
        </w:rPr>
        <w:t xml:space="preserve"> </w:t>
      </w:r>
      <w:r w:rsidRPr="00B64208">
        <w:rPr>
          <w:rFonts w:ascii="Times" w:hAnsi="Times"/>
        </w:rPr>
        <w:t>3 or even ATC</w:t>
      </w:r>
      <w:r w:rsidR="00242F29">
        <w:rPr>
          <w:rFonts w:ascii="Times" w:hAnsi="Times"/>
        </w:rPr>
        <w:t xml:space="preserve"> </w:t>
      </w:r>
      <w:r w:rsidRPr="00B64208">
        <w:rPr>
          <w:rFonts w:ascii="Times" w:hAnsi="Times"/>
        </w:rPr>
        <w:t>4 categories or may combine products belonging to different ATC</w:t>
      </w:r>
      <w:r w:rsidR="00242F29">
        <w:rPr>
          <w:rFonts w:ascii="Times" w:hAnsi="Times"/>
        </w:rPr>
        <w:t xml:space="preserve"> </w:t>
      </w:r>
      <w:r w:rsidRPr="00B64208">
        <w:rPr>
          <w:rFonts w:ascii="Times" w:hAnsi="Times"/>
        </w:rPr>
        <w:t>3 or ATC</w:t>
      </w:r>
      <w:r w:rsidR="00242F29">
        <w:rPr>
          <w:rFonts w:ascii="Times" w:hAnsi="Times"/>
        </w:rPr>
        <w:t xml:space="preserve"> </w:t>
      </w:r>
      <w:r w:rsidRPr="00B64208">
        <w:rPr>
          <w:rFonts w:ascii="Times" w:hAnsi="Times"/>
        </w:rPr>
        <w:t>4 categories.</w:t>
      </w:r>
      <w:r w:rsidR="0058421A">
        <w:rPr>
          <w:rStyle w:val="FootnoteReference"/>
        </w:rPr>
        <w:footnoteReference w:id="16"/>
      </w:r>
      <w:r w:rsidR="00B64208" w:rsidRPr="00B64208">
        <w:rPr>
          <w:rFonts w:ascii="Times" w:hAnsi="Times"/>
        </w:rPr>
        <w:t xml:space="preserve"> </w:t>
      </w:r>
      <w:r w:rsidR="00C448BC">
        <w:rPr>
          <w:rFonts w:ascii="Times" w:hAnsi="Times"/>
        </w:rPr>
        <w:t xml:space="preserve">In view of these specificities, IMS has </w:t>
      </w:r>
      <w:r w:rsidR="00C448BC">
        <w:rPr>
          <w:rFonts w:ascii="Times" w:hAnsi="Times"/>
        </w:rPr>
        <w:lastRenderedPageBreak/>
        <w:t>developed a specific classification for OTC products, based on OTC 2 and OTC 3 levels.</w:t>
      </w:r>
      <w:r w:rsidR="00C448BC" w:rsidRPr="004C613C">
        <w:rPr>
          <w:rStyle w:val="FootnoteReference"/>
          <w:szCs w:val="24"/>
        </w:rPr>
        <w:footnoteReference w:id="17"/>
      </w:r>
      <w:r w:rsidR="00C448BC" w:rsidRPr="004C613C">
        <w:rPr>
          <w:rFonts w:ascii="Times" w:hAnsi="Times"/>
          <w:szCs w:val="24"/>
        </w:rPr>
        <w:t xml:space="preserve">  </w:t>
      </w:r>
      <w:r w:rsidR="00B64208" w:rsidRPr="00A1512F">
        <w:rPr>
          <w:rFonts w:ascii="Times" w:hAnsi="Times"/>
          <w:szCs w:val="24"/>
        </w:rPr>
        <w:t xml:space="preserve">In </w:t>
      </w:r>
      <w:r w:rsidR="00C448BC" w:rsidRPr="00A1512F">
        <w:rPr>
          <w:rFonts w:ascii="Times" w:hAnsi="Times"/>
          <w:szCs w:val="24"/>
        </w:rPr>
        <w:t>previous</w:t>
      </w:r>
      <w:r w:rsidR="00C448BC">
        <w:rPr>
          <w:rFonts w:ascii="Times" w:hAnsi="Times"/>
        </w:rPr>
        <w:t xml:space="preserve"> </w:t>
      </w:r>
      <w:r w:rsidR="00B64208">
        <w:rPr>
          <w:rFonts w:ascii="Times" w:hAnsi="Times"/>
        </w:rPr>
        <w:t>decisions</w:t>
      </w:r>
      <w:r w:rsidR="00C448BC">
        <w:rPr>
          <w:rFonts w:ascii="Times" w:hAnsi="Times"/>
        </w:rPr>
        <w:t xml:space="preserve"> dealing with OTC products</w:t>
      </w:r>
      <w:r w:rsidR="00B64208">
        <w:rPr>
          <w:rFonts w:ascii="Times" w:hAnsi="Times"/>
        </w:rPr>
        <w:t>, the Commission has also referred to the OTC</w:t>
      </w:r>
      <w:r w:rsidR="00242F29">
        <w:rPr>
          <w:rFonts w:ascii="Times" w:hAnsi="Times"/>
        </w:rPr>
        <w:t xml:space="preserve"> </w:t>
      </w:r>
      <w:r w:rsidR="00B64208">
        <w:rPr>
          <w:rFonts w:ascii="Times" w:hAnsi="Times"/>
        </w:rPr>
        <w:t xml:space="preserve">3 level as the starting point for defining the relevant product market in OTC </w:t>
      </w:r>
      <w:r w:rsidR="00D601AE">
        <w:rPr>
          <w:rFonts w:ascii="Times" w:hAnsi="Times"/>
        </w:rPr>
        <w:t>markets</w:t>
      </w:r>
      <w:r w:rsidR="00B64208" w:rsidRPr="00C91091">
        <w:rPr>
          <w:rFonts w:ascii="Times" w:hAnsi="Times"/>
          <w:szCs w:val="24"/>
        </w:rPr>
        <w:t>.</w:t>
      </w:r>
      <w:r w:rsidR="00B64208" w:rsidRPr="004C613C">
        <w:rPr>
          <w:rStyle w:val="FootnoteReference"/>
          <w:szCs w:val="24"/>
        </w:rPr>
        <w:footnoteReference w:id="18"/>
      </w:r>
      <w:bookmarkEnd w:id="25"/>
      <w:r w:rsidR="004C613C" w:rsidRPr="00420413" w:rsidDel="004C613C">
        <w:rPr>
          <w:rFonts w:ascii="Times" w:hAnsi="Times"/>
          <w:szCs w:val="24"/>
        </w:rPr>
        <w:t xml:space="preserve"> </w:t>
      </w:r>
    </w:p>
    <w:p w:rsidR="008C07BA" w:rsidRPr="00B64208" w:rsidDel="00115341" w:rsidRDefault="008C07BA" w:rsidP="00B64208">
      <w:pPr>
        <w:pStyle w:val="Heading4"/>
        <w:rPr>
          <w:rFonts w:ascii="Times" w:hAnsi="Times"/>
          <w:szCs w:val="24"/>
        </w:rPr>
      </w:pPr>
      <w:bookmarkStart w:id="26" w:name="_Toc517710375"/>
      <w:bookmarkStart w:id="27" w:name="_Toc517812905"/>
      <w:r w:rsidRPr="00B64208">
        <w:rPr>
          <w:rFonts w:ascii="Times" w:hAnsi="Times"/>
          <w:szCs w:val="24"/>
        </w:rPr>
        <w:t>Distinction between over-the-counter (OTC) and prescription (Rx) products</w:t>
      </w:r>
      <w:bookmarkEnd w:id="26"/>
      <w:bookmarkEnd w:id="27"/>
    </w:p>
    <w:p w:rsidR="00CE7712" w:rsidRPr="00115341" w:rsidRDefault="008C07BA" w:rsidP="00E66996">
      <w:pPr>
        <w:pStyle w:val="ListNumber"/>
      </w:pPr>
      <w:bookmarkStart w:id="28" w:name="_Ref517430816"/>
      <w:r w:rsidRPr="00B64208">
        <w:rPr>
          <w:rFonts w:ascii="Times" w:hAnsi="Times"/>
          <w:szCs w:val="24"/>
        </w:rPr>
        <w:t>T</w:t>
      </w:r>
      <w:r w:rsidR="00CE7712" w:rsidRPr="00B64208">
        <w:rPr>
          <w:rFonts w:ascii="Times" w:hAnsi="Times"/>
          <w:szCs w:val="24"/>
        </w:rPr>
        <w:t>he Commission has in the past</w:t>
      </w:r>
      <w:r w:rsidR="00CE7712" w:rsidRPr="00F16C5E">
        <w:rPr>
          <w:rStyle w:val="FootnoteReference"/>
          <w:rFonts w:ascii="Times" w:hAnsi="Times"/>
          <w:sz w:val="24"/>
          <w:vertAlign w:val="superscript"/>
        </w:rPr>
        <w:footnoteReference w:id="19"/>
      </w:r>
      <w:r w:rsidRPr="00B64208">
        <w:rPr>
          <w:rFonts w:ascii="Times" w:hAnsi="Times"/>
          <w:szCs w:val="24"/>
        </w:rPr>
        <w:t xml:space="preserve"> defined separate markets for medicines which can be dispensed only against a prescription and those which can be sold OTC. Medical indications, side effects, regulatory framework, distribution</w:t>
      </w:r>
      <w:r w:rsidRPr="00E66996">
        <w:t xml:space="preserve"> and marketing tend to differ between these drug categories, even if the active ingredients may sometimes be identical.</w:t>
      </w:r>
      <w:bookmarkEnd w:id="28"/>
      <w:r w:rsidRPr="00E66996">
        <w:t xml:space="preserve"> </w:t>
      </w:r>
    </w:p>
    <w:p w:rsidR="00115341" w:rsidRPr="00115341" w:rsidRDefault="008C07BA" w:rsidP="00E66996">
      <w:pPr>
        <w:pStyle w:val="ListNumber"/>
      </w:pPr>
      <w:r w:rsidRPr="008A4632">
        <w:t xml:space="preserve">OTC products may be advertised </w:t>
      </w:r>
      <w:r w:rsidRPr="00E66996">
        <w:t>to the public</w:t>
      </w:r>
      <w:r w:rsidR="00115341" w:rsidRPr="00115341">
        <w:rPr>
          <w:szCs w:val="24"/>
        </w:rPr>
        <w:t xml:space="preserve">, </w:t>
      </w:r>
      <w:r w:rsidR="00115341" w:rsidRPr="008A4632">
        <w:t>as a result of which brands play a comparatively more significant role in the OTC industry, and advertising is a key feature in these markets</w:t>
      </w:r>
      <w:r w:rsidRPr="00E66996">
        <w:t xml:space="preserve">. </w:t>
      </w:r>
      <w:r w:rsidR="00D601AE">
        <w:t>In addition, p</w:t>
      </w:r>
      <w:r w:rsidRPr="008A4632">
        <w:t xml:space="preserve">rescribers do not need to intervene in the purchase of </w:t>
      </w:r>
      <w:r w:rsidR="009B2D1A">
        <w:t>OTC</w:t>
      </w:r>
      <w:r w:rsidR="009B2D1A" w:rsidRPr="008A4632">
        <w:t xml:space="preserve"> </w:t>
      </w:r>
      <w:r w:rsidRPr="008A4632">
        <w:t>products. In most cases, c</w:t>
      </w:r>
      <w:r w:rsidRPr="00E66996">
        <w:t xml:space="preserve">onsumers choose OTC pharmaceuticals themselves, possibly following </w:t>
      </w:r>
      <w:r w:rsidR="009B2D1A">
        <w:t>the</w:t>
      </w:r>
      <w:r w:rsidR="009B2D1A" w:rsidRPr="00E66996">
        <w:t xml:space="preserve"> </w:t>
      </w:r>
      <w:r w:rsidRPr="00E66996">
        <w:t xml:space="preserve">guidance of a pharmacist, and purchases are </w:t>
      </w:r>
      <w:r w:rsidR="00CE7712" w:rsidRPr="00115341">
        <w:rPr>
          <w:szCs w:val="24"/>
        </w:rPr>
        <w:t xml:space="preserve">generally </w:t>
      </w:r>
      <w:r w:rsidRPr="008A4632">
        <w:t xml:space="preserve">not reimbursed. </w:t>
      </w:r>
      <w:r w:rsidR="00115341" w:rsidRPr="00115341">
        <w:rPr>
          <w:szCs w:val="24"/>
        </w:rPr>
        <w:t>In making purchasing decisions, consumers seem to predominately rely, aside from the brand, on therapeutic/labelled indication and price</w:t>
      </w:r>
      <w:r w:rsidR="00115341" w:rsidRPr="008A4632">
        <w:t>.</w:t>
      </w:r>
    </w:p>
    <w:p w:rsidR="008C07BA" w:rsidRPr="00A91C73" w:rsidRDefault="008C07BA" w:rsidP="00E66996">
      <w:pPr>
        <w:pStyle w:val="ListNumber"/>
        <w:rPr>
          <w:szCs w:val="24"/>
        </w:rPr>
      </w:pPr>
      <w:r w:rsidRPr="000D2293">
        <w:rPr>
          <w:szCs w:val="24"/>
        </w:rPr>
        <w:t>By contrast, prescription pharmaceuticals</w:t>
      </w:r>
      <w:r w:rsidR="00CE7712">
        <w:rPr>
          <w:szCs w:val="24"/>
        </w:rPr>
        <w:t xml:space="preserve"> (Rx)</w:t>
      </w:r>
      <w:r w:rsidRPr="000D2293">
        <w:rPr>
          <w:szCs w:val="24"/>
        </w:rPr>
        <w:t xml:space="preserve"> need to be prescribed by </w:t>
      </w:r>
      <w:r w:rsidR="00D601AE" w:rsidRPr="000D2293">
        <w:rPr>
          <w:szCs w:val="24"/>
        </w:rPr>
        <w:t>physicians</w:t>
      </w:r>
      <w:r w:rsidR="009B2D1A" w:rsidRPr="000D2293">
        <w:rPr>
          <w:szCs w:val="24"/>
        </w:rPr>
        <w:t>.  Their</w:t>
      </w:r>
      <w:r w:rsidRPr="000D2293" w:rsidDel="009B2D1A">
        <w:rPr>
          <w:szCs w:val="24"/>
        </w:rPr>
        <w:t xml:space="preserve"> </w:t>
      </w:r>
      <w:r w:rsidRPr="000D2293">
        <w:rPr>
          <w:szCs w:val="24"/>
        </w:rPr>
        <w:t xml:space="preserve">intervention is essential in the choice of the product. Pricing for prescription products is influenced by the public health care system, </w:t>
      </w:r>
      <w:r w:rsidR="009B2D1A" w:rsidRPr="000D2293">
        <w:rPr>
          <w:szCs w:val="24"/>
        </w:rPr>
        <w:t xml:space="preserve">which </w:t>
      </w:r>
      <w:r w:rsidRPr="000D2293">
        <w:rPr>
          <w:szCs w:val="24"/>
        </w:rPr>
        <w:t xml:space="preserve">pays (part of) the purchase price via reimbursement. </w:t>
      </w:r>
      <w:r w:rsidR="005E5515">
        <w:rPr>
          <w:szCs w:val="24"/>
        </w:rPr>
        <w:t>Advertising</w:t>
      </w:r>
      <w:r w:rsidRPr="000D2293">
        <w:rPr>
          <w:szCs w:val="24"/>
        </w:rPr>
        <w:t xml:space="preserve"> is targeted at prescribers, </w:t>
      </w:r>
      <w:r w:rsidR="009B2D1A" w:rsidRPr="00A91C73">
        <w:rPr>
          <w:szCs w:val="24"/>
        </w:rPr>
        <w:t>namely</w:t>
      </w:r>
      <w:r w:rsidR="00115341" w:rsidRPr="00A91C73">
        <w:rPr>
          <w:szCs w:val="24"/>
        </w:rPr>
        <w:t>, doctors and hospitals.</w:t>
      </w:r>
      <w:r w:rsidR="00115341">
        <w:rPr>
          <w:rStyle w:val="FootnoteReference"/>
        </w:rPr>
        <w:footnoteReference w:id="20"/>
      </w:r>
      <w:r w:rsidRPr="00A91C73">
        <w:rPr>
          <w:szCs w:val="24"/>
        </w:rPr>
        <w:t xml:space="preserve"> </w:t>
      </w:r>
    </w:p>
    <w:p w:rsidR="008C07BA" w:rsidRPr="00A91C73" w:rsidRDefault="00E03590">
      <w:pPr>
        <w:pStyle w:val="ListNumber"/>
        <w:rPr>
          <w:szCs w:val="24"/>
        </w:rPr>
      </w:pPr>
      <w:bookmarkStart w:id="29" w:name="_Ref517430818"/>
      <w:r>
        <w:rPr>
          <w:szCs w:val="24"/>
        </w:rPr>
        <w:t xml:space="preserve">However, </w:t>
      </w:r>
      <w:r w:rsidR="008C07BA" w:rsidRPr="00A91C73">
        <w:rPr>
          <w:szCs w:val="24"/>
        </w:rPr>
        <w:t xml:space="preserve">in certain cases, products which are available OTC </w:t>
      </w:r>
      <w:r>
        <w:rPr>
          <w:szCs w:val="24"/>
        </w:rPr>
        <w:t xml:space="preserve">can </w:t>
      </w:r>
      <w:r w:rsidR="008C07BA" w:rsidRPr="00A91C73">
        <w:rPr>
          <w:szCs w:val="24"/>
        </w:rPr>
        <w:t xml:space="preserve">still </w:t>
      </w:r>
      <w:r>
        <w:rPr>
          <w:szCs w:val="24"/>
        </w:rPr>
        <w:t xml:space="preserve">be </w:t>
      </w:r>
      <w:r w:rsidR="008C07BA" w:rsidRPr="00A91C73">
        <w:rPr>
          <w:szCs w:val="24"/>
        </w:rPr>
        <w:t>reimbursable if bought on prescription.</w:t>
      </w:r>
      <w:r>
        <w:rPr>
          <w:rStyle w:val="FootnoteReference"/>
        </w:rPr>
        <w:footnoteReference w:id="21"/>
      </w:r>
      <w:r w:rsidR="008C07BA" w:rsidRPr="00A91C73">
        <w:rPr>
          <w:szCs w:val="24"/>
        </w:rPr>
        <w:t xml:space="preserve"> Furthermore, </w:t>
      </w:r>
      <w:r w:rsidR="009B2D1A" w:rsidRPr="00A91C73">
        <w:rPr>
          <w:szCs w:val="24"/>
        </w:rPr>
        <w:t xml:space="preserve">it cannot </w:t>
      </w:r>
      <w:r w:rsidR="008C07BA" w:rsidRPr="00A91C73">
        <w:rPr>
          <w:szCs w:val="24"/>
        </w:rPr>
        <w:t xml:space="preserve">be excluded that </w:t>
      </w:r>
      <w:r w:rsidR="009B2D1A" w:rsidRPr="00A91C73">
        <w:rPr>
          <w:szCs w:val="24"/>
        </w:rPr>
        <w:t xml:space="preserve">OTC and prescription </w:t>
      </w:r>
      <w:r w:rsidR="008C07BA" w:rsidRPr="00A91C73">
        <w:rPr>
          <w:szCs w:val="24"/>
        </w:rPr>
        <w:t>products compete with each other, especially in cases where the status of the drug is not clearly limited to either OTC or prescription.</w:t>
      </w:r>
      <w:r w:rsidR="00115341" w:rsidRPr="00CF51B4">
        <w:rPr>
          <w:vertAlign w:val="superscript"/>
        </w:rPr>
        <w:footnoteReference w:id="22"/>
      </w:r>
      <w:bookmarkEnd w:id="29"/>
      <w:r w:rsidR="008C07BA" w:rsidRPr="004F4BE3">
        <w:t xml:space="preserve"> </w:t>
      </w:r>
    </w:p>
    <w:p w:rsidR="008C07BA" w:rsidRPr="00A91C73" w:rsidRDefault="008C07BA" w:rsidP="00B64208">
      <w:pPr>
        <w:pStyle w:val="Heading4"/>
        <w:rPr>
          <w:szCs w:val="24"/>
        </w:rPr>
      </w:pPr>
      <w:bookmarkStart w:id="30" w:name="_Toc517710376"/>
      <w:bookmarkStart w:id="31" w:name="_Toc517812906"/>
      <w:r w:rsidRPr="00A91C73">
        <w:rPr>
          <w:szCs w:val="24"/>
        </w:rPr>
        <w:t xml:space="preserve">Other possible </w:t>
      </w:r>
      <w:r w:rsidR="00A156B4">
        <w:rPr>
          <w:szCs w:val="24"/>
        </w:rPr>
        <w:t>market segmentations</w:t>
      </w:r>
      <w:bookmarkEnd w:id="30"/>
      <w:bookmarkEnd w:id="31"/>
    </w:p>
    <w:p w:rsidR="00115341" w:rsidRPr="00A91C73" w:rsidRDefault="00115341" w:rsidP="00E52985">
      <w:pPr>
        <w:pStyle w:val="ListNumber"/>
        <w:rPr>
          <w:szCs w:val="24"/>
        </w:rPr>
      </w:pPr>
      <w:r w:rsidRPr="00A91C73">
        <w:rPr>
          <w:szCs w:val="24"/>
        </w:rPr>
        <w:t>As the Commission has acknowledged in its previous decisions,</w:t>
      </w:r>
      <w:r w:rsidRPr="00A91C73">
        <w:rPr>
          <w:rStyle w:val="FootnoteReference"/>
          <w:sz w:val="24"/>
          <w:szCs w:val="24"/>
          <w:vertAlign w:val="superscript"/>
        </w:rPr>
        <w:footnoteReference w:id="23"/>
      </w:r>
      <w:r w:rsidR="009C3E4D">
        <w:rPr>
          <w:szCs w:val="24"/>
        </w:rPr>
        <w:t xml:space="preserve"> medicines</w:t>
      </w:r>
      <w:r w:rsidRPr="00A91C73">
        <w:rPr>
          <w:szCs w:val="24"/>
          <w:vertAlign w:val="superscript"/>
        </w:rPr>
        <w:t xml:space="preserve"> </w:t>
      </w:r>
      <w:r w:rsidR="005E5515" w:rsidRPr="00423EFA">
        <w:rPr>
          <w:szCs w:val="24"/>
        </w:rPr>
        <w:t xml:space="preserve">are </w:t>
      </w:r>
      <w:r w:rsidR="00E52985" w:rsidRPr="00A91C73">
        <w:rPr>
          <w:szCs w:val="24"/>
        </w:rPr>
        <w:t xml:space="preserve">differentiated </w:t>
      </w:r>
      <w:r w:rsidR="005E5515" w:rsidRPr="00423EFA">
        <w:rPr>
          <w:szCs w:val="24"/>
        </w:rPr>
        <w:t xml:space="preserve">not only </w:t>
      </w:r>
      <w:r w:rsidRPr="00A91C73">
        <w:rPr>
          <w:szCs w:val="24"/>
        </w:rPr>
        <w:t xml:space="preserve">by their </w:t>
      </w:r>
      <w:r w:rsidR="005E5515" w:rsidRPr="00423EFA">
        <w:rPr>
          <w:szCs w:val="24"/>
        </w:rPr>
        <w:t xml:space="preserve">active ingredient(s) but also, in particular, as recognized by the European regulatory framework for medicines for human use, by their posology (or </w:t>
      </w:r>
      <w:r w:rsidRPr="00A91C73">
        <w:rPr>
          <w:szCs w:val="24"/>
        </w:rPr>
        <w:t>dosage</w:t>
      </w:r>
      <w:r w:rsidR="005E5515" w:rsidRPr="00423EFA">
        <w:rPr>
          <w:szCs w:val="24"/>
        </w:rPr>
        <w:t>),</w:t>
      </w:r>
      <w:r w:rsidRPr="00A91C73">
        <w:rPr>
          <w:szCs w:val="24"/>
        </w:rPr>
        <w:t xml:space="preserve"> pharmaceutical form</w:t>
      </w:r>
      <w:r w:rsidR="005E5515" w:rsidRPr="00423EFA">
        <w:rPr>
          <w:szCs w:val="24"/>
        </w:rPr>
        <w:t>, method</w:t>
      </w:r>
      <w:r w:rsidRPr="00A91C73">
        <w:rPr>
          <w:szCs w:val="24"/>
        </w:rPr>
        <w:t xml:space="preserve"> and route of </w:t>
      </w:r>
      <w:r w:rsidRPr="00A91C73">
        <w:rPr>
          <w:szCs w:val="24"/>
        </w:rPr>
        <w:lastRenderedPageBreak/>
        <w:t xml:space="preserve">administration </w:t>
      </w:r>
      <w:r w:rsidR="005E5515" w:rsidRPr="00423EFA">
        <w:rPr>
          <w:szCs w:val="24"/>
        </w:rPr>
        <w:t xml:space="preserve">(collectively referred to as </w:t>
      </w:r>
      <w:r w:rsidR="005E5515" w:rsidRPr="0041579F">
        <w:rPr>
          <w:szCs w:val="24"/>
        </w:rPr>
        <w:t>"galenic form" in this decision)</w:t>
      </w:r>
      <w:r w:rsidR="005E5515">
        <w:rPr>
          <w:szCs w:val="24"/>
        </w:rPr>
        <w:t xml:space="preserve"> </w:t>
      </w:r>
      <w:r w:rsidRPr="00A91C73">
        <w:rPr>
          <w:szCs w:val="24"/>
        </w:rPr>
        <w:t xml:space="preserve">which may limit their substitutability. </w:t>
      </w:r>
      <w:r w:rsidR="00E52985" w:rsidRPr="00A91C73">
        <w:rPr>
          <w:szCs w:val="24"/>
        </w:rPr>
        <w:t xml:space="preserve">The </w:t>
      </w:r>
      <w:r w:rsidR="005E5515">
        <w:rPr>
          <w:szCs w:val="24"/>
        </w:rPr>
        <w:t>galenic</w:t>
      </w:r>
      <w:r w:rsidR="00E52985" w:rsidRPr="00A91C73">
        <w:rPr>
          <w:szCs w:val="24"/>
        </w:rPr>
        <w:t xml:space="preserve"> form of a medicine may in some cases influence the preferences of consumers or be targeted to specific </w:t>
      </w:r>
      <w:r w:rsidR="00A64C78">
        <w:rPr>
          <w:szCs w:val="24"/>
        </w:rPr>
        <w:t>patients</w:t>
      </w:r>
      <w:r w:rsidR="00E52985" w:rsidRPr="00A91C73">
        <w:rPr>
          <w:szCs w:val="24"/>
        </w:rPr>
        <w:t xml:space="preserve"> groups (e.g. children), and therefore</w:t>
      </w:r>
      <w:r w:rsidR="008A649A">
        <w:rPr>
          <w:szCs w:val="24"/>
        </w:rPr>
        <w:t>, two medicines with the same active ingredient and indications may</w:t>
      </w:r>
      <w:r w:rsidR="00E52985" w:rsidRPr="00A91C73">
        <w:rPr>
          <w:szCs w:val="24"/>
        </w:rPr>
        <w:t xml:space="preserve"> not</w:t>
      </w:r>
      <w:r w:rsidR="008A649A">
        <w:rPr>
          <w:szCs w:val="24"/>
        </w:rPr>
        <w:t xml:space="preserve"> be</w:t>
      </w:r>
      <w:r w:rsidR="00E52985" w:rsidRPr="00A91C73">
        <w:rPr>
          <w:szCs w:val="24"/>
        </w:rPr>
        <w:t xml:space="preserve"> (fully) interchangeable</w:t>
      </w:r>
      <w:r w:rsidR="008A649A">
        <w:rPr>
          <w:szCs w:val="24"/>
        </w:rPr>
        <w:t xml:space="preserve"> for certain patient groups</w:t>
      </w:r>
      <w:r w:rsidR="00E52985" w:rsidRPr="00A91C73">
        <w:rPr>
          <w:szCs w:val="24"/>
        </w:rPr>
        <w:t>.</w:t>
      </w:r>
      <w:r w:rsidR="00E52985" w:rsidRPr="00A91C73">
        <w:rPr>
          <w:rStyle w:val="FootnoteReference"/>
          <w:sz w:val="24"/>
          <w:szCs w:val="24"/>
          <w:vertAlign w:val="superscript"/>
        </w:rPr>
        <w:footnoteReference w:id="24"/>
      </w:r>
      <w:r w:rsidR="00E52985" w:rsidRPr="00A91C73">
        <w:rPr>
          <w:szCs w:val="24"/>
        </w:rPr>
        <w:t xml:space="preserve"> </w:t>
      </w:r>
      <w:r w:rsidR="00465C2C">
        <w:rPr>
          <w:szCs w:val="24"/>
        </w:rPr>
        <w:t>Certain medicines can also be indicated only for a specific patient group (e.g. adults, children or babies)</w:t>
      </w:r>
      <w:r w:rsidR="00291EFD">
        <w:rPr>
          <w:szCs w:val="24"/>
        </w:rPr>
        <w:t>,</w:t>
      </w:r>
      <w:r w:rsidR="00465C2C">
        <w:rPr>
          <w:szCs w:val="24"/>
        </w:rPr>
        <w:t xml:space="preserve"> meaning that </w:t>
      </w:r>
      <w:r w:rsidR="008A649A">
        <w:rPr>
          <w:szCs w:val="24"/>
        </w:rPr>
        <w:t xml:space="preserve">they have only been shown to be safe and effective when </w:t>
      </w:r>
      <w:r w:rsidR="00465C2C">
        <w:rPr>
          <w:szCs w:val="24"/>
        </w:rPr>
        <w:t xml:space="preserve">administered </w:t>
      </w:r>
      <w:r w:rsidR="008A649A">
        <w:rPr>
          <w:szCs w:val="24"/>
        </w:rPr>
        <w:t>to that</w:t>
      </w:r>
      <w:r w:rsidR="00465C2C">
        <w:rPr>
          <w:szCs w:val="24"/>
        </w:rPr>
        <w:t xml:space="preserve"> </w:t>
      </w:r>
      <w:r w:rsidR="005E5515">
        <w:rPr>
          <w:szCs w:val="24"/>
        </w:rPr>
        <w:t xml:space="preserve">specific </w:t>
      </w:r>
      <w:r w:rsidR="00465C2C">
        <w:rPr>
          <w:szCs w:val="24"/>
        </w:rPr>
        <w:t>group of patients.</w:t>
      </w:r>
      <w:r w:rsidR="008A649A">
        <w:rPr>
          <w:szCs w:val="24"/>
        </w:rPr>
        <w:t xml:space="preserve"> </w:t>
      </w:r>
    </w:p>
    <w:p w:rsidR="008C07BA" w:rsidRPr="00A91C73" w:rsidRDefault="008C07BA" w:rsidP="00E52985">
      <w:pPr>
        <w:pStyle w:val="Heading4"/>
        <w:rPr>
          <w:szCs w:val="24"/>
        </w:rPr>
      </w:pPr>
      <w:bookmarkStart w:id="32" w:name="_Toc517710377"/>
      <w:bookmarkStart w:id="33" w:name="_Toc517812907"/>
      <w:r w:rsidRPr="00A91C73">
        <w:rPr>
          <w:szCs w:val="24"/>
        </w:rPr>
        <w:t>Conclusion</w:t>
      </w:r>
      <w:bookmarkEnd w:id="32"/>
      <w:bookmarkEnd w:id="33"/>
    </w:p>
    <w:p w:rsidR="00115341" w:rsidRPr="009B11A3" w:rsidRDefault="00115341">
      <w:pPr>
        <w:pStyle w:val="ListNumber"/>
      </w:pPr>
      <w:r w:rsidRPr="00A91C73">
        <w:rPr>
          <w:szCs w:val="24"/>
        </w:rPr>
        <w:t>The Commission's approach to market definition has been guided in the past pharmaceutical cases in particular by reference to ATC</w:t>
      </w:r>
      <w:r w:rsidR="009B2D1A" w:rsidRPr="00A91C73">
        <w:rPr>
          <w:szCs w:val="24"/>
        </w:rPr>
        <w:t>/OTC classes based on</w:t>
      </w:r>
      <w:r w:rsidR="009B2D1A">
        <w:t xml:space="preserve"> IMS; </w:t>
      </w:r>
      <w:r w:rsidRPr="00E66996">
        <w:t>active ingredients</w:t>
      </w:r>
      <w:r w:rsidR="009B2D1A">
        <w:t>;</w:t>
      </w:r>
      <w:r w:rsidRPr="00E66996">
        <w:t xml:space="preserve"> the distinction </w:t>
      </w:r>
      <w:r>
        <w:rPr>
          <w:szCs w:val="24"/>
        </w:rPr>
        <w:t>Rx</w:t>
      </w:r>
      <w:r w:rsidRPr="008A4632">
        <w:t xml:space="preserve"> versus OTC </w:t>
      </w:r>
      <w:r w:rsidRPr="009B11A3">
        <w:t>medicines</w:t>
      </w:r>
      <w:r w:rsidR="009B2D1A" w:rsidRPr="003B43D2">
        <w:t xml:space="preserve">; </w:t>
      </w:r>
      <w:r w:rsidRPr="00BE4FE6">
        <w:t xml:space="preserve">and different </w:t>
      </w:r>
      <w:r w:rsidR="00A64C78" w:rsidRPr="00BE4FE6">
        <w:t>patients groups</w:t>
      </w:r>
      <w:r w:rsidRPr="00BE4FE6">
        <w:t>.</w:t>
      </w:r>
      <w:r w:rsidRPr="009B11A3">
        <w:t xml:space="preserve"> </w:t>
      </w:r>
    </w:p>
    <w:p w:rsidR="00115341" w:rsidRPr="00A34138" w:rsidRDefault="00115341">
      <w:pPr>
        <w:pStyle w:val="ListNumber"/>
        <w:rPr>
          <w:szCs w:val="24"/>
        </w:rPr>
      </w:pPr>
      <w:r>
        <w:rPr>
          <w:szCs w:val="24"/>
        </w:rPr>
        <w:t xml:space="preserve">The Commission will analyse below the relevance of these distinctions for the </w:t>
      </w:r>
      <w:r w:rsidRPr="00A34138">
        <w:rPr>
          <w:szCs w:val="24"/>
        </w:rPr>
        <w:t xml:space="preserve">specific </w:t>
      </w:r>
      <w:r w:rsidR="00C448BC">
        <w:rPr>
          <w:szCs w:val="24"/>
        </w:rPr>
        <w:t>markets</w:t>
      </w:r>
      <w:r w:rsidR="00C448BC" w:rsidRPr="00A34138">
        <w:rPr>
          <w:szCs w:val="24"/>
        </w:rPr>
        <w:t xml:space="preserve"> </w:t>
      </w:r>
      <w:r w:rsidRPr="00A34138">
        <w:rPr>
          <w:szCs w:val="24"/>
        </w:rPr>
        <w:t>at stake.</w:t>
      </w:r>
    </w:p>
    <w:p w:rsidR="002D2887" w:rsidRPr="00A34138" w:rsidRDefault="002D2887">
      <w:pPr>
        <w:pStyle w:val="Heading3"/>
        <w:rPr>
          <w:szCs w:val="24"/>
        </w:rPr>
      </w:pPr>
      <w:bookmarkStart w:id="34" w:name="_Toc517444570"/>
      <w:bookmarkStart w:id="35" w:name="_Toc517710378"/>
      <w:bookmarkStart w:id="36" w:name="_Toc517812908"/>
      <w:r w:rsidRPr="00A34138">
        <w:rPr>
          <w:szCs w:val="24"/>
        </w:rPr>
        <w:t>Relevant geographic market</w:t>
      </w:r>
      <w:bookmarkEnd w:id="34"/>
      <w:bookmarkEnd w:id="35"/>
      <w:bookmarkEnd w:id="36"/>
    </w:p>
    <w:p w:rsidR="00115341" w:rsidRPr="00212512" w:rsidRDefault="00115341">
      <w:pPr>
        <w:pStyle w:val="ListNumber"/>
      </w:pPr>
      <w:r w:rsidRPr="005C1BA1">
        <w:rPr>
          <w:szCs w:val="24"/>
        </w:rPr>
        <w:t xml:space="preserve">The Commission has previously </w:t>
      </w:r>
      <w:r w:rsidR="00817A1D" w:rsidRPr="005C1BA1">
        <w:rPr>
          <w:szCs w:val="24"/>
        </w:rPr>
        <w:t xml:space="preserve">consistently </w:t>
      </w:r>
      <w:r w:rsidRPr="005C1BA1">
        <w:rPr>
          <w:szCs w:val="24"/>
        </w:rPr>
        <w:t xml:space="preserve">defined the geographic markets for </w:t>
      </w:r>
      <w:r w:rsidR="00A1512F" w:rsidRPr="005C1BA1">
        <w:rPr>
          <w:szCs w:val="24"/>
        </w:rPr>
        <w:t xml:space="preserve">finished </w:t>
      </w:r>
      <w:r w:rsidRPr="00A34138">
        <w:t>pharmaceutical products as being national in scope.</w:t>
      </w:r>
      <w:r w:rsidR="00A1512F">
        <w:rPr>
          <w:rStyle w:val="FootnoteReference"/>
        </w:rPr>
        <w:footnoteReference w:id="25"/>
      </w:r>
    </w:p>
    <w:p w:rsidR="00115341" w:rsidRPr="00A34138" w:rsidRDefault="00115341">
      <w:pPr>
        <w:pStyle w:val="ListNumber"/>
        <w:rPr>
          <w:szCs w:val="24"/>
        </w:rPr>
      </w:pPr>
      <w:r w:rsidRPr="00A34138">
        <w:rPr>
          <w:szCs w:val="24"/>
        </w:rPr>
        <w:t xml:space="preserve">The market investigation in this case did not provide any indications that such market definition should be revisited, in particular in view of the national regulatory and reimbursement schemes and the fact that competition between pharmaceutical firms still predominantly takes place at a national level. </w:t>
      </w:r>
    </w:p>
    <w:p w:rsidR="00115341" w:rsidRPr="00A34138" w:rsidRDefault="00115341">
      <w:pPr>
        <w:pStyle w:val="ListNumber"/>
        <w:rPr>
          <w:szCs w:val="24"/>
        </w:rPr>
      </w:pPr>
      <w:r w:rsidRPr="00A34138">
        <w:rPr>
          <w:szCs w:val="24"/>
        </w:rPr>
        <w:t>Therefore, for the purpose</w:t>
      </w:r>
      <w:r w:rsidR="009B2D1A" w:rsidRPr="00A34138">
        <w:rPr>
          <w:szCs w:val="24"/>
        </w:rPr>
        <w:t>s</w:t>
      </w:r>
      <w:r w:rsidRPr="00A34138">
        <w:rPr>
          <w:szCs w:val="24"/>
        </w:rPr>
        <w:t xml:space="preserve"> of this Decision, the Commission concludes that the scope of the geographic markets in relation to all assessed </w:t>
      </w:r>
      <w:r w:rsidR="00DF7178" w:rsidRPr="00A34138">
        <w:rPr>
          <w:szCs w:val="24"/>
        </w:rPr>
        <w:t>finished dose pharmaceutical products</w:t>
      </w:r>
      <w:r w:rsidRPr="00A34138">
        <w:rPr>
          <w:szCs w:val="24"/>
        </w:rPr>
        <w:t xml:space="preserve"> markets is national. </w:t>
      </w:r>
    </w:p>
    <w:p w:rsidR="002D2887" w:rsidRPr="00A34138" w:rsidRDefault="002D2887" w:rsidP="002D2887">
      <w:pPr>
        <w:pStyle w:val="Heading2"/>
        <w:tabs>
          <w:tab w:val="clear" w:pos="1080"/>
          <w:tab w:val="num" w:pos="709"/>
        </w:tabs>
        <w:ind w:left="709"/>
        <w:rPr>
          <w:szCs w:val="24"/>
        </w:rPr>
      </w:pPr>
      <w:bookmarkStart w:id="37" w:name="_Toc517444571"/>
      <w:bookmarkStart w:id="38" w:name="_Toc517710379"/>
      <w:bookmarkStart w:id="39" w:name="_Toc517812909"/>
      <w:r w:rsidRPr="00A34138">
        <w:rPr>
          <w:szCs w:val="24"/>
        </w:rPr>
        <w:t xml:space="preserve">Methodology for the identification </w:t>
      </w:r>
      <w:r w:rsidR="00BB11C8">
        <w:rPr>
          <w:szCs w:val="24"/>
        </w:rPr>
        <w:t>and the assessment</w:t>
      </w:r>
      <w:r w:rsidRPr="00A34138">
        <w:rPr>
          <w:szCs w:val="24"/>
        </w:rPr>
        <w:t xml:space="preserve"> of affected markets</w:t>
      </w:r>
      <w:bookmarkEnd w:id="37"/>
      <w:bookmarkEnd w:id="38"/>
      <w:bookmarkEnd w:id="39"/>
    </w:p>
    <w:p w:rsidR="002D2887" w:rsidRPr="00A34138" w:rsidRDefault="002D2887" w:rsidP="002D2887">
      <w:pPr>
        <w:pStyle w:val="ListNumber"/>
        <w:rPr>
          <w:szCs w:val="24"/>
        </w:rPr>
      </w:pPr>
      <w:r w:rsidRPr="00A34138">
        <w:rPr>
          <w:szCs w:val="24"/>
        </w:rPr>
        <w:t>To identify the markets affected by the Transaction, the methodology used is the following</w:t>
      </w:r>
      <w:r w:rsidR="00DF7178" w:rsidRPr="00A34138">
        <w:rPr>
          <w:szCs w:val="24"/>
        </w:rPr>
        <w:t>.</w:t>
      </w:r>
    </w:p>
    <w:p w:rsidR="002D2887" w:rsidRPr="00E66996" w:rsidRDefault="00DF7178" w:rsidP="002D2887">
      <w:pPr>
        <w:pStyle w:val="ListNumber"/>
      </w:pPr>
      <w:r w:rsidRPr="00A34138">
        <w:rPr>
          <w:szCs w:val="24"/>
        </w:rPr>
        <w:t>First,</w:t>
      </w:r>
      <w:r w:rsidR="002D2887" w:rsidRPr="00A34138">
        <w:rPr>
          <w:szCs w:val="24"/>
        </w:rPr>
        <w:t xml:space="preserve"> </w:t>
      </w:r>
      <w:r w:rsidRPr="00A34138">
        <w:rPr>
          <w:szCs w:val="24"/>
        </w:rPr>
        <w:t xml:space="preserve">the overlaps between </w:t>
      </w:r>
      <w:r w:rsidR="002D2887" w:rsidRPr="00A34138">
        <w:rPr>
          <w:szCs w:val="24"/>
        </w:rPr>
        <w:t xml:space="preserve">OTC </w:t>
      </w:r>
      <w:r w:rsidRPr="00A34138">
        <w:rPr>
          <w:szCs w:val="24"/>
        </w:rPr>
        <w:t xml:space="preserve">products of Teva </w:t>
      </w:r>
      <w:r w:rsidRPr="00E66996">
        <w:t xml:space="preserve">and </w:t>
      </w:r>
      <w:r w:rsidR="004B4F7C">
        <w:t>the</w:t>
      </w:r>
      <w:r w:rsidR="004B4F7C" w:rsidRPr="00E66996">
        <w:t xml:space="preserve"> </w:t>
      </w:r>
      <w:r w:rsidRPr="00E66996">
        <w:t>products of the Target business</w:t>
      </w:r>
      <w:r w:rsidR="00F10E5F">
        <w:t xml:space="preserve"> </w:t>
      </w:r>
      <w:r w:rsidR="005E5515">
        <w:t xml:space="preserve">(which are also OTC) </w:t>
      </w:r>
      <w:r w:rsidR="00F10E5F">
        <w:t xml:space="preserve">have been </w:t>
      </w:r>
      <w:r w:rsidR="002D2887" w:rsidRPr="00DF7178">
        <w:t xml:space="preserve">identified </w:t>
      </w:r>
      <w:r w:rsidR="00F10E5F">
        <w:t>on the basis of</w:t>
      </w:r>
      <w:r w:rsidR="002D2887" w:rsidRPr="00DF7178">
        <w:t xml:space="preserve"> overlapping </w:t>
      </w:r>
      <w:r w:rsidRPr="00DF7178">
        <w:t xml:space="preserve">therapeutic </w:t>
      </w:r>
      <w:r w:rsidR="002D2887" w:rsidRPr="00DF7178">
        <w:t>indications, following in particular the OTC classification</w:t>
      </w:r>
      <w:r w:rsidRPr="00DF7178">
        <w:t>.</w:t>
      </w:r>
      <w:r w:rsidR="005E5515">
        <w:rPr>
          <w:rStyle w:val="FootnoteReference"/>
        </w:rPr>
        <w:footnoteReference w:id="26"/>
      </w:r>
      <w:r w:rsidR="00E94A92">
        <w:t xml:space="preserve"> </w:t>
      </w:r>
      <w:r w:rsidR="00F10E5F">
        <w:t>To identify the affected markets, t</w:t>
      </w:r>
      <w:r w:rsidR="004B4F7C">
        <w:t xml:space="preserve">he </w:t>
      </w:r>
      <w:r w:rsidR="00F10E5F">
        <w:t>Notifying Party</w:t>
      </w:r>
      <w:r w:rsidR="004B4F7C" w:rsidRPr="00DF7178">
        <w:t xml:space="preserve"> </w:t>
      </w:r>
      <w:r w:rsidR="00F10E5F">
        <w:t>provided</w:t>
      </w:r>
      <w:r w:rsidRPr="00DF7178">
        <w:t xml:space="preserve"> market shares </w:t>
      </w:r>
      <w:r w:rsidR="00F10E5F">
        <w:t>data</w:t>
      </w:r>
      <w:r w:rsidRPr="00DF7178">
        <w:t xml:space="preserve"> based on the data of IMS</w:t>
      </w:r>
      <w:r w:rsidR="004B4F7C">
        <w:t xml:space="preserve"> f</w:t>
      </w:r>
      <w:r w:rsidRPr="00E66996">
        <w:t xml:space="preserve">or all plausible product market definition, including at </w:t>
      </w:r>
      <w:r w:rsidR="004B4F7C">
        <w:t>OTC</w:t>
      </w:r>
      <w:r w:rsidR="00242F29">
        <w:t xml:space="preserve"> </w:t>
      </w:r>
      <w:r w:rsidR="004B4F7C">
        <w:t xml:space="preserve">3, </w:t>
      </w:r>
      <w:r w:rsidRPr="00E66996">
        <w:t>ATC</w:t>
      </w:r>
      <w:r w:rsidR="00242F29">
        <w:t xml:space="preserve"> </w:t>
      </w:r>
      <w:r w:rsidRPr="00E66996">
        <w:t>3, ATC</w:t>
      </w:r>
      <w:r w:rsidR="00242F29">
        <w:t xml:space="preserve"> </w:t>
      </w:r>
      <w:r w:rsidRPr="00E66996">
        <w:t>4</w:t>
      </w:r>
      <w:r w:rsidR="00F10E5F">
        <w:t xml:space="preserve"> and </w:t>
      </w:r>
      <w:r w:rsidRPr="00E66996">
        <w:t>molecule level.</w:t>
      </w:r>
      <w:r w:rsidR="00F10E5F">
        <w:rPr>
          <w:rStyle w:val="FootnoteReference"/>
        </w:rPr>
        <w:footnoteReference w:id="27"/>
      </w:r>
      <w:r w:rsidR="004B4F7C">
        <w:t xml:space="preserve">  </w:t>
      </w:r>
    </w:p>
    <w:p w:rsidR="002D2887" w:rsidRPr="008A4632" w:rsidRDefault="00DF7178" w:rsidP="002D2887">
      <w:pPr>
        <w:pStyle w:val="ListNumber"/>
      </w:pPr>
      <w:r w:rsidRPr="00E66996">
        <w:t>Second,</w:t>
      </w:r>
      <w:r w:rsidR="002D2887" w:rsidRPr="00E66996">
        <w:t xml:space="preserve"> </w:t>
      </w:r>
      <w:r w:rsidRPr="00E66996">
        <w:t xml:space="preserve">the overlaps between </w:t>
      </w:r>
      <w:r w:rsidR="002D2887" w:rsidRPr="00E66996">
        <w:t>Rx</w:t>
      </w:r>
      <w:r w:rsidRPr="00E66996">
        <w:t xml:space="preserve"> products of Teva and</w:t>
      </w:r>
      <w:r w:rsidR="002D2887" w:rsidRPr="00E66996">
        <w:t xml:space="preserve"> </w:t>
      </w:r>
      <w:r w:rsidR="002D2887" w:rsidRPr="00DF7178">
        <w:t xml:space="preserve">OTC </w:t>
      </w:r>
      <w:r w:rsidRPr="00DF7178">
        <w:t>products of the Target business</w:t>
      </w:r>
      <w:r w:rsidR="00F10E5F">
        <w:t xml:space="preserve"> were</w:t>
      </w:r>
      <w:r w:rsidR="004B4F7C" w:rsidRPr="00DF7178">
        <w:t xml:space="preserve"> </w:t>
      </w:r>
      <w:r w:rsidR="002D2887" w:rsidRPr="00DF7178">
        <w:t xml:space="preserve">identified </w:t>
      </w:r>
      <w:r w:rsidR="00F10E5F">
        <w:t xml:space="preserve">on the basis of </w:t>
      </w:r>
      <w:r w:rsidR="002D2887" w:rsidRPr="00DF7178">
        <w:t xml:space="preserve">overlapping </w:t>
      </w:r>
      <w:r w:rsidR="00F10E5F">
        <w:t xml:space="preserve">therapeutic indications </w:t>
      </w:r>
      <w:r w:rsidR="00F10E5F">
        <w:lastRenderedPageBreak/>
        <w:t>when the products included the same molecule</w:t>
      </w:r>
      <w:r w:rsidR="002D2887" w:rsidRPr="008A4632">
        <w:t xml:space="preserve"> and </w:t>
      </w:r>
      <w:r w:rsidR="00F10E5F">
        <w:t>belonged to the same ATC3 class. To identify the affected markets, the Notifying Party</w:t>
      </w:r>
      <w:r w:rsidRPr="00E66996">
        <w:t xml:space="preserve"> calculated the market shares of the Parties </w:t>
      </w:r>
      <w:r w:rsidRPr="00DF7178">
        <w:t>based</w:t>
      </w:r>
      <w:r w:rsidRPr="00E66996">
        <w:t xml:space="preserve"> on the</w:t>
      </w:r>
      <w:r w:rsidR="002D2887" w:rsidRPr="00E66996">
        <w:t xml:space="preserve"> data of IMS</w:t>
      </w:r>
      <w:r w:rsidR="002D2887" w:rsidRPr="008A4632">
        <w:t xml:space="preserve">. </w:t>
      </w:r>
    </w:p>
    <w:p w:rsidR="002D2887" w:rsidRPr="00E66996" w:rsidRDefault="00A56D14" w:rsidP="002D2887">
      <w:pPr>
        <w:pStyle w:val="ListNumber"/>
      </w:pPr>
      <w:r>
        <w:t>I</w:t>
      </w:r>
      <w:r w:rsidR="002D2887" w:rsidRPr="00E66996">
        <w:t>n line with precedents in the pharmaceutical industry,</w:t>
      </w:r>
      <w:r>
        <w:rPr>
          <w:rStyle w:val="FootnoteReference"/>
        </w:rPr>
        <w:footnoteReference w:id="28"/>
      </w:r>
      <w:r w:rsidR="002D2887" w:rsidRPr="00E66996">
        <w:t xml:space="preserve"> the markets affected by the Transaction have been </w:t>
      </w:r>
      <w:r>
        <w:t>grouped as follows</w:t>
      </w:r>
      <w:r w:rsidR="002D2887" w:rsidRPr="00E66996">
        <w:t>:</w:t>
      </w:r>
    </w:p>
    <w:p w:rsidR="002D2887" w:rsidRPr="00DF7178" w:rsidRDefault="002D2887" w:rsidP="008A4632">
      <w:pPr>
        <w:pStyle w:val="ListNumberLevel2"/>
      </w:pPr>
      <w:r w:rsidRPr="00DF7178">
        <w:t>Group 1</w:t>
      </w:r>
      <w:r w:rsidR="00A56D14">
        <w:t xml:space="preserve"> markets</w:t>
      </w:r>
      <w:r w:rsidRPr="00DF7178">
        <w:t xml:space="preserve">, where the Parties' combined market share exceeds 35% and the increment exceeds 1%; </w:t>
      </w:r>
    </w:p>
    <w:p w:rsidR="002D2887" w:rsidRPr="00DF7178" w:rsidRDefault="002D2887" w:rsidP="00E66996">
      <w:pPr>
        <w:pStyle w:val="ListNumberLevel2"/>
      </w:pPr>
      <w:r w:rsidRPr="00DF7178">
        <w:t>Group 1+</w:t>
      </w:r>
      <w:r w:rsidR="00A56D14">
        <w:t xml:space="preserve"> markets</w:t>
      </w:r>
      <w:r w:rsidRPr="00DF7178">
        <w:t xml:space="preserve">, where (i) the combined market share is below 35% but only one other competitor remains on the market; or (ii) the combined market share exceeds 35% and the increment is below 1% but the party with the small increment is a recent entrant; </w:t>
      </w:r>
    </w:p>
    <w:p w:rsidR="002D2887" w:rsidRPr="00DF7178" w:rsidRDefault="002D2887" w:rsidP="00E66996">
      <w:pPr>
        <w:pStyle w:val="ListNumberLevel2"/>
      </w:pPr>
      <w:r w:rsidRPr="00DF7178">
        <w:t>Group 2</w:t>
      </w:r>
      <w:r w:rsidR="00A56D14">
        <w:t xml:space="preserve"> markets</w:t>
      </w:r>
      <w:r w:rsidRPr="00DF7178">
        <w:t xml:space="preserve">, where the Parties' combined market share exceeds 35% but the increment is below 1%; </w:t>
      </w:r>
    </w:p>
    <w:p w:rsidR="002D2887" w:rsidRPr="00DF7178" w:rsidRDefault="002D2887" w:rsidP="00E66996">
      <w:pPr>
        <w:pStyle w:val="ListNumberLevel2"/>
      </w:pPr>
      <w:r w:rsidRPr="00DF7178">
        <w:t>Group 3</w:t>
      </w:r>
      <w:r w:rsidR="00A56D14">
        <w:t xml:space="preserve"> markets</w:t>
      </w:r>
      <w:r w:rsidRPr="00DF7178">
        <w:t xml:space="preserve">, where the Parties' combined market share is between 20% and 35%. </w:t>
      </w:r>
    </w:p>
    <w:p w:rsidR="00C1517C" w:rsidRDefault="001C7092" w:rsidP="004C4AF2">
      <w:pPr>
        <w:pStyle w:val="ListNumber"/>
      </w:pPr>
      <w:r w:rsidRPr="00E66996">
        <w:t>The Commission has analysed all markets affected by the Transaction</w:t>
      </w:r>
      <w:r w:rsidR="00BB11C8" w:rsidRPr="00BB11C8">
        <w:t xml:space="preserve"> </w:t>
      </w:r>
      <w:r w:rsidR="00BB11C8">
        <w:t>for each of the two categories of overlaps (OTC vs OTC and Rx vs OTC)</w:t>
      </w:r>
      <w:r w:rsidR="00F10E5F" w:rsidRPr="003057AC">
        <w:t>. In</w:t>
      </w:r>
      <w:r w:rsidRPr="00E66996">
        <w:t xml:space="preserve"> line with previous decisions, Group</w:t>
      </w:r>
      <w:r w:rsidR="0064441C">
        <w:t xml:space="preserve"> </w:t>
      </w:r>
      <w:r w:rsidRPr="00E66996">
        <w:t xml:space="preserve">3 markets are </w:t>
      </w:r>
      <w:r w:rsidR="00C448BC">
        <w:t xml:space="preserve">however </w:t>
      </w:r>
      <w:r w:rsidRPr="00E66996">
        <w:t xml:space="preserve">not </w:t>
      </w:r>
      <w:r w:rsidR="00B05B78" w:rsidRPr="00E66996">
        <w:t xml:space="preserve">individually </w:t>
      </w:r>
      <w:r w:rsidRPr="00E66996">
        <w:t xml:space="preserve">considered in detail in this Decision. The Commission </w:t>
      </w:r>
      <w:r w:rsidR="00F665F1">
        <w:t xml:space="preserve">assessed the competitive situation on these markets </w:t>
      </w:r>
      <w:r w:rsidR="00F665F1" w:rsidRPr="00F665F1">
        <w:t>analysing the nature and the number of existing competitors</w:t>
      </w:r>
      <w:r w:rsidR="00F665F1">
        <w:t xml:space="preserve"> and</w:t>
      </w:r>
      <w:r w:rsidRPr="00E66996">
        <w:t xml:space="preserve"> considered that the Transaction </w:t>
      </w:r>
      <w:r w:rsidR="00B05B78">
        <w:t>is unlikely to</w:t>
      </w:r>
      <w:r w:rsidR="00B05B78" w:rsidRPr="003057AC">
        <w:t xml:space="preserve"> </w:t>
      </w:r>
      <w:r w:rsidR="00414ECB" w:rsidRPr="003057AC">
        <w:t>raise serious doubts as to its compatibility with the internal market</w:t>
      </w:r>
      <w:r w:rsidRPr="00E66996">
        <w:t xml:space="preserve"> in these markets</w:t>
      </w:r>
      <w:r w:rsidRPr="001C7092">
        <w:t>.</w:t>
      </w:r>
      <w:r>
        <w:t xml:space="preserve"> </w:t>
      </w:r>
    </w:p>
    <w:p w:rsidR="006F61CB" w:rsidRDefault="002D2887" w:rsidP="002D2887">
      <w:pPr>
        <w:pStyle w:val="Heading2"/>
        <w:tabs>
          <w:tab w:val="clear" w:pos="1080"/>
          <w:tab w:val="num" w:pos="709"/>
        </w:tabs>
        <w:ind w:left="709"/>
      </w:pPr>
      <w:bookmarkStart w:id="40" w:name="_Toc517444572"/>
      <w:bookmarkStart w:id="41" w:name="_Toc517710380"/>
      <w:bookmarkStart w:id="42" w:name="_Toc517812910"/>
      <w:r w:rsidRPr="00554E2B">
        <w:t>OTC vs OTC</w:t>
      </w:r>
      <w:r w:rsidR="00A91C73" w:rsidRPr="00554E2B">
        <w:t xml:space="preserve"> Product Overlaps </w:t>
      </w:r>
      <w:r w:rsidR="00B72AFE">
        <w:t>–</w:t>
      </w:r>
      <w:r w:rsidR="001C7092" w:rsidRPr="00554E2B">
        <w:t xml:space="preserve"> </w:t>
      </w:r>
      <w:r w:rsidR="004C4AF2" w:rsidRPr="00554E2B">
        <w:t>Group</w:t>
      </w:r>
      <w:r w:rsidR="00B72AFE">
        <w:t xml:space="preserve"> </w:t>
      </w:r>
      <w:r w:rsidR="004C4AF2" w:rsidRPr="00554E2B">
        <w:t>1/1+/2</w:t>
      </w:r>
      <w:r w:rsidR="001C7092" w:rsidRPr="00554E2B">
        <w:t xml:space="preserve"> markets</w:t>
      </w:r>
      <w:bookmarkEnd w:id="40"/>
      <w:bookmarkEnd w:id="41"/>
      <w:bookmarkEnd w:id="42"/>
      <w:r w:rsidR="001C7092" w:rsidRPr="00554E2B">
        <w:t xml:space="preserve"> </w:t>
      </w:r>
    </w:p>
    <w:p w:rsidR="00C448BC" w:rsidRPr="00C448BC" w:rsidRDefault="00C448BC" w:rsidP="00420413">
      <w:pPr>
        <w:pStyle w:val="ListNumber"/>
      </w:pPr>
      <w:r>
        <w:t>The Transaction leads to Group</w:t>
      </w:r>
      <w:r w:rsidR="00B72AFE">
        <w:t xml:space="preserve"> </w:t>
      </w:r>
      <w:r>
        <w:t>1</w:t>
      </w:r>
      <w:r w:rsidR="00B16B3E">
        <w:t xml:space="preserve"> and Group</w:t>
      </w:r>
      <w:r w:rsidR="00B72AFE">
        <w:t xml:space="preserve"> </w:t>
      </w:r>
      <w:r>
        <w:t xml:space="preserve">2 </w:t>
      </w:r>
      <w:r w:rsidR="00A47402">
        <w:t xml:space="preserve">OTC </w:t>
      </w:r>
      <w:r>
        <w:t xml:space="preserve">markets in </w:t>
      </w:r>
      <w:r w:rsidR="00B16B3E">
        <w:t>six</w:t>
      </w:r>
      <w:r>
        <w:t xml:space="preserve"> </w:t>
      </w:r>
      <w:r w:rsidR="00A47402">
        <w:t xml:space="preserve">product/geographic </w:t>
      </w:r>
      <w:r>
        <w:t>markets</w:t>
      </w:r>
      <w:r w:rsidR="00A47402">
        <w:t xml:space="preserve"> namely</w:t>
      </w:r>
      <w:r>
        <w:t xml:space="preserve"> topical anti-rheumatics and analgesics in Latvia (more specifically </w:t>
      </w:r>
      <w:r w:rsidRPr="00420413">
        <w:rPr>
          <w:i/>
        </w:rPr>
        <w:t>diclofenac</w:t>
      </w:r>
      <w:r>
        <w:t>–based products) (</w:t>
      </w:r>
      <w:r>
        <w:fldChar w:fldCharType="begin"/>
      </w:r>
      <w:r>
        <w:instrText xml:space="preserve"> REF _Ref517681127 \r \h </w:instrText>
      </w:r>
      <w:r>
        <w:fldChar w:fldCharType="separate"/>
      </w:r>
      <w:r w:rsidR="00FE3ACD">
        <w:t>4.4.1</w:t>
      </w:r>
      <w:r>
        <w:fldChar w:fldCharType="end"/>
      </w:r>
      <w:r>
        <w:t xml:space="preserve">); </w:t>
      </w:r>
      <w:r w:rsidR="00B16B3E">
        <w:t>general pain relief products in Austria</w:t>
      </w:r>
      <w:r w:rsidR="005818A8">
        <w:t>, Hungary</w:t>
      </w:r>
      <w:r w:rsidR="00CF4A31">
        <w:t>,</w:t>
      </w:r>
      <w:r w:rsidR="005818A8">
        <w:t xml:space="preserve"> and Lithuania</w:t>
      </w:r>
      <w:r w:rsidR="00B16B3E">
        <w:t xml:space="preserve"> </w:t>
      </w:r>
      <w:r w:rsidR="005818A8">
        <w:t>(</w:t>
      </w:r>
      <w:r w:rsidR="00B16B3E">
        <w:t xml:space="preserve">more specifically </w:t>
      </w:r>
      <w:r w:rsidR="00B16B3E" w:rsidRPr="00420413">
        <w:rPr>
          <w:i/>
        </w:rPr>
        <w:t>paracetamol</w:t>
      </w:r>
      <w:r w:rsidR="00B16B3E">
        <w:t>-based general pain relief products in Hungary and Lithuania</w:t>
      </w:r>
      <w:r w:rsidR="005818A8">
        <w:t>) (</w:t>
      </w:r>
      <w:r w:rsidR="005818A8">
        <w:fldChar w:fldCharType="begin"/>
      </w:r>
      <w:r w:rsidR="005818A8">
        <w:instrText xml:space="preserve"> REF _Ref517681187 \r \h </w:instrText>
      </w:r>
      <w:r w:rsidR="005818A8">
        <w:fldChar w:fldCharType="separate"/>
      </w:r>
      <w:r w:rsidR="00FE3ACD">
        <w:t>4.4.2</w:t>
      </w:r>
      <w:r w:rsidR="005818A8">
        <w:fldChar w:fldCharType="end"/>
      </w:r>
      <w:r w:rsidR="00B16B3E">
        <w:t>); heart attack prevention products in Hungary (</w:t>
      </w:r>
      <w:r w:rsidR="005C1BA1">
        <w:fldChar w:fldCharType="begin"/>
      </w:r>
      <w:r w:rsidR="005C1BA1">
        <w:instrText xml:space="preserve"> REF _Ref517709426 \n \h </w:instrText>
      </w:r>
      <w:r w:rsidR="005C1BA1">
        <w:fldChar w:fldCharType="separate"/>
      </w:r>
      <w:r w:rsidR="00FE3ACD">
        <w:t>4.4.3</w:t>
      </w:r>
      <w:r w:rsidR="005C1BA1">
        <w:fldChar w:fldCharType="end"/>
      </w:r>
      <w:r w:rsidR="00B16B3E">
        <w:t>) and proton pumps inhibitors in Bulgaria (</w:t>
      </w:r>
      <w:r w:rsidR="00B16B3E">
        <w:fldChar w:fldCharType="begin"/>
      </w:r>
      <w:r w:rsidR="00B16B3E">
        <w:instrText xml:space="preserve"> REF _Ref517681210 \r \h </w:instrText>
      </w:r>
      <w:r w:rsidR="00B16B3E">
        <w:fldChar w:fldCharType="separate"/>
      </w:r>
      <w:r w:rsidR="00FE3ACD">
        <w:t>4.4.4</w:t>
      </w:r>
      <w:r w:rsidR="00B16B3E">
        <w:fldChar w:fldCharType="end"/>
      </w:r>
      <w:r w:rsidR="00B16B3E">
        <w:t>).</w:t>
      </w:r>
    </w:p>
    <w:p w:rsidR="00A95B38" w:rsidRPr="00675AFE" w:rsidRDefault="00A95B38" w:rsidP="00A95B38">
      <w:pPr>
        <w:pStyle w:val="Heading3"/>
        <w:rPr>
          <w:szCs w:val="24"/>
        </w:rPr>
      </w:pPr>
      <w:bookmarkStart w:id="43" w:name="_Ref517681127"/>
      <w:bookmarkStart w:id="44" w:name="_Toc517710381"/>
      <w:bookmarkStart w:id="45" w:name="_Toc517812911"/>
      <w:bookmarkStart w:id="46" w:name="_Toc517444574"/>
      <w:r w:rsidRPr="008F3F1C">
        <w:rPr>
          <w:szCs w:val="24"/>
        </w:rPr>
        <w:t>Topical An</w:t>
      </w:r>
      <w:r>
        <w:rPr>
          <w:szCs w:val="24"/>
        </w:rPr>
        <w:t>ti</w:t>
      </w:r>
      <w:r w:rsidRPr="008F3F1C">
        <w:rPr>
          <w:szCs w:val="24"/>
        </w:rPr>
        <w:t>-Rheumatics and Analgesics</w:t>
      </w:r>
      <w:r w:rsidRPr="00675AFE">
        <w:rPr>
          <w:szCs w:val="24"/>
        </w:rPr>
        <w:t xml:space="preserve"> in Latvia</w:t>
      </w:r>
      <w:bookmarkEnd w:id="43"/>
      <w:bookmarkEnd w:id="44"/>
      <w:bookmarkEnd w:id="45"/>
    </w:p>
    <w:p w:rsidR="00A95B38" w:rsidRDefault="00A95B38" w:rsidP="00A95B38">
      <w:pPr>
        <w:pStyle w:val="Heading4"/>
        <w:rPr>
          <w:rFonts w:ascii="Times" w:eastAsia="Calibri" w:hAnsi="Times"/>
          <w:szCs w:val="24"/>
          <w:lang w:val="en-US"/>
        </w:rPr>
      </w:pPr>
      <w:bookmarkStart w:id="47" w:name="_Toc517710382"/>
      <w:bookmarkStart w:id="48" w:name="_Toc517812912"/>
      <w:r w:rsidRPr="00675AFE">
        <w:rPr>
          <w:rFonts w:ascii="Times" w:eastAsia="Calibri" w:hAnsi="Times"/>
          <w:szCs w:val="24"/>
          <w:lang w:val="en-US"/>
        </w:rPr>
        <w:t>Market Definition</w:t>
      </w:r>
      <w:bookmarkEnd w:id="47"/>
      <w:bookmarkEnd w:id="48"/>
    </w:p>
    <w:p w:rsidR="00A95B38" w:rsidRPr="00546F00" w:rsidRDefault="00A95B38" w:rsidP="00A95B38">
      <w:pPr>
        <w:pStyle w:val="ListNumber"/>
        <w:rPr>
          <w:rFonts w:eastAsia="Calibri"/>
          <w:lang w:val="en-US"/>
        </w:rPr>
      </w:pPr>
      <w:r w:rsidRPr="008F3F1C">
        <w:rPr>
          <w:rFonts w:eastAsia="Calibri"/>
          <w:lang w:val="en-US"/>
        </w:rPr>
        <w:t>Topical anti-rheumatics and analgesics are categorized in ATC 3 class M2A</w:t>
      </w:r>
      <w:r w:rsidR="00B72AFE">
        <w:rPr>
          <w:rFonts w:eastAsia="Calibri"/>
          <w:lang w:val="en-US"/>
        </w:rPr>
        <w:t xml:space="preserve"> (</w:t>
      </w:r>
      <w:r w:rsidR="00BB11C8">
        <w:rPr>
          <w:rFonts w:eastAsia="Calibri"/>
          <w:lang w:val="en-US"/>
        </w:rPr>
        <w:t>T</w:t>
      </w:r>
      <w:r w:rsidR="00B72AFE">
        <w:rPr>
          <w:rFonts w:eastAsia="Calibri"/>
          <w:lang w:val="en-US"/>
        </w:rPr>
        <w:t xml:space="preserve">opical </w:t>
      </w:r>
      <w:r w:rsidR="00BB11C8">
        <w:rPr>
          <w:rFonts w:eastAsia="Calibri"/>
          <w:lang w:val="en-US"/>
        </w:rPr>
        <w:t>A</w:t>
      </w:r>
      <w:r w:rsidR="00B72AFE">
        <w:rPr>
          <w:rFonts w:eastAsia="Calibri"/>
          <w:lang w:val="en-US"/>
        </w:rPr>
        <w:t xml:space="preserve">nti-rheumatic and </w:t>
      </w:r>
      <w:r w:rsidR="00BB11C8">
        <w:rPr>
          <w:rFonts w:eastAsia="Calibri"/>
          <w:lang w:val="en-US"/>
        </w:rPr>
        <w:t>A</w:t>
      </w:r>
      <w:r w:rsidR="00B72AFE">
        <w:rPr>
          <w:rFonts w:eastAsia="Calibri"/>
          <w:lang w:val="en-US"/>
        </w:rPr>
        <w:t>nalgesics)</w:t>
      </w:r>
      <w:r w:rsidRPr="008F3F1C">
        <w:rPr>
          <w:rFonts w:eastAsia="Calibri"/>
          <w:lang w:val="en-US"/>
        </w:rPr>
        <w:t>.</w:t>
      </w:r>
      <w:r w:rsidR="0064441C">
        <w:rPr>
          <w:rStyle w:val="FootnoteReference"/>
          <w:rFonts w:eastAsia="Calibri"/>
          <w:lang w:val="en-US"/>
        </w:rPr>
        <w:footnoteReference w:id="29"/>
      </w:r>
      <w:r w:rsidRPr="008F3F1C">
        <w:rPr>
          <w:rFonts w:eastAsia="Calibri"/>
          <w:lang w:val="en-US"/>
        </w:rPr>
        <w:t xml:space="preserve">  This ATC 3 class includes ointments, creams and sprays for the treatment of </w:t>
      </w:r>
      <w:r w:rsidRPr="00675AFE">
        <w:rPr>
          <w:rFonts w:eastAsia="Calibri"/>
        </w:rPr>
        <w:t xml:space="preserve">injuries, sprains, muscular tension, etc. </w:t>
      </w:r>
      <w:r>
        <w:rPr>
          <w:rFonts w:eastAsia="Calibri"/>
        </w:rPr>
        <w:t xml:space="preserve"> </w:t>
      </w:r>
      <w:r w:rsidR="00B72AFE">
        <w:rPr>
          <w:rFonts w:eastAsia="Calibri"/>
        </w:rPr>
        <w:t>The ATC3 class M2A is not further divided into ATC4 classes.</w:t>
      </w:r>
    </w:p>
    <w:p w:rsidR="00A95B38" w:rsidRDefault="00A95B38" w:rsidP="00A95B38">
      <w:pPr>
        <w:pStyle w:val="ListNumber"/>
        <w:rPr>
          <w:rFonts w:eastAsia="Calibri"/>
          <w:lang w:val="en-US"/>
        </w:rPr>
      </w:pPr>
      <w:r>
        <w:rPr>
          <w:rFonts w:eastAsia="Calibri"/>
          <w:lang w:val="en-US"/>
        </w:rPr>
        <w:lastRenderedPageBreak/>
        <w:t>In previous decisions</w:t>
      </w:r>
      <w:r w:rsidRPr="008F3F1C">
        <w:rPr>
          <w:rFonts w:eastAsia="Calibri"/>
          <w:lang w:val="en-US"/>
        </w:rPr>
        <w:t xml:space="preserve">, the Commission considered that </w:t>
      </w:r>
      <w:r w:rsidR="00B72AFE">
        <w:rPr>
          <w:rFonts w:eastAsia="Calibri"/>
          <w:lang w:val="en-US"/>
        </w:rPr>
        <w:t xml:space="preserve">it was appropriate to include in the relevant market </w:t>
      </w:r>
      <w:r w:rsidRPr="008F3F1C">
        <w:rPr>
          <w:rFonts w:eastAsia="Calibri"/>
          <w:lang w:val="en-US"/>
        </w:rPr>
        <w:t>all ATC3 products classified under M2A</w:t>
      </w:r>
      <w:r>
        <w:rPr>
          <w:rFonts w:eastAsia="Calibri"/>
          <w:lang w:val="en-US"/>
        </w:rPr>
        <w:t>.</w:t>
      </w:r>
      <w:r>
        <w:rPr>
          <w:rStyle w:val="FootnoteReference"/>
          <w:rFonts w:eastAsia="Calibri"/>
          <w:lang w:val="en-US"/>
        </w:rPr>
        <w:footnoteReference w:id="30"/>
      </w:r>
      <w:r>
        <w:rPr>
          <w:rFonts w:eastAsia="Calibri"/>
          <w:lang w:val="en-US"/>
        </w:rPr>
        <w:t xml:space="preserve">  The Commission has not considered further market segmentation of the ATC3 class M2A on the basis of molecule.</w:t>
      </w:r>
      <w:r w:rsidR="0064441C">
        <w:rPr>
          <w:rFonts w:eastAsia="Calibri"/>
          <w:lang w:val="en-US"/>
        </w:rPr>
        <w:t xml:space="preserve"> I</w:t>
      </w:r>
      <w:r>
        <w:rPr>
          <w:rFonts w:eastAsia="Calibri"/>
          <w:lang w:val="en-US"/>
        </w:rPr>
        <w:t xml:space="preserve">n </w:t>
      </w:r>
      <w:r w:rsidRPr="00675AFE">
        <w:rPr>
          <w:rFonts w:eastAsia="Calibri"/>
          <w:i/>
          <w:lang w:val="en-US"/>
        </w:rPr>
        <w:t>Teva/Cephalon</w:t>
      </w:r>
      <w:r>
        <w:rPr>
          <w:rFonts w:eastAsia="Calibri"/>
          <w:lang w:val="en-US"/>
        </w:rPr>
        <w:t xml:space="preserve">, the Commission did discuss a separate relevant market for </w:t>
      </w:r>
      <w:r w:rsidRPr="00420413">
        <w:rPr>
          <w:rFonts w:eastAsia="Calibri"/>
          <w:i/>
          <w:lang w:val="en-US"/>
        </w:rPr>
        <w:t>diclofenac</w:t>
      </w:r>
      <w:r>
        <w:rPr>
          <w:rFonts w:eastAsia="Calibri"/>
          <w:lang w:val="en-US"/>
        </w:rPr>
        <w:t>-based products within the neighboring ATC 3 class M1A (</w:t>
      </w:r>
      <w:r w:rsidRPr="00291E12">
        <w:rPr>
          <w:rFonts w:eastAsia="Calibri"/>
          <w:lang w:val="en-US"/>
        </w:rPr>
        <w:t>non-steroidal anti-rheumatics</w:t>
      </w:r>
      <w:r>
        <w:rPr>
          <w:rFonts w:eastAsia="Calibri"/>
          <w:lang w:val="en-US"/>
        </w:rPr>
        <w:t>)</w:t>
      </w:r>
      <w:r w:rsidR="0064441C">
        <w:rPr>
          <w:rFonts w:eastAsia="Calibri"/>
          <w:lang w:val="en-US"/>
        </w:rPr>
        <w:t xml:space="preserve"> but ultimately left the market definition open.</w:t>
      </w:r>
      <w:r>
        <w:rPr>
          <w:rStyle w:val="FootnoteReference"/>
          <w:rFonts w:eastAsia="Calibri"/>
          <w:lang w:val="en-US"/>
        </w:rPr>
        <w:footnoteReference w:id="31"/>
      </w:r>
      <w:r>
        <w:rPr>
          <w:rFonts w:eastAsia="Calibri"/>
          <w:lang w:val="en-US"/>
        </w:rPr>
        <w:t xml:space="preserve">  </w:t>
      </w:r>
    </w:p>
    <w:p w:rsidR="00A95B38" w:rsidRPr="00675AFE" w:rsidRDefault="00A95B38" w:rsidP="00A95B38">
      <w:pPr>
        <w:pStyle w:val="ListNumber"/>
        <w:rPr>
          <w:rFonts w:eastAsia="Calibri"/>
          <w:lang w:val="en-US"/>
        </w:rPr>
      </w:pPr>
      <w:r>
        <w:rPr>
          <w:rFonts w:eastAsia="Calibri"/>
          <w:lang w:val="en-US"/>
        </w:rPr>
        <w:t xml:space="preserve">The Parties submit that </w:t>
      </w:r>
      <w:r>
        <w:t xml:space="preserve">the market should be </w:t>
      </w:r>
      <w:r w:rsidR="00A47402">
        <w:t xml:space="preserve">defined </w:t>
      </w:r>
      <w:r>
        <w:t>at the ATC 3 level</w:t>
      </w:r>
      <w:r w:rsidR="00A47402">
        <w:t xml:space="preserve"> </w:t>
      </w:r>
      <w:r>
        <w:t>includ</w:t>
      </w:r>
      <w:r w:rsidR="00A47402">
        <w:t>ing</w:t>
      </w:r>
      <w:r>
        <w:t xml:space="preserve"> all drugs in ATC 3 class M2A.</w:t>
      </w:r>
    </w:p>
    <w:p w:rsidR="00A95B38" w:rsidRPr="00675AFE" w:rsidRDefault="00A95B38" w:rsidP="00A95B38">
      <w:pPr>
        <w:pStyle w:val="ListNumber"/>
      </w:pPr>
      <w:r w:rsidRPr="00AC4CB2">
        <w:t>In any event, for the purposes of the present case, the exact market definition can be left open, as</w:t>
      </w:r>
      <w:r>
        <w:t xml:space="preserve"> </w:t>
      </w:r>
      <w:r w:rsidRPr="00AC4CB2">
        <w:t>no serious doubts arise under any plausible alternative market definition</w:t>
      </w:r>
      <w:r>
        <w:t xml:space="preserve"> (ATC3 class or molecule)</w:t>
      </w:r>
      <w:r w:rsidRPr="00AC4CB2">
        <w:t>.</w:t>
      </w:r>
    </w:p>
    <w:p w:rsidR="00A95B38" w:rsidRPr="0022226A" w:rsidRDefault="00A95B38" w:rsidP="00A95B38">
      <w:pPr>
        <w:pStyle w:val="Heading4"/>
        <w:rPr>
          <w:rFonts w:ascii="Times" w:eastAsia="Calibri" w:hAnsi="Times"/>
          <w:szCs w:val="24"/>
          <w:lang w:val="en-US"/>
        </w:rPr>
      </w:pPr>
      <w:bookmarkStart w:id="49" w:name="_Toc517710383"/>
      <w:bookmarkStart w:id="50" w:name="_Toc517812913"/>
      <w:r w:rsidRPr="0022226A">
        <w:rPr>
          <w:rFonts w:ascii="Times" w:eastAsia="Calibri" w:hAnsi="Times"/>
          <w:szCs w:val="24"/>
          <w:lang w:val="en-US"/>
        </w:rPr>
        <w:t>Parties' products</w:t>
      </w:r>
      <w:bookmarkEnd w:id="49"/>
      <w:bookmarkEnd w:id="50"/>
    </w:p>
    <w:p w:rsidR="00A95B38" w:rsidRPr="001B2085" w:rsidRDefault="00A95B38" w:rsidP="00A95B38">
      <w:pPr>
        <w:pStyle w:val="ListNumber"/>
        <w:rPr>
          <w:rFonts w:eastAsia="Calibri"/>
          <w:lang w:val="en-US"/>
        </w:rPr>
      </w:pPr>
      <w:r w:rsidRPr="0022226A">
        <w:rPr>
          <w:rFonts w:eastAsia="Calibri"/>
          <w:lang w:val="en-US"/>
        </w:rPr>
        <w:t xml:space="preserve">In Latvia, Teva supplies Feloran Act, based on </w:t>
      </w:r>
      <w:r w:rsidRPr="0022226A">
        <w:rPr>
          <w:rFonts w:eastAsia="Calibri"/>
          <w:i/>
          <w:lang w:val="en-US"/>
        </w:rPr>
        <w:t>diclofenac</w:t>
      </w:r>
      <w:r w:rsidRPr="0022226A">
        <w:rPr>
          <w:rFonts w:eastAsia="Calibri"/>
          <w:lang w:val="en-US"/>
        </w:rPr>
        <w:t>, for adults</w:t>
      </w:r>
      <w:r w:rsidR="00D57055" w:rsidRPr="0022226A">
        <w:rPr>
          <w:rFonts w:eastAsia="Calibri"/>
          <w:lang w:val="en-US"/>
        </w:rPr>
        <w:t xml:space="preserve">.  It is a gel and it is available in </w:t>
      </w:r>
      <w:r w:rsidR="00291EFD" w:rsidRPr="0022226A">
        <w:rPr>
          <w:rFonts w:eastAsia="Calibri"/>
          <w:lang w:val="en-US"/>
        </w:rPr>
        <w:t xml:space="preserve">60 g packages including </w:t>
      </w:r>
      <w:r w:rsidR="00D57055" w:rsidRPr="0022226A">
        <w:rPr>
          <w:rFonts w:eastAsia="Calibri"/>
          <w:lang w:val="en-US"/>
        </w:rPr>
        <w:t>10 mg</w:t>
      </w:r>
      <w:r w:rsidR="00291EFD" w:rsidRPr="0022226A">
        <w:rPr>
          <w:rFonts w:eastAsia="Calibri"/>
          <w:lang w:val="en-US"/>
        </w:rPr>
        <w:t xml:space="preserve"> of active ingredient per gram.of gel</w:t>
      </w:r>
      <w:r w:rsidR="00D57055" w:rsidRPr="0022226A">
        <w:rPr>
          <w:rFonts w:eastAsia="Calibri"/>
          <w:lang w:val="en-US"/>
        </w:rPr>
        <w:t xml:space="preserve">.  </w:t>
      </w:r>
      <w:r w:rsidRPr="0022226A">
        <w:rPr>
          <w:rFonts w:eastAsia="Calibri"/>
          <w:lang w:val="en-US"/>
        </w:rPr>
        <w:t xml:space="preserve">PGT supplies Olfen, which is also based on </w:t>
      </w:r>
      <w:r w:rsidRPr="0022226A">
        <w:rPr>
          <w:rFonts w:eastAsia="Calibri"/>
          <w:i/>
          <w:lang w:val="en-US"/>
        </w:rPr>
        <w:t>diclofenac</w:t>
      </w:r>
      <w:r w:rsidR="00D57055" w:rsidRPr="0022226A">
        <w:rPr>
          <w:rFonts w:eastAsia="Calibri"/>
          <w:lang w:val="en-US"/>
        </w:rPr>
        <w:t xml:space="preserve"> and is indicated</w:t>
      </w:r>
      <w:r w:rsidRPr="0022226A">
        <w:rPr>
          <w:rFonts w:eastAsia="Calibri"/>
          <w:lang w:val="en-US"/>
        </w:rPr>
        <w:t xml:space="preserve"> for adults and children</w:t>
      </w:r>
      <w:r w:rsidR="00D57055" w:rsidRPr="0022226A">
        <w:rPr>
          <w:rFonts w:eastAsia="Calibri"/>
          <w:lang w:val="en-US"/>
        </w:rPr>
        <w:t>.  It is also a gel and it is available in</w:t>
      </w:r>
      <w:r w:rsidR="00291EFD" w:rsidRPr="0022226A">
        <w:rPr>
          <w:rFonts w:eastAsia="Calibri"/>
          <w:lang w:val="en-US"/>
        </w:rPr>
        <w:t xml:space="preserve"> 50 g and 100 g packages including 10 mg of active ingredient per gram. of gel.  </w:t>
      </w:r>
      <w:r w:rsidR="00D57055" w:rsidRPr="0022226A">
        <w:rPr>
          <w:rFonts w:eastAsia="Calibri"/>
          <w:lang w:val="en-US"/>
        </w:rPr>
        <w:t xml:space="preserve">PGT also offers </w:t>
      </w:r>
      <w:r w:rsidRPr="0022226A">
        <w:rPr>
          <w:rFonts w:eastAsia="Calibri"/>
          <w:lang w:val="en-US"/>
        </w:rPr>
        <w:t xml:space="preserve">Dolobene, which contains </w:t>
      </w:r>
      <w:r w:rsidRPr="0022226A">
        <w:rPr>
          <w:rFonts w:eastAsia="Calibri"/>
          <w:i/>
          <w:lang w:val="en-US"/>
        </w:rPr>
        <w:t>dimethylsulfoxide</w:t>
      </w:r>
      <w:r w:rsidR="00D57055" w:rsidRPr="0022226A">
        <w:rPr>
          <w:rFonts w:eastAsia="Calibri"/>
          <w:lang w:val="en-US"/>
        </w:rPr>
        <w:t xml:space="preserve"> and is indicated </w:t>
      </w:r>
      <w:r w:rsidRPr="0022226A">
        <w:rPr>
          <w:rFonts w:eastAsia="Calibri"/>
          <w:lang w:val="en-US"/>
        </w:rPr>
        <w:t xml:space="preserve">for adults.  </w:t>
      </w:r>
      <w:r w:rsidR="00D57055" w:rsidRPr="0022226A">
        <w:rPr>
          <w:rFonts w:eastAsia="Calibri"/>
          <w:lang w:val="en-US"/>
        </w:rPr>
        <w:t xml:space="preserve">Dolobene is a gel and is available in dosage of </w:t>
      </w:r>
      <w:r w:rsidR="000417CD" w:rsidRPr="0022226A">
        <w:rPr>
          <w:rFonts w:eastAsia="Calibri"/>
          <w:lang w:val="en-US"/>
        </w:rPr>
        <w:t>166.6 mg/g x 50</w:t>
      </w:r>
      <w:r w:rsidR="000417CD">
        <w:rPr>
          <w:rFonts w:eastAsia="Calibri"/>
          <w:lang w:val="en-US"/>
        </w:rPr>
        <w:t xml:space="preserve"> g. </w:t>
      </w:r>
    </w:p>
    <w:p w:rsidR="00A95B38" w:rsidRDefault="00A95B38" w:rsidP="00A95B38">
      <w:pPr>
        <w:pStyle w:val="Heading4"/>
        <w:rPr>
          <w:rFonts w:ascii="Times" w:eastAsia="Calibri" w:hAnsi="Times"/>
          <w:szCs w:val="24"/>
          <w:lang w:val="en-US"/>
        </w:rPr>
      </w:pPr>
      <w:bookmarkStart w:id="51" w:name="_Toc517710384"/>
      <w:bookmarkStart w:id="52" w:name="_Toc517812914"/>
      <w:r w:rsidRPr="00675AFE">
        <w:rPr>
          <w:rFonts w:ascii="Times" w:eastAsia="Calibri" w:hAnsi="Times"/>
          <w:szCs w:val="24"/>
          <w:lang w:val="en-US"/>
        </w:rPr>
        <w:t>Competition Assessment</w:t>
      </w:r>
      <w:bookmarkEnd w:id="51"/>
      <w:bookmarkEnd w:id="52"/>
    </w:p>
    <w:p w:rsidR="00A95B38" w:rsidRPr="00D162D4" w:rsidRDefault="00A95B38" w:rsidP="00A95B38">
      <w:pPr>
        <w:pStyle w:val="ListNumber"/>
        <w:rPr>
          <w:rFonts w:ascii="Calibri" w:eastAsia="Calibri" w:hAnsi="Calibri"/>
          <w:sz w:val="20"/>
          <w:lang w:val="en-US"/>
        </w:rPr>
      </w:pPr>
      <w:r>
        <w:rPr>
          <w:rFonts w:eastAsia="Calibri"/>
          <w:szCs w:val="24"/>
          <w:lang w:val="en-US"/>
        </w:rPr>
        <w:t>At the ATC 3 level (M2A)</w:t>
      </w:r>
      <w:r w:rsidR="0031684D">
        <w:rPr>
          <w:rFonts w:eastAsia="Calibri"/>
          <w:szCs w:val="24"/>
          <w:lang w:val="en-US"/>
        </w:rPr>
        <w:t xml:space="preserve">, including both </w:t>
      </w:r>
      <w:r w:rsidR="0031684D" w:rsidRPr="00CF47FF">
        <w:rPr>
          <w:rFonts w:eastAsia="Calibri"/>
          <w:i/>
          <w:szCs w:val="24"/>
          <w:lang w:val="en-US"/>
        </w:rPr>
        <w:t>diclofenac</w:t>
      </w:r>
      <w:r w:rsidR="0031684D">
        <w:rPr>
          <w:rFonts w:eastAsia="Calibri"/>
          <w:szCs w:val="24"/>
          <w:lang w:val="en-US"/>
        </w:rPr>
        <w:t xml:space="preserve"> and </w:t>
      </w:r>
      <w:r w:rsidR="0031684D" w:rsidRPr="00CF47FF">
        <w:rPr>
          <w:rFonts w:eastAsia="Calibri"/>
          <w:i/>
          <w:szCs w:val="24"/>
          <w:lang w:val="en-US"/>
        </w:rPr>
        <w:t>dimethylsulfoxide</w:t>
      </w:r>
      <w:r w:rsidR="0031684D">
        <w:rPr>
          <w:rFonts w:eastAsia="Calibri"/>
          <w:szCs w:val="24"/>
          <w:lang w:val="en-US"/>
        </w:rPr>
        <w:t xml:space="preserve"> drugs</w:t>
      </w:r>
      <w:r>
        <w:rPr>
          <w:rFonts w:eastAsia="Calibri"/>
          <w:szCs w:val="24"/>
          <w:lang w:val="en-US"/>
        </w:rPr>
        <w:t xml:space="preserve">, the Transaction gives rise </w:t>
      </w:r>
      <w:r w:rsidR="00A47402">
        <w:rPr>
          <w:rFonts w:eastAsia="Calibri"/>
          <w:szCs w:val="24"/>
          <w:lang w:val="en-US"/>
        </w:rPr>
        <w:t xml:space="preserve">only </w:t>
      </w:r>
      <w:r>
        <w:rPr>
          <w:rFonts w:eastAsia="Calibri"/>
          <w:szCs w:val="24"/>
          <w:lang w:val="en-US"/>
        </w:rPr>
        <w:t xml:space="preserve">to a Group 3 market.  In a potential market segment including only </w:t>
      </w:r>
      <w:r w:rsidRPr="00420413">
        <w:rPr>
          <w:rFonts w:eastAsia="Calibri"/>
          <w:i/>
          <w:szCs w:val="24"/>
          <w:lang w:val="en-US"/>
        </w:rPr>
        <w:t>diclofenac</w:t>
      </w:r>
      <w:r>
        <w:rPr>
          <w:rFonts w:eastAsia="Calibri"/>
          <w:szCs w:val="24"/>
          <w:lang w:val="en-US"/>
        </w:rPr>
        <w:t>-based products in the ATC 3 class M2A, the Transaction gives rise to a Group 1 market in Latvia (based on market shares in terms of volume).</w:t>
      </w:r>
      <w:r w:rsidRPr="00D162D4">
        <w:rPr>
          <w:rFonts w:eastAsia="Calibri"/>
          <w:szCs w:val="24"/>
          <w:lang w:val="en-US"/>
        </w:rPr>
        <w:t xml:space="preserve"> </w:t>
      </w:r>
    </w:p>
    <w:p w:rsidR="00A95B38" w:rsidRDefault="00A95B38" w:rsidP="00A95B38">
      <w:pPr>
        <w:pStyle w:val="ListNumber"/>
      </w:pPr>
      <w:r>
        <w:t xml:space="preserve">The table below presents the Parties' market shares for </w:t>
      </w:r>
      <w:r w:rsidRPr="00420413">
        <w:rPr>
          <w:i/>
        </w:rPr>
        <w:t>diclofenac</w:t>
      </w:r>
      <w:r w:rsidR="00B72AFE">
        <w:t>-</w:t>
      </w:r>
      <w:r>
        <w:t xml:space="preserve">based products in Latvia in </w:t>
      </w:r>
      <w:r w:rsidR="004C6514">
        <w:t>2015-</w:t>
      </w:r>
      <w:r>
        <w:t xml:space="preserve">2017. </w:t>
      </w:r>
    </w:p>
    <w:tbl>
      <w:tblPr>
        <w:tblStyle w:val="TableGrid"/>
        <w:tblW w:w="5000" w:type="pct"/>
        <w:tblLayout w:type="fixed"/>
        <w:tblLook w:val="04A0" w:firstRow="1" w:lastRow="0" w:firstColumn="1" w:lastColumn="0" w:noHBand="0" w:noVBand="1"/>
      </w:tblPr>
      <w:tblGrid>
        <w:gridCol w:w="1101"/>
        <w:gridCol w:w="1277"/>
        <w:gridCol w:w="852"/>
        <w:gridCol w:w="708"/>
        <w:gridCol w:w="1274"/>
        <w:gridCol w:w="1134"/>
        <w:gridCol w:w="1276"/>
        <w:gridCol w:w="37"/>
        <w:gridCol w:w="1175"/>
      </w:tblGrid>
      <w:tr w:rsidR="00A95B38" w:rsidRPr="00AD3737" w:rsidTr="00904F5E">
        <w:trPr>
          <w:tblHeader/>
        </w:trPr>
        <w:tc>
          <w:tcPr>
            <w:tcW w:w="623" w:type="pct"/>
            <w:vMerge w:val="restart"/>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OTC3</w:t>
            </w:r>
          </w:p>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ATC3</w:t>
            </w:r>
          </w:p>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ATC4</w:t>
            </w:r>
          </w:p>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Molecule</w:t>
            </w:r>
          </w:p>
        </w:tc>
        <w:tc>
          <w:tcPr>
            <w:tcW w:w="723" w:type="pct"/>
            <w:vMerge w:val="restart"/>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82" w:type="pct"/>
            <w:vMerge w:val="restart"/>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Market Group</w:t>
            </w:r>
          </w:p>
        </w:tc>
        <w:tc>
          <w:tcPr>
            <w:tcW w:w="401" w:type="pct"/>
            <w:vMerge w:val="restart"/>
            <w:shd w:val="clear" w:color="auto" w:fill="D9D9D9" w:themeFill="background1" w:themeFillShade="D9"/>
            <w:vAlign w:val="center"/>
          </w:tcPr>
          <w:p w:rsidR="003817F9" w:rsidRDefault="003817F9" w:rsidP="003817F9">
            <w:pPr>
              <w:keepNext/>
              <w:snapToGrid w:val="0"/>
              <w:spacing w:after="0"/>
              <w:jc w:val="center"/>
              <w:rPr>
                <w:rFonts w:ascii="Times" w:hAnsi="Times"/>
                <w:b/>
                <w:sz w:val="18"/>
                <w:szCs w:val="18"/>
              </w:rPr>
            </w:pPr>
            <w:r>
              <w:rPr>
                <w:rFonts w:ascii="Times" w:hAnsi="Times"/>
                <w:b/>
                <w:sz w:val="18"/>
                <w:szCs w:val="18"/>
              </w:rPr>
              <w:t>Year</w:t>
            </w:r>
          </w:p>
        </w:tc>
        <w:tc>
          <w:tcPr>
            <w:tcW w:w="2106" w:type="pct"/>
            <w:gridSpan w:val="4"/>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665" w:type="pct"/>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213AF2" w:rsidRPr="00AD3737" w:rsidTr="00A153AD">
        <w:trPr>
          <w:tblHeader/>
        </w:trPr>
        <w:tc>
          <w:tcPr>
            <w:tcW w:w="623" w:type="pct"/>
            <w:vMerge/>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p>
        </w:tc>
        <w:tc>
          <w:tcPr>
            <w:tcW w:w="723" w:type="pct"/>
            <w:vMerge/>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p>
        </w:tc>
        <w:tc>
          <w:tcPr>
            <w:tcW w:w="482" w:type="pct"/>
            <w:vMerge/>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p>
        </w:tc>
        <w:tc>
          <w:tcPr>
            <w:tcW w:w="401" w:type="pct"/>
            <w:vMerge/>
            <w:shd w:val="clear" w:color="auto" w:fill="D9D9D9" w:themeFill="background1" w:themeFillShade="D9"/>
          </w:tcPr>
          <w:p w:rsidR="003817F9" w:rsidRPr="00B6607C" w:rsidRDefault="003817F9" w:rsidP="00A95B38">
            <w:pPr>
              <w:keepNext/>
              <w:snapToGrid w:val="0"/>
              <w:spacing w:after="0"/>
              <w:jc w:val="center"/>
              <w:rPr>
                <w:rFonts w:ascii="Times" w:hAnsi="Times"/>
                <w:b/>
                <w:sz w:val="18"/>
                <w:szCs w:val="18"/>
              </w:rPr>
            </w:pPr>
          </w:p>
        </w:tc>
        <w:tc>
          <w:tcPr>
            <w:tcW w:w="721" w:type="pct"/>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Teva</w:t>
            </w:r>
          </w:p>
        </w:tc>
        <w:tc>
          <w:tcPr>
            <w:tcW w:w="642" w:type="pct"/>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r w:rsidRPr="00B6607C">
              <w:rPr>
                <w:rFonts w:ascii="Times" w:hAnsi="Times"/>
                <w:b/>
                <w:sz w:val="18"/>
                <w:szCs w:val="18"/>
              </w:rPr>
              <w:t>Target</w:t>
            </w:r>
          </w:p>
        </w:tc>
        <w:tc>
          <w:tcPr>
            <w:tcW w:w="722" w:type="pct"/>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686" w:type="pct"/>
            <w:gridSpan w:val="2"/>
            <w:shd w:val="clear" w:color="auto" w:fill="D9D9D9" w:themeFill="background1" w:themeFillShade="D9"/>
            <w:vAlign w:val="center"/>
          </w:tcPr>
          <w:p w:rsidR="00A95B38" w:rsidRPr="00B6607C" w:rsidRDefault="00A95B38" w:rsidP="00A95B38">
            <w:pPr>
              <w:keepNext/>
              <w:snapToGrid w:val="0"/>
              <w:spacing w:after="0"/>
              <w:jc w:val="center"/>
              <w:rPr>
                <w:rFonts w:ascii="Times" w:hAnsi="Times"/>
                <w:b/>
                <w:sz w:val="18"/>
                <w:szCs w:val="18"/>
              </w:rPr>
            </w:pPr>
          </w:p>
        </w:tc>
      </w:tr>
      <w:tr w:rsidR="00A95B38" w:rsidRPr="00AD3737" w:rsidTr="00A153AD">
        <w:trPr>
          <w:trHeight w:val="345"/>
        </w:trPr>
        <w:tc>
          <w:tcPr>
            <w:tcW w:w="623" w:type="pct"/>
            <w:vMerge w:val="restart"/>
            <w:vAlign w:val="center"/>
          </w:tcPr>
          <w:p w:rsidR="00A95B38" w:rsidRPr="00420413" w:rsidRDefault="00A95B38" w:rsidP="00A95B38">
            <w:pPr>
              <w:keepNext/>
              <w:spacing w:after="0"/>
              <w:jc w:val="center"/>
              <w:rPr>
                <w:rFonts w:ascii="Times" w:hAnsi="Times"/>
                <w:i/>
                <w:sz w:val="18"/>
                <w:szCs w:val="18"/>
              </w:rPr>
            </w:pPr>
            <w:r w:rsidRPr="00420413">
              <w:rPr>
                <w:rFonts w:ascii="Times" w:hAnsi="Times"/>
                <w:i/>
                <w:sz w:val="18"/>
                <w:szCs w:val="18"/>
              </w:rPr>
              <w:t>Diclofenac</w:t>
            </w:r>
          </w:p>
        </w:tc>
        <w:tc>
          <w:tcPr>
            <w:tcW w:w="723" w:type="pct"/>
            <w:vMerge w:val="restart"/>
            <w:vAlign w:val="center"/>
          </w:tcPr>
          <w:p w:rsidR="00A95B38" w:rsidRPr="00B6607C" w:rsidRDefault="00A95B38" w:rsidP="00A95B38">
            <w:pPr>
              <w:keepNext/>
              <w:spacing w:after="0"/>
              <w:jc w:val="center"/>
              <w:rPr>
                <w:rFonts w:ascii="Times" w:hAnsi="Times"/>
                <w:sz w:val="18"/>
                <w:szCs w:val="18"/>
              </w:rPr>
            </w:pPr>
            <w:r w:rsidRPr="00A153AD">
              <w:rPr>
                <w:rFonts w:ascii="Times" w:hAnsi="Times"/>
                <w:i/>
                <w:sz w:val="18"/>
              </w:rPr>
              <w:t>Diclofenac</w:t>
            </w:r>
            <w:r>
              <w:rPr>
                <w:rFonts w:ascii="Times" w:hAnsi="Times"/>
                <w:sz w:val="18"/>
                <w:szCs w:val="18"/>
              </w:rPr>
              <w:t xml:space="preserve"> based t</w:t>
            </w:r>
            <w:r w:rsidRPr="00B6607C">
              <w:rPr>
                <w:rFonts w:ascii="Times" w:hAnsi="Times"/>
                <w:sz w:val="18"/>
                <w:szCs w:val="18"/>
              </w:rPr>
              <w:t>opical A</w:t>
            </w:r>
            <w:r w:rsidR="00B72AFE">
              <w:rPr>
                <w:rFonts w:ascii="Times" w:hAnsi="Times"/>
                <w:sz w:val="18"/>
                <w:szCs w:val="18"/>
              </w:rPr>
              <w:t>nti</w:t>
            </w:r>
            <w:r w:rsidRPr="00B6607C">
              <w:rPr>
                <w:rFonts w:ascii="Times" w:hAnsi="Times"/>
                <w:sz w:val="18"/>
                <w:szCs w:val="18"/>
              </w:rPr>
              <w:t>-Rheumatics &amp; Analgesics</w:t>
            </w:r>
          </w:p>
        </w:tc>
        <w:tc>
          <w:tcPr>
            <w:tcW w:w="482" w:type="pct"/>
            <w:vMerge w:val="restart"/>
            <w:vAlign w:val="center"/>
          </w:tcPr>
          <w:p w:rsidR="00A95B38" w:rsidRPr="00B6607C" w:rsidRDefault="00A95B38" w:rsidP="00A95B38">
            <w:pPr>
              <w:keepNext/>
              <w:spacing w:after="0"/>
              <w:jc w:val="center"/>
              <w:rPr>
                <w:rFonts w:ascii="Times" w:hAnsi="Times"/>
                <w:sz w:val="18"/>
                <w:szCs w:val="18"/>
              </w:rPr>
            </w:pPr>
            <w:r w:rsidRPr="00B6607C">
              <w:rPr>
                <w:rFonts w:ascii="Times" w:hAnsi="Times"/>
                <w:sz w:val="18"/>
                <w:szCs w:val="18"/>
              </w:rPr>
              <w:t>Group 1</w:t>
            </w:r>
          </w:p>
        </w:tc>
        <w:tc>
          <w:tcPr>
            <w:tcW w:w="401" w:type="pct"/>
            <w:vAlign w:val="center"/>
          </w:tcPr>
          <w:p w:rsidR="003817F9" w:rsidRPr="00A153AD" w:rsidRDefault="003817F9">
            <w:pPr>
              <w:keepNext/>
              <w:spacing w:after="0"/>
              <w:jc w:val="left"/>
              <w:rPr>
                <w:rFonts w:ascii="Times" w:hAnsi="Times"/>
                <w:b/>
                <w:sz w:val="18"/>
              </w:rPr>
            </w:pPr>
            <w:r w:rsidRPr="00A153AD">
              <w:rPr>
                <w:rFonts w:ascii="Times" w:hAnsi="Times"/>
                <w:b/>
                <w:sz w:val="18"/>
              </w:rPr>
              <w:t>2017</w:t>
            </w:r>
          </w:p>
        </w:tc>
        <w:tc>
          <w:tcPr>
            <w:tcW w:w="721" w:type="pct"/>
            <w:vAlign w:val="center"/>
          </w:tcPr>
          <w:p w:rsidR="00A95B38" w:rsidRPr="00B6607C" w:rsidRDefault="00C063D0" w:rsidP="00A95B38">
            <w:pPr>
              <w:keepNext/>
              <w:spacing w:after="0"/>
              <w:jc w:val="center"/>
              <w:rPr>
                <w:rFonts w:ascii="Times" w:hAnsi="Times"/>
                <w:sz w:val="18"/>
                <w:szCs w:val="18"/>
              </w:rPr>
            </w:pPr>
            <w:r>
              <w:rPr>
                <w:rFonts w:ascii="Times" w:hAnsi="Times"/>
                <w:sz w:val="18"/>
                <w:szCs w:val="18"/>
              </w:rPr>
              <w:t>[0-5]</w:t>
            </w:r>
            <w:r w:rsidR="00A95B38" w:rsidRPr="00B6607C">
              <w:rPr>
                <w:rFonts w:ascii="Times" w:hAnsi="Times"/>
                <w:sz w:val="18"/>
                <w:szCs w:val="18"/>
              </w:rPr>
              <w:t>%</w:t>
            </w:r>
            <w:r>
              <w:rPr>
                <w:rFonts w:ascii="Times" w:hAnsi="Times"/>
                <w:sz w:val="18"/>
                <w:szCs w:val="18"/>
              </w:rPr>
              <w:t xml:space="preserve">        /[0-5]</w:t>
            </w:r>
            <w:r w:rsidRPr="00B6607C">
              <w:rPr>
                <w:rFonts w:ascii="Times" w:hAnsi="Times"/>
                <w:sz w:val="18"/>
                <w:szCs w:val="18"/>
              </w:rPr>
              <w:t>%</w:t>
            </w:r>
          </w:p>
        </w:tc>
        <w:tc>
          <w:tcPr>
            <w:tcW w:w="642" w:type="pct"/>
            <w:vAlign w:val="center"/>
          </w:tcPr>
          <w:p w:rsidR="00A95B38" w:rsidRPr="00B6607C" w:rsidRDefault="00C063D0" w:rsidP="00C063D0">
            <w:pPr>
              <w:keepNext/>
              <w:spacing w:after="0"/>
              <w:jc w:val="center"/>
              <w:rPr>
                <w:rFonts w:ascii="Times" w:hAnsi="Times"/>
                <w:sz w:val="18"/>
                <w:szCs w:val="18"/>
              </w:rPr>
            </w:pPr>
            <w:r>
              <w:rPr>
                <w:rFonts w:ascii="Times" w:hAnsi="Times"/>
                <w:sz w:val="18"/>
                <w:szCs w:val="18"/>
              </w:rPr>
              <w:t>[20-30]</w:t>
            </w:r>
            <w:r w:rsidR="00A95B38" w:rsidRPr="00B6607C">
              <w:rPr>
                <w:rFonts w:ascii="Times" w:hAnsi="Times"/>
                <w:sz w:val="18"/>
                <w:szCs w:val="18"/>
              </w:rPr>
              <w:t>%</w:t>
            </w:r>
            <w:r>
              <w:rPr>
                <w:rFonts w:ascii="Times" w:hAnsi="Times"/>
                <w:sz w:val="18"/>
                <w:szCs w:val="18"/>
              </w:rPr>
              <w:t xml:space="preserve"> </w:t>
            </w:r>
            <w:r w:rsidR="00A95B38" w:rsidRPr="00B6607C">
              <w:rPr>
                <w:rFonts w:ascii="Times" w:hAnsi="Times"/>
                <w:sz w:val="18"/>
                <w:szCs w:val="18"/>
              </w:rPr>
              <w:t>/</w:t>
            </w:r>
            <w:r>
              <w:rPr>
                <w:rFonts w:ascii="Times" w:hAnsi="Times"/>
                <w:sz w:val="18"/>
                <w:szCs w:val="18"/>
              </w:rPr>
              <w:t>[50-60]</w:t>
            </w:r>
            <w:r w:rsidR="00A95B38" w:rsidRPr="00B6607C">
              <w:rPr>
                <w:rFonts w:ascii="Times" w:hAnsi="Times"/>
                <w:sz w:val="18"/>
                <w:szCs w:val="18"/>
              </w:rPr>
              <w:t>%</w:t>
            </w:r>
          </w:p>
        </w:tc>
        <w:tc>
          <w:tcPr>
            <w:tcW w:w="722" w:type="pct"/>
            <w:vAlign w:val="center"/>
          </w:tcPr>
          <w:p w:rsidR="00A95B38" w:rsidRPr="00B6607C" w:rsidRDefault="00C063D0" w:rsidP="00A95B38">
            <w:pPr>
              <w:keepNext/>
              <w:spacing w:after="0"/>
              <w:jc w:val="center"/>
              <w:rPr>
                <w:rFonts w:ascii="Times" w:hAnsi="Times"/>
                <w:sz w:val="18"/>
                <w:szCs w:val="18"/>
              </w:rPr>
            </w:pPr>
            <w:r>
              <w:rPr>
                <w:rFonts w:ascii="Times" w:hAnsi="Times"/>
                <w:sz w:val="18"/>
                <w:szCs w:val="18"/>
              </w:rPr>
              <w:t>[20-30]</w:t>
            </w:r>
            <w:r w:rsidRPr="00B6607C">
              <w:rPr>
                <w:rFonts w:ascii="Times" w:hAnsi="Times"/>
                <w:sz w:val="18"/>
                <w:szCs w:val="18"/>
              </w:rPr>
              <w:t>%</w:t>
            </w:r>
            <w:r>
              <w:rPr>
                <w:rFonts w:ascii="Times" w:hAnsi="Times"/>
                <w:sz w:val="18"/>
                <w:szCs w:val="18"/>
              </w:rPr>
              <w:t xml:space="preserve"> </w:t>
            </w:r>
            <w:r w:rsidRPr="00B6607C">
              <w:rPr>
                <w:rFonts w:ascii="Times" w:hAnsi="Times"/>
                <w:sz w:val="18"/>
                <w:szCs w:val="18"/>
              </w:rPr>
              <w:t>/</w:t>
            </w:r>
            <w:r>
              <w:rPr>
                <w:rFonts w:ascii="Times" w:hAnsi="Times"/>
                <w:sz w:val="18"/>
                <w:szCs w:val="18"/>
              </w:rPr>
              <w:t>[50-60]</w:t>
            </w:r>
            <w:r w:rsidRPr="00B6607C">
              <w:rPr>
                <w:rFonts w:ascii="Times" w:hAnsi="Times"/>
                <w:sz w:val="18"/>
                <w:szCs w:val="18"/>
              </w:rPr>
              <w:t>%</w:t>
            </w:r>
          </w:p>
        </w:tc>
        <w:tc>
          <w:tcPr>
            <w:tcW w:w="686" w:type="pct"/>
            <w:gridSpan w:val="2"/>
            <w:vAlign w:val="center"/>
          </w:tcPr>
          <w:p w:rsidR="00A95B38" w:rsidRPr="00B6607C" w:rsidRDefault="00A95B38" w:rsidP="00A95B38">
            <w:pPr>
              <w:keepNext/>
              <w:spacing w:after="0"/>
              <w:jc w:val="center"/>
              <w:rPr>
                <w:rFonts w:ascii="Times" w:hAnsi="Times"/>
                <w:sz w:val="18"/>
                <w:szCs w:val="18"/>
              </w:rPr>
            </w:pPr>
            <w:r w:rsidRPr="00B6607C">
              <w:rPr>
                <w:rFonts w:ascii="Times" w:hAnsi="Times"/>
                <w:sz w:val="18"/>
                <w:szCs w:val="18"/>
              </w:rPr>
              <w:t>At least 2</w:t>
            </w:r>
          </w:p>
        </w:tc>
      </w:tr>
      <w:tr w:rsidR="00D60240" w:rsidRPr="00AD3737" w:rsidTr="00A153AD">
        <w:trPr>
          <w:trHeight w:val="345"/>
        </w:trPr>
        <w:tc>
          <w:tcPr>
            <w:tcW w:w="623" w:type="pct"/>
            <w:vMerge/>
            <w:vAlign w:val="center"/>
          </w:tcPr>
          <w:p w:rsidR="00735D09" w:rsidRPr="00420413" w:rsidRDefault="00735D09" w:rsidP="00A95B38">
            <w:pPr>
              <w:keepNext/>
              <w:spacing w:after="0"/>
              <w:jc w:val="center"/>
              <w:rPr>
                <w:rFonts w:ascii="Times" w:hAnsi="Times"/>
                <w:i/>
                <w:sz w:val="18"/>
                <w:szCs w:val="18"/>
              </w:rPr>
            </w:pPr>
          </w:p>
        </w:tc>
        <w:tc>
          <w:tcPr>
            <w:tcW w:w="723" w:type="pct"/>
            <w:vMerge/>
            <w:vAlign w:val="center"/>
          </w:tcPr>
          <w:p w:rsidR="00735D09" w:rsidRPr="00B6607C" w:rsidRDefault="00735D09" w:rsidP="00A95B38">
            <w:pPr>
              <w:keepNext/>
              <w:spacing w:after="0"/>
              <w:jc w:val="center"/>
              <w:rPr>
                <w:rFonts w:ascii="Times" w:hAnsi="Times"/>
                <w:sz w:val="18"/>
                <w:szCs w:val="18"/>
              </w:rPr>
            </w:pPr>
          </w:p>
        </w:tc>
        <w:tc>
          <w:tcPr>
            <w:tcW w:w="482" w:type="pct"/>
            <w:vMerge/>
            <w:vAlign w:val="center"/>
          </w:tcPr>
          <w:p w:rsidR="00735D09" w:rsidRPr="00B6607C" w:rsidRDefault="00735D09" w:rsidP="00A95B38">
            <w:pPr>
              <w:keepNext/>
              <w:spacing w:after="0"/>
              <w:jc w:val="center"/>
              <w:rPr>
                <w:rFonts w:ascii="Times" w:hAnsi="Times"/>
                <w:sz w:val="18"/>
                <w:szCs w:val="18"/>
              </w:rPr>
            </w:pPr>
          </w:p>
        </w:tc>
        <w:tc>
          <w:tcPr>
            <w:tcW w:w="401" w:type="pct"/>
            <w:vAlign w:val="center"/>
          </w:tcPr>
          <w:p w:rsidR="00735D09" w:rsidRPr="00A153AD" w:rsidRDefault="003817F9" w:rsidP="002D7FBB">
            <w:pPr>
              <w:keepNext/>
              <w:spacing w:after="0"/>
              <w:jc w:val="left"/>
              <w:rPr>
                <w:rFonts w:ascii="Times" w:hAnsi="Times"/>
                <w:b/>
                <w:sz w:val="18"/>
              </w:rPr>
            </w:pPr>
            <w:r w:rsidRPr="00A153AD">
              <w:rPr>
                <w:rFonts w:ascii="Times" w:hAnsi="Times"/>
                <w:b/>
                <w:sz w:val="18"/>
              </w:rPr>
              <w:t>2016</w:t>
            </w:r>
          </w:p>
        </w:tc>
        <w:tc>
          <w:tcPr>
            <w:tcW w:w="721" w:type="pct"/>
            <w:vAlign w:val="center"/>
          </w:tcPr>
          <w:p w:rsidR="00735D09" w:rsidRPr="00B6607C" w:rsidRDefault="00C063D0" w:rsidP="00A95B38">
            <w:pPr>
              <w:keepNext/>
              <w:spacing w:after="0"/>
              <w:jc w:val="center"/>
              <w:rPr>
                <w:rFonts w:ascii="Times" w:hAnsi="Times"/>
                <w:sz w:val="18"/>
                <w:szCs w:val="18"/>
              </w:rPr>
            </w:pPr>
            <w:r>
              <w:rPr>
                <w:rFonts w:ascii="Times" w:hAnsi="Times"/>
                <w:sz w:val="18"/>
                <w:szCs w:val="18"/>
              </w:rPr>
              <w:t>[0-5]</w:t>
            </w:r>
            <w:r w:rsidRPr="00B6607C">
              <w:rPr>
                <w:rFonts w:ascii="Times" w:hAnsi="Times"/>
                <w:sz w:val="18"/>
                <w:szCs w:val="18"/>
              </w:rPr>
              <w:t>%</w:t>
            </w:r>
            <w:r>
              <w:rPr>
                <w:rFonts w:ascii="Times" w:hAnsi="Times"/>
                <w:sz w:val="18"/>
                <w:szCs w:val="18"/>
              </w:rPr>
              <w:t xml:space="preserve">       /[0-5]</w:t>
            </w:r>
            <w:r w:rsidRPr="00B6607C">
              <w:rPr>
                <w:rFonts w:ascii="Times" w:hAnsi="Times"/>
                <w:sz w:val="18"/>
                <w:szCs w:val="18"/>
              </w:rPr>
              <w:t>%</w:t>
            </w:r>
          </w:p>
        </w:tc>
        <w:tc>
          <w:tcPr>
            <w:tcW w:w="642" w:type="pct"/>
            <w:vAlign w:val="center"/>
          </w:tcPr>
          <w:p w:rsidR="00735D09" w:rsidRPr="00B6607C" w:rsidRDefault="00C063D0" w:rsidP="00A95B38">
            <w:pPr>
              <w:keepNext/>
              <w:spacing w:after="0"/>
              <w:jc w:val="center"/>
              <w:rPr>
                <w:rFonts w:ascii="Times" w:hAnsi="Times"/>
                <w:sz w:val="18"/>
                <w:szCs w:val="18"/>
              </w:rPr>
            </w:pPr>
            <w:r>
              <w:rPr>
                <w:rFonts w:ascii="Times" w:hAnsi="Times"/>
                <w:sz w:val="18"/>
                <w:szCs w:val="18"/>
              </w:rPr>
              <w:t>[20-30]</w:t>
            </w:r>
            <w:r w:rsidRPr="00B6607C">
              <w:rPr>
                <w:rFonts w:ascii="Times" w:hAnsi="Times"/>
                <w:sz w:val="18"/>
                <w:szCs w:val="18"/>
              </w:rPr>
              <w:t>%</w:t>
            </w:r>
            <w:r>
              <w:rPr>
                <w:rFonts w:ascii="Times" w:hAnsi="Times"/>
                <w:sz w:val="18"/>
                <w:szCs w:val="18"/>
              </w:rPr>
              <w:t xml:space="preserve"> </w:t>
            </w:r>
            <w:r w:rsidRPr="00B6607C">
              <w:rPr>
                <w:rFonts w:ascii="Times" w:hAnsi="Times"/>
                <w:sz w:val="18"/>
                <w:szCs w:val="18"/>
              </w:rPr>
              <w:t>/</w:t>
            </w:r>
            <w:r>
              <w:rPr>
                <w:rFonts w:ascii="Times" w:hAnsi="Times"/>
                <w:sz w:val="18"/>
                <w:szCs w:val="18"/>
              </w:rPr>
              <w:t>[50-60]</w:t>
            </w:r>
            <w:r w:rsidRPr="00B6607C">
              <w:rPr>
                <w:rFonts w:ascii="Times" w:hAnsi="Times"/>
                <w:sz w:val="18"/>
                <w:szCs w:val="18"/>
              </w:rPr>
              <w:t>%</w:t>
            </w:r>
          </w:p>
        </w:tc>
        <w:tc>
          <w:tcPr>
            <w:tcW w:w="722" w:type="pct"/>
            <w:vAlign w:val="center"/>
          </w:tcPr>
          <w:p w:rsidR="00735D09" w:rsidRPr="00B6607C" w:rsidRDefault="00C063D0" w:rsidP="00A95B38">
            <w:pPr>
              <w:keepNext/>
              <w:spacing w:after="0"/>
              <w:jc w:val="center"/>
              <w:rPr>
                <w:rFonts w:ascii="Times" w:hAnsi="Times"/>
                <w:sz w:val="18"/>
                <w:szCs w:val="18"/>
              </w:rPr>
            </w:pPr>
            <w:r>
              <w:rPr>
                <w:rFonts w:ascii="Times" w:hAnsi="Times"/>
                <w:sz w:val="18"/>
                <w:szCs w:val="18"/>
              </w:rPr>
              <w:t>[20-30]</w:t>
            </w:r>
            <w:r w:rsidRPr="00B6607C">
              <w:rPr>
                <w:rFonts w:ascii="Times" w:hAnsi="Times"/>
                <w:sz w:val="18"/>
                <w:szCs w:val="18"/>
              </w:rPr>
              <w:t>%</w:t>
            </w:r>
            <w:r>
              <w:rPr>
                <w:rFonts w:ascii="Times" w:hAnsi="Times"/>
                <w:sz w:val="18"/>
                <w:szCs w:val="18"/>
              </w:rPr>
              <w:t xml:space="preserve"> </w:t>
            </w:r>
            <w:r w:rsidRPr="00B6607C">
              <w:rPr>
                <w:rFonts w:ascii="Times" w:hAnsi="Times"/>
                <w:sz w:val="18"/>
                <w:szCs w:val="18"/>
              </w:rPr>
              <w:t>/</w:t>
            </w:r>
            <w:r>
              <w:rPr>
                <w:rFonts w:ascii="Times" w:hAnsi="Times"/>
                <w:sz w:val="18"/>
                <w:szCs w:val="18"/>
              </w:rPr>
              <w:t>[50-60]</w:t>
            </w:r>
            <w:r w:rsidRPr="00B6607C">
              <w:rPr>
                <w:rFonts w:ascii="Times" w:hAnsi="Times"/>
                <w:sz w:val="18"/>
                <w:szCs w:val="18"/>
              </w:rPr>
              <w:t>%</w:t>
            </w:r>
          </w:p>
        </w:tc>
        <w:tc>
          <w:tcPr>
            <w:tcW w:w="686" w:type="pct"/>
            <w:gridSpan w:val="2"/>
            <w:vAlign w:val="center"/>
          </w:tcPr>
          <w:p w:rsidR="00735D09" w:rsidRPr="00B6607C" w:rsidRDefault="003817F9" w:rsidP="00A95B38">
            <w:pPr>
              <w:keepNext/>
              <w:spacing w:after="0"/>
              <w:jc w:val="center"/>
              <w:rPr>
                <w:rFonts w:ascii="Times" w:hAnsi="Times"/>
                <w:sz w:val="18"/>
                <w:szCs w:val="18"/>
              </w:rPr>
            </w:pPr>
            <w:r>
              <w:rPr>
                <w:rFonts w:ascii="Times" w:hAnsi="Times"/>
                <w:sz w:val="18"/>
                <w:szCs w:val="18"/>
              </w:rPr>
              <w:t>At least 2</w:t>
            </w:r>
          </w:p>
        </w:tc>
      </w:tr>
      <w:tr w:rsidR="00D60240" w:rsidRPr="00AD3737" w:rsidTr="00A153AD">
        <w:trPr>
          <w:trHeight w:val="345"/>
        </w:trPr>
        <w:tc>
          <w:tcPr>
            <w:tcW w:w="623" w:type="pct"/>
            <w:vMerge/>
            <w:vAlign w:val="center"/>
          </w:tcPr>
          <w:p w:rsidR="00735D09" w:rsidRPr="00420413" w:rsidRDefault="00735D09" w:rsidP="00A95B38">
            <w:pPr>
              <w:keepNext/>
              <w:spacing w:after="0"/>
              <w:jc w:val="center"/>
              <w:rPr>
                <w:rFonts w:ascii="Times" w:hAnsi="Times"/>
                <w:i/>
                <w:sz w:val="18"/>
                <w:szCs w:val="18"/>
              </w:rPr>
            </w:pPr>
          </w:p>
        </w:tc>
        <w:tc>
          <w:tcPr>
            <w:tcW w:w="723" w:type="pct"/>
            <w:vMerge/>
            <w:vAlign w:val="center"/>
          </w:tcPr>
          <w:p w:rsidR="00735D09" w:rsidRPr="00B6607C" w:rsidRDefault="00735D09" w:rsidP="00A95B38">
            <w:pPr>
              <w:keepNext/>
              <w:spacing w:after="0"/>
              <w:jc w:val="center"/>
              <w:rPr>
                <w:rFonts w:ascii="Times" w:hAnsi="Times"/>
                <w:sz w:val="18"/>
                <w:szCs w:val="18"/>
              </w:rPr>
            </w:pPr>
          </w:p>
        </w:tc>
        <w:tc>
          <w:tcPr>
            <w:tcW w:w="482" w:type="pct"/>
            <w:vMerge/>
            <w:vAlign w:val="center"/>
          </w:tcPr>
          <w:p w:rsidR="00735D09" w:rsidRPr="00B6607C" w:rsidRDefault="00735D09" w:rsidP="00A95B38">
            <w:pPr>
              <w:keepNext/>
              <w:spacing w:after="0"/>
              <w:jc w:val="center"/>
              <w:rPr>
                <w:rFonts w:ascii="Times" w:hAnsi="Times"/>
                <w:sz w:val="18"/>
                <w:szCs w:val="18"/>
              </w:rPr>
            </w:pPr>
          </w:p>
        </w:tc>
        <w:tc>
          <w:tcPr>
            <w:tcW w:w="401" w:type="pct"/>
            <w:vAlign w:val="center"/>
          </w:tcPr>
          <w:p w:rsidR="00735D09" w:rsidRPr="00A153AD" w:rsidRDefault="003817F9" w:rsidP="002D7FBB">
            <w:pPr>
              <w:keepNext/>
              <w:spacing w:after="0"/>
              <w:jc w:val="left"/>
              <w:rPr>
                <w:rFonts w:ascii="Times" w:hAnsi="Times"/>
                <w:b/>
                <w:sz w:val="18"/>
              </w:rPr>
            </w:pPr>
            <w:r w:rsidRPr="00A153AD">
              <w:rPr>
                <w:rFonts w:ascii="Times" w:hAnsi="Times"/>
                <w:b/>
                <w:sz w:val="18"/>
              </w:rPr>
              <w:t>2015</w:t>
            </w:r>
          </w:p>
        </w:tc>
        <w:tc>
          <w:tcPr>
            <w:tcW w:w="721" w:type="pct"/>
            <w:vAlign w:val="center"/>
          </w:tcPr>
          <w:p w:rsidR="00735D09" w:rsidRPr="00B6607C" w:rsidRDefault="00C063D0" w:rsidP="00C063D0">
            <w:pPr>
              <w:keepNext/>
              <w:spacing w:after="0"/>
              <w:jc w:val="center"/>
              <w:rPr>
                <w:rFonts w:ascii="Times" w:hAnsi="Times"/>
                <w:sz w:val="18"/>
                <w:szCs w:val="18"/>
              </w:rPr>
            </w:pPr>
            <w:r>
              <w:rPr>
                <w:rFonts w:ascii="Times" w:hAnsi="Times"/>
                <w:sz w:val="18"/>
                <w:szCs w:val="18"/>
              </w:rPr>
              <w:t>[0-5]</w:t>
            </w:r>
            <w:r w:rsidRPr="00B6607C">
              <w:rPr>
                <w:rFonts w:ascii="Times" w:hAnsi="Times"/>
                <w:sz w:val="18"/>
                <w:szCs w:val="18"/>
              </w:rPr>
              <w:t>%</w:t>
            </w:r>
            <w:r>
              <w:rPr>
                <w:rFonts w:ascii="Times" w:hAnsi="Times"/>
                <w:sz w:val="18"/>
                <w:szCs w:val="18"/>
              </w:rPr>
              <w:t xml:space="preserve">       /[0-5]</w:t>
            </w:r>
            <w:r w:rsidRPr="00B6607C">
              <w:rPr>
                <w:rFonts w:ascii="Times" w:hAnsi="Times"/>
                <w:sz w:val="18"/>
                <w:szCs w:val="18"/>
              </w:rPr>
              <w:t>%</w:t>
            </w:r>
          </w:p>
        </w:tc>
        <w:tc>
          <w:tcPr>
            <w:tcW w:w="642" w:type="pct"/>
            <w:vAlign w:val="center"/>
          </w:tcPr>
          <w:p w:rsidR="00735D09" w:rsidRPr="00B6607C" w:rsidRDefault="00C063D0" w:rsidP="00A95B38">
            <w:pPr>
              <w:keepNext/>
              <w:spacing w:after="0"/>
              <w:jc w:val="center"/>
              <w:rPr>
                <w:rFonts w:ascii="Times" w:hAnsi="Times"/>
                <w:sz w:val="18"/>
                <w:szCs w:val="18"/>
              </w:rPr>
            </w:pPr>
            <w:r>
              <w:rPr>
                <w:rFonts w:ascii="Times" w:hAnsi="Times"/>
                <w:sz w:val="18"/>
                <w:szCs w:val="18"/>
              </w:rPr>
              <w:t>[20-30]</w:t>
            </w:r>
            <w:r w:rsidRPr="00B6607C">
              <w:rPr>
                <w:rFonts w:ascii="Times" w:hAnsi="Times"/>
                <w:sz w:val="18"/>
                <w:szCs w:val="18"/>
              </w:rPr>
              <w:t>%</w:t>
            </w:r>
            <w:r>
              <w:rPr>
                <w:rFonts w:ascii="Times" w:hAnsi="Times"/>
                <w:sz w:val="18"/>
                <w:szCs w:val="18"/>
              </w:rPr>
              <w:t xml:space="preserve"> </w:t>
            </w:r>
            <w:r w:rsidRPr="00B6607C">
              <w:rPr>
                <w:rFonts w:ascii="Times" w:hAnsi="Times"/>
                <w:sz w:val="18"/>
                <w:szCs w:val="18"/>
              </w:rPr>
              <w:t>/</w:t>
            </w:r>
            <w:r>
              <w:rPr>
                <w:rFonts w:ascii="Times" w:hAnsi="Times"/>
                <w:sz w:val="18"/>
                <w:szCs w:val="18"/>
              </w:rPr>
              <w:t>[50-60]</w:t>
            </w:r>
            <w:r w:rsidRPr="00B6607C">
              <w:rPr>
                <w:rFonts w:ascii="Times" w:hAnsi="Times"/>
                <w:sz w:val="18"/>
                <w:szCs w:val="18"/>
              </w:rPr>
              <w:t>%</w:t>
            </w:r>
          </w:p>
        </w:tc>
        <w:tc>
          <w:tcPr>
            <w:tcW w:w="722" w:type="pct"/>
            <w:vAlign w:val="center"/>
          </w:tcPr>
          <w:p w:rsidR="00735D09" w:rsidRPr="00B6607C" w:rsidRDefault="00C063D0" w:rsidP="00C063D0">
            <w:pPr>
              <w:keepNext/>
              <w:spacing w:after="0"/>
              <w:jc w:val="center"/>
              <w:rPr>
                <w:rFonts w:ascii="Times" w:hAnsi="Times"/>
                <w:sz w:val="18"/>
                <w:szCs w:val="18"/>
              </w:rPr>
            </w:pPr>
            <w:r>
              <w:rPr>
                <w:rFonts w:ascii="Times" w:hAnsi="Times"/>
                <w:sz w:val="18"/>
                <w:szCs w:val="18"/>
              </w:rPr>
              <w:t>[30-40]</w:t>
            </w:r>
            <w:r w:rsidRPr="00B6607C">
              <w:rPr>
                <w:rFonts w:ascii="Times" w:hAnsi="Times"/>
                <w:sz w:val="18"/>
                <w:szCs w:val="18"/>
              </w:rPr>
              <w:t>%</w:t>
            </w:r>
            <w:r>
              <w:rPr>
                <w:rFonts w:ascii="Times" w:hAnsi="Times"/>
                <w:sz w:val="18"/>
                <w:szCs w:val="18"/>
              </w:rPr>
              <w:t xml:space="preserve"> </w:t>
            </w:r>
            <w:r w:rsidRPr="00B6607C">
              <w:rPr>
                <w:rFonts w:ascii="Times" w:hAnsi="Times"/>
                <w:sz w:val="18"/>
                <w:szCs w:val="18"/>
              </w:rPr>
              <w:t>/</w:t>
            </w:r>
            <w:r>
              <w:rPr>
                <w:rFonts w:ascii="Times" w:hAnsi="Times"/>
                <w:sz w:val="18"/>
                <w:szCs w:val="18"/>
              </w:rPr>
              <w:t>[50-60]</w:t>
            </w:r>
            <w:r w:rsidRPr="00B6607C">
              <w:rPr>
                <w:rFonts w:ascii="Times" w:hAnsi="Times"/>
                <w:sz w:val="18"/>
                <w:szCs w:val="18"/>
              </w:rPr>
              <w:t>%</w:t>
            </w:r>
          </w:p>
        </w:tc>
        <w:tc>
          <w:tcPr>
            <w:tcW w:w="686" w:type="pct"/>
            <w:gridSpan w:val="2"/>
            <w:vAlign w:val="center"/>
          </w:tcPr>
          <w:p w:rsidR="00735D09" w:rsidRPr="00B6607C" w:rsidRDefault="003817F9" w:rsidP="00A95B38">
            <w:pPr>
              <w:keepNext/>
              <w:spacing w:after="0"/>
              <w:jc w:val="center"/>
              <w:rPr>
                <w:rFonts w:ascii="Times" w:hAnsi="Times"/>
                <w:sz w:val="18"/>
                <w:szCs w:val="18"/>
              </w:rPr>
            </w:pPr>
            <w:r>
              <w:rPr>
                <w:rFonts w:ascii="Times" w:hAnsi="Times"/>
                <w:sz w:val="18"/>
                <w:szCs w:val="18"/>
              </w:rPr>
              <w:t>At least 3</w:t>
            </w:r>
          </w:p>
        </w:tc>
      </w:tr>
    </w:tbl>
    <w:p w:rsidR="00A95B38" w:rsidRDefault="00A95B38" w:rsidP="00A95B38">
      <w:pPr>
        <w:pStyle w:val="Text4"/>
        <w:spacing w:after="0"/>
        <w:ind w:left="720"/>
        <w:rPr>
          <w:i/>
        </w:rPr>
      </w:pPr>
    </w:p>
    <w:p w:rsidR="00A95B38" w:rsidRPr="00973614" w:rsidRDefault="00A95B38" w:rsidP="00C063D0">
      <w:pPr>
        <w:pStyle w:val="ListNumber"/>
      </w:pPr>
      <w:r w:rsidRPr="00D162D4">
        <w:rPr>
          <w:rFonts w:eastAsia="Calibri"/>
          <w:lang w:val="en-US"/>
        </w:rPr>
        <w:t xml:space="preserve">The Parties' combined market share for </w:t>
      </w:r>
      <w:r w:rsidRPr="00420413">
        <w:rPr>
          <w:rFonts w:eastAsia="Calibri"/>
          <w:i/>
          <w:lang w:val="en-US"/>
        </w:rPr>
        <w:t>diclofenac</w:t>
      </w:r>
      <w:r w:rsidRPr="00D162D4">
        <w:rPr>
          <w:rFonts w:eastAsia="Calibri"/>
          <w:lang w:val="en-US"/>
        </w:rPr>
        <w:t xml:space="preserve">-based products in the ATC 3 class M2A in Latvia is </w:t>
      </w:r>
      <w:r w:rsidR="00C063D0" w:rsidRPr="00C063D0">
        <w:rPr>
          <w:rFonts w:eastAsia="Calibri"/>
          <w:szCs w:val="24"/>
          <w:lang w:val="en-US"/>
        </w:rPr>
        <w:t xml:space="preserve">[20-30]% </w:t>
      </w:r>
      <w:r w:rsidRPr="00D162D4">
        <w:rPr>
          <w:rFonts w:eastAsia="Calibri"/>
          <w:lang w:val="en-US"/>
        </w:rPr>
        <w:t xml:space="preserve">in value and </w:t>
      </w:r>
      <w:r w:rsidR="00C063D0">
        <w:rPr>
          <w:rFonts w:eastAsia="Calibri"/>
          <w:szCs w:val="24"/>
          <w:lang w:val="en-US"/>
        </w:rPr>
        <w:t>[5</w:t>
      </w:r>
      <w:r w:rsidR="00C063D0" w:rsidRPr="00C063D0">
        <w:rPr>
          <w:rFonts w:eastAsia="Calibri"/>
          <w:szCs w:val="24"/>
          <w:lang w:val="en-US"/>
        </w:rPr>
        <w:t>0-</w:t>
      </w:r>
      <w:r w:rsidR="00C063D0">
        <w:rPr>
          <w:rFonts w:eastAsia="Calibri"/>
          <w:szCs w:val="24"/>
          <w:lang w:val="en-US"/>
        </w:rPr>
        <w:t>6</w:t>
      </w:r>
      <w:r w:rsidR="00C063D0" w:rsidRPr="00C063D0">
        <w:rPr>
          <w:rFonts w:eastAsia="Calibri"/>
          <w:szCs w:val="24"/>
          <w:lang w:val="en-US"/>
        </w:rPr>
        <w:t>0]%</w:t>
      </w:r>
      <w:r w:rsidRPr="00D162D4">
        <w:rPr>
          <w:rFonts w:eastAsia="Calibri"/>
          <w:lang w:val="en-US"/>
        </w:rPr>
        <w:t xml:space="preserve"> in volume.  The increment brought by the Transaction in both value and volume is limit</w:t>
      </w:r>
      <w:r w:rsidRPr="00B51574">
        <w:rPr>
          <w:rFonts w:eastAsia="Calibri"/>
          <w:lang w:val="en-US"/>
        </w:rPr>
        <w:t xml:space="preserve">ed, </w:t>
      </w:r>
      <w:r w:rsidR="00E07507">
        <w:rPr>
          <w:rFonts w:eastAsia="Calibri"/>
          <w:lang w:val="en-US"/>
        </w:rPr>
        <w:t>slightly exceeding</w:t>
      </w:r>
      <w:r w:rsidRPr="00B51574">
        <w:rPr>
          <w:rFonts w:eastAsia="Calibri"/>
          <w:lang w:val="en-US"/>
        </w:rPr>
        <w:t xml:space="preserve"> </w:t>
      </w:r>
      <w:r w:rsidR="00C063D0">
        <w:rPr>
          <w:rFonts w:eastAsia="Calibri"/>
          <w:szCs w:val="24"/>
          <w:lang w:val="en-US"/>
        </w:rPr>
        <w:t>[</w:t>
      </w:r>
      <w:r w:rsidR="00C063D0" w:rsidRPr="00C063D0">
        <w:rPr>
          <w:rFonts w:eastAsia="Calibri"/>
          <w:szCs w:val="24"/>
          <w:lang w:val="en-US"/>
        </w:rPr>
        <w:t>0-</w:t>
      </w:r>
      <w:r w:rsidR="00C063D0">
        <w:rPr>
          <w:rFonts w:eastAsia="Calibri"/>
          <w:szCs w:val="24"/>
          <w:lang w:val="en-US"/>
        </w:rPr>
        <w:t>5</w:t>
      </w:r>
      <w:r w:rsidR="00C063D0" w:rsidRPr="00C063D0">
        <w:rPr>
          <w:rFonts w:eastAsia="Calibri"/>
          <w:szCs w:val="24"/>
          <w:lang w:val="en-US"/>
        </w:rPr>
        <w:t>]%</w:t>
      </w:r>
      <w:r w:rsidRPr="00B51574">
        <w:rPr>
          <w:rFonts w:eastAsia="Calibri"/>
          <w:lang w:val="en-US"/>
        </w:rPr>
        <w:t>.</w:t>
      </w:r>
      <w:r w:rsidRPr="00973614">
        <w:t xml:space="preserve"> </w:t>
      </w:r>
      <w:r w:rsidRPr="00CD2ECB">
        <w:t xml:space="preserve">The HHI delta is below 150. </w:t>
      </w:r>
      <w:r w:rsidRPr="00973614">
        <w:t xml:space="preserve">In addition, at least 2 competitors </w:t>
      </w:r>
      <w:r>
        <w:t xml:space="preserve">will remain in the market post-Transaction, holding </w:t>
      </w:r>
      <w:r w:rsidRPr="00973614">
        <w:t xml:space="preserve">a market share </w:t>
      </w:r>
      <w:r w:rsidR="00D3370B">
        <w:t>of</w:t>
      </w:r>
      <w:r w:rsidR="00D3370B" w:rsidRPr="00973614">
        <w:t xml:space="preserve"> </w:t>
      </w:r>
      <w:r w:rsidRPr="00973614">
        <w:lastRenderedPageBreak/>
        <w:t>5%</w:t>
      </w:r>
      <w:r w:rsidR="00D3370B">
        <w:t xml:space="preserve"> or more</w:t>
      </w:r>
      <w:r w:rsidRPr="00973614">
        <w:t xml:space="preserve"> in both value and volume</w:t>
      </w:r>
      <w:r>
        <w:t xml:space="preserve">.  These competitors </w:t>
      </w:r>
      <w:r w:rsidR="00502FD8">
        <w:t>are</w:t>
      </w:r>
      <w:r w:rsidR="00A47402">
        <w:t xml:space="preserve"> the market leader</w:t>
      </w:r>
      <w:r>
        <w:t xml:space="preserve"> GlaxoSmithKline </w:t>
      </w:r>
      <w:r w:rsidR="00502FD8">
        <w:t xml:space="preserve">with its product Voltaren Emulgel </w:t>
      </w:r>
      <w:r>
        <w:t>(</w:t>
      </w:r>
      <w:r w:rsidR="00C063D0" w:rsidRPr="00C063D0">
        <w:rPr>
          <w:rFonts w:eastAsia="Calibri"/>
          <w:szCs w:val="24"/>
          <w:lang w:val="en-US"/>
        </w:rPr>
        <w:t>[</w:t>
      </w:r>
      <w:r w:rsidR="00C063D0">
        <w:rPr>
          <w:rFonts w:eastAsia="Calibri"/>
          <w:szCs w:val="24"/>
          <w:lang w:val="en-US"/>
        </w:rPr>
        <w:t>40</w:t>
      </w:r>
      <w:r w:rsidR="00C063D0" w:rsidRPr="00C063D0">
        <w:rPr>
          <w:rFonts w:eastAsia="Calibri"/>
          <w:szCs w:val="24"/>
          <w:lang w:val="en-US"/>
        </w:rPr>
        <w:t>-</w:t>
      </w:r>
      <w:r w:rsidR="00C063D0">
        <w:rPr>
          <w:rFonts w:eastAsia="Calibri"/>
          <w:szCs w:val="24"/>
          <w:lang w:val="en-US"/>
        </w:rPr>
        <w:t>5</w:t>
      </w:r>
      <w:r w:rsidR="00C063D0" w:rsidRPr="00C063D0">
        <w:rPr>
          <w:rFonts w:eastAsia="Calibri"/>
          <w:szCs w:val="24"/>
          <w:lang w:val="en-US"/>
        </w:rPr>
        <w:t>0]%</w:t>
      </w:r>
      <w:r>
        <w:t xml:space="preserve"> in value and </w:t>
      </w:r>
      <w:r w:rsidR="00C063D0" w:rsidRPr="00C063D0">
        <w:rPr>
          <w:rFonts w:eastAsia="Calibri"/>
          <w:szCs w:val="24"/>
          <w:lang w:val="en-US"/>
        </w:rPr>
        <w:t>[20-30]%</w:t>
      </w:r>
      <w:r>
        <w:t xml:space="preserve"> in volume) and Novartis </w:t>
      </w:r>
      <w:r w:rsidR="00502FD8">
        <w:t xml:space="preserve">with its product Diclac </w:t>
      </w:r>
      <w:r>
        <w:t>(</w:t>
      </w:r>
      <w:r w:rsidR="00C063D0">
        <w:rPr>
          <w:rFonts w:eastAsia="Calibri"/>
          <w:szCs w:val="24"/>
          <w:lang w:val="en-US"/>
        </w:rPr>
        <w:t>[1</w:t>
      </w:r>
      <w:r w:rsidR="00C063D0" w:rsidRPr="00C063D0">
        <w:rPr>
          <w:rFonts w:eastAsia="Calibri"/>
          <w:szCs w:val="24"/>
          <w:lang w:val="en-US"/>
        </w:rPr>
        <w:t>0-</w:t>
      </w:r>
      <w:r w:rsidR="00C063D0">
        <w:rPr>
          <w:rFonts w:eastAsia="Calibri"/>
          <w:szCs w:val="24"/>
          <w:lang w:val="en-US"/>
        </w:rPr>
        <w:t>2</w:t>
      </w:r>
      <w:r w:rsidR="00C063D0" w:rsidRPr="00C063D0">
        <w:rPr>
          <w:rFonts w:eastAsia="Calibri"/>
          <w:szCs w:val="24"/>
          <w:lang w:val="en-US"/>
        </w:rPr>
        <w:t>0]%</w:t>
      </w:r>
      <w:r>
        <w:t xml:space="preserve"> in value and </w:t>
      </w:r>
      <w:r w:rsidR="00C063D0">
        <w:rPr>
          <w:rFonts w:eastAsia="Calibri"/>
          <w:szCs w:val="24"/>
          <w:lang w:val="en-US"/>
        </w:rPr>
        <w:t>[1</w:t>
      </w:r>
      <w:r w:rsidR="00C063D0" w:rsidRPr="00C063D0">
        <w:rPr>
          <w:rFonts w:eastAsia="Calibri"/>
          <w:szCs w:val="24"/>
          <w:lang w:val="en-US"/>
        </w:rPr>
        <w:t>0-</w:t>
      </w:r>
      <w:r w:rsidR="00C063D0">
        <w:rPr>
          <w:rFonts w:eastAsia="Calibri"/>
          <w:szCs w:val="24"/>
          <w:lang w:val="en-US"/>
        </w:rPr>
        <w:t>2</w:t>
      </w:r>
      <w:r w:rsidR="00C063D0" w:rsidRPr="00C063D0">
        <w:rPr>
          <w:rFonts w:eastAsia="Calibri"/>
          <w:szCs w:val="24"/>
          <w:lang w:val="en-US"/>
        </w:rPr>
        <w:t>0]%</w:t>
      </w:r>
      <w:r w:rsidR="00C063D0">
        <w:t xml:space="preserve"> </w:t>
      </w:r>
      <w:r>
        <w:t xml:space="preserve"> in volume). </w:t>
      </w:r>
    </w:p>
    <w:p w:rsidR="00A95B38" w:rsidRPr="00546F00" w:rsidRDefault="00A95B38" w:rsidP="00A95B38">
      <w:pPr>
        <w:pStyle w:val="ListNumber"/>
        <w:rPr>
          <w:rFonts w:ascii="Times" w:eastAsia="Calibri" w:hAnsi="Times"/>
          <w:szCs w:val="24"/>
          <w:lang w:val="en-US"/>
        </w:rPr>
      </w:pPr>
      <w:r>
        <w:t>Finally,</w:t>
      </w:r>
      <w:r w:rsidRPr="005B1C96">
        <w:t xml:space="preserve"> </w:t>
      </w:r>
      <w:r>
        <w:t>the market investigation</w:t>
      </w:r>
      <w:r w:rsidR="00A47402">
        <w:t xml:space="preserve"> </w:t>
      </w:r>
      <w:r>
        <w:t xml:space="preserve">did not </w:t>
      </w:r>
      <w:r w:rsidR="00A47402">
        <w:t xml:space="preserve">reveal </w:t>
      </w:r>
      <w:r>
        <w:t xml:space="preserve">any </w:t>
      </w:r>
      <w:r>
        <w:rPr>
          <w:rFonts w:eastAsia="Calibri"/>
          <w:szCs w:val="24"/>
        </w:rPr>
        <w:t xml:space="preserve">competition </w:t>
      </w:r>
      <w:r w:rsidR="00A47402">
        <w:rPr>
          <w:rFonts w:eastAsia="Calibri"/>
          <w:szCs w:val="24"/>
        </w:rPr>
        <w:t xml:space="preserve">concerns </w:t>
      </w:r>
      <w:r>
        <w:rPr>
          <w:rFonts w:eastAsia="Calibri"/>
          <w:szCs w:val="24"/>
        </w:rPr>
        <w:t>in</w:t>
      </w:r>
      <w:r w:rsidRPr="00546F00" w:rsidDel="00A2241C">
        <w:rPr>
          <w:rFonts w:ascii="Times" w:eastAsia="Calibri" w:hAnsi="Times"/>
          <w:szCs w:val="24"/>
        </w:rPr>
        <w:t xml:space="preserve"> </w:t>
      </w:r>
      <w:r>
        <w:rPr>
          <w:rFonts w:ascii="Times" w:eastAsia="Calibri" w:hAnsi="Times"/>
          <w:szCs w:val="24"/>
        </w:rPr>
        <w:t>the</w:t>
      </w:r>
      <w:r w:rsidRPr="00546F00">
        <w:rPr>
          <w:rFonts w:ascii="Times" w:eastAsia="Calibri" w:hAnsi="Times"/>
          <w:szCs w:val="24"/>
        </w:rPr>
        <w:t xml:space="preserve"> market for </w:t>
      </w:r>
      <w:r w:rsidRPr="001436EE">
        <w:rPr>
          <w:rFonts w:ascii="Times" w:eastAsia="Calibri" w:hAnsi="Times"/>
          <w:i/>
        </w:rPr>
        <w:t>diclofenac</w:t>
      </w:r>
      <w:r w:rsidRPr="00546F00">
        <w:rPr>
          <w:rFonts w:ascii="Times" w:eastAsia="Calibri" w:hAnsi="Times"/>
          <w:szCs w:val="24"/>
        </w:rPr>
        <w:t>-based</w:t>
      </w:r>
      <w:r w:rsidRPr="00546F00">
        <w:rPr>
          <w:rFonts w:ascii="Times" w:hAnsi="Times"/>
          <w:szCs w:val="24"/>
        </w:rPr>
        <w:t xml:space="preserve"> topical anti-rheumatics and analgesics</w:t>
      </w:r>
      <w:r w:rsidRPr="00546F00">
        <w:rPr>
          <w:rFonts w:ascii="Times" w:eastAsia="Calibri" w:hAnsi="Times"/>
          <w:szCs w:val="24"/>
        </w:rPr>
        <w:t xml:space="preserve"> in Latvia.</w:t>
      </w:r>
      <w:r w:rsidRPr="00546F00">
        <w:rPr>
          <w:rFonts w:ascii="Times" w:eastAsia="Calibri" w:hAnsi="Times"/>
          <w:szCs w:val="24"/>
          <w:vertAlign w:val="superscript"/>
          <w:lang w:val="en-US"/>
        </w:rPr>
        <w:footnoteReference w:id="32"/>
      </w:r>
    </w:p>
    <w:p w:rsidR="00A95B38" w:rsidRPr="00546F00" w:rsidRDefault="00A95B38" w:rsidP="00A95B38">
      <w:pPr>
        <w:pStyle w:val="ListNumber"/>
        <w:rPr>
          <w:rFonts w:ascii="Times" w:hAnsi="Times"/>
          <w:szCs w:val="24"/>
        </w:rPr>
      </w:pPr>
      <w:r w:rsidRPr="00546F00">
        <w:rPr>
          <w:rFonts w:ascii="Times" w:hAnsi="Times"/>
          <w:szCs w:val="24"/>
        </w:rPr>
        <w:t xml:space="preserve">In view of the above, the Commission concludes that </w:t>
      </w:r>
      <w:r w:rsidR="009E4A43">
        <w:rPr>
          <w:rFonts w:ascii="Times" w:hAnsi="Times"/>
          <w:szCs w:val="24"/>
        </w:rPr>
        <w:t xml:space="preserve">the Transaction does not raise </w:t>
      </w:r>
      <w:r>
        <w:rPr>
          <w:rFonts w:ascii="Times" w:hAnsi="Times"/>
          <w:szCs w:val="24"/>
        </w:rPr>
        <w:t xml:space="preserve">serious doubts as to </w:t>
      </w:r>
      <w:r w:rsidR="009E4A43">
        <w:rPr>
          <w:rFonts w:ascii="Times" w:hAnsi="Times"/>
          <w:szCs w:val="24"/>
        </w:rPr>
        <w:t xml:space="preserve">its </w:t>
      </w:r>
      <w:r>
        <w:rPr>
          <w:rFonts w:ascii="Times" w:hAnsi="Times"/>
          <w:szCs w:val="24"/>
        </w:rPr>
        <w:t xml:space="preserve">compatibility with the internal market </w:t>
      </w:r>
      <w:r w:rsidR="009E4A43">
        <w:rPr>
          <w:rFonts w:ascii="Times" w:hAnsi="Times"/>
          <w:szCs w:val="24"/>
        </w:rPr>
        <w:t>regarding</w:t>
      </w:r>
      <w:r>
        <w:rPr>
          <w:rFonts w:ascii="Times" w:hAnsi="Times"/>
          <w:szCs w:val="24"/>
        </w:rPr>
        <w:t xml:space="preserve"> diclofenac based products in Latvia</w:t>
      </w:r>
      <w:r w:rsidRPr="00546F00">
        <w:rPr>
          <w:rFonts w:ascii="Times" w:hAnsi="Times"/>
          <w:szCs w:val="24"/>
        </w:rPr>
        <w:t>.</w:t>
      </w:r>
    </w:p>
    <w:p w:rsidR="00D10613" w:rsidRPr="00AD3737" w:rsidRDefault="00D10613" w:rsidP="00AD3737">
      <w:pPr>
        <w:pStyle w:val="Heading3"/>
        <w:rPr>
          <w:rFonts w:eastAsia="Calibri"/>
        </w:rPr>
      </w:pPr>
      <w:bookmarkStart w:id="53" w:name="_Ref517681187"/>
      <w:bookmarkStart w:id="54" w:name="_Toc517710385"/>
      <w:bookmarkStart w:id="55" w:name="_Toc517812915"/>
      <w:r w:rsidRPr="00207996">
        <w:rPr>
          <w:rFonts w:eastAsia="Calibri"/>
        </w:rPr>
        <w:t>General</w:t>
      </w:r>
      <w:r w:rsidRPr="00AD3737">
        <w:rPr>
          <w:rFonts w:eastAsia="Calibri"/>
        </w:rPr>
        <w:t xml:space="preserve"> </w:t>
      </w:r>
      <w:r w:rsidR="002126CE" w:rsidRPr="00AD3737">
        <w:rPr>
          <w:rFonts w:eastAsia="Calibri"/>
        </w:rPr>
        <w:t>p</w:t>
      </w:r>
      <w:r w:rsidRPr="00AD3737">
        <w:rPr>
          <w:rFonts w:eastAsia="Calibri"/>
        </w:rPr>
        <w:t xml:space="preserve">ain </w:t>
      </w:r>
      <w:r w:rsidR="002126CE" w:rsidRPr="00AD3737">
        <w:rPr>
          <w:rFonts w:eastAsia="Calibri"/>
        </w:rPr>
        <w:t>r</w:t>
      </w:r>
      <w:r w:rsidRPr="00AD3737">
        <w:rPr>
          <w:rFonts w:eastAsia="Calibri"/>
        </w:rPr>
        <w:t xml:space="preserve">elief </w:t>
      </w:r>
      <w:r w:rsidR="00E35E2F">
        <w:rPr>
          <w:rFonts w:eastAsia="Calibri"/>
        </w:rPr>
        <w:t xml:space="preserve">products </w:t>
      </w:r>
      <w:r w:rsidRPr="00AD3737">
        <w:rPr>
          <w:rFonts w:eastAsia="Calibri"/>
        </w:rPr>
        <w:t>in Austria</w:t>
      </w:r>
      <w:bookmarkEnd w:id="46"/>
      <w:bookmarkEnd w:id="53"/>
      <w:r w:rsidR="00285B8A">
        <w:rPr>
          <w:rFonts w:eastAsia="Calibri"/>
        </w:rPr>
        <w:t>, Hungary</w:t>
      </w:r>
      <w:r w:rsidR="00212512">
        <w:rPr>
          <w:rFonts w:eastAsia="Calibri"/>
        </w:rPr>
        <w:t>,</w:t>
      </w:r>
      <w:r w:rsidR="00285B8A">
        <w:rPr>
          <w:rFonts w:eastAsia="Calibri"/>
        </w:rPr>
        <w:t xml:space="preserve"> and Lithuania</w:t>
      </w:r>
      <w:bookmarkEnd w:id="54"/>
      <w:bookmarkEnd w:id="55"/>
    </w:p>
    <w:p w:rsidR="00E83E23" w:rsidRPr="00AD3737" w:rsidRDefault="00E83E23" w:rsidP="00AD3737">
      <w:pPr>
        <w:pStyle w:val="Heading4"/>
      </w:pPr>
      <w:bookmarkStart w:id="56" w:name="_Toc517710386"/>
      <w:bookmarkStart w:id="57" w:name="_Toc517812916"/>
      <w:r w:rsidRPr="00AD3737">
        <w:t>Market definition</w:t>
      </w:r>
      <w:bookmarkEnd w:id="56"/>
      <w:bookmarkEnd w:id="57"/>
    </w:p>
    <w:p w:rsidR="00E83E23" w:rsidRDefault="00A107A5" w:rsidP="00EA6685">
      <w:pPr>
        <w:pStyle w:val="ListNumber"/>
      </w:pPr>
      <w:bookmarkStart w:id="58" w:name="_Ref517709551"/>
      <w:r>
        <w:t>In previous decisions, the Commission considered that the market for medicines to treat mild to moderate pain (non-narcotic analgesics) should be defined at the ATC</w:t>
      </w:r>
      <w:r w:rsidR="00242F29">
        <w:t xml:space="preserve"> </w:t>
      </w:r>
      <w:r>
        <w:t>3 level of N2B</w:t>
      </w:r>
      <w:r w:rsidR="00657DAB">
        <w:t xml:space="preserve"> (non-narcotics and anti-pyretics)</w:t>
      </w:r>
      <w:r>
        <w:t>.</w:t>
      </w:r>
      <w:r>
        <w:rPr>
          <w:rStyle w:val="FootnoteReference"/>
        </w:rPr>
        <w:footnoteReference w:id="33"/>
      </w:r>
      <w:r w:rsidR="00C41A83">
        <w:t xml:space="preserve"> </w:t>
      </w:r>
      <w:r w:rsidR="00A64E16" w:rsidRPr="00A64E16">
        <w:t>The ATC</w:t>
      </w:r>
      <w:r w:rsidR="00242F29">
        <w:t xml:space="preserve"> </w:t>
      </w:r>
      <w:r w:rsidR="00A64E16" w:rsidRPr="00A64E16">
        <w:t>3 class N2B is further subdivided into two ATC</w:t>
      </w:r>
      <w:r w:rsidR="00242F29">
        <w:t xml:space="preserve"> </w:t>
      </w:r>
      <w:r w:rsidR="00A64E16" w:rsidRPr="00A64E16">
        <w:t>4 classes as follows: N2B1 (</w:t>
      </w:r>
      <w:r w:rsidR="00A64E16">
        <w:t>p</w:t>
      </w:r>
      <w:r w:rsidR="00A64E16" w:rsidRPr="00A64E16">
        <w:t>rescription non-narcotics and anti-pyretics) and N2B2 (</w:t>
      </w:r>
      <w:r w:rsidR="00A64E16">
        <w:t>non-prescriptio</w:t>
      </w:r>
      <w:r w:rsidR="000417CD">
        <w:t>n</w:t>
      </w:r>
      <w:r w:rsidR="00A64E16" w:rsidRPr="00A64E16">
        <w:t xml:space="preserve"> non-narcotics and anti-pyretics).</w:t>
      </w:r>
      <w:r w:rsidR="00A64E16">
        <w:t xml:space="preserve">  </w:t>
      </w:r>
      <w:r w:rsidR="00EA6685">
        <w:t>In one past decision, the Commission assessed the effects of a concentration at the N2B2 level of the general pain relief product market.</w:t>
      </w:r>
      <w:r w:rsidR="00EA6685">
        <w:rPr>
          <w:rStyle w:val="FootnoteReference"/>
        </w:rPr>
        <w:footnoteReference w:id="34"/>
      </w:r>
      <w:r w:rsidR="00EA6685">
        <w:t xml:space="preserve">  </w:t>
      </w:r>
      <w:r w:rsidR="00C41A83">
        <w:t xml:space="preserve">The Commission further considered that a distinction </w:t>
      </w:r>
      <w:r w:rsidR="00EA6685">
        <w:t xml:space="preserve">could </w:t>
      </w:r>
      <w:r w:rsidR="00C41A83">
        <w:t>be made between pain relief medicines for adults (which corresponds to the OTC</w:t>
      </w:r>
      <w:r w:rsidR="00242F29">
        <w:t xml:space="preserve"> </w:t>
      </w:r>
      <w:r w:rsidR="00C41A83">
        <w:t>3 class 02A1) and for children</w:t>
      </w:r>
      <w:r w:rsidR="00035CD7">
        <w:t xml:space="preserve"> (which corresponds to the OTC</w:t>
      </w:r>
      <w:r w:rsidR="00242F29">
        <w:t xml:space="preserve"> </w:t>
      </w:r>
      <w:r w:rsidR="00035CD7">
        <w:t>3 class 02A2)</w:t>
      </w:r>
      <w:r w:rsidR="00C41A83">
        <w:t>.</w:t>
      </w:r>
      <w:r w:rsidR="00C41A83">
        <w:rPr>
          <w:rStyle w:val="FootnoteReference"/>
        </w:rPr>
        <w:footnoteReference w:id="35"/>
      </w:r>
      <w:r w:rsidR="00A64E16" w:rsidRPr="00A64E16">
        <w:t xml:space="preserve"> </w:t>
      </w:r>
      <w:r w:rsidR="00EA6685">
        <w:t>Finally</w:t>
      </w:r>
      <w:r w:rsidR="00A64E16" w:rsidRPr="00A64E16">
        <w:t xml:space="preserve">, the Commission previously </w:t>
      </w:r>
      <w:r w:rsidR="004A3709">
        <w:t>considered</w:t>
      </w:r>
      <w:r w:rsidR="00EA6685">
        <w:t xml:space="preserve"> molecule-</w:t>
      </w:r>
      <w:r w:rsidR="00A64E16">
        <w:t>based market</w:t>
      </w:r>
      <w:r w:rsidR="00EA6685">
        <w:t>s</w:t>
      </w:r>
      <w:r w:rsidR="00A64E16">
        <w:t xml:space="preserve"> in general pain relief products</w:t>
      </w:r>
      <w:r w:rsidR="004A3709">
        <w:t xml:space="preserve"> in </w:t>
      </w:r>
      <w:r w:rsidR="004A3709" w:rsidRPr="00AD3737">
        <w:rPr>
          <w:i/>
        </w:rPr>
        <w:t>Teva/Ratiopharm</w:t>
      </w:r>
      <w:r w:rsidR="004A3709">
        <w:t xml:space="preserve"> (regarding the </w:t>
      </w:r>
      <w:r w:rsidR="004A3709" w:rsidRPr="004F4F97">
        <w:rPr>
          <w:i/>
        </w:rPr>
        <w:t>tramadol</w:t>
      </w:r>
      <w:r w:rsidR="004A3709">
        <w:t xml:space="preserve"> molecule)</w:t>
      </w:r>
      <w:r w:rsidR="00EA6685">
        <w:t>.</w:t>
      </w:r>
      <w:r w:rsidR="00A64E16">
        <w:rPr>
          <w:rStyle w:val="FootnoteReference"/>
        </w:rPr>
        <w:footnoteReference w:id="36"/>
      </w:r>
      <w:bookmarkEnd w:id="58"/>
      <w:r w:rsidR="00A64E16">
        <w:t xml:space="preserve">  </w:t>
      </w:r>
    </w:p>
    <w:p w:rsidR="0017105D" w:rsidRPr="00E83E23" w:rsidRDefault="00035CD7" w:rsidP="00C711F7">
      <w:pPr>
        <w:pStyle w:val="ListNumber"/>
      </w:pPr>
      <w:r w:rsidRPr="00AC4CB2">
        <w:t>In any event, for the purposes of the present case, the exact market definition can be left open</w:t>
      </w:r>
      <w:r w:rsidR="003E5DC8">
        <w:t xml:space="preserve"> as n</w:t>
      </w:r>
      <w:r>
        <w:t xml:space="preserve">o serious </w:t>
      </w:r>
      <w:r w:rsidRPr="00AC4CB2">
        <w:t>doubts arise under any plausible alternative market definition</w:t>
      </w:r>
      <w:r>
        <w:t xml:space="preserve"> (namely, </w:t>
      </w:r>
      <w:r w:rsidR="00C711F7">
        <w:t xml:space="preserve">at ATC3, ATC4, </w:t>
      </w:r>
      <w:r>
        <w:t>OTC3</w:t>
      </w:r>
      <w:r w:rsidR="00C711F7">
        <w:t>, or molecule</w:t>
      </w:r>
      <w:r>
        <w:t xml:space="preserve"> level). </w:t>
      </w:r>
    </w:p>
    <w:p w:rsidR="00C711F7" w:rsidRDefault="00C711F7" w:rsidP="00AD3737">
      <w:pPr>
        <w:pStyle w:val="Heading4"/>
      </w:pPr>
      <w:bookmarkStart w:id="59" w:name="_Ref517365119"/>
      <w:bookmarkStart w:id="60" w:name="_Toc517710387"/>
      <w:bookmarkStart w:id="61" w:name="_Toc517812917"/>
      <w:r>
        <w:t xml:space="preserve">Parties' </w:t>
      </w:r>
      <w:r w:rsidR="00B72AFE">
        <w:t>p</w:t>
      </w:r>
      <w:r>
        <w:t>roducts</w:t>
      </w:r>
      <w:bookmarkEnd w:id="59"/>
      <w:bookmarkEnd w:id="60"/>
      <w:bookmarkEnd w:id="61"/>
    </w:p>
    <w:p w:rsidR="00C711F7" w:rsidRPr="001B2085" w:rsidRDefault="00285B8A" w:rsidP="00C711F7">
      <w:pPr>
        <w:pStyle w:val="ListNumber"/>
      </w:pPr>
      <w:r>
        <w:t>In Austria, t</w:t>
      </w:r>
      <w:r w:rsidR="00C711F7" w:rsidRPr="00232D78">
        <w:t xml:space="preserve">he Parties supply OTC </w:t>
      </w:r>
      <w:r w:rsidR="00A339E7">
        <w:t xml:space="preserve">pain relief </w:t>
      </w:r>
      <w:r w:rsidR="00C711F7" w:rsidRPr="005C4476">
        <w:t xml:space="preserve">products </w:t>
      </w:r>
      <w:r w:rsidR="00C711F7" w:rsidRPr="008A256A">
        <w:t xml:space="preserve">based on </w:t>
      </w:r>
      <w:r w:rsidR="005C4476" w:rsidRPr="008A256A">
        <w:t xml:space="preserve">several </w:t>
      </w:r>
      <w:r w:rsidR="00C711F7" w:rsidRPr="008A256A">
        <w:t>molecules.</w:t>
      </w:r>
      <w:r w:rsidR="00C711F7" w:rsidRPr="005C4476">
        <w:t xml:space="preserve">  PGT</w:t>
      </w:r>
      <w:r w:rsidR="00C711F7" w:rsidRPr="00232D78">
        <w:t xml:space="preserve"> offers </w:t>
      </w:r>
      <w:r w:rsidR="00C711F7" w:rsidRPr="00232D78">
        <w:rPr>
          <w:i/>
        </w:rPr>
        <w:t>paracetamol</w:t>
      </w:r>
      <w:r w:rsidR="00C711F7" w:rsidRPr="00232D78">
        <w:t xml:space="preserve"> under the brand name </w:t>
      </w:r>
      <w:r w:rsidR="00C711F7" w:rsidRPr="005C4476">
        <w:t>Mexalen</w:t>
      </w:r>
      <w:r w:rsidR="00232D78" w:rsidRPr="005C4476">
        <w:t xml:space="preserve"> </w:t>
      </w:r>
      <w:r w:rsidR="00232D78" w:rsidRPr="008A256A">
        <w:t>(in oral solid, oral liquid and rectal systemic forms)</w:t>
      </w:r>
      <w:r w:rsidR="00C711F7" w:rsidRPr="008A256A">
        <w:t>,</w:t>
      </w:r>
      <w:r w:rsidR="00C711F7" w:rsidRPr="007C79D9">
        <w:t xml:space="preserve"> </w:t>
      </w:r>
      <w:r w:rsidR="00C711F7" w:rsidRPr="008A256A">
        <w:rPr>
          <w:i/>
        </w:rPr>
        <w:t>ibuprofen</w:t>
      </w:r>
      <w:r w:rsidR="00C711F7" w:rsidRPr="008A256A">
        <w:t xml:space="preserve"> under the brand name Ratiodolor</w:t>
      </w:r>
      <w:r w:rsidR="00232D78" w:rsidRPr="008A256A">
        <w:t xml:space="preserve"> (in oral solid form)</w:t>
      </w:r>
      <w:r w:rsidR="00C711F7" w:rsidRPr="008A256A">
        <w:t>,</w:t>
      </w:r>
      <w:r w:rsidR="00C711F7" w:rsidRPr="007C79D9">
        <w:t xml:space="preserve"> </w:t>
      </w:r>
      <w:r w:rsidR="00A339E7">
        <w:t xml:space="preserve">combination drug including </w:t>
      </w:r>
      <w:r w:rsidR="00C711F7" w:rsidRPr="007C79D9">
        <w:rPr>
          <w:i/>
        </w:rPr>
        <w:t>ascorbic acid</w:t>
      </w:r>
      <w:r w:rsidR="00C711F7" w:rsidRPr="007C79D9">
        <w:t xml:space="preserve"> and </w:t>
      </w:r>
      <w:r w:rsidR="00C711F7" w:rsidRPr="007C79D9">
        <w:rPr>
          <w:i/>
        </w:rPr>
        <w:t>paracetamol</w:t>
      </w:r>
      <w:r w:rsidR="00C711F7" w:rsidRPr="007C79D9">
        <w:t xml:space="preserve"> under the brand name Mexavit.C</w:t>
      </w:r>
      <w:r w:rsidR="00232D78" w:rsidRPr="007C79D9">
        <w:t xml:space="preserve"> </w:t>
      </w:r>
      <w:r w:rsidR="00232D78" w:rsidRPr="008A256A">
        <w:t>(in oral solid form)</w:t>
      </w:r>
      <w:r w:rsidR="00C711F7" w:rsidRPr="007C79D9">
        <w:t xml:space="preserve">, and </w:t>
      </w:r>
      <w:r w:rsidR="00A339E7">
        <w:t xml:space="preserve">combination drug including </w:t>
      </w:r>
      <w:r w:rsidR="00C711F7" w:rsidRPr="007C79D9">
        <w:rPr>
          <w:i/>
        </w:rPr>
        <w:t>acetylsalicylic acid, caffeine</w:t>
      </w:r>
      <w:r w:rsidR="00C711F7" w:rsidRPr="007C79D9">
        <w:t xml:space="preserve">, and </w:t>
      </w:r>
      <w:r w:rsidR="00C711F7" w:rsidRPr="007C79D9">
        <w:rPr>
          <w:i/>
        </w:rPr>
        <w:t xml:space="preserve">paracetamol </w:t>
      </w:r>
      <w:r w:rsidR="00C711F7" w:rsidRPr="007C79D9">
        <w:t>under the brand name Influass</w:t>
      </w:r>
      <w:r w:rsidR="00232D78" w:rsidRPr="007C79D9">
        <w:t xml:space="preserve"> </w:t>
      </w:r>
      <w:r w:rsidR="00232D78" w:rsidRPr="008A256A">
        <w:t>(in oral solid form)</w:t>
      </w:r>
      <w:r w:rsidR="00C711F7" w:rsidRPr="008A256A">
        <w:t>.</w:t>
      </w:r>
      <w:r w:rsidR="00C711F7" w:rsidRPr="007C79D9">
        <w:t xml:space="preserve"> Teva </w:t>
      </w:r>
      <w:r w:rsidR="00C711F7" w:rsidRPr="008A256A">
        <w:t>offers Ibunin (</w:t>
      </w:r>
      <w:r w:rsidR="00C711F7" w:rsidRPr="008A256A">
        <w:rPr>
          <w:i/>
        </w:rPr>
        <w:t>ibuprofen</w:t>
      </w:r>
      <w:r w:rsidR="00C711F7" w:rsidRPr="008A256A">
        <w:t>)</w:t>
      </w:r>
      <w:r w:rsidR="00232D78" w:rsidRPr="008A256A">
        <w:t>, in oral solid form</w:t>
      </w:r>
      <w:r w:rsidR="00C711F7" w:rsidRPr="008A256A">
        <w:t>.</w:t>
      </w:r>
      <w:r w:rsidR="00C711F7" w:rsidRPr="007C79D9">
        <w:t xml:space="preserve">  </w:t>
      </w:r>
      <w:r w:rsidR="004F4F97" w:rsidRPr="007C79D9">
        <w:t>All products are indicated for adults and children.</w:t>
      </w:r>
    </w:p>
    <w:p w:rsidR="00285B8A" w:rsidRPr="00EB3079" w:rsidRDefault="00CF4A31" w:rsidP="00285B8A">
      <w:pPr>
        <w:pStyle w:val="ListNumber"/>
      </w:pPr>
      <w:bookmarkStart w:id="62" w:name="_Ref517427926"/>
      <w:r>
        <w:t>In</w:t>
      </w:r>
      <w:r w:rsidR="00285B8A" w:rsidRPr="00EB3079">
        <w:t xml:space="preserve"> Hungary and Lithuania</w:t>
      </w:r>
      <w:r w:rsidR="00285B8A">
        <w:t>,</w:t>
      </w:r>
      <w:r w:rsidR="00285B8A" w:rsidRPr="00EB3079">
        <w:t xml:space="preserve"> </w:t>
      </w:r>
      <w:r w:rsidR="00285B8A">
        <w:t>t</w:t>
      </w:r>
      <w:r w:rsidR="00285B8A" w:rsidRPr="00EB3079">
        <w:t xml:space="preserve">he Parties supply OTC </w:t>
      </w:r>
      <w:r w:rsidR="00A339E7">
        <w:t xml:space="preserve">pain relief </w:t>
      </w:r>
      <w:r w:rsidR="00285B8A" w:rsidRPr="00EB3079">
        <w:t xml:space="preserve">products based on the same molecule, </w:t>
      </w:r>
      <w:r w:rsidR="00285B8A" w:rsidRPr="00EB3079">
        <w:rPr>
          <w:i/>
        </w:rPr>
        <w:t>paracetamol</w:t>
      </w:r>
      <w:r w:rsidR="00285B8A" w:rsidRPr="00EB3079">
        <w:t xml:space="preserve">.  In Hungary, Teva supplies Dororamol (in oral solid and oral liquid forms) and PGT supplies Mexalen (in oral solid and rectal </w:t>
      </w:r>
      <w:r w:rsidR="00285B8A" w:rsidRPr="00EB3079">
        <w:lastRenderedPageBreak/>
        <w:t xml:space="preserve">systemic forms).  Both products are indicated not only for adults but also for children and/or babies. In Lithuania, Teva supplies Paracetamol ACT for adults (in oral solid form) and PGT supplies Paracetamol RPH for children (in rectal systemic form). </w:t>
      </w:r>
    </w:p>
    <w:p w:rsidR="00E83E23" w:rsidRPr="00AD3737" w:rsidRDefault="00E83E23" w:rsidP="00212512">
      <w:pPr>
        <w:pStyle w:val="Heading4"/>
      </w:pPr>
      <w:bookmarkStart w:id="63" w:name="_Toc517709571"/>
      <w:bookmarkStart w:id="64" w:name="_Toc517710217"/>
      <w:bookmarkStart w:id="65" w:name="_Toc517710388"/>
      <w:bookmarkStart w:id="66" w:name="_Toc517710970"/>
      <w:bookmarkStart w:id="67" w:name="_Toc517714065"/>
      <w:bookmarkStart w:id="68" w:name="_Toc517710389"/>
      <w:bookmarkStart w:id="69" w:name="_Toc517812918"/>
      <w:bookmarkStart w:id="70" w:name="_Ref517814667"/>
      <w:bookmarkStart w:id="71" w:name="_Ref517814671"/>
      <w:bookmarkEnd w:id="63"/>
      <w:bookmarkEnd w:id="64"/>
      <w:bookmarkEnd w:id="65"/>
      <w:bookmarkEnd w:id="66"/>
      <w:bookmarkEnd w:id="67"/>
      <w:r w:rsidRPr="00AD3737">
        <w:t>Competitive assessment</w:t>
      </w:r>
      <w:bookmarkEnd w:id="62"/>
      <w:bookmarkEnd w:id="68"/>
      <w:bookmarkEnd w:id="69"/>
      <w:bookmarkEnd w:id="70"/>
      <w:bookmarkEnd w:id="71"/>
      <w:r w:rsidR="005C4476">
        <w:t xml:space="preserve"> </w:t>
      </w:r>
    </w:p>
    <w:p w:rsidR="00285B8A" w:rsidRPr="00420413" w:rsidRDefault="00285B8A" w:rsidP="00420413">
      <w:pPr>
        <w:pStyle w:val="Text4"/>
        <w:keepNext/>
        <w:ind w:left="709"/>
        <w:rPr>
          <w:i/>
        </w:rPr>
      </w:pPr>
      <w:r w:rsidRPr="00420413">
        <w:rPr>
          <w:i/>
        </w:rPr>
        <w:t>Austria</w:t>
      </w:r>
    </w:p>
    <w:p w:rsidR="0032473C" w:rsidRDefault="0032473C" w:rsidP="00420413">
      <w:pPr>
        <w:pStyle w:val="ListNumber"/>
        <w:keepNext/>
      </w:pPr>
      <w:r>
        <w:t>At the ATC3</w:t>
      </w:r>
      <w:r w:rsidR="00AD23C4">
        <w:t xml:space="preserve"> </w:t>
      </w:r>
      <w:r w:rsidR="003245F1">
        <w:t>and molecule (</w:t>
      </w:r>
      <w:r w:rsidR="003245F1" w:rsidRPr="004F4BE3">
        <w:rPr>
          <w:i/>
        </w:rPr>
        <w:t>ibuprofen</w:t>
      </w:r>
      <w:r w:rsidR="003245F1">
        <w:t>)</w:t>
      </w:r>
      <w:r>
        <w:t xml:space="preserve"> level</w:t>
      </w:r>
      <w:r w:rsidR="003245F1">
        <w:t>s</w:t>
      </w:r>
      <w:r>
        <w:t>, the Transaction gives rise to Group</w:t>
      </w:r>
      <w:r w:rsidR="009D592F">
        <w:t xml:space="preserve"> </w:t>
      </w:r>
      <w:r>
        <w:t>3 market</w:t>
      </w:r>
      <w:r w:rsidR="003245F1">
        <w:t>s</w:t>
      </w:r>
      <w:r>
        <w:t>. At the ATC4 and OTC3 levels, the Transaction gives rise to Group 2 markets</w:t>
      </w:r>
      <w:r w:rsidR="000025E6">
        <w:t xml:space="preserve"> based on volume</w:t>
      </w:r>
      <w:r>
        <w:t>.</w:t>
      </w:r>
      <w:r w:rsidR="00AB05EC">
        <w:t xml:space="preserve"> </w:t>
      </w:r>
    </w:p>
    <w:p w:rsidR="00451FBF" w:rsidRDefault="00451FBF" w:rsidP="00C41A83">
      <w:pPr>
        <w:pStyle w:val="ListNumber"/>
      </w:pPr>
      <w:r>
        <w:t xml:space="preserve">The table below presents the Parties' market shares for general pain relief products </w:t>
      </w:r>
      <w:r w:rsidR="0032473C">
        <w:t xml:space="preserve">at ATC4 and OTC3 levels </w:t>
      </w:r>
      <w:r>
        <w:t xml:space="preserve">in Austria in </w:t>
      </w:r>
      <w:r w:rsidR="004C6514">
        <w:t>2015-</w:t>
      </w:r>
      <w:r>
        <w:t>2017.</w:t>
      </w:r>
      <w:r w:rsidR="001B7589">
        <w:t xml:space="preserve"> </w:t>
      </w:r>
    </w:p>
    <w:tbl>
      <w:tblPr>
        <w:tblStyle w:val="TableGrid"/>
        <w:tblW w:w="4550" w:type="pct"/>
        <w:tblInd w:w="675" w:type="dxa"/>
        <w:tblLayout w:type="fixed"/>
        <w:tblLook w:val="04A0" w:firstRow="1" w:lastRow="0" w:firstColumn="1" w:lastColumn="0" w:noHBand="0" w:noVBand="1"/>
      </w:tblPr>
      <w:tblGrid>
        <w:gridCol w:w="713"/>
        <w:gridCol w:w="1273"/>
        <w:gridCol w:w="851"/>
        <w:gridCol w:w="707"/>
        <w:gridCol w:w="1135"/>
        <w:gridCol w:w="995"/>
        <w:gridCol w:w="1133"/>
        <w:gridCol w:w="1232"/>
      </w:tblGrid>
      <w:tr w:rsidR="00924CEB" w:rsidRPr="00AD3737" w:rsidTr="00225426">
        <w:trPr>
          <w:tblHeader/>
        </w:trPr>
        <w:tc>
          <w:tcPr>
            <w:tcW w:w="443" w:type="pct"/>
            <w:vMerge w:val="restart"/>
            <w:shd w:val="clear" w:color="auto" w:fill="D9D9D9" w:themeFill="background1" w:themeFillShade="D9"/>
            <w:vAlign w:val="center"/>
          </w:tcPr>
          <w:p w:rsidR="00413160" w:rsidRDefault="006E5B44" w:rsidP="00AD3737">
            <w:pPr>
              <w:keepNext/>
              <w:snapToGrid w:val="0"/>
              <w:spacing w:after="0"/>
              <w:contextualSpacing/>
              <w:jc w:val="center"/>
              <w:rPr>
                <w:rFonts w:ascii="Times" w:hAnsi="Times"/>
                <w:b/>
                <w:sz w:val="18"/>
                <w:szCs w:val="18"/>
              </w:rPr>
            </w:pPr>
            <w:r w:rsidRPr="00AD3737">
              <w:rPr>
                <w:rFonts w:ascii="Times" w:hAnsi="Times"/>
                <w:b/>
                <w:sz w:val="18"/>
                <w:szCs w:val="18"/>
              </w:rPr>
              <w:t>OTC3</w:t>
            </w:r>
          </w:p>
          <w:p w:rsidR="00924CEB" w:rsidRDefault="006E5B44" w:rsidP="00AD3737">
            <w:pPr>
              <w:keepNext/>
              <w:snapToGrid w:val="0"/>
              <w:spacing w:after="0"/>
              <w:contextualSpacing/>
              <w:jc w:val="center"/>
              <w:rPr>
                <w:rFonts w:ascii="Times" w:hAnsi="Times"/>
                <w:b/>
                <w:sz w:val="18"/>
                <w:szCs w:val="18"/>
              </w:rPr>
            </w:pPr>
            <w:r w:rsidRPr="00AD3737">
              <w:rPr>
                <w:rFonts w:ascii="Times" w:hAnsi="Times"/>
                <w:b/>
                <w:sz w:val="18"/>
                <w:szCs w:val="18"/>
              </w:rPr>
              <w:t>ATC3</w:t>
            </w:r>
          </w:p>
          <w:p w:rsidR="006E5B44" w:rsidRPr="00AD3737" w:rsidRDefault="006E5B44" w:rsidP="00924CEB">
            <w:pPr>
              <w:keepNext/>
              <w:snapToGrid w:val="0"/>
              <w:spacing w:after="0"/>
              <w:contextualSpacing/>
              <w:jc w:val="center"/>
              <w:rPr>
                <w:rFonts w:ascii="Times" w:hAnsi="Times"/>
                <w:b/>
                <w:sz w:val="18"/>
                <w:szCs w:val="18"/>
              </w:rPr>
            </w:pPr>
            <w:r w:rsidRPr="00AD3737">
              <w:rPr>
                <w:rFonts w:ascii="Times" w:hAnsi="Times"/>
                <w:b/>
                <w:sz w:val="18"/>
                <w:szCs w:val="18"/>
              </w:rPr>
              <w:t>ATC4</w:t>
            </w:r>
          </w:p>
        </w:tc>
        <w:tc>
          <w:tcPr>
            <w:tcW w:w="792" w:type="pct"/>
            <w:vMerge w:val="restart"/>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r w:rsidRPr="00AD3737">
              <w:rPr>
                <w:rFonts w:ascii="Times" w:hAnsi="Times"/>
                <w:b/>
                <w:sz w:val="18"/>
                <w:szCs w:val="18"/>
              </w:rPr>
              <w:t>Category Description</w:t>
            </w:r>
          </w:p>
        </w:tc>
        <w:tc>
          <w:tcPr>
            <w:tcW w:w="529" w:type="pct"/>
            <w:vMerge w:val="restart"/>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r w:rsidRPr="00AD3737">
              <w:rPr>
                <w:rFonts w:ascii="Times" w:hAnsi="Times"/>
                <w:b/>
                <w:sz w:val="18"/>
                <w:szCs w:val="18"/>
              </w:rPr>
              <w:t>Market Group</w:t>
            </w:r>
          </w:p>
        </w:tc>
        <w:tc>
          <w:tcPr>
            <w:tcW w:w="440" w:type="pct"/>
            <w:vMerge w:val="restart"/>
            <w:shd w:val="clear" w:color="auto" w:fill="D9D9D9" w:themeFill="background1" w:themeFillShade="D9"/>
          </w:tcPr>
          <w:p w:rsidR="006706D7" w:rsidRPr="00AD3737" w:rsidRDefault="006706D7" w:rsidP="00AD3737">
            <w:pPr>
              <w:keepNext/>
              <w:snapToGrid w:val="0"/>
              <w:spacing w:after="0"/>
              <w:contextualSpacing/>
              <w:jc w:val="center"/>
              <w:rPr>
                <w:rFonts w:ascii="Times" w:hAnsi="Times"/>
                <w:b/>
                <w:sz w:val="18"/>
                <w:szCs w:val="18"/>
              </w:rPr>
            </w:pPr>
          </w:p>
          <w:p w:rsidR="006706D7" w:rsidRPr="00AD3737" w:rsidRDefault="006706D7" w:rsidP="00AD3737">
            <w:pPr>
              <w:keepNext/>
              <w:snapToGrid w:val="0"/>
              <w:spacing w:after="0"/>
              <w:contextualSpacing/>
              <w:jc w:val="center"/>
              <w:rPr>
                <w:rFonts w:ascii="Times" w:hAnsi="Times"/>
                <w:b/>
                <w:sz w:val="18"/>
                <w:szCs w:val="18"/>
              </w:rPr>
            </w:pPr>
            <w:r>
              <w:rPr>
                <w:rFonts w:ascii="Times" w:hAnsi="Times"/>
                <w:b/>
                <w:sz w:val="18"/>
                <w:szCs w:val="18"/>
              </w:rPr>
              <w:t>Year</w:t>
            </w:r>
          </w:p>
        </w:tc>
        <w:tc>
          <w:tcPr>
            <w:tcW w:w="2029" w:type="pct"/>
            <w:gridSpan w:val="3"/>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r w:rsidRPr="00AD3737">
              <w:rPr>
                <w:rFonts w:ascii="Times" w:hAnsi="Times"/>
                <w:b/>
                <w:sz w:val="18"/>
                <w:szCs w:val="18"/>
              </w:rPr>
              <w:t>Market Shares (Value/Volume)</w:t>
            </w:r>
          </w:p>
        </w:tc>
        <w:tc>
          <w:tcPr>
            <w:tcW w:w="766" w:type="pct"/>
            <w:vMerge w:val="restart"/>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r w:rsidRPr="00AD3737">
              <w:rPr>
                <w:rFonts w:ascii="Times" w:hAnsi="Times"/>
                <w:b/>
                <w:sz w:val="18"/>
                <w:szCs w:val="18"/>
              </w:rPr>
              <w:t>Number of Competitors &gt; 5%</w:t>
            </w:r>
          </w:p>
        </w:tc>
      </w:tr>
      <w:tr w:rsidR="00924CEB" w:rsidRPr="00AD3737" w:rsidTr="00225426">
        <w:trPr>
          <w:tblHeader/>
        </w:trPr>
        <w:tc>
          <w:tcPr>
            <w:tcW w:w="443" w:type="pct"/>
            <w:vMerge/>
            <w:tcBorders>
              <w:bottom w:val="single" w:sz="2" w:space="0" w:color="auto"/>
            </w:tcBorders>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p>
        </w:tc>
        <w:tc>
          <w:tcPr>
            <w:tcW w:w="792" w:type="pct"/>
            <w:vMerge/>
            <w:tcBorders>
              <w:bottom w:val="single" w:sz="2" w:space="0" w:color="auto"/>
            </w:tcBorders>
            <w:shd w:val="clear" w:color="auto" w:fill="D9D9D9" w:themeFill="background1" w:themeFillShade="D9"/>
          </w:tcPr>
          <w:p w:rsidR="006E5B44" w:rsidRPr="00AD3737" w:rsidRDefault="006E5B44" w:rsidP="00AD3737">
            <w:pPr>
              <w:keepNext/>
              <w:snapToGrid w:val="0"/>
              <w:spacing w:after="0"/>
              <w:contextualSpacing/>
              <w:jc w:val="center"/>
              <w:rPr>
                <w:rFonts w:ascii="Times" w:hAnsi="Times"/>
                <w:b/>
                <w:sz w:val="18"/>
                <w:szCs w:val="18"/>
              </w:rPr>
            </w:pPr>
          </w:p>
        </w:tc>
        <w:tc>
          <w:tcPr>
            <w:tcW w:w="529" w:type="pct"/>
            <w:vMerge/>
            <w:tcBorders>
              <w:bottom w:val="single" w:sz="2" w:space="0" w:color="auto"/>
            </w:tcBorders>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p>
        </w:tc>
        <w:tc>
          <w:tcPr>
            <w:tcW w:w="440" w:type="pct"/>
            <w:vMerge/>
            <w:tcBorders>
              <w:bottom w:val="single" w:sz="2" w:space="0" w:color="auto"/>
            </w:tcBorders>
            <w:shd w:val="clear" w:color="auto" w:fill="D9D9D9" w:themeFill="background1" w:themeFillShade="D9"/>
          </w:tcPr>
          <w:p w:rsidR="006706D7" w:rsidRPr="00AD3737" w:rsidRDefault="006706D7" w:rsidP="00AD3737">
            <w:pPr>
              <w:keepNext/>
              <w:snapToGrid w:val="0"/>
              <w:spacing w:after="0"/>
              <w:contextualSpacing/>
              <w:jc w:val="center"/>
              <w:rPr>
                <w:rFonts w:ascii="Times" w:hAnsi="Times"/>
                <w:b/>
                <w:sz w:val="18"/>
                <w:szCs w:val="18"/>
              </w:rPr>
            </w:pPr>
          </w:p>
        </w:tc>
        <w:tc>
          <w:tcPr>
            <w:tcW w:w="706" w:type="pct"/>
            <w:tcBorders>
              <w:bottom w:val="single" w:sz="2" w:space="0" w:color="auto"/>
            </w:tcBorders>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r w:rsidRPr="00AD3737">
              <w:rPr>
                <w:rFonts w:ascii="Times" w:hAnsi="Times"/>
                <w:b/>
                <w:sz w:val="18"/>
                <w:szCs w:val="18"/>
              </w:rPr>
              <w:t>Teva</w:t>
            </w:r>
          </w:p>
        </w:tc>
        <w:tc>
          <w:tcPr>
            <w:tcW w:w="619" w:type="pct"/>
            <w:tcBorders>
              <w:bottom w:val="single" w:sz="2" w:space="0" w:color="auto"/>
            </w:tcBorders>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r w:rsidRPr="00AD3737">
              <w:rPr>
                <w:rFonts w:ascii="Times" w:hAnsi="Times"/>
                <w:b/>
                <w:sz w:val="18"/>
                <w:szCs w:val="18"/>
              </w:rPr>
              <w:t>Target</w:t>
            </w:r>
          </w:p>
        </w:tc>
        <w:tc>
          <w:tcPr>
            <w:tcW w:w="705" w:type="pct"/>
            <w:tcBorders>
              <w:bottom w:val="single" w:sz="2" w:space="0" w:color="auto"/>
            </w:tcBorders>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r w:rsidRPr="00AD3737">
              <w:rPr>
                <w:rFonts w:ascii="Times" w:hAnsi="Times"/>
                <w:b/>
                <w:sz w:val="18"/>
                <w:szCs w:val="18"/>
              </w:rPr>
              <w:t>Comb</w:t>
            </w:r>
            <w:r w:rsidR="005C4476">
              <w:rPr>
                <w:rFonts w:ascii="Times" w:hAnsi="Times"/>
                <w:b/>
                <w:sz w:val="18"/>
                <w:szCs w:val="18"/>
              </w:rPr>
              <w:t>ine</w:t>
            </w:r>
            <w:r w:rsidRPr="00AD3737">
              <w:rPr>
                <w:rFonts w:ascii="Times" w:hAnsi="Times"/>
                <w:b/>
                <w:sz w:val="18"/>
                <w:szCs w:val="18"/>
              </w:rPr>
              <w:t>d</w:t>
            </w:r>
          </w:p>
        </w:tc>
        <w:tc>
          <w:tcPr>
            <w:tcW w:w="766" w:type="pct"/>
            <w:vMerge/>
            <w:tcBorders>
              <w:bottom w:val="single" w:sz="2" w:space="0" w:color="auto"/>
            </w:tcBorders>
            <w:shd w:val="clear" w:color="auto" w:fill="D9D9D9" w:themeFill="background1" w:themeFillShade="D9"/>
            <w:vAlign w:val="center"/>
          </w:tcPr>
          <w:p w:rsidR="006E5B44" w:rsidRPr="00AD3737" w:rsidRDefault="006E5B44" w:rsidP="00AD3737">
            <w:pPr>
              <w:keepNext/>
              <w:snapToGrid w:val="0"/>
              <w:spacing w:after="0"/>
              <w:contextualSpacing/>
              <w:jc w:val="center"/>
              <w:rPr>
                <w:rFonts w:ascii="Times" w:hAnsi="Times"/>
                <w:b/>
                <w:sz w:val="18"/>
                <w:szCs w:val="18"/>
              </w:rPr>
            </w:pPr>
          </w:p>
        </w:tc>
      </w:tr>
      <w:tr w:rsidR="00225426" w:rsidRPr="00AD3737" w:rsidTr="00225426">
        <w:trPr>
          <w:trHeight w:val="275"/>
        </w:trPr>
        <w:tc>
          <w:tcPr>
            <w:tcW w:w="443" w:type="pct"/>
            <w:vMerge w:val="restar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sidRPr="00AD3737">
              <w:rPr>
                <w:rFonts w:ascii="Times" w:hAnsi="Times"/>
                <w:sz w:val="18"/>
                <w:szCs w:val="18"/>
              </w:rPr>
              <w:t xml:space="preserve">N2B2 </w:t>
            </w:r>
          </w:p>
        </w:tc>
        <w:tc>
          <w:tcPr>
            <w:tcW w:w="792" w:type="pct"/>
            <w:vMerge w:val="restar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sidRPr="00AD3737">
              <w:rPr>
                <w:rFonts w:ascii="Times" w:hAnsi="Times"/>
                <w:sz w:val="18"/>
                <w:szCs w:val="18"/>
              </w:rPr>
              <w:t>General Pain Relief (OTC, Adults and Children)</w:t>
            </w:r>
          </w:p>
        </w:tc>
        <w:tc>
          <w:tcPr>
            <w:tcW w:w="529" w:type="pct"/>
            <w:vMerge w:val="restar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sidRPr="00AD3737">
              <w:rPr>
                <w:rFonts w:ascii="Times" w:hAnsi="Times"/>
                <w:sz w:val="18"/>
                <w:szCs w:val="18"/>
              </w:rPr>
              <w:t>Group 2</w:t>
            </w:r>
          </w:p>
        </w:tc>
        <w:tc>
          <w:tcPr>
            <w:tcW w:w="440" w:type="pct"/>
            <w:tcBorders>
              <w:top w:val="single" w:sz="2" w:space="0" w:color="auto"/>
              <w:left w:val="single" w:sz="2" w:space="0" w:color="auto"/>
              <w:bottom w:val="single" w:sz="2" w:space="0" w:color="auto"/>
              <w:right w:val="single" w:sz="2" w:space="0" w:color="auto"/>
            </w:tcBorders>
            <w:vAlign w:val="center"/>
          </w:tcPr>
          <w:p w:rsidR="00225426" w:rsidRPr="002D7FBB" w:rsidRDefault="00225426" w:rsidP="002D7FBB">
            <w:pPr>
              <w:keepNext/>
              <w:spacing w:after="0"/>
              <w:jc w:val="left"/>
              <w:rPr>
                <w:rFonts w:ascii="Times" w:hAnsi="Times"/>
                <w:b/>
                <w:sz w:val="18"/>
              </w:rPr>
            </w:pPr>
            <w:r w:rsidRPr="00DF35F3">
              <w:rPr>
                <w:rFonts w:ascii="Times" w:hAnsi="Times"/>
                <w:b/>
                <w:sz w:val="18"/>
              </w:rPr>
              <w:t>2017</w:t>
            </w:r>
          </w:p>
        </w:tc>
        <w:tc>
          <w:tcPr>
            <w:tcW w:w="706"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C063D0">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619"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C063D0">
            <w:pPr>
              <w:keepNext/>
              <w:spacing w:after="0"/>
              <w:jc w:val="left"/>
              <w:rPr>
                <w:rFonts w:ascii="Times" w:hAnsi="Times"/>
                <w:sz w:val="18"/>
                <w:szCs w:val="18"/>
              </w:rPr>
            </w:pPr>
            <w:r>
              <w:rPr>
                <w:rFonts w:ascii="Times" w:hAnsi="Times"/>
                <w:sz w:val="18"/>
                <w:szCs w:val="18"/>
              </w:rPr>
              <w:t>[30-40]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[40-50]</w:t>
            </w:r>
            <w:r w:rsidRPr="00AD3737">
              <w:rPr>
                <w:rFonts w:ascii="Times" w:hAnsi="Times"/>
                <w:sz w:val="18"/>
                <w:szCs w:val="18"/>
              </w:rPr>
              <w:t>%</w:t>
            </w:r>
          </w:p>
        </w:tc>
        <w:tc>
          <w:tcPr>
            <w:tcW w:w="705"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[30-40]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[40-50]</w:t>
            </w:r>
            <w:r w:rsidRPr="00AD3737">
              <w:rPr>
                <w:rFonts w:ascii="Times" w:hAnsi="Times"/>
                <w:sz w:val="18"/>
                <w:szCs w:val="18"/>
              </w:rPr>
              <w:t>%</w:t>
            </w:r>
          </w:p>
        </w:tc>
        <w:tc>
          <w:tcPr>
            <w:tcW w:w="766"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sidRPr="00AD3737">
              <w:rPr>
                <w:rFonts w:ascii="Times" w:hAnsi="Times"/>
                <w:sz w:val="18"/>
                <w:szCs w:val="18"/>
              </w:rPr>
              <w:t>At least 3</w:t>
            </w:r>
          </w:p>
        </w:tc>
      </w:tr>
      <w:tr w:rsidR="00225426" w:rsidRPr="00AD3737" w:rsidTr="00225426">
        <w:trPr>
          <w:trHeight w:val="275"/>
        </w:trPr>
        <w:tc>
          <w:tcPr>
            <w:tcW w:w="443" w:type="pct"/>
            <w:vMerge/>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p>
        </w:tc>
        <w:tc>
          <w:tcPr>
            <w:tcW w:w="792" w:type="pct"/>
            <w:vMerge/>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p>
        </w:tc>
        <w:tc>
          <w:tcPr>
            <w:tcW w:w="529" w:type="pct"/>
            <w:vMerge/>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p>
        </w:tc>
        <w:tc>
          <w:tcPr>
            <w:tcW w:w="440" w:type="pct"/>
            <w:tcBorders>
              <w:top w:val="single" w:sz="2" w:space="0" w:color="auto"/>
              <w:left w:val="single" w:sz="2" w:space="0" w:color="auto"/>
              <w:bottom w:val="single" w:sz="2" w:space="0" w:color="auto"/>
              <w:right w:val="single" w:sz="2" w:space="0" w:color="auto"/>
            </w:tcBorders>
            <w:vAlign w:val="center"/>
          </w:tcPr>
          <w:p w:rsidR="00225426" w:rsidRPr="00DF35F3" w:rsidRDefault="00225426" w:rsidP="002D7FBB">
            <w:pPr>
              <w:keepNext/>
              <w:spacing w:after="0"/>
              <w:jc w:val="left"/>
              <w:rPr>
                <w:rFonts w:ascii="Times" w:hAnsi="Times"/>
                <w:b/>
                <w:sz w:val="18"/>
              </w:rPr>
            </w:pPr>
            <w:r>
              <w:rPr>
                <w:rFonts w:ascii="Times" w:hAnsi="Times"/>
                <w:b/>
                <w:sz w:val="18"/>
              </w:rPr>
              <w:t>2016</w:t>
            </w:r>
          </w:p>
        </w:tc>
        <w:tc>
          <w:tcPr>
            <w:tcW w:w="706" w:type="pct"/>
            <w:tcBorders>
              <w:top w:val="single" w:sz="2" w:space="0" w:color="auto"/>
              <w:left w:val="single" w:sz="2" w:space="0" w:color="auto"/>
              <w:bottom w:val="single" w:sz="2" w:space="0" w:color="auto"/>
              <w:right w:val="single" w:sz="2" w:space="0" w:color="auto"/>
            </w:tcBorders>
          </w:tcPr>
          <w:p w:rsidR="00225426" w:rsidRPr="00AD3737" w:rsidRDefault="00225426" w:rsidP="002D7FBB">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619"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25426">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w:t>
            </w:r>
            <w:r w:rsidRPr="00AD3737">
              <w:rPr>
                <w:rFonts w:ascii="Times" w:hAnsi="Times"/>
                <w:sz w:val="18"/>
                <w:szCs w:val="18"/>
              </w:rPr>
              <w:t>4</w:t>
            </w:r>
            <w:r>
              <w:rPr>
                <w:rFonts w:ascii="Times" w:hAnsi="Times"/>
                <w:sz w:val="18"/>
                <w:szCs w:val="18"/>
              </w:rPr>
              <w:t>0-50]</w:t>
            </w:r>
            <w:r w:rsidRPr="00AD3737">
              <w:rPr>
                <w:rFonts w:ascii="Times" w:hAnsi="Times"/>
                <w:sz w:val="18"/>
                <w:szCs w:val="18"/>
              </w:rPr>
              <w:t>%</w:t>
            </w:r>
          </w:p>
        </w:tc>
        <w:tc>
          <w:tcPr>
            <w:tcW w:w="705"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w:t>
            </w:r>
            <w:r w:rsidRPr="00AD3737">
              <w:rPr>
                <w:rFonts w:ascii="Times" w:hAnsi="Times"/>
                <w:sz w:val="18"/>
                <w:szCs w:val="18"/>
              </w:rPr>
              <w:t>4</w:t>
            </w:r>
            <w:r>
              <w:rPr>
                <w:rFonts w:ascii="Times" w:hAnsi="Times"/>
                <w:sz w:val="18"/>
                <w:szCs w:val="18"/>
              </w:rPr>
              <w:t>0-50]</w:t>
            </w:r>
            <w:r w:rsidRPr="00AD3737">
              <w:rPr>
                <w:rFonts w:ascii="Times" w:hAnsi="Times"/>
                <w:sz w:val="18"/>
                <w:szCs w:val="18"/>
              </w:rPr>
              <w:t>%</w:t>
            </w:r>
          </w:p>
        </w:tc>
        <w:tc>
          <w:tcPr>
            <w:tcW w:w="766"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sidRPr="00AD3737">
              <w:rPr>
                <w:rFonts w:ascii="Times" w:hAnsi="Times"/>
                <w:sz w:val="18"/>
                <w:szCs w:val="18"/>
              </w:rPr>
              <w:t>At least 3</w:t>
            </w:r>
          </w:p>
        </w:tc>
      </w:tr>
      <w:tr w:rsidR="00225426" w:rsidRPr="00AD3737" w:rsidTr="00225426">
        <w:trPr>
          <w:trHeight w:val="275"/>
        </w:trPr>
        <w:tc>
          <w:tcPr>
            <w:tcW w:w="443" w:type="pct"/>
            <w:vMerge/>
            <w:tcBorders>
              <w:top w:val="single" w:sz="2" w:space="0" w:color="auto"/>
              <w:left w:val="single" w:sz="2" w:space="0" w:color="auto"/>
              <w:bottom w:val="single" w:sz="1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p>
        </w:tc>
        <w:tc>
          <w:tcPr>
            <w:tcW w:w="792" w:type="pct"/>
            <w:vMerge/>
            <w:tcBorders>
              <w:top w:val="single" w:sz="2" w:space="0" w:color="auto"/>
              <w:left w:val="single" w:sz="2" w:space="0" w:color="auto"/>
              <w:bottom w:val="single" w:sz="1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p>
        </w:tc>
        <w:tc>
          <w:tcPr>
            <w:tcW w:w="529" w:type="pct"/>
            <w:vMerge/>
            <w:tcBorders>
              <w:top w:val="single" w:sz="2" w:space="0" w:color="auto"/>
              <w:left w:val="single" w:sz="2" w:space="0" w:color="auto"/>
              <w:bottom w:val="single" w:sz="1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p>
        </w:tc>
        <w:tc>
          <w:tcPr>
            <w:tcW w:w="440" w:type="pct"/>
            <w:tcBorders>
              <w:top w:val="single" w:sz="2" w:space="0" w:color="auto"/>
              <w:left w:val="single" w:sz="2" w:space="0" w:color="auto"/>
              <w:bottom w:val="single" w:sz="12" w:space="0" w:color="auto"/>
              <w:right w:val="single" w:sz="2" w:space="0" w:color="auto"/>
            </w:tcBorders>
            <w:vAlign w:val="center"/>
          </w:tcPr>
          <w:p w:rsidR="00225426" w:rsidRPr="00DF35F3" w:rsidRDefault="00225426" w:rsidP="002D7FBB">
            <w:pPr>
              <w:keepNext/>
              <w:spacing w:after="0"/>
              <w:jc w:val="left"/>
              <w:rPr>
                <w:rFonts w:ascii="Times" w:hAnsi="Times"/>
                <w:b/>
                <w:sz w:val="18"/>
              </w:rPr>
            </w:pPr>
            <w:r>
              <w:rPr>
                <w:rFonts w:ascii="Times" w:hAnsi="Times"/>
                <w:b/>
                <w:sz w:val="18"/>
              </w:rPr>
              <w:t>2015</w:t>
            </w:r>
          </w:p>
        </w:tc>
        <w:tc>
          <w:tcPr>
            <w:tcW w:w="706" w:type="pct"/>
            <w:tcBorders>
              <w:top w:val="single" w:sz="2" w:space="0" w:color="auto"/>
              <w:left w:val="single" w:sz="2" w:space="0" w:color="auto"/>
              <w:bottom w:val="single" w:sz="12" w:space="0" w:color="auto"/>
              <w:right w:val="single" w:sz="2" w:space="0" w:color="auto"/>
            </w:tcBorders>
          </w:tcPr>
          <w:p w:rsidR="00225426" w:rsidRPr="00AD3737" w:rsidRDefault="00225426" w:rsidP="002D7FBB">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619" w:type="pct"/>
            <w:tcBorders>
              <w:top w:val="single" w:sz="2" w:space="0" w:color="auto"/>
              <w:left w:val="single" w:sz="2" w:space="0" w:color="auto"/>
              <w:bottom w:val="single" w:sz="1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w:t>
            </w:r>
            <w:r w:rsidRPr="00AD3737">
              <w:rPr>
                <w:rFonts w:ascii="Times" w:hAnsi="Times"/>
                <w:sz w:val="18"/>
                <w:szCs w:val="18"/>
              </w:rPr>
              <w:t>4</w:t>
            </w:r>
            <w:r>
              <w:rPr>
                <w:rFonts w:ascii="Times" w:hAnsi="Times"/>
                <w:sz w:val="18"/>
                <w:szCs w:val="18"/>
              </w:rPr>
              <w:t>0-50]</w:t>
            </w:r>
            <w:r w:rsidRPr="00AD3737">
              <w:rPr>
                <w:rFonts w:ascii="Times" w:hAnsi="Times"/>
                <w:sz w:val="18"/>
                <w:szCs w:val="18"/>
              </w:rPr>
              <w:t>%</w:t>
            </w:r>
          </w:p>
        </w:tc>
        <w:tc>
          <w:tcPr>
            <w:tcW w:w="705" w:type="pct"/>
            <w:tcBorders>
              <w:top w:val="single" w:sz="2" w:space="0" w:color="auto"/>
              <w:left w:val="single" w:sz="2" w:space="0" w:color="auto"/>
              <w:bottom w:val="single" w:sz="1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w:t>
            </w:r>
            <w:r w:rsidRPr="00AD3737">
              <w:rPr>
                <w:rFonts w:ascii="Times" w:hAnsi="Times"/>
                <w:sz w:val="18"/>
                <w:szCs w:val="18"/>
              </w:rPr>
              <w:t>4</w:t>
            </w:r>
            <w:r>
              <w:rPr>
                <w:rFonts w:ascii="Times" w:hAnsi="Times"/>
                <w:sz w:val="18"/>
                <w:szCs w:val="18"/>
              </w:rPr>
              <w:t>0-50]</w:t>
            </w:r>
            <w:r w:rsidRPr="00AD3737">
              <w:rPr>
                <w:rFonts w:ascii="Times" w:hAnsi="Times"/>
                <w:sz w:val="18"/>
                <w:szCs w:val="18"/>
              </w:rPr>
              <w:t>%</w:t>
            </w:r>
          </w:p>
        </w:tc>
        <w:tc>
          <w:tcPr>
            <w:tcW w:w="766" w:type="pct"/>
            <w:tcBorders>
              <w:top w:val="single" w:sz="2" w:space="0" w:color="auto"/>
              <w:left w:val="single" w:sz="2" w:space="0" w:color="auto"/>
              <w:bottom w:val="single" w:sz="12" w:space="0" w:color="auto"/>
              <w:right w:val="single" w:sz="2" w:space="0" w:color="auto"/>
            </w:tcBorders>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At least 4</w:t>
            </w:r>
          </w:p>
        </w:tc>
      </w:tr>
      <w:tr w:rsidR="00225426" w:rsidRPr="00AD3737" w:rsidTr="00225426">
        <w:trPr>
          <w:trHeight w:val="205"/>
        </w:trPr>
        <w:tc>
          <w:tcPr>
            <w:tcW w:w="443" w:type="pct"/>
            <w:vMerge w:val="restart"/>
            <w:tcBorders>
              <w:top w:val="single" w:sz="12" w:space="0" w:color="auto"/>
            </w:tcBorders>
            <w:vAlign w:val="center"/>
          </w:tcPr>
          <w:p w:rsidR="00225426" w:rsidRPr="00AD3737" w:rsidRDefault="00225426" w:rsidP="002D7FBB">
            <w:pPr>
              <w:keepNext/>
              <w:spacing w:after="0"/>
              <w:jc w:val="left"/>
              <w:rPr>
                <w:rFonts w:ascii="Times" w:hAnsi="Times"/>
                <w:sz w:val="18"/>
                <w:szCs w:val="18"/>
              </w:rPr>
            </w:pPr>
            <w:r w:rsidRPr="00AD3737">
              <w:rPr>
                <w:rFonts w:ascii="Times" w:hAnsi="Times"/>
                <w:sz w:val="18"/>
                <w:szCs w:val="18"/>
              </w:rPr>
              <w:t>02A1</w:t>
            </w:r>
          </w:p>
        </w:tc>
        <w:tc>
          <w:tcPr>
            <w:tcW w:w="792" w:type="pct"/>
            <w:vMerge w:val="restart"/>
            <w:tcBorders>
              <w:top w:val="single" w:sz="12" w:space="0" w:color="auto"/>
            </w:tcBorders>
            <w:vAlign w:val="center"/>
          </w:tcPr>
          <w:p w:rsidR="00225426" w:rsidRPr="00AD3737" w:rsidRDefault="00225426" w:rsidP="002D7FBB">
            <w:pPr>
              <w:keepNext/>
              <w:spacing w:after="0"/>
              <w:jc w:val="left"/>
              <w:rPr>
                <w:rFonts w:ascii="Times" w:hAnsi="Times"/>
                <w:sz w:val="18"/>
                <w:szCs w:val="18"/>
              </w:rPr>
            </w:pPr>
            <w:r w:rsidRPr="00AD3737">
              <w:rPr>
                <w:rFonts w:ascii="Times" w:hAnsi="Times"/>
                <w:sz w:val="18"/>
                <w:szCs w:val="18"/>
              </w:rPr>
              <w:t>General Pain Relief (OTC, Adults)</w:t>
            </w:r>
          </w:p>
        </w:tc>
        <w:tc>
          <w:tcPr>
            <w:tcW w:w="529" w:type="pct"/>
            <w:vMerge w:val="restart"/>
            <w:tcBorders>
              <w:top w:val="single" w:sz="12" w:space="0" w:color="auto"/>
            </w:tcBorders>
            <w:vAlign w:val="center"/>
          </w:tcPr>
          <w:p w:rsidR="00225426" w:rsidRPr="00AD3737" w:rsidRDefault="00225426" w:rsidP="002D7FBB">
            <w:pPr>
              <w:keepNext/>
              <w:spacing w:after="0"/>
              <w:jc w:val="left"/>
              <w:rPr>
                <w:rFonts w:ascii="Times" w:hAnsi="Times"/>
                <w:sz w:val="18"/>
                <w:szCs w:val="18"/>
              </w:rPr>
            </w:pPr>
            <w:r w:rsidRPr="00AD3737">
              <w:rPr>
                <w:rFonts w:ascii="Times" w:hAnsi="Times"/>
                <w:sz w:val="18"/>
                <w:szCs w:val="18"/>
              </w:rPr>
              <w:t>Group 2</w:t>
            </w:r>
          </w:p>
        </w:tc>
        <w:tc>
          <w:tcPr>
            <w:tcW w:w="440" w:type="pct"/>
            <w:tcBorders>
              <w:top w:val="single" w:sz="12" w:space="0" w:color="auto"/>
            </w:tcBorders>
            <w:vAlign w:val="center"/>
          </w:tcPr>
          <w:p w:rsidR="00225426" w:rsidRPr="002D7FBB" w:rsidRDefault="00225426" w:rsidP="002D7FBB">
            <w:pPr>
              <w:keepNext/>
              <w:spacing w:after="0"/>
              <w:jc w:val="left"/>
              <w:rPr>
                <w:rFonts w:ascii="Times" w:hAnsi="Times"/>
                <w:b/>
                <w:sz w:val="18"/>
              </w:rPr>
            </w:pPr>
            <w:r w:rsidRPr="002D7FBB">
              <w:rPr>
                <w:rFonts w:ascii="Times" w:hAnsi="Times"/>
                <w:b/>
                <w:sz w:val="18"/>
              </w:rPr>
              <w:t>2017</w:t>
            </w:r>
          </w:p>
        </w:tc>
        <w:tc>
          <w:tcPr>
            <w:tcW w:w="706" w:type="pct"/>
            <w:tcBorders>
              <w:top w:val="single" w:sz="12" w:space="0" w:color="auto"/>
            </w:tcBorders>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619" w:type="pct"/>
            <w:tcBorders>
              <w:top w:val="single" w:sz="12" w:space="0" w:color="auto"/>
            </w:tcBorders>
            <w:vAlign w:val="center"/>
          </w:tcPr>
          <w:p w:rsidR="00225426" w:rsidRPr="00AD3737" w:rsidRDefault="00225426" w:rsidP="00225426">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[30-40]</w:t>
            </w:r>
            <w:r w:rsidRPr="00AD3737">
              <w:rPr>
                <w:rFonts w:ascii="Times" w:hAnsi="Times"/>
                <w:sz w:val="18"/>
                <w:szCs w:val="18"/>
              </w:rPr>
              <w:t>%</w:t>
            </w:r>
          </w:p>
        </w:tc>
        <w:tc>
          <w:tcPr>
            <w:tcW w:w="705" w:type="pct"/>
            <w:tcBorders>
              <w:top w:val="single" w:sz="12" w:space="0" w:color="auto"/>
            </w:tcBorders>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[30-40]</w:t>
            </w:r>
            <w:r w:rsidRPr="00AD3737">
              <w:rPr>
                <w:rFonts w:ascii="Times" w:hAnsi="Times"/>
                <w:sz w:val="18"/>
                <w:szCs w:val="18"/>
              </w:rPr>
              <w:t>%</w:t>
            </w:r>
          </w:p>
        </w:tc>
        <w:tc>
          <w:tcPr>
            <w:tcW w:w="766" w:type="pct"/>
            <w:tcBorders>
              <w:top w:val="single" w:sz="12" w:space="0" w:color="auto"/>
            </w:tcBorders>
            <w:vAlign w:val="center"/>
          </w:tcPr>
          <w:p w:rsidR="00225426" w:rsidRPr="00AD3737" w:rsidRDefault="00225426" w:rsidP="002D7FBB">
            <w:pPr>
              <w:keepNext/>
              <w:spacing w:after="0"/>
              <w:jc w:val="left"/>
              <w:rPr>
                <w:rFonts w:ascii="Times" w:hAnsi="Times"/>
                <w:sz w:val="18"/>
                <w:szCs w:val="18"/>
              </w:rPr>
            </w:pPr>
            <w:r w:rsidRPr="00AD3737">
              <w:rPr>
                <w:rFonts w:ascii="Times" w:hAnsi="Times"/>
                <w:sz w:val="18"/>
                <w:szCs w:val="18"/>
              </w:rPr>
              <w:t>At least 3</w:t>
            </w:r>
          </w:p>
        </w:tc>
      </w:tr>
      <w:tr w:rsidR="00225426" w:rsidRPr="00AD3737" w:rsidTr="00225426">
        <w:trPr>
          <w:trHeight w:val="205"/>
        </w:trPr>
        <w:tc>
          <w:tcPr>
            <w:tcW w:w="443" w:type="pct"/>
            <w:vMerge/>
            <w:vAlign w:val="center"/>
          </w:tcPr>
          <w:p w:rsidR="00225426" w:rsidRPr="00AD3737" w:rsidRDefault="00225426" w:rsidP="002D7FBB">
            <w:pPr>
              <w:keepNext/>
              <w:spacing w:after="0"/>
              <w:jc w:val="left"/>
              <w:rPr>
                <w:rFonts w:ascii="Times" w:hAnsi="Times"/>
                <w:sz w:val="18"/>
                <w:szCs w:val="18"/>
              </w:rPr>
            </w:pPr>
          </w:p>
        </w:tc>
        <w:tc>
          <w:tcPr>
            <w:tcW w:w="792" w:type="pct"/>
            <w:vMerge/>
            <w:vAlign w:val="center"/>
          </w:tcPr>
          <w:p w:rsidR="00225426" w:rsidRPr="00AD3737" w:rsidRDefault="00225426" w:rsidP="002D7FBB">
            <w:pPr>
              <w:keepNext/>
              <w:spacing w:after="0"/>
              <w:jc w:val="left"/>
              <w:rPr>
                <w:rFonts w:ascii="Times" w:hAnsi="Times"/>
                <w:sz w:val="18"/>
                <w:szCs w:val="18"/>
              </w:rPr>
            </w:pPr>
          </w:p>
        </w:tc>
        <w:tc>
          <w:tcPr>
            <w:tcW w:w="529" w:type="pct"/>
            <w:vMerge/>
            <w:vAlign w:val="center"/>
          </w:tcPr>
          <w:p w:rsidR="00225426" w:rsidRPr="00AD3737" w:rsidRDefault="00225426" w:rsidP="002D7FBB">
            <w:pPr>
              <w:keepNext/>
              <w:spacing w:after="0"/>
              <w:jc w:val="left"/>
              <w:rPr>
                <w:rFonts w:ascii="Times" w:hAnsi="Times"/>
                <w:sz w:val="18"/>
                <w:szCs w:val="18"/>
              </w:rPr>
            </w:pPr>
          </w:p>
        </w:tc>
        <w:tc>
          <w:tcPr>
            <w:tcW w:w="440" w:type="pct"/>
            <w:vAlign w:val="center"/>
          </w:tcPr>
          <w:p w:rsidR="00225426" w:rsidRPr="002D7FBB" w:rsidRDefault="00225426" w:rsidP="002D7FBB">
            <w:pPr>
              <w:keepNext/>
              <w:spacing w:after="0"/>
              <w:jc w:val="left"/>
              <w:rPr>
                <w:rFonts w:ascii="Times" w:hAnsi="Times"/>
                <w:b/>
                <w:sz w:val="18"/>
              </w:rPr>
            </w:pPr>
            <w:r>
              <w:rPr>
                <w:rFonts w:ascii="Times" w:hAnsi="Times"/>
                <w:b/>
                <w:sz w:val="18"/>
              </w:rPr>
              <w:t>2016</w:t>
            </w:r>
          </w:p>
        </w:tc>
        <w:tc>
          <w:tcPr>
            <w:tcW w:w="706" w:type="pct"/>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619" w:type="pct"/>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[30-40]</w:t>
            </w:r>
            <w:r w:rsidRPr="00AD3737">
              <w:rPr>
                <w:rFonts w:ascii="Times" w:hAnsi="Times"/>
                <w:sz w:val="18"/>
                <w:szCs w:val="18"/>
              </w:rPr>
              <w:t>%</w:t>
            </w:r>
          </w:p>
        </w:tc>
        <w:tc>
          <w:tcPr>
            <w:tcW w:w="705" w:type="pct"/>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[30-40]</w:t>
            </w:r>
            <w:r w:rsidRPr="00AD3737">
              <w:rPr>
                <w:rFonts w:ascii="Times" w:hAnsi="Times"/>
                <w:sz w:val="18"/>
                <w:szCs w:val="18"/>
              </w:rPr>
              <w:t>%</w:t>
            </w:r>
          </w:p>
        </w:tc>
        <w:tc>
          <w:tcPr>
            <w:tcW w:w="766" w:type="pct"/>
            <w:vAlign w:val="center"/>
          </w:tcPr>
          <w:p w:rsidR="00225426" w:rsidRPr="00AD3737" w:rsidRDefault="00225426" w:rsidP="000025E6">
            <w:pPr>
              <w:keepNext/>
              <w:spacing w:after="0"/>
              <w:jc w:val="left"/>
              <w:rPr>
                <w:rFonts w:ascii="Times" w:hAnsi="Times"/>
                <w:sz w:val="18"/>
                <w:szCs w:val="18"/>
              </w:rPr>
            </w:pPr>
            <w:r>
              <w:rPr>
                <w:rFonts w:ascii="Times" w:hAnsi="Times"/>
                <w:sz w:val="18"/>
                <w:szCs w:val="18"/>
              </w:rPr>
              <w:t>At least 4</w:t>
            </w:r>
          </w:p>
        </w:tc>
      </w:tr>
      <w:tr w:rsidR="00225426" w:rsidRPr="00AD3737" w:rsidTr="00225426">
        <w:trPr>
          <w:trHeight w:val="205"/>
        </w:trPr>
        <w:tc>
          <w:tcPr>
            <w:tcW w:w="443" w:type="pct"/>
            <w:vMerge/>
            <w:vAlign w:val="center"/>
          </w:tcPr>
          <w:p w:rsidR="00225426" w:rsidRPr="00AD3737" w:rsidRDefault="00225426" w:rsidP="002D7FBB">
            <w:pPr>
              <w:keepNext/>
              <w:spacing w:after="0"/>
              <w:jc w:val="left"/>
              <w:rPr>
                <w:rFonts w:ascii="Times" w:hAnsi="Times"/>
                <w:sz w:val="18"/>
                <w:szCs w:val="18"/>
              </w:rPr>
            </w:pPr>
          </w:p>
        </w:tc>
        <w:tc>
          <w:tcPr>
            <w:tcW w:w="792" w:type="pct"/>
            <w:vMerge/>
            <w:vAlign w:val="center"/>
          </w:tcPr>
          <w:p w:rsidR="00225426" w:rsidRPr="00AD3737" w:rsidRDefault="00225426" w:rsidP="002D7FBB">
            <w:pPr>
              <w:keepNext/>
              <w:spacing w:after="0"/>
              <w:jc w:val="left"/>
              <w:rPr>
                <w:rFonts w:ascii="Times" w:hAnsi="Times"/>
                <w:sz w:val="18"/>
                <w:szCs w:val="18"/>
              </w:rPr>
            </w:pPr>
          </w:p>
        </w:tc>
        <w:tc>
          <w:tcPr>
            <w:tcW w:w="529" w:type="pct"/>
            <w:vMerge/>
            <w:vAlign w:val="center"/>
          </w:tcPr>
          <w:p w:rsidR="00225426" w:rsidRPr="00AD3737" w:rsidRDefault="00225426" w:rsidP="002D7FBB">
            <w:pPr>
              <w:keepNext/>
              <w:spacing w:after="0"/>
              <w:jc w:val="left"/>
              <w:rPr>
                <w:rFonts w:ascii="Times" w:hAnsi="Times"/>
                <w:sz w:val="18"/>
                <w:szCs w:val="18"/>
              </w:rPr>
            </w:pPr>
          </w:p>
        </w:tc>
        <w:tc>
          <w:tcPr>
            <w:tcW w:w="440" w:type="pct"/>
            <w:vAlign w:val="center"/>
          </w:tcPr>
          <w:p w:rsidR="00225426" w:rsidRPr="002D7FBB" w:rsidRDefault="00225426" w:rsidP="002D7FBB">
            <w:pPr>
              <w:keepNext/>
              <w:spacing w:after="0"/>
              <w:jc w:val="left"/>
              <w:rPr>
                <w:rFonts w:ascii="Times" w:hAnsi="Times"/>
                <w:b/>
                <w:sz w:val="18"/>
              </w:rPr>
            </w:pPr>
            <w:r>
              <w:rPr>
                <w:rFonts w:ascii="Times" w:hAnsi="Times"/>
                <w:b/>
                <w:sz w:val="18"/>
              </w:rPr>
              <w:t>2015</w:t>
            </w:r>
          </w:p>
        </w:tc>
        <w:tc>
          <w:tcPr>
            <w:tcW w:w="706" w:type="pct"/>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619" w:type="pct"/>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[30-40]</w:t>
            </w:r>
            <w:r w:rsidRPr="00AD3737">
              <w:rPr>
                <w:rFonts w:ascii="Times" w:hAnsi="Times"/>
                <w:sz w:val="18"/>
                <w:szCs w:val="18"/>
              </w:rPr>
              <w:t>%</w:t>
            </w:r>
          </w:p>
        </w:tc>
        <w:tc>
          <w:tcPr>
            <w:tcW w:w="705" w:type="pct"/>
            <w:vAlign w:val="center"/>
          </w:tcPr>
          <w:p w:rsidR="00225426" w:rsidRPr="00AD3737" w:rsidRDefault="00225426" w:rsidP="002D7FBB">
            <w:pPr>
              <w:keepNext/>
              <w:spacing w:after="0"/>
              <w:jc w:val="left"/>
              <w:rPr>
                <w:rFonts w:ascii="Times" w:hAnsi="Times"/>
                <w:sz w:val="18"/>
                <w:szCs w:val="18"/>
              </w:rPr>
            </w:pPr>
            <w:r>
              <w:rPr>
                <w:rFonts w:ascii="Times" w:hAnsi="Times"/>
                <w:sz w:val="18"/>
                <w:szCs w:val="18"/>
              </w:rPr>
              <w:t>[20-30]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[30-40]</w:t>
            </w:r>
            <w:r w:rsidRPr="00AD3737">
              <w:rPr>
                <w:rFonts w:ascii="Times" w:hAnsi="Times"/>
                <w:sz w:val="18"/>
                <w:szCs w:val="18"/>
              </w:rPr>
              <w:t>%</w:t>
            </w:r>
          </w:p>
        </w:tc>
        <w:tc>
          <w:tcPr>
            <w:tcW w:w="766" w:type="pct"/>
            <w:vAlign w:val="center"/>
          </w:tcPr>
          <w:p w:rsidR="00225426" w:rsidRPr="00AD3737" w:rsidRDefault="00225426" w:rsidP="000025E6">
            <w:pPr>
              <w:keepNext/>
              <w:spacing w:after="0"/>
              <w:jc w:val="left"/>
              <w:rPr>
                <w:rFonts w:ascii="Times" w:hAnsi="Times"/>
                <w:sz w:val="18"/>
                <w:szCs w:val="18"/>
              </w:rPr>
            </w:pPr>
            <w:r w:rsidRPr="00BE4E50">
              <w:rPr>
                <w:rFonts w:ascii="Times" w:hAnsi="Times"/>
                <w:sz w:val="18"/>
                <w:szCs w:val="18"/>
              </w:rPr>
              <w:t>At least 3</w:t>
            </w:r>
          </w:p>
        </w:tc>
      </w:tr>
    </w:tbl>
    <w:p w:rsidR="00451FBF" w:rsidRPr="003C0806" w:rsidRDefault="00451FBF" w:rsidP="00AD3737">
      <w:pPr>
        <w:pStyle w:val="ListNumber"/>
        <w:numPr>
          <w:ilvl w:val="0"/>
          <w:numId w:val="0"/>
        </w:numPr>
        <w:spacing w:after="0"/>
        <w:ind w:left="709"/>
        <w:rPr>
          <w:sz w:val="22"/>
          <w:szCs w:val="22"/>
        </w:rPr>
      </w:pPr>
    </w:p>
    <w:p w:rsidR="00451FBF" w:rsidRDefault="0032473C" w:rsidP="006F61CB">
      <w:pPr>
        <w:pStyle w:val="ListNumber"/>
      </w:pPr>
      <w:r>
        <w:t>For general pain relief products sold OTC for adults (OTC 3 class 02A1</w:t>
      </w:r>
      <w:r w:rsidR="00924CEB">
        <w:t xml:space="preserve"> only</w:t>
      </w:r>
      <w:r>
        <w:t>), t</w:t>
      </w:r>
      <w:r w:rsidR="00D10613">
        <w:t xml:space="preserve">he Parties' combined market share is </w:t>
      </w:r>
      <w:r w:rsidR="00225426">
        <w:t>[20-30]</w:t>
      </w:r>
      <w:r w:rsidR="00D10613">
        <w:t xml:space="preserve">% in value and </w:t>
      </w:r>
      <w:r w:rsidR="00225426">
        <w:t>[30-40]</w:t>
      </w:r>
      <w:r w:rsidR="00D10613">
        <w:t>% in volume</w:t>
      </w:r>
      <w:r w:rsidR="00C8164D">
        <w:t xml:space="preserve"> in 2017</w:t>
      </w:r>
      <w:r w:rsidR="00D10613">
        <w:t xml:space="preserve">. </w:t>
      </w:r>
      <w:r w:rsidR="00451FBF">
        <w:t xml:space="preserve">If </w:t>
      </w:r>
      <w:r w:rsidR="00035CD7">
        <w:t xml:space="preserve">OTC </w:t>
      </w:r>
      <w:r w:rsidR="00451FBF">
        <w:t xml:space="preserve">products for both adults and children are included in the same market, the Parties' combined market share is </w:t>
      </w:r>
      <w:r w:rsidR="00225426">
        <w:t>[</w:t>
      </w:r>
      <w:r w:rsidR="00451FBF">
        <w:t>30</w:t>
      </w:r>
      <w:r w:rsidR="00225426">
        <w:t>-40]</w:t>
      </w:r>
      <w:r w:rsidR="00451FBF">
        <w:t xml:space="preserve">% in value and </w:t>
      </w:r>
      <w:r w:rsidR="00225426">
        <w:t>[40-50]</w:t>
      </w:r>
      <w:r w:rsidR="00451FBF">
        <w:t>% in volume in 2017</w:t>
      </w:r>
      <w:r w:rsidR="00035CD7">
        <w:t xml:space="preserve"> (ATC4 class </w:t>
      </w:r>
      <w:r w:rsidR="00924CEB">
        <w:t xml:space="preserve">N2B2 or combined </w:t>
      </w:r>
      <w:r w:rsidR="00035CD7">
        <w:t>OTC3 classes 02A1 and 02A2)</w:t>
      </w:r>
      <w:r w:rsidR="00451FBF">
        <w:t>.</w:t>
      </w:r>
      <w:r w:rsidR="00035CD7">
        <w:t xml:space="preserve"> </w:t>
      </w:r>
    </w:p>
    <w:p w:rsidR="00D10613" w:rsidRDefault="0032473C" w:rsidP="006F61CB">
      <w:pPr>
        <w:pStyle w:val="ListNumber"/>
      </w:pPr>
      <w:r>
        <w:t>At both levels</w:t>
      </w:r>
      <w:r w:rsidR="002D7C21">
        <w:t>, t</w:t>
      </w:r>
      <w:r w:rsidR="00D10613">
        <w:t xml:space="preserve">he increment brought by the </w:t>
      </w:r>
      <w:r w:rsidR="00D10613" w:rsidRPr="005B1C96">
        <w:t xml:space="preserve">Transaction is minimal, less than </w:t>
      </w:r>
      <w:r w:rsidR="00225426">
        <w:t>[0-5]</w:t>
      </w:r>
      <w:r w:rsidR="00D10613" w:rsidRPr="005B1C96">
        <w:t>%</w:t>
      </w:r>
      <w:r w:rsidR="00233DC9">
        <w:t xml:space="preserve"> over the last three years</w:t>
      </w:r>
      <w:r w:rsidR="005B1C96">
        <w:t xml:space="preserve">. </w:t>
      </w:r>
      <w:r w:rsidR="005B1C96" w:rsidRPr="00973614">
        <w:t xml:space="preserve">The HHI </w:t>
      </w:r>
      <w:r w:rsidR="00973614" w:rsidRPr="004B2EAB">
        <w:t xml:space="preserve">delta </w:t>
      </w:r>
      <w:r w:rsidR="005B1C96" w:rsidRPr="00973614">
        <w:t>is therefore below 150</w:t>
      </w:r>
      <w:r w:rsidR="00E21088">
        <w:t>, and</w:t>
      </w:r>
      <w:r w:rsidR="00D10613" w:rsidRPr="005B1C96">
        <w:t xml:space="preserve"> at least </w:t>
      </w:r>
      <w:r w:rsidR="002D7C21">
        <w:t>3</w:t>
      </w:r>
      <w:r w:rsidR="00D10613" w:rsidRPr="005B1C96">
        <w:t xml:space="preserve"> competitors</w:t>
      </w:r>
      <w:r w:rsidR="00580991">
        <w:t xml:space="preserve"> </w:t>
      </w:r>
      <w:r w:rsidR="00373C0F" w:rsidRPr="00502FD8">
        <w:t>will remain on the market post-Transaction</w:t>
      </w:r>
      <w:r w:rsidR="00373C0F">
        <w:t xml:space="preserve">: </w:t>
      </w:r>
      <w:r w:rsidR="00580991">
        <w:t>Sanofi</w:t>
      </w:r>
      <w:r w:rsidR="0002104E">
        <w:t xml:space="preserve"> with its products Thomaprodol and Thomapyrin (</w:t>
      </w:r>
      <w:r w:rsidR="00225426">
        <w:t>[</w:t>
      </w:r>
      <w:r w:rsidR="0002104E">
        <w:t>2</w:t>
      </w:r>
      <w:r w:rsidR="00225426">
        <w:t>0-30]</w:t>
      </w:r>
      <w:r w:rsidR="0002104E">
        <w:t xml:space="preserve">% in value and </w:t>
      </w:r>
      <w:r w:rsidR="00225426">
        <w:t>[</w:t>
      </w:r>
      <w:r w:rsidR="0002104E">
        <w:t>2</w:t>
      </w:r>
      <w:r w:rsidR="00225426">
        <w:t>0-30]</w:t>
      </w:r>
      <w:r w:rsidR="0002104E">
        <w:t>% in volume at 02A1 level)</w:t>
      </w:r>
      <w:r w:rsidR="00580991">
        <w:t>, Takeda</w:t>
      </w:r>
      <w:r w:rsidR="0002104E">
        <w:t xml:space="preserve"> with its products Gewadal-Pamol and Ibumetin</w:t>
      </w:r>
      <w:r w:rsidR="00580991">
        <w:t xml:space="preserve"> </w:t>
      </w:r>
      <w:r w:rsidR="0002104E">
        <w:t>(</w:t>
      </w:r>
      <w:r w:rsidR="00225426">
        <w:t xml:space="preserve">[20-30]%  </w:t>
      </w:r>
      <w:r w:rsidR="0002104E">
        <w:t xml:space="preserve">in value </w:t>
      </w:r>
      <w:r w:rsidR="00580991">
        <w:t xml:space="preserve">and </w:t>
      </w:r>
      <w:r w:rsidR="00225426">
        <w:t>[10-20]</w:t>
      </w:r>
      <w:r w:rsidR="0002104E">
        <w:t xml:space="preserve">% in volume at 02A1 level) </w:t>
      </w:r>
      <w:r w:rsidR="00580991">
        <w:t>Bayer</w:t>
      </w:r>
      <w:r w:rsidR="0002104E">
        <w:t xml:space="preserve"> with its products Aspirin, Aspirin Akut, Aspirin Direkt and Aspirin Express</w:t>
      </w:r>
      <w:r w:rsidR="00D10613" w:rsidRPr="005B1C96">
        <w:t xml:space="preserve"> </w:t>
      </w:r>
      <w:r w:rsidR="0002104E">
        <w:t>(</w:t>
      </w:r>
      <w:r w:rsidR="00225426">
        <w:t>[5-10]</w:t>
      </w:r>
      <w:r w:rsidR="0002104E">
        <w:t xml:space="preserve">% in value and </w:t>
      </w:r>
      <w:r w:rsidR="00225426">
        <w:t>[5-10]</w:t>
      </w:r>
      <w:r w:rsidR="0002104E">
        <w:t>% in volume at 02A1 level)</w:t>
      </w:r>
      <w:r w:rsidR="00D10613" w:rsidRPr="00502FD8">
        <w:t>.</w:t>
      </w:r>
    </w:p>
    <w:p w:rsidR="005E476E" w:rsidRPr="00546F00" w:rsidRDefault="005E476E" w:rsidP="005E476E">
      <w:pPr>
        <w:pStyle w:val="ListNumber"/>
        <w:rPr>
          <w:rFonts w:ascii="Times" w:eastAsia="Calibri" w:hAnsi="Times"/>
          <w:szCs w:val="24"/>
          <w:lang w:val="en-US"/>
        </w:rPr>
      </w:pPr>
      <w:r>
        <w:t>Finally,</w:t>
      </w:r>
      <w:r w:rsidRPr="005B1C96">
        <w:t xml:space="preserve"> </w:t>
      </w:r>
      <w:r>
        <w:t xml:space="preserve">the market investigation did not reveal any </w:t>
      </w:r>
      <w:r>
        <w:rPr>
          <w:rFonts w:eastAsia="Calibri"/>
          <w:szCs w:val="24"/>
        </w:rPr>
        <w:t>competition concerns in</w:t>
      </w:r>
      <w:r w:rsidRPr="00546F00" w:rsidDel="00A2241C">
        <w:rPr>
          <w:rFonts w:ascii="Times" w:eastAsia="Calibri" w:hAnsi="Times"/>
          <w:szCs w:val="24"/>
        </w:rPr>
        <w:t xml:space="preserve"> </w:t>
      </w:r>
      <w:r>
        <w:rPr>
          <w:rFonts w:ascii="Times" w:eastAsia="Calibri" w:hAnsi="Times"/>
          <w:szCs w:val="24"/>
        </w:rPr>
        <w:t xml:space="preserve">relation to </w:t>
      </w:r>
      <w:r w:rsidRPr="001B2085">
        <w:t>pain relief products in Austr</w:t>
      </w:r>
      <w:r>
        <w:t>ia.</w:t>
      </w:r>
    </w:p>
    <w:p w:rsidR="005B1C96" w:rsidRDefault="00814F0F" w:rsidP="006F61CB">
      <w:pPr>
        <w:pStyle w:val="ListNumber"/>
      </w:pPr>
      <w:r w:rsidRPr="00546F00">
        <w:rPr>
          <w:rFonts w:ascii="Times" w:hAnsi="Times"/>
          <w:szCs w:val="24"/>
        </w:rPr>
        <w:t xml:space="preserve">In view of the above, the Commission concludes that </w:t>
      </w:r>
      <w:r>
        <w:rPr>
          <w:rFonts w:ascii="Times" w:hAnsi="Times"/>
          <w:szCs w:val="24"/>
        </w:rPr>
        <w:t xml:space="preserve">the Transaction does not raise serious doubts as to its compatibility with the internal market regarding </w:t>
      </w:r>
      <w:r w:rsidR="00BB0B96">
        <w:t>general pain relief</w:t>
      </w:r>
      <w:r w:rsidR="00332DAC">
        <w:t xml:space="preserve"> products</w:t>
      </w:r>
      <w:r w:rsidR="00BB0B96">
        <w:t xml:space="preserve"> in Austria</w:t>
      </w:r>
      <w:r w:rsidR="005B1C96" w:rsidRPr="00C8164D">
        <w:t>.</w:t>
      </w:r>
    </w:p>
    <w:p w:rsidR="00285B8A" w:rsidRPr="00AD3737" w:rsidRDefault="00285B8A" w:rsidP="004F4BE3">
      <w:pPr>
        <w:pStyle w:val="Text4"/>
        <w:keepNext/>
        <w:ind w:left="709"/>
        <w:rPr>
          <w:i/>
        </w:rPr>
      </w:pPr>
      <w:bookmarkStart w:id="72" w:name="_Toc517444573"/>
      <w:bookmarkStart w:id="73" w:name="_Ref517681196"/>
      <w:r w:rsidRPr="00AD3737">
        <w:rPr>
          <w:i/>
        </w:rPr>
        <w:lastRenderedPageBreak/>
        <w:t>Hungary</w:t>
      </w:r>
    </w:p>
    <w:p w:rsidR="00285B8A" w:rsidRPr="00420413" w:rsidRDefault="00285B8A" w:rsidP="004F4BE3">
      <w:pPr>
        <w:pStyle w:val="ListNumber"/>
        <w:keepNext/>
        <w:rPr>
          <w:rFonts w:eastAsia="Calibri"/>
          <w:i/>
          <w:lang w:val="en-US"/>
        </w:rPr>
      </w:pPr>
      <w:r w:rsidRPr="009911D5">
        <w:rPr>
          <w:rFonts w:eastAsia="Calibri"/>
          <w:lang w:val="en-US"/>
        </w:rPr>
        <w:t xml:space="preserve">The Transaction does not give rise to affected markets in general pain relief products in Hungary, </w:t>
      </w:r>
      <w:r w:rsidRPr="004A3709">
        <w:rPr>
          <w:rFonts w:eastAsia="Calibri"/>
          <w:lang w:val="en-US"/>
        </w:rPr>
        <w:t>if the market were defined at the level of ATC 3 class (N2B) or ATC 4 class (N2B2) or OTC 3 class</w:t>
      </w:r>
      <w:r w:rsidR="00FF4418">
        <w:rPr>
          <w:rFonts w:eastAsia="Calibri"/>
          <w:lang w:val="en-US"/>
        </w:rPr>
        <w:t>es</w:t>
      </w:r>
      <w:r w:rsidRPr="004A3709">
        <w:rPr>
          <w:rFonts w:eastAsia="Calibri"/>
          <w:lang w:val="en-US"/>
        </w:rPr>
        <w:t xml:space="preserve"> (</w:t>
      </w:r>
      <w:r w:rsidR="00FF4418">
        <w:rPr>
          <w:rFonts w:eastAsia="Calibri"/>
          <w:lang w:val="en-US"/>
        </w:rPr>
        <w:t xml:space="preserve">02A1 and </w:t>
      </w:r>
      <w:r w:rsidRPr="004A3709">
        <w:rPr>
          <w:rFonts w:eastAsia="Calibri"/>
          <w:lang w:val="en-US"/>
        </w:rPr>
        <w:t xml:space="preserve">02A2).  </w:t>
      </w:r>
      <w:r w:rsidRPr="009911D5">
        <w:rPr>
          <w:rFonts w:eastAsia="Calibri"/>
          <w:lang w:val="en-US"/>
        </w:rPr>
        <w:t>The Transaction gives rise to a Group</w:t>
      </w:r>
      <w:r>
        <w:rPr>
          <w:rFonts w:eastAsia="Calibri"/>
          <w:lang w:val="en-US"/>
        </w:rPr>
        <w:t xml:space="preserve"> </w:t>
      </w:r>
      <w:r w:rsidRPr="009911D5">
        <w:rPr>
          <w:rFonts w:eastAsia="Calibri"/>
          <w:lang w:val="en-US"/>
        </w:rPr>
        <w:t xml:space="preserve">2 market </w:t>
      </w:r>
      <w:r w:rsidRPr="009911D5">
        <w:rPr>
          <w:rFonts w:eastAsia="Calibri"/>
          <w:szCs w:val="24"/>
          <w:lang w:val="en-US"/>
        </w:rPr>
        <w:t xml:space="preserve">only </w:t>
      </w:r>
      <w:r w:rsidRPr="009911D5">
        <w:rPr>
          <w:rFonts w:eastAsia="Calibri"/>
          <w:lang w:val="en-US"/>
        </w:rPr>
        <w:t xml:space="preserve">for </w:t>
      </w:r>
      <w:r w:rsidRPr="00545C3A">
        <w:rPr>
          <w:rFonts w:eastAsia="Calibri"/>
          <w:i/>
          <w:lang w:val="en-US"/>
        </w:rPr>
        <w:t>paracetamol</w:t>
      </w:r>
      <w:r>
        <w:rPr>
          <w:rFonts w:eastAsia="Calibri"/>
          <w:lang w:val="en-US"/>
        </w:rPr>
        <w:t>-based general pain relief products</w:t>
      </w:r>
      <w:r w:rsidRPr="009911D5">
        <w:rPr>
          <w:rFonts w:eastAsia="Calibri"/>
          <w:lang w:val="en-US"/>
        </w:rPr>
        <w:t xml:space="preserve"> in Hungary </w:t>
      </w:r>
      <w:r>
        <w:rPr>
          <w:rFonts w:eastAsia="Calibri"/>
          <w:lang w:val="en-US"/>
        </w:rPr>
        <w:t>(based on market shares in volume)</w:t>
      </w:r>
      <w:r w:rsidRPr="009911D5">
        <w:rPr>
          <w:rFonts w:eastAsia="Calibri"/>
          <w:lang w:val="en-US"/>
        </w:rPr>
        <w:t>.</w:t>
      </w:r>
      <w:r w:rsidRPr="004B2EAB" w:rsidDel="007E50B6">
        <w:rPr>
          <w:rStyle w:val="FootnoteReference"/>
          <w:rFonts w:eastAsia="Calibri"/>
          <w:lang w:val="en-US"/>
        </w:rPr>
        <w:t xml:space="preserve"> </w:t>
      </w:r>
    </w:p>
    <w:p w:rsidR="00285B8A" w:rsidRPr="00420413" w:rsidRDefault="00285B8A" w:rsidP="00285B8A">
      <w:pPr>
        <w:pStyle w:val="ListNumber"/>
        <w:rPr>
          <w:rFonts w:eastAsia="Calibri"/>
          <w:i/>
          <w:lang w:val="en-US"/>
        </w:rPr>
      </w:pPr>
      <w:r>
        <w:rPr>
          <w:rFonts w:eastAsia="Calibri"/>
          <w:lang w:val="en-US"/>
        </w:rPr>
        <w:t xml:space="preserve">The table below presents the Parties' market shares for </w:t>
      </w:r>
      <w:r w:rsidRPr="00232D78">
        <w:rPr>
          <w:i/>
        </w:rPr>
        <w:t>paracetamol</w:t>
      </w:r>
      <w:r>
        <w:t xml:space="preserve"> based products in Hungary in </w:t>
      </w:r>
      <w:r w:rsidR="004C6514">
        <w:t>2015-</w:t>
      </w:r>
      <w:r>
        <w:t>2017.</w:t>
      </w:r>
    </w:p>
    <w:tbl>
      <w:tblPr>
        <w:tblStyle w:val="TableGrid"/>
        <w:tblW w:w="5000" w:type="pct"/>
        <w:tblLook w:val="04A0" w:firstRow="1" w:lastRow="0" w:firstColumn="1" w:lastColumn="0" w:noHBand="0" w:noVBand="1"/>
      </w:tblPr>
      <w:tblGrid>
        <w:gridCol w:w="1641"/>
        <w:gridCol w:w="1102"/>
        <w:gridCol w:w="829"/>
        <w:gridCol w:w="1330"/>
        <w:gridCol w:w="1193"/>
        <w:gridCol w:w="1131"/>
        <w:gridCol w:w="1608"/>
      </w:tblGrid>
      <w:tr w:rsidR="005E30C3" w:rsidRPr="00AD3737" w:rsidTr="00225426">
        <w:trPr>
          <w:tblHeader/>
        </w:trPr>
        <w:tc>
          <w:tcPr>
            <w:tcW w:w="929" w:type="pct"/>
            <w:vMerge w:val="restart"/>
            <w:shd w:val="clear" w:color="auto" w:fill="D9D9D9" w:themeFill="background1" w:themeFillShade="D9"/>
            <w:vAlign w:val="center"/>
          </w:tcPr>
          <w:p w:rsidR="005E30C3" w:rsidRPr="00AD3737" w:rsidRDefault="005E30C3" w:rsidP="0076503C">
            <w:pPr>
              <w:keepNext/>
              <w:snapToGrid w:val="0"/>
              <w:spacing w:after="0"/>
              <w:contextualSpacing/>
              <w:jc w:val="center"/>
              <w:rPr>
                <w:rFonts w:ascii="Times" w:hAnsi="Times"/>
                <w:b/>
                <w:sz w:val="18"/>
                <w:szCs w:val="18"/>
              </w:rPr>
            </w:pPr>
            <w:r w:rsidRPr="00AD3737">
              <w:rPr>
                <w:rFonts w:ascii="Times" w:hAnsi="Times"/>
                <w:b/>
                <w:sz w:val="18"/>
                <w:szCs w:val="18"/>
              </w:rPr>
              <w:t>Category Description</w:t>
            </w:r>
          </w:p>
        </w:tc>
        <w:tc>
          <w:tcPr>
            <w:tcW w:w="624" w:type="pct"/>
            <w:vMerge w:val="restart"/>
            <w:shd w:val="clear" w:color="auto" w:fill="D9D9D9" w:themeFill="background1" w:themeFillShade="D9"/>
            <w:vAlign w:val="center"/>
          </w:tcPr>
          <w:p w:rsidR="005E30C3" w:rsidRPr="00AD3737" w:rsidRDefault="005E30C3" w:rsidP="0076503C">
            <w:pPr>
              <w:keepNext/>
              <w:snapToGrid w:val="0"/>
              <w:spacing w:after="0"/>
              <w:contextualSpacing/>
              <w:jc w:val="center"/>
              <w:rPr>
                <w:rFonts w:ascii="Times" w:hAnsi="Times"/>
                <w:b/>
                <w:sz w:val="18"/>
                <w:szCs w:val="18"/>
              </w:rPr>
            </w:pPr>
            <w:r w:rsidRPr="00AD3737">
              <w:rPr>
                <w:rFonts w:ascii="Times" w:hAnsi="Times"/>
                <w:b/>
                <w:sz w:val="18"/>
                <w:szCs w:val="18"/>
              </w:rPr>
              <w:t>Market Group</w:t>
            </w:r>
          </w:p>
        </w:tc>
        <w:tc>
          <w:tcPr>
            <w:tcW w:w="469" w:type="pct"/>
            <w:vMerge w:val="restart"/>
            <w:shd w:val="clear" w:color="auto" w:fill="D9D9D9" w:themeFill="background1" w:themeFillShade="D9"/>
          </w:tcPr>
          <w:p w:rsidR="005E30C3" w:rsidRPr="00AD3737" w:rsidRDefault="005E30C3" w:rsidP="0076503C">
            <w:pPr>
              <w:keepNext/>
              <w:snapToGrid w:val="0"/>
              <w:spacing w:after="0"/>
              <w:contextualSpacing/>
              <w:jc w:val="center"/>
              <w:rPr>
                <w:rFonts w:ascii="Times" w:hAnsi="Times"/>
                <w:b/>
                <w:sz w:val="18"/>
                <w:szCs w:val="18"/>
              </w:rPr>
            </w:pPr>
          </w:p>
          <w:p w:rsidR="005E30C3" w:rsidRPr="00AD3737" w:rsidRDefault="005E30C3" w:rsidP="0076503C">
            <w:pPr>
              <w:keepNext/>
              <w:snapToGrid w:val="0"/>
              <w:spacing w:after="0"/>
              <w:contextualSpacing/>
              <w:jc w:val="center"/>
              <w:rPr>
                <w:rFonts w:ascii="Times" w:hAnsi="Times"/>
                <w:b/>
                <w:sz w:val="18"/>
                <w:szCs w:val="18"/>
              </w:rPr>
            </w:pPr>
            <w:r>
              <w:rPr>
                <w:rFonts w:ascii="Times" w:hAnsi="Times"/>
                <w:b/>
                <w:sz w:val="18"/>
                <w:szCs w:val="18"/>
              </w:rPr>
              <w:t>Year</w:t>
            </w:r>
          </w:p>
        </w:tc>
        <w:tc>
          <w:tcPr>
            <w:tcW w:w="2068" w:type="pct"/>
            <w:gridSpan w:val="3"/>
            <w:shd w:val="clear" w:color="auto" w:fill="D9D9D9" w:themeFill="background1" w:themeFillShade="D9"/>
            <w:vAlign w:val="center"/>
          </w:tcPr>
          <w:p w:rsidR="005E30C3" w:rsidRPr="00AD3737" w:rsidRDefault="005E30C3" w:rsidP="0076503C">
            <w:pPr>
              <w:keepNext/>
              <w:snapToGrid w:val="0"/>
              <w:spacing w:after="0"/>
              <w:contextualSpacing/>
              <w:jc w:val="center"/>
              <w:rPr>
                <w:rFonts w:ascii="Times" w:hAnsi="Times"/>
                <w:b/>
                <w:sz w:val="18"/>
                <w:szCs w:val="18"/>
              </w:rPr>
            </w:pPr>
            <w:r w:rsidRPr="00AD3737">
              <w:rPr>
                <w:rFonts w:ascii="Times" w:hAnsi="Times"/>
                <w:b/>
                <w:sz w:val="18"/>
                <w:szCs w:val="18"/>
              </w:rPr>
              <w:t>Market Shares (Value/Volume)</w:t>
            </w:r>
          </w:p>
        </w:tc>
        <w:tc>
          <w:tcPr>
            <w:tcW w:w="910" w:type="pct"/>
            <w:vMerge w:val="restart"/>
            <w:shd w:val="clear" w:color="auto" w:fill="D9D9D9" w:themeFill="background1" w:themeFillShade="D9"/>
            <w:vAlign w:val="center"/>
          </w:tcPr>
          <w:p w:rsidR="005E30C3" w:rsidRPr="00AD3737" w:rsidRDefault="005E30C3" w:rsidP="0076503C">
            <w:pPr>
              <w:keepNext/>
              <w:snapToGrid w:val="0"/>
              <w:spacing w:after="0"/>
              <w:contextualSpacing/>
              <w:jc w:val="center"/>
              <w:rPr>
                <w:rFonts w:ascii="Times" w:hAnsi="Times"/>
                <w:b/>
                <w:sz w:val="18"/>
                <w:szCs w:val="18"/>
              </w:rPr>
            </w:pPr>
            <w:r w:rsidRPr="00AD3737">
              <w:rPr>
                <w:rFonts w:ascii="Times" w:hAnsi="Times"/>
                <w:b/>
                <w:sz w:val="18"/>
                <w:szCs w:val="18"/>
              </w:rPr>
              <w:t>Number of Competitors &gt; 5%</w:t>
            </w:r>
          </w:p>
        </w:tc>
      </w:tr>
      <w:tr w:rsidR="005E30C3" w:rsidRPr="00AD3737" w:rsidTr="00225426">
        <w:trPr>
          <w:tblHeader/>
        </w:trPr>
        <w:tc>
          <w:tcPr>
            <w:tcW w:w="929" w:type="pct"/>
            <w:vMerge/>
            <w:tcBorders>
              <w:bottom w:val="single" w:sz="2" w:space="0" w:color="auto"/>
            </w:tcBorders>
            <w:shd w:val="clear" w:color="auto" w:fill="D9D9D9" w:themeFill="background1" w:themeFillShade="D9"/>
          </w:tcPr>
          <w:p w:rsidR="005E30C3" w:rsidRPr="00AD3737" w:rsidRDefault="005E30C3" w:rsidP="0076503C">
            <w:pPr>
              <w:keepNext/>
              <w:snapToGrid w:val="0"/>
              <w:spacing w:after="0"/>
              <w:contextualSpacing/>
              <w:jc w:val="center"/>
              <w:rPr>
                <w:rFonts w:ascii="Times" w:hAnsi="Times"/>
                <w:b/>
                <w:sz w:val="18"/>
                <w:szCs w:val="18"/>
              </w:rPr>
            </w:pPr>
          </w:p>
        </w:tc>
        <w:tc>
          <w:tcPr>
            <w:tcW w:w="624" w:type="pct"/>
            <w:vMerge/>
            <w:tcBorders>
              <w:bottom w:val="single" w:sz="2" w:space="0" w:color="auto"/>
            </w:tcBorders>
            <w:shd w:val="clear" w:color="auto" w:fill="D9D9D9" w:themeFill="background1" w:themeFillShade="D9"/>
            <w:vAlign w:val="center"/>
          </w:tcPr>
          <w:p w:rsidR="005E30C3" w:rsidRPr="00AD3737" w:rsidRDefault="005E30C3" w:rsidP="0076503C">
            <w:pPr>
              <w:keepNext/>
              <w:snapToGrid w:val="0"/>
              <w:spacing w:after="0"/>
              <w:contextualSpacing/>
              <w:jc w:val="center"/>
              <w:rPr>
                <w:rFonts w:ascii="Times" w:hAnsi="Times"/>
                <w:b/>
                <w:sz w:val="18"/>
                <w:szCs w:val="18"/>
              </w:rPr>
            </w:pPr>
          </w:p>
        </w:tc>
        <w:tc>
          <w:tcPr>
            <w:tcW w:w="469" w:type="pct"/>
            <w:vMerge/>
            <w:tcBorders>
              <w:bottom w:val="single" w:sz="2" w:space="0" w:color="auto"/>
            </w:tcBorders>
            <w:shd w:val="clear" w:color="auto" w:fill="D9D9D9" w:themeFill="background1" w:themeFillShade="D9"/>
          </w:tcPr>
          <w:p w:rsidR="005E30C3" w:rsidRPr="00AD3737" w:rsidRDefault="005E30C3" w:rsidP="0076503C">
            <w:pPr>
              <w:keepNext/>
              <w:snapToGrid w:val="0"/>
              <w:spacing w:after="0"/>
              <w:contextualSpacing/>
              <w:jc w:val="center"/>
              <w:rPr>
                <w:rFonts w:ascii="Times" w:hAnsi="Times"/>
                <w:b/>
                <w:sz w:val="18"/>
                <w:szCs w:val="18"/>
              </w:rPr>
            </w:pPr>
          </w:p>
        </w:tc>
        <w:tc>
          <w:tcPr>
            <w:tcW w:w="753" w:type="pct"/>
            <w:tcBorders>
              <w:bottom w:val="single" w:sz="2" w:space="0" w:color="auto"/>
            </w:tcBorders>
            <w:shd w:val="clear" w:color="auto" w:fill="D9D9D9" w:themeFill="background1" w:themeFillShade="D9"/>
            <w:vAlign w:val="center"/>
          </w:tcPr>
          <w:p w:rsidR="005E30C3" w:rsidRPr="00AD3737" w:rsidRDefault="005E30C3" w:rsidP="0076503C">
            <w:pPr>
              <w:keepNext/>
              <w:snapToGrid w:val="0"/>
              <w:spacing w:after="0"/>
              <w:contextualSpacing/>
              <w:jc w:val="center"/>
              <w:rPr>
                <w:rFonts w:ascii="Times" w:hAnsi="Times"/>
                <w:b/>
                <w:sz w:val="18"/>
                <w:szCs w:val="18"/>
              </w:rPr>
            </w:pPr>
            <w:r w:rsidRPr="00AD3737">
              <w:rPr>
                <w:rFonts w:ascii="Times" w:hAnsi="Times"/>
                <w:b/>
                <w:sz w:val="18"/>
                <w:szCs w:val="18"/>
              </w:rPr>
              <w:t>Teva</w:t>
            </w:r>
          </w:p>
        </w:tc>
        <w:tc>
          <w:tcPr>
            <w:tcW w:w="675" w:type="pct"/>
            <w:tcBorders>
              <w:bottom w:val="single" w:sz="2" w:space="0" w:color="auto"/>
            </w:tcBorders>
            <w:shd w:val="clear" w:color="auto" w:fill="D9D9D9" w:themeFill="background1" w:themeFillShade="D9"/>
            <w:vAlign w:val="center"/>
          </w:tcPr>
          <w:p w:rsidR="005E30C3" w:rsidRPr="00AD3737" w:rsidRDefault="005E30C3" w:rsidP="0076503C">
            <w:pPr>
              <w:keepNext/>
              <w:snapToGrid w:val="0"/>
              <w:spacing w:after="0"/>
              <w:contextualSpacing/>
              <w:jc w:val="center"/>
              <w:rPr>
                <w:rFonts w:ascii="Times" w:hAnsi="Times"/>
                <w:b/>
                <w:sz w:val="18"/>
                <w:szCs w:val="18"/>
              </w:rPr>
            </w:pPr>
            <w:r w:rsidRPr="00AD3737">
              <w:rPr>
                <w:rFonts w:ascii="Times" w:hAnsi="Times"/>
                <w:b/>
                <w:sz w:val="18"/>
                <w:szCs w:val="18"/>
              </w:rPr>
              <w:t>Target</w:t>
            </w:r>
          </w:p>
        </w:tc>
        <w:tc>
          <w:tcPr>
            <w:tcW w:w="640" w:type="pct"/>
            <w:tcBorders>
              <w:bottom w:val="single" w:sz="2" w:space="0" w:color="auto"/>
            </w:tcBorders>
            <w:shd w:val="clear" w:color="auto" w:fill="D9D9D9" w:themeFill="background1" w:themeFillShade="D9"/>
            <w:vAlign w:val="center"/>
          </w:tcPr>
          <w:p w:rsidR="005E30C3" w:rsidRPr="00AD3737" w:rsidRDefault="005E30C3" w:rsidP="0076503C">
            <w:pPr>
              <w:keepNext/>
              <w:snapToGrid w:val="0"/>
              <w:spacing w:after="0"/>
              <w:contextualSpacing/>
              <w:jc w:val="center"/>
              <w:rPr>
                <w:rFonts w:ascii="Times" w:hAnsi="Times"/>
                <w:b/>
                <w:sz w:val="18"/>
                <w:szCs w:val="18"/>
              </w:rPr>
            </w:pPr>
            <w:r w:rsidRPr="00AD3737">
              <w:rPr>
                <w:rFonts w:ascii="Times" w:hAnsi="Times"/>
                <w:b/>
                <w:sz w:val="18"/>
                <w:szCs w:val="18"/>
              </w:rPr>
              <w:t>Comb</w:t>
            </w:r>
            <w:r>
              <w:rPr>
                <w:rFonts w:ascii="Times" w:hAnsi="Times"/>
                <w:b/>
                <w:sz w:val="18"/>
                <w:szCs w:val="18"/>
              </w:rPr>
              <w:t>ine</w:t>
            </w:r>
            <w:r w:rsidRPr="00AD3737">
              <w:rPr>
                <w:rFonts w:ascii="Times" w:hAnsi="Times"/>
                <w:b/>
                <w:sz w:val="18"/>
                <w:szCs w:val="18"/>
              </w:rPr>
              <w:t>d</w:t>
            </w:r>
          </w:p>
        </w:tc>
        <w:tc>
          <w:tcPr>
            <w:tcW w:w="910" w:type="pct"/>
            <w:vMerge/>
            <w:tcBorders>
              <w:bottom w:val="single" w:sz="2" w:space="0" w:color="auto"/>
            </w:tcBorders>
            <w:shd w:val="clear" w:color="auto" w:fill="D9D9D9" w:themeFill="background1" w:themeFillShade="D9"/>
            <w:vAlign w:val="center"/>
          </w:tcPr>
          <w:p w:rsidR="005E30C3" w:rsidRPr="00AD3737" w:rsidRDefault="005E30C3" w:rsidP="0076503C">
            <w:pPr>
              <w:keepNext/>
              <w:snapToGrid w:val="0"/>
              <w:spacing w:after="0"/>
              <w:contextualSpacing/>
              <w:jc w:val="center"/>
              <w:rPr>
                <w:rFonts w:ascii="Times" w:hAnsi="Times"/>
                <w:b/>
                <w:sz w:val="18"/>
                <w:szCs w:val="18"/>
              </w:rPr>
            </w:pPr>
          </w:p>
        </w:tc>
      </w:tr>
      <w:tr w:rsidR="00225426" w:rsidRPr="00AD3737" w:rsidTr="00225426">
        <w:trPr>
          <w:trHeight w:val="275"/>
        </w:trPr>
        <w:tc>
          <w:tcPr>
            <w:tcW w:w="929" w:type="pct"/>
            <w:vMerge w:val="restar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sidRPr="00420413">
              <w:rPr>
                <w:rFonts w:ascii="Times" w:hAnsi="Times"/>
                <w:i/>
                <w:sz w:val="18"/>
                <w:szCs w:val="18"/>
              </w:rPr>
              <w:t>Paracetamol</w:t>
            </w:r>
            <w:r w:rsidRPr="00420413">
              <w:rPr>
                <w:rFonts w:ascii="Times" w:hAnsi="Times"/>
                <w:sz w:val="18"/>
                <w:szCs w:val="18"/>
              </w:rPr>
              <w:t>-based general pain relief products</w:t>
            </w:r>
          </w:p>
        </w:tc>
        <w:tc>
          <w:tcPr>
            <w:tcW w:w="624" w:type="pct"/>
            <w:vMerge w:val="restar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sidRPr="00420413">
              <w:rPr>
                <w:rFonts w:ascii="Times" w:hAnsi="Times"/>
                <w:sz w:val="18"/>
                <w:szCs w:val="18"/>
              </w:rPr>
              <w:t>Group 2</w:t>
            </w:r>
          </w:p>
        </w:tc>
        <w:tc>
          <w:tcPr>
            <w:tcW w:w="469" w:type="pct"/>
            <w:tcBorders>
              <w:top w:val="single" w:sz="2" w:space="0" w:color="auto"/>
              <w:left w:val="single" w:sz="2" w:space="0" w:color="auto"/>
              <w:bottom w:val="single" w:sz="2" w:space="0" w:color="auto"/>
              <w:right w:val="single" w:sz="2" w:space="0" w:color="auto"/>
            </w:tcBorders>
            <w:vAlign w:val="center"/>
          </w:tcPr>
          <w:p w:rsidR="00225426" w:rsidRPr="002D7FBB" w:rsidRDefault="00225426" w:rsidP="0076503C">
            <w:pPr>
              <w:keepNext/>
              <w:spacing w:after="0"/>
              <w:jc w:val="left"/>
              <w:rPr>
                <w:rFonts w:ascii="Times" w:hAnsi="Times"/>
                <w:b/>
                <w:sz w:val="18"/>
              </w:rPr>
            </w:pPr>
            <w:r w:rsidRPr="00DF35F3">
              <w:rPr>
                <w:rFonts w:ascii="Times" w:hAnsi="Times"/>
                <w:b/>
                <w:sz w:val="18"/>
              </w:rPr>
              <w:t>2017</w:t>
            </w:r>
          </w:p>
        </w:tc>
        <w:tc>
          <w:tcPr>
            <w:tcW w:w="753"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675"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225426">
            <w:pPr>
              <w:keepNext/>
              <w:spacing w:after="0"/>
              <w:jc w:val="left"/>
              <w:rPr>
                <w:rFonts w:ascii="Times" w:hAnsi="Times"/>
                <w:sz w:val="18"/>
                <w:szCs w:val="18"/>
              </w:rPr>
            </w:pPr>
            <w:r>
              <w:rPr>
                <w:rFonts w:ascii="Times" w:hAnsi="Times"/>
                <w:sz w:val="18"/>
              </w:rPr>
              <w:t>[10-20]% /[50-60]</w:t>
            </w:r>
            <w:r w:rsidRPr="00420413">
              <w:rPr>
                <w:rFonts w:ascii="Times" w:hAnsi="Times"/>
                <w:sz w:val="18"/>
              </w:rPr>
              <w:t>%</w:t>
            </w:r>
          </w:p>
        </w:tc>
        <w:tc>
          <w:tcPr>
            <w:tcW w:w="640"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Pr>
                <w:rFonts w:ascii="Times" w:hAnsi="Times"/>
                <w:sz w:val="18"/>
              </w:rPr>
              <w:t>[10-20]% /[50-60]</w:t>
            </w:r>
            <w:r w:rsidRPr="00420413">
              <w:rPr>
                <w:rFonts w:ascii="Times" w:hAnsi="Times"/>
                <w:sz w:val="18"/>
              </w:rPr>
              <w:t>%</w:t>
            </w:r>
          </w:p>
        </w:tc>
        <w:tc>
          <w:tcPr>
            <w:tcW w:w="910"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sidRPr="00420413">
              <w:rPr>
                <w:rFonts w:ascii="Times" w:hAnsi="Times"/>
                <w:sz w:val="18"/>
              </w:rPr>
              <w:t>At least 2</w:t>
            </w:r>
          </w:p>
        </w:tc>
      </w:tr>
      <w:tr w:rsidR="00225426" w:rsidRPr="00AD3737" w:rsidTr="00D1067E">
        <w:trPr>
          <w:trHeight w:val="275"/>
        </w:trPr>
        <w:tc>
          <w:tcPr>
            <w:tcW w:w="929" w:type="pct"/>
            <w:vMerge/>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p>
        </w:tc>
        <w:tc>
          <w:tcPr>
            <w:tcW w:w="624" w:type="pct"/>
            <w:vMerge/>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p>
        </w:tc>
        <w:tc>
          <w:tcPr>
            <w:tcW w:w="469" w:type="pct"/>
            <w:tcBorders>
              <w:top w:val="single" w:sz="2" w:space="0" w:color="auto"/>
              <w:left w:val="single" w:sz="2" w:space="0" w:color="auto"/>
              <w:bottom w:val="single" w:sz="2" w:space="0" w:color="auto"/>
              <w:right w:val="single" w:sz="2" w:space="0" w:color="auto"/>
            </w:tcBorders>
            <w:vAlign w:val="center"/>
          </w:tcPr>
          <w:p w:rsidR="00225426" w:rsidRPr="00DF35F3" w:rsidRDefault="00225426" w:rsidP="0076503C">
            <w:pPr>
              <w:keepNext/>
              <w:spacing w:after="0"/>
              <w:jc w:val="left"/>
              <w:rPr>
                <w:rFonts w:ascii="Times" w:hAnsi="Times"/>
                <w:b/>
                <w:sz w:val="18"/>
              </w:rPr>
            </w:pPr>
            <w:r>
              <w:rPr>
                <w:rFonts w:ascii="Times" w:hAnsi="Times"/>
                <w:b/>
                <w:sz w:val="18"/>
              </w:rPr>
              <w:t>2016</w:t>
            </w:r>
          </w:p>
        </w:tc>
        <w:tc>
          <w:tcPr>
            <w:tcW w:w="753"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675"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Pr>
                <w:rFonts w:ascii="Times" w:hAnsi="Times"/>
                <w:sz w:val="18"/>
              </w:rPr>
              <w:t>[10-20]% /[50-60]</w:t>
            </w:r>
            <w:r w:rsidRPr="00420413">
              <w:rPr>
                <w:rFonts w:ascii="Times" w:hAnsi="Times"/>
                <w:sz w:val="18"/>
              </w:rPr>
              <w:t>%</w:t>
            </w:r>
          </w:p>
        </w:tc>
        <w:tc>
          <w:tcPr>
            <w:tcW w:w="640"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Pr>
                <w:rFonts w:ascii="Times" w:hAnsi="Times"/>
                <w:sz w:val="18"/>
              </w:rPr>
              <w:t>[10-20]% /[50-60]</w:t>
            </w:r>
            <w:r w:rsidRPr="00420413">
              <w:rPr>
                <w:rFonts w:ascii="Times" w:hAnsi="Times"/>
                <w:sz w:val="18"/>
              </w:rPr>
              <w:t>%</w:t>
            </w:r>
          </w:p>
        </w:tc>
        <w:tc>
          <w:tcPr>
            <w:tcW w:w="910"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sidRPr="00420413">
              <w:rPr>
                <w:rFonts w:ascii="Times" w:hAnsi="Times"/>
                <w:sz w:val="18"/>
              </w:rPr>
              <w:t>At least 2</w:t>
            </w:r>
          </w:p>
        </w:tc>
      </w:tr>
      <w:tr w:rsidR="00225426" w:rsidRPr="00AD3737" w:rsidTr="00D1067E">
        <w:trPr>
          <w:trHeight w:val="275"/>
        </w:trPr>
        <w:tc>
          <w:tcPr>
            <w:tcW w:w="929" w:type="pct"/>
            <w:vMerge/>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p>
        </w:tc>
        <w:tc>
          <w:tcPr>
            <w:tcW w:w="624" w:type="pct"/>
            <w:vMerge/>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p>
        </w:tc>
        <w:tc>
          <w:tcPr>
            <w:tcW w:w="469" w:type="pct"/>
            <w:tcBorders>
              <w:top w:val="single" w:sz="2" w:space="0" w:color="auto"/>
              <w:left w:val="single" w:sz="2" w:space="0" w:color="auto"/>
              <w:bottom w:val="single" w:sz="2" w:space="0" w:color="auto"/>
              <w:right w:val="single" w:sz="2" w:space="0" w:color="auto"/>
            </w:tcBorders>
            <w:vAlign w:val="center"/>
          </w:tcPr>
          <w:p w:rsidR="00225426" w:rsidRPr="00DF35F3" w:rsidRDefault="00225426" w:rsidP="0076503C">
            <w:pPr>
              <w:keepNext/>
              <w:spacing w:after="0"/>
              <w:jc w:val="left"/>
              <w:rPr>
                <w:rFonts w:ascii="Times" w:hAnsi="Times"/>
                <w:b/>
                <w:sz w:val="18"/>
              </w:rPr>
            </w:pPr>
            <w:r>
              <w:rPr>
                <w:rFonts w:ascii="Times" w:hAnsi="Times"/>
                <w:b/>
                <w:sz w:val="18"/>
              </w:rPr>
              <w:t>2015</w:t>
            </w:r>
          </w:p>
        </w:tc>
        <w:tc>
          <w:tcPr>
            <w:tcW w:w="753"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675"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Pr>
                <w:rFonts w:ascii="Times" w:hAnsi="Times"/>
                <w:sz w:val="18"/>
              </w:rPr>
              <w:t>[10-20]% /[50-60]</w:t>
            </w:r>
            <w:r w:rsidRPr="00420413">
              <w:rPr>
                <w:rFonts w:ascii="Times" w:hAnsi="Times"/>
                <w:sz w:val="18"/>
              </w:rPr>
              <w:t>%</w:t>
            </w:r>
          </w:p>
        </w:tc>
        <w:tc>
          <w:tcPr>
            <w:tcW w:w="640"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Pr>
                <w:rFonts w:ascii="Times" w:hAnsi="Times"/>
                <w:sz w:val="18"/>
              </w:rPr>
              <w:t>[10-20]% /[50-60]</w:t>
            </w:r>
            <w:r w:rsidRPr="00420413">
              <w:rPr>
                <w:rFonts w:ascii="Times" w:hAnsi="Times"/>
                <w:sz w:val="18"/>
              </w:rPr>
              <w:t>%</w:t>
            </w:r>
          </w:p>
        </w:tc>
        <w:tc>
          <w:tcPr>
            <w:tcW w:w="910" w:type="pct"/>
            <w:tcBorders>
              <w:top w:val="single" w:sz="2" w:space="0" w:color="auto"/>
              <w:left w:val="single" w:sz="2" w:space="0" w:color="auto"/>
              <w:bottom w:val="single" w:sz="2" w:space="0" w:color="auto"/>
              <w:right w:val="single" w:sz="2" w:space="0" w:color="auto"/>
            </w:tcBorders>
            <w:vAlign w:val="center"/>
          </w:tcPr>
          <w:p w:rsidR="00225426" w:rsidRPr="00AD3737" w:rsidRDefault="00225426" w:rsidP="0076503C">
            <w:pPr>
              <w:keepNext/>
              <w:spacing w:after="0"/>
              <w:jc w:val="left"/>
              <w:rPr>
                <w:rFonts w:ascii="Times" w:hAnsi="Times"/>
                <w:sz w:val="18"/>
                <w:szCs w:val="18"/>
              </w:rPr>
            </w:pPr>
            <w:r w:rsidRPr="00420413">
              <w:rPr>
                <w:rFonts w:ascii="Times" w:hAnsi="Times"/>
                <w:sz w:val="18"/>
              </w:rPr>
              <w:t>At least 2</w:t>
            </w:r>
          </w:p>
        </w:tc>
      </w:tr>
    </w:tbl>
    <w:p w:rsidR="00285B8A" w:rsidRPr="009911D5" w:rsidRDefault="00285B8A" w:rsidP="00CF47FF">
      <w:pPr>
        <w:pStyle w:val="ListNumber"/>
        <w:numPr>
          <w:ilvl w:val="0"/>
          <w:numId w:val="0"/>
        </w:numPr>
        <w:spacing w:after="0"/>
        <w:ind w:left="709" w:hanging="709"/>
        <w:rPr>
          <w:rFonts w:eastAsia="Calibri"/>
          <w:i/>
          <w:lang w:val="en-US"/>
        </w:rPr>
      </w:pPr>
    </w:p>
    <w:p w:rsidR="00285B8A" w:rsidRPr="004B2EAB" w:rsidRDefault="00285B8A" w:rsidP="00285B8A">
      <w:pPr>
        <w:pStyle w:val="ListNumber"/>
        <w:rPr>
          <w:rFonts w:eastAsia="Calibri"/>
          <w:i/>
          <w:lang w:val="en-US"/>
        </w:rPr>
      </w:pPr>
      <w:r>
        <w:rPr>
          <w:rFonts w:eastAsia="Calibri"/>
          <w:szCs w:val="24"/>
          <w:lang w:val="en-US"/>
        </w:rPr>
        <w:t xml:space="preserve">The Parties' combined market share for </w:t>
      </w:r>
      <w:r w:rsidRPr="00545C3A">
        <w:rPr>
          <w:rFonts w:eastAsia="Calibri"/>
          <w:i/>
          <w:szCs w:val="24"/>
          <w:lang w:val="en-US"/>
        </w:rPr>
        <w:t>paracetamol</w:t>
      </w:r>
      <w:r>
        <w:rPr>
          <w:rFonts w:eastAsia="Calibri"/>
          <w:szCs w:val="24"/>
          <w:lang w:val="en-US"/>
        </w:rPr>
        <w:t xml:space="preserve">-based general pain relief products in Hungary is </w:t>
      </w:r>
      <w:r w:rsidR="00225426">
        <w:rPr>
          <w:rFonts w:eastAsia="Calibri"/>
          <w:szCs w:val="24"/>
          <w:lang w:val="en-US"/>
        </w:rPr>
        <w:t>[10-20]</w:t>
      </w:r>
      <w:r>
        <w:rPr>
          <w:rFonts w:eastAsia="Calibri"/>
          <w:szCs w:val="24"/>
          <w:lang w:val="en-US"/>
        </w:rPr>
        <w:t xml:space="preserve">% in value and </w:t>
      </w:r>
      <w:r w:rsidR="00225426">
        <w:rPr>
          <w:rFonts w:eastAsia="Calibri"/>
          <w:szCs w:val="24"/>
          <w:lang w:val="en-US"/>
        </w:rPr>
        <w:t>[50-60]</w:t>
      </w:r>
      <w:r>
        <w:rPr>
          <w:rFonts w:eastAsia="Calibri"/>
          <w:szCs w:val="24"/>
          <w:lang w:val="en-US"/>
        </w:rPr>
        <w:t xml:space="preserve">% in volume.  </w:t>
      </w:r>
    </w:p>
    <w:p w:rsidR="00285B8A" w:rsidRPr="00973614" w:rsidRDefault="00285B8A" w:rsidP="00285B8A">
      <w:pPr>
        <w:pStyle w:val="ListNumber"/>
      </w:pPr>
      <w:r w:rsidRPr="005346DC">
        <w:rPr>
          <w:rFonts w:eastAsia="Calibri"/>
          <w:lang w:val="en-US"/>
        </w:rPr>
        <w:t xml:space="preserve">The increment brought by the Transaction in both value and volume is limited, namely less than </w:t>
      </w:r>
      <w:r w:rsidR="00225426">
        <w:rPr>
          <w:rFonts w:eastAsia="Calibri"/>
          <w:lang w:val="en-US"/>
        </w:rPr>
        <w:t>[0-5]</w:t>
      </w:r>
      <w:r w:rsidRPr="005346DC">
        <w:rPr>
          <w:rFonts w:eastAsia="Calibri"/>
          <w:lang w:val="en-US"/>
        </w:rPr>
        <w:t>%</w:t>
      </w:r>
      <w:r w:rsidR="00A153AD">
        <w:rPr>
          <w:rFonts w:eastAsia="Calibri"/>
          <w:lang w:val="en-US"/>
        </w:rPr>
        <w:t xml:space="preserve"> over the last three years</w:t>
      </w:r>
      <w:r w:rsidRPr="005346DC">
        <w:rPr>
          <w:rFonts w:eastAsia="Calibri"/>
          <w:lang w:val="en-US"/>
        </w:rPr>
        <w:t>.</w:t>
      </w:r>
      <w:r w:rsidRPr="00973614">
        <w:t xml:space="preserve"> </w:t>
      </w:r>
      <w:r w:rsidRPr="00CD2ECB">
        <w:t xml:space="preserve">The HHI delta is below 150. </w:t>
      </w:r>
      <w:r w:rsidRPr="00973614">
        <w:t xml:space="preserve">In addition, </w:t>
      </w:r>
      <w:r>
        <w:t xml:space="preserve">post-Transaction the combined entity will continue to face competitive constraints from </w:t>
      </w:r>
      <w:r w:rsidRPr="00973614">
        <w:t xml:space="preserve">at least 2 competitors with a market share </w:t>
      </w:r>
      <w:r w:rsidR="00D3370B">
        <w:t>of</w:t>
      </w:r>
      <w:r w:rsidR="00D3370B" w:rsidRPr="00973614">
        <w:t xml:space="preserve"> 5%</w:t>
      </w:r>
      <w:r w:rsidR="00D3370B">
        <w:t xml:space="preserve"> or more</w:t>
      </w:r>
      <w:r w:rsidRPr="00973614">
        <w:t xml:space="preserve"> in both value and volume</w:t>
      </w:r>
      <w:r>
        <w:t>.  Each of these players (Glaxo</w:t>
      </w:r>
      <w:r w:rsidR="00CF4A31">
        <w:t>S</w:t>
      </w:r>
      <w:r>
        <w:t>mith</w:t>
      </w:r>
      <w:r w:rsidR="00CF4A31">
        <w:t>K</w:t>
      </w:r>
      <w:r>
        <w:t xml:space="preserve">line </w:t>
      </w:r>
      <w:r w:rsidR="00C057D9" w:rsidRPr="00C057D9">
        <w:t xml:space="preserve">with its product Panadol </w:t>
      </w:r>
      <w:r>
        <w:t>and Bene Chemie</w:t>
      </w:r>
      <w:r w:rsidR="00C057D9" w:rsidRPr="00C057D9">
        <w:t xml:space="preserve"> with its product Ben-U-Ron</w:t>
      </w:r>
      <w:r>
        <w:t>) will have market shares higher than the combined entity (</w:t>
      </w:r>
      <w:r w:rsidR="00C057D9" w:rsidRPr="00C057D9">
        <w:t xml:space="preserve">respectively </w:t>
      </w:r>
      <w:r w:rsidR="00225426">
        <w:t>[70-80]</w:t>
      </w:r>
      <w:r w:rsidR="00C057D9" w:rsidRPr="00C057D9">
        <w:t xml:space="preserve">% and </w:t>
      </w:r>
      <w:r w:rsidR="00225426">
        <w:t>[10-20]</w:t>
      </w:r>
      <w:r w:rsidR="00C057D9" w:rsidRPr="00C057D9">
        <w:t xml:space="preserve">% </w:t>
      </w:r>
      <w:r>
        <w:t>in terms of value</w:t>
      </w:r>
      <w:r w:rsidR="00C057D9" w:rsidRPr="00C057D9">
        <w:t xml:space="preserve"> and </w:t>
      </w:r>
      <w:r w:rsidR="00225426">
        <w:t>[</w:t>
      </w:r>
      <w:r w:rsidR="00C057D9" w:rsidRPr="00C057D9">
        <w:t>30</w:t>
      </w:r>
      <w:r w:rsidR="00225426">
        <w:t>-40]</w:t>
      </w:r>
      <w:r w:rsidR="00C057D9" w:rsidRPr="00C057D9">
        <w:t xml:space="preserve">% and </w:t>
      </w:r>
      <w:r w:rsidR="00225426">
        <w:t>[10-20]</w:t>
      </w:r>
      <w:r w:rsidR="00C057D9" w:rsidRPr="00C057D9">
        <w:t>% in terms of volume</w:t>
      </w:r>
      <w:r w:rsidRPr="00C057D9">
        <w:t xml:space="preserve">). </w:t>
      </w:r>
    </w:p>
    <w:p w:rsidR="00285B8A" w:rsidRPr="004B2EAB" w:rsidRDefault="005E476E" w:rsidP="00285B8A">
      <w:pPr>
        <w:pStyle w:val="ListNumber"/>
        <w:rPr>
          <w:rFonts w:eastAsia="Calibri"/>
          <w:i/>
          <w:lang w:val="en-US"/>
        </w:rPr>
      </w:pPr>
      <w:r>
        <w:t>Finally,</w:t>
      </w:r>
      <w:r w:rsidRPr="005B1C96">
        <w:t xml:space="preserve"> </w:t>
      </w:r>
      <w:r>
        <w:t xml:space="preserve">the market investigation did not reveal any </w:t>
      </w:r>
      <w:r>
        <w:rPr>
          <w:rFonts w:eastAsia="Calibri"/>
          <w:szCs w:val="24"/>
        </w:rPr>
        <w:t>competition concerns in</w:t>
      </w:r>
      <w:r w:rsidRPr="00546F00" w:rsidDel="00A2241C">
        <w:rPr>
          <w:rFonts w:ascii="Times" w:eastAsia="Calibri" w:hAnsi="Times"/>
          <w:szCs w:val="24"/>
        </w:rPr>
        <w:t xml:space="preserve"> </w:t>
      </w:r>
      <w:r>
        <w:rPr>
          <w:rFonts w:ascii="Times" w:eastAsia="Calibri" w:hAnsi="Times"/>
          <w:szCs w:val="24"/>
        </w:rPr>
        <w:t xml:space="preserve">relation to </w:t>
      </w:r>
      <w:r w:rsidR="00285B8A" w:rsidRPr="003B43D2">
        <w:rPr>
          <w:rFonts w:eastAsia="Calibri"/>
          <w:i/>
        </w:rPr>
        <w:t>paracetamol</w:t>
      </w:r>
      <w:r w:rsidR="00285B8A">
        <w:rPr>
          <w:rFonts w:eastAsia="Calibri"/>
          <w:szCs w:val="24"/>
        </w:rPr>
        <w:t>-based general pain relief products</w:t>
      </w:r>
      <w:r w:rsidR="00285B8A" w:rsidRPr="003814A7">
        <w:rPr>
          <w:rFonts w:eastAsia="Calibri"/>
          <w:szCs w:val="24"/>
        </w:rPr>
        <w:t xml:space="preserve"> in Hungary</w:t>
      </w:r>
      <w:r w:rsidR="00285B8A">
        <w:rPr>
          <w:rFonts w:eastAsia="Calibri"/>
          <w:szCs w:val="24"/>
        </w:rPr>
        <w:t>.</w:t>
      </w:r>
      <w:r w:rsidR="00285B8A" w:rsidRPr="004B2EAB">
        <w:rPr>
          <w:rFonts w:ascii="Calibri" w:eastAsia="Calibri" w:hAnsi="Calibri"/>
          <w:sz w:val="20"/>
          <w:vertAlign w:val="superscript"/>
          <w:lang w:val="en-US"/>
        </w:rPr>
        <w:footnoteReference w:id="37"/>
      </w:r>
    </w:p>
    <w:p w:rsidR="00285B8A" w:rsidRDefault="00814F0F" w:rsidP="00285B8A">
      <w:pPr>
        <w:pStyle w:val="ListNumber"/>
      </w:pPr>
      <w:r w:rsidRPr="00546F00">
        <w:rPr>
          <w:rFonts w:ascii="Times" w:hAnsi="Times"/>
          <w:szCs w:val="24"/>
        </w:rPr>
        <w:t xml:space="preserve">In view of the above, the Commission concludes that </w:t>
      </w:r>
      <w:r>
        <w:rPr>
          <w:rFonts w:ascii="Times" w:hAnsi="Times"/>
          <w:szCs w:val="24"/>
        </w:rPr>
        <w:t xml:space="preserve">the Transaction does not raise serious doubts as to its compatibility with the internal market regarding </w:t>
      </w:r>
      <w:r w:rsidR="00285B8A" w:rsidRPr="00545C3A">
        <w:rPr>
          <w:i/>
        </w:rPr>
        <w:t>paracetamol</w:t>
      </w:r>
      <w:r w:rsidR="00285B8A">
        <w:t xml:space="preserve">-based </w:t>
      </w:r>
      <w:r w:rsidR="00285B8A">
        <w:rPr>
          <w:rFonts w:eastAsia="Calibri"/>
          <w:szCs w:val="24"/>
        </w:rPr>
        <w:t>general pain relief products</w:t>
      </w:r>
      <w:r w:rsidR="00285B8A" w:rsidRPr="003814A7">
        <w:rPr>
          <w:rFonts w:eastAsia="Calibri"/>
          <w:szCs w:val="24"/>
        </w:rPr>
        <w:t xml:space="preserve"> </w:t>
      </w:r>
      <w:r w:rsidR="00285B8A">
        <w:t>in Hungary</w:t>
      </w:r>
      <w:r w:rsidR="00285B8A" w:rsidRPr="00CD2ECB">
        <w:t>.</w:t>
      </w:r>
    </w:p>
    <w:p w:rsidR="00285B8A" w:rsidRDefault="00285B8A" w:rsidP="00420413">
      <w:pPr>
        <w:pStyle w:val="ListNumber"/>
        <w:numPr>
          <w:ilvl w:val="0"/>
          <w:numId w:val="0"/>
        </w:numPr>
        <w:ind w:left="709"/>
        <w:rPr>
          <w:i/>
        </w:rPr>
      </w:pPr>
      <w:r w:rsidRPr="00AD3737">
        <w:rPr>
          <w:i/>
        </w:rPr>
        <w:t>Lithuania</w:t>
      </w:r>
    </w:p>
    <w:p w:rsidR="00285B8A" w:rsidRPr="00420413" w:rsidRDefault="00285B8A" w:rsidP="00285B8A">
      <w:pPr>
        <w:pStyle w:val="ListNumber"/>
        <w:rPr>
          <w:rFonts w:eastAsia="Calibri"/>
          <w:i/>
          <w:lang w:val="en-US"/>
        </w:rPr>
      </w:pPr>
      <w:r w:rsidRPr="009911D5">
        <w:rPr>
          <w:rFonts w:eastAsia="Calibri"/>
          <w:lang w:val="en-US"/>
        </w:rPr>
        <w:t xml:space="preserve">The Transaction does not give rise to affected markets in general pain relief products in </w:t>
      </w:r>
      <w:r>
        <w:rPr>
          <w:rFonts w:eastAsia="Calibri"/>
          <w:szCs w:val="24"/>
          <w:lang w:val="en-US"/>
        </w:rPr>
        <w:t>Lithuania</w:t>
      </w:r>
      <w:r w:rsidRPr="009911D5">
        <w:rPr>
          <w:rFonts w:eastAsia="Calibri"/>
          <w:lang w:val="en-US"/>
        </w:rPr>
        <w:t xml:space="preserve">, </w:t>
      </w:r>
      <w:r w:rsidRPr="004A3709">
        <w:rPr>
          <w:rFonts w:eastAsia="Calibri"/>
          <w:lang w:val="en-US"/>
        </w:rPr>
        <w:t xml:space="preserve">if the market were defined at the level of ATC 3 class (N2B) or ATC 4 class (N2B2).  </w:t>
      </w:r>
      <w:r w:rsidRPr="009911D5">
        <w:rPr>
          <w:rFonts w:eastAsia="Calibri"/>
          <w:lang w:val="en-US"/>
        </w:rPr>
        <w:t>The Transaction gives rise to a Group</w:t>
      </w:r>
      <w:r>
        <w:rPr>
          <w:rFonts w:eastAsia="Calibri"/>
          <w:lang w:val="en-US"/>
        </w:rPr>
        <w:t xml:space="preserve"> 1</w:t>
      </w:r>
      <w:r w:rsidRPr="009911D5">
        <w:rPr>
          <w:rFonts w:eastAsia="Calibri"/>
          <w:lang w:val="en-US"/>
        </w:rPr>
        <w:t xml:space="preserve"> market </w:t>
      </w:r>
      <w:r w:rsidRPr="009911D5">
        <w:rPr>
          <w:rFonts w:eastAsia="Calibri"/>
          <w:szCs w:val="24"/>
          <w:lang w:val="en-US"/>
        </w:rPr>
        <w:t xml:space="preserve">only </w:t>
      </w:r>
      <w:r w:rsidRPr="009911D5">
        <w:rPr>
          <w:rFonts w:eastAsia="Calibri"/>
          <w:lang w:val="en-US"/>
        </w:rPr>
        <w:t xml:space="preserve">for </w:t>
      </w:r>
      <w:r w:rsidRPr="00545C3A">
        <w:rPr>
          <w:rFonts w:eastAsia="Calibri"/>
          <w:i/>
          <w:lang w:val="en-US"/>
        </w:rPr>
        <w:t>paracetamol</w:t>
      </w:r>
      <w:r>
        <w:rPr>
          <w:rFonts w:eastAsia="Calibri"/>
          <w:lang w:val="en-US"/>
        </w:rPr>
        <w:t>-based general pain relief products</w:t>
      </w:r>
      <w:r w:rsidRPr="009911D5">
        <w:rPr>
          <w:rFonts w:eastAsia="Calibri"/>
          <w:lang w:val="en-US"/>
        </w:rPr>
        <w:t xml:space="preserve"> in </w:t>
      </w:r>
      <w:r>
        <w:rPr>
          <w:rFonts w:eastAsia="Calibri"/>
          <w:lang w:val="en-US"/>
        </w:rPr>
        <w:t>Lithuania</w:t>
      </w:r>
      <w:r w:rsidRPr="009911D5">
        <w:rPr>
          <w:rFonts w:eastAsia="Calibri"/>
          <w:lang w:val="en-US"/>
        </w:rPr>
        <w:t>.</w:t>
      </w:r>
    </w:p>
    <w:p w:rsidR="00285B8A" w:rsidRPr="00545C3A" w:rsidRDefault="00285B8A" w:rsidP="00285B8A">
      <w:pPr>
        <w:pStyle w:val="ListNumber"/>
        <w:rPr>
          <w:rFonts w:eastAsia="Calibri"/>
          <w:i/>
          <w:lang w:val="en-US"/>
        </w:rPr>
      </w:pPr>
      <w:r>
        <w:rPr>
          <w:rFonts w:eastAsia="Calibri"/>
          <w:lang w:val="en-US"/>
        </w:rPr>
        <w:t xml:space="preserve">The table below presents the Parties' market shares for </w:t>
      </w:r>
      <w:r w:rsidRPr="00232D78">
        <w:rPr>
          <w:i/>
        </w:rPr>
        <w:t>paracetamol</w:t>
      </w:r>
      <w:r>
        <w:t xml:space="preserve"> based products in Lithuania in </w:t>
      </w:r>
      <w:r w:rsidR="004C6514">
        <w:t>2015-</w:t>
      </w:r>
      <w:r>
        <w:t>2017.</w:t>
      </w:r>
    </w:p>
    <w:tbl>
      <w:tblPr>
        <w:tblStyle w:val="TableGrid"/>
        <w:tblW w:w="5000" w:type="pct"/>
        <w:tblLook w:val="04A0" w:firstRow="1" w:lastRow="0" w:firstColumn="1" w:lastColumn="0" w:noHBand="0" w:noVBand="1"/>
      </w:tblPr>
      <w:tblGrid>
        <w:gridCol w:w="1641"/>
        <w:gridCol w:w="1102"/>
        <w:gridCol w:w="829"/>
        <w:gridCol w:w="1330"/>
        <w:gridCol w:w="1193"/>
        <w:gridCol w:w="1131"/>
        <w:gridCol w:w="1608"/>
      </w:tblGrid>
      <w:tr w:rsidR="00510574" w:rsidRPr="00AD3737" w:rsidTr="00510574">
        <w:trPr>
          <w:tblHeader/>
        </w:trPr>
        <w:tc>
          <w:tcPr>
            <w:tcW w:w="929" w:type="pct"/>
            <w:vMerge w:val="restart"/>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lastRenderedPageBreak/>
              <w:t>Category Description</w:t>
            </w:r>
          </w:p>
        </w:tc>
        <w:tc>
          <w:tcPr>
            <w:tcW w:w="624" w:type="pct"/>
            <w:vMerge w:val="restart"/>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Market Group</w:t>
            </w:r>
          </w:p>
        </w:tc>
        <w:tc>
          <w:tcPr>
            <w:tcW w:w="469" w:type="pct"/>
            <w:vMerge w:val="restart"/>
            <w:shd w:val="clear" w:color="auto" w:fill="D9D9D9" w:themeFill="background1" w:themeFillShade="D9"/>
          </w:tcPr>
          <w:p w:rsidR="00510574" w:rsidRPr="00AD3737" w:rsidRDefault="00510574" w:rsidP="0076503C">
            <w:pPr>
              <w:keepNext/>
              <w:snapToGrid w:val="0"/>
              <w:spacing w:after="0"/>
              <w:contextualSpacing/>
              <w:jc w:val="center"/>
              <w:rPr>
                <w:rFonts w:ascii="Times" w:hAnsi="Times"/>
                <w:b/>
                <w:sz w:val="18"/>
                <w:szCs w:val="18"/>
              </w:rPr>
            </w:pPr>
          </w:p>
          <w:p w:rsidR="00510574" w:rsidRPr="00AD3737" w:rsidRDefault="00510574" w:rsidP="0076503C">
            <w:pPr>
              <w:keepNext/>
              <w:snapToGrid w:val="0"/>
              <w:spacing w:after="0"/>
              <w:contextualSpacing/>
              <w:jc w:val="center"/>
              <w:rPr>
                <w:rFonts w:ascii="Times" w:hAnsi="Times"/>
                <w:b/>
                <w:sz w:val="18"/>
                <w:szCs w:val="18"/>
              </w:rPr>
            </w:pPr>
            <w:r>
              <w:rPr>
                <w:rFonts w:ascii="Times" w:hAnsi="Times"/>
                <w:b/>
                <w:sz w:val="18"/>
                <w:szCs w:val="18"/>
              </w:rPr>
              <w:t>Year</w:t>
            </w:r>
          </w:p>
        </w:tc>
        <w:tc>
          <w:tcPr>
            <w:tcW w:w="2068" w:type="pct"/>
            <w:gridSpan w:val="3"/>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Market Shares (Value/Volume)</w:t>
            </w:r>
          </w:p>
        </w:tc>
        <w:tc>
          <w:tcPr>
            <w:tcW w:w="910" w:type="pct"/>
            <w:vMerge w:val="restart"/>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Number of Competitors &gt; 5%</w:t>
            </w:r>
          </w:p>
        </w:tc>
      </w:tr>
      <w:tr w:rsidR="00510574" w:rsidRPr="00AD3737" w:rsidTr="00FF4418">
        <w:trPr>
          <w:tblHeader/>
        </w:trPr>
        <w:tc>
          <w:tcPr>
            <w:tcW w:w="929" w:type="pct"/>
            <w:vMerge/>
            <w:tcBorders>
              <w:bottom w:val="single" w:sz="2" w:space="0" w:color="auto"/>
            </w:tcBorders>
            <w:shd w:val="clear" w:color="auto" w:fill="D9D9D9" w:themeFill="background1" w:themeFillShade="D9"/>
          </w:tcPr>
          <w:p w:rsidR="00510574" w:rsidRPr="00AD3737" w:rsidRDefault="00510574" w:rsidP="0076503C">
            <w:pPr>
              <w:keepNext/>
              <w:snapToGrid w:val="0"/>
              <w:spacing w:after="0"/>
              <w:contextualSpacing/>
              <w:jc w:val="center"/>
              <w:rPr>
                <w:rFonts w:ascii="Times" w:hAnsi="Times"/>
                <w:b/>
                <w:sz w:val="18"/>
                <w:szCs w:val="18"/>
              </w:rPr>
            </w:pPr>
          </w:p>
        </w:tc>
        <w:tc>
          <w:tcPr>
            <w:tcW w:w="624" w:type="pct"/>
            <w:vMerge/>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p>
        </w:tc>
        <w:tc>
          <w:tcPr>
            <w:tcW w:w="469" w:type="pct"/>
            <w:vMerge/>
            <w:tcBorders>
              <w:bottom w:val="single" w:sz="2" w:space="0" w:color="auto"/>
            </w:tcBorders>
            <w:shd w:val="clear" w:color="auto" w:fill="D9D9D9" w:themeFill="background1" w:themeFillShade="D9"/>
          </w:tcPr>
          <w:p w:rsidR="00510574" w:rsidRPr="00AD3737" w:rsidRDefault="00510574" w:rsidP="0076503C">
            <w:pPr>
              <w:keepNext/>
              <w:snapToGrid w:val="0"/>
              <w:spacing w:after="0"/>
              <w:contextualSpacing/>
              <w:jc w:val="center"/>
              <w:rPr>
                <w:rFonts w:ascii="Times" w:hAnsi="Times"/>
                <w:b/>
                <w:sz w:val="18"/>
                <w:szCs w:val="18"/>
              </w:rPr>
            </w:pPr>
          </w:p>
        </w:tc>
        <w:tc>
          <w:tcPr>
            <w:tcW w:w="753" w:type="pct"/>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Teva</w:t>
            </w:r>
          </w:p>
        </w:tc>
        <w:tc>
          <w:tcPr>
            <w:tcW w:w="675" w:type="pct"/>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Target</w:t>
            </w:r>
          </w:p>
        </w:tc>
        <w:tc>
          <w:tcPr>
            <w:tcW w:w="640" w:type="pct"/>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Comb</w:t>
            </w:r>
            <w:r>
              <w:rPr>
                <w:rFonts w:ascii="Times" w:hAnsi="Times"/>
                <w:b/>
                <w:sz w:val="18"/>
                <w:szCs w:val="18"/>
              </w:rPr>
              <w:t>ine</w:t>
            </w:r>
            <w:r w:rsidRPr="00AD3737">
              <w:rPr>
                <w:rFonts w:ascii="Times" w:hAnsi="Times"/>
                <w:b/>
                <w:sz w:val="18"/>
                <w:szCs w:val="18"/>
              </w:rPr>
              <w:t>d</w:t>
            </w:r>
          </w:p>
        </w:tc>
        <w:tc>
          <w:tcPr>
            <w:tcW w:w="910" w:type="pct"/>
            <w:vMerge/>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p>
        </w:tc>
      </w:tr>
      <w:tr w:rsidR="00510574" w:rsidRPr="00AD3737" w:rsidTr="00510574">
        <w:trPr>
          <w:trHeight w:val="275"/>
        </w:trPr>
        <w:tc>
          <w:tcPr>
            <w:tcW w:w="929" w:type="pct"/>
            <w:vMerge w:val="restart"/>
            <w:tcBorders>
              <w:top w:val="single" w:sz="2" w:space="0" w:color="auto"/>
              <w:left w:val="single" w:sz="2" w:space="0" w:color="auto"/>
              <w:bottom w:val="single" w:sz="2" w:space="0" w:color="auto"/>
              <w:right w:val="single" w:sz="2" w:space="0" w:color="auto"/>
            </w:tcBorders>
            <w:vAlign w:val="center"/>
          </w:tcPr>
          <w:p w:rsidR="00510574" w:rsidRPr="00AD3737" w:rsidRDefault="00510574" w:rsidP="0076503C">
            <w:pPr>
              <w:keepNext/>
              <w:spacing w:after="0"/>
              <w:jc w:val="left"/>
              <w:rPr>
                <w:rFonts w:ascii="Times" w:hAnsi="Times"/>
                <w:sz w:val="18"/>
                <w:szCs w:val="18"/>
              </w:rPr>
            </w:pPr>
            <w:r w:rsidRPr="00420413">
              <w:rPr>
                <w:rFonts w:ascii="Times" w:hAnsi="Times"/>
                <w:i/>
                <w:sz w:val="18"/>
                <w:szCs w:val="18"/>
              </w:rPr>
              <w:t>Paracetamol</w:t>
            </w:r>
            <w:r w:rsidRPr="00420413">
              <w:rPr>
                <w:rFonts w:ascii="Times" w:hAnsi="Times"/>
                <w:sz w:val="18"/>
                <w:szCs w:val="18"/>
              </w:rPr>
              <w:t>-based general pain relief products</w:t>
            </w:r>
          </w:p>
        </w:tc>
        <w:tc>
          <w:tcPr>
            <w:tcW w:w="624" w:type="pct"/>
            <w:vMerge w:val="restart"/>
            <w:tcBorders>
              <w:top w:val="single" w:sz="2" w:space="0" w:color="auto"/>
              <w:left w:val="single" w:sz="2" w:space="0" w:color="auto"/>
              <w:bottom w:val="single" w:sz="2" w:space="0" w:color="auto"/>
              <w:right w:val="single" w:sz="2" w:space="0" w:color="auto"/>
            </w:tcBorders>
            <w:vAlign w:val="center"/>
          </w:tcPr>
          <w:p w:rsidR="00510574" w:rsidRPr="00AD3737" w:rsidRDefault="00510574" w:rsidP="0076503C">
            <w:pPr>
              <w:keepNext/>
              <w:spacing w:after="0"/>
              <w:jc w:val="left"/>
              <w:rPr>
                <w:rFonts w:ascii="Times" w:hAnsi="Times"/>
                <w:sz w:val="18"/>
                <w:szCs w:val="18"/>
              </w:rPr>
            </w:pPr>
            <w:r w:rsidRPr="00420413">
              <w:rPr>
                <w:rFonts w:ascii="Times" w:hAnsi="Times"/>
                <w:sz w:val="18"/>
                <w:szCs w:val="18"/>
              </w:rPr>
              <w:t>Group 2</w:t>
            </w:r>
          </w:p>
        </w:tc>
        <w:tc>
          <w:tcPr>
            <w:tcW w:w="469" w:type="pct"/>
            <w:tcBorders>
              <w:top w:val="single" w:sz="2" w:space="0" w:color="auto"/>
              <w:left w:val="single" w:sz="2" w:space="0" w:color="auto"/>
              <w:bottom w:val="single" w:sz="2" w:space="0" w:color="auto"/>
              <w:right w:val="single" w:sz="2" w:space="0" w:color="auto"/>
            </w:tcBorders>
            <w:vAlign w:val="center"/>
          </w:tcPr>
          <w:p w:rsidR="00510574" w:rsidRPr="002D7FBB" w:rsidRDefault="00510574" w:rsidP="0076503C">
            <w:pPr>
              <w:keepNext/>
              <w:spacing w:after="0"/>
              <w:jc w:val="left"/>
              <w:rPr>
                <w:rFonts w:ascii="Times" w:hAnsi="Times"/>
                <w:b/>
                <w:sz w:val="18"/>
              </w:rPr>
            </w:pPr>
            <w:r w:rsidRPr="00DF35F3">
              <w:rPr>
                <w:rFonts w:ascii="Times" w:hAnsi="Times"/>
                <w:b/>
                <w:sz w:val="18"/>
              </w:rPr>
              <w:t>2017</w:t>
            </w:r>
          </w:p>
        </w:tc>
        <w:tc>
          <w:tcPr>
            <w:tcW w:w="753" w:type="pct"/>
            <w:tcBorders>
              <w:top w:val="single" w:sz="2" w:space="0" w:color="auto"/>
              <w:left w:val="single" w:sz="2" w:space="0" w:color="auto"/>
              <w:bottom w:val="single" w:sz="2" w:space="0" w:color="auto"/>
              <w:right w:val="single" w:sz="2" w:space="0" w:color="auto"/>
            </w:tcBorders>
            <w:vAlign w:val="center"/>
          </w:tcPr>
          <w:p w:rsidR="00510574" w:rsidRPr="00AD3737" w:rsidRDefault="00225426" w:rsidP="00225426">
            <w:pPr>
              <w:keepNext/>
              <w:spacing w:after="0"/>
              <w:jc w:val="left"/>
              <w:rPr>
                <w:rFonts w:ascii="Times" w:hAnsi="Times"/>
                <w:sz w:val="18"/>
                <w:szCs w:val="18"/>
              </w:rPr>
            </w:pPr>
            <w:r>
              <w:rPr>
                <w:rFonts w:ascii="Times" w:hAnsi="Times"/>
                <w:sz w:val="18"/>
              </w:rPr>
              <w:t>[10-20]</w:t>
            </w:r>
            <w:r w:rsidR="00510574" w:rsidRPr="00420413">
              <w:rPr>
                <w:rFonts w:ascii="Times" w:hAnsi="Times"/>
                <w:sz w:val="18"/>
              </w:rPr>
              <w:t>%</w:t>
            </w:r>
            <w:r>
              <w:rPr>
                <w:rFonts w:ascii="Times" w:hAnsi="Times"/>
                <w:sz w:val="18"/>
              </w:rPr>
              <w:t xml:space="preserve">  </w:t>
            </w:r>
            <w:r w:rsidR="00510574" w:rsidRPr="00420413">
              <w:rPr>
                <w:rFonts w:ascii="Times" w:hAnsi="Times"/>
                <w:sz w:val="18"/>
              </w:rPr>
              <w:t>/</w:t>
            </w:r>
            <w:r>
              <w:rPr>
                <w:rFonts w:ascii="Times" w:hAnsi="Times"/>
                <w:sz w:val="18"/>
              </w:rPr>
              <w:t>[40-50]</w:t>
            </w:r>
            <w:r w:rsidR="00510574" w:rsidRPr="00420413">
              <w:rPr>
                <w:rFonts w:ascii="Times" w:hAnsi="Times"/>
                <w:sz w:val="18"/>
              </w:rPr>
              <w:t>%</w:t>
            </w:r>
          </w:p>
        </w:tc>
        <w:tc>
          <w:tcPr>
            <w:tcW w:w="675" w:type="pct"/>
            <w:tcBorders>
              <w:top w:val="single" w:sz="2" w:space="0" w:color="auto"/>
              <w:left w:val="single" w:sz="2" w:space="0" w:color="auto"/>
              <w:bottom w:val="single" w:sz="2" w:space="0" w:color="auto"/>
              <w:right w:val="single" w:sz="2" w:space="0" w:color="auto"/>
            </w:tcBorders>
            <w:vAlign w:val="center"/>
          </w:tcPr>
          <w:p w:rsidR="00510574" w:rsidRPr="00AD3737" w:rsidRDefault="00FD0EDE" w:rsidP="00FD0EDE">
            <w:pPr>
              <w:keepNext/>
              <w:spacing w:after="0"/>
              <w:jc w:val="left"/>
              <w:rPr>
                <w:rFonts w:ascii="Times" w:hAnsi="Times"/>
                <w:sz w:val="18"/>
                <w:szCs w:val="18"/>
              </w:rPr>
            </w:pPr>
            <w:r>
              <w:rPr>
                <w:rFonts w:ascii="Times" w:hAnsi="Times"/>
                <w:sz w:val="18"/>
              </w:rPr>
              <w:t>[</w:t>
            </w:r>
            <w:r w:rsidR="00510574" w:rsidRPr="00420413">
              <w:rPr>
                <w:rFonts w:ascii="Times" w:hAnsi="Times"/>
                <w:sz w:val="18"/>
              </w:rPr>
              <w:t>20</w:t>
            </w:r>
            <w:r>
              <w:rPr>
                <w:rFonts w:ascii="Times" w:hAnsi="Times"/>
                <w:sz w:val="18"/>
              </w:rPr>
              <w:t>-30]</w:t>
            </w:r>
            <w:r w:rsidR="00510574" w:rsidRPr="00420413">
              <w:rPr>
                <w:rFonts w:ascii="Times" w:hAnsi="Times"/>
                <w:sz w:val="18"/>
              </w:rPr>
              <w:t>%</w:t>
            </w:r>
            <w:r>
              <w:rPr>
                <w:rFonts w:ascii="Times" w:hAnsi="Times"/>
                <w:sz w:val="18"/>
              </w:rPr>
              <w:t xml:space="preserve"> </w:t>
            </w:r>
            <w:r w:rsidR="00510574" w:rsidRPr="00420413">
              <w:rPr>
                <w:rFonts w:ascii="Times" w:hAnsi="Times"/>
                <w:sz w:val="18"/>
              </w:rPr>
              <w:t>/</w:t>
            </w:r>
            <w:r>
              <w:rPr>
                <w:rFonts w:ascii="Times" w:hAnsi="Times"/>
                <w:sz w:val="18"/>
              </w:rPr>
              <w:t>[5-10]</w:t>
            </w:r>
            <w:r w:rsidR="00510574" w:rsidRPr="00420413">
              <w:rPr>
                <w:rFonts w:ascii="Times" w:hAnsi="Times"/>
                <w:sz w:val="18"/>
              </w:rPr>
              <w:t>%</w:t>
            </w:r>
          </w:p>
        </w:tc>
        <w:tc>
          <w:tcPr>
            <w:tcW w:w="640" w:type="pct"/>
            <w:tcBorders>
              <w:top w:val="single" w:sz="2" w:space="0" w:color="auto"/>
              <w:left w:val="single" w:sz="2" w:space="0" w:color="auto"/>
              <w:bottom w:val="single" w:sz="2" w:space="0" w:color="auto"/>
              <w:right w:val="single" w:sz="2" w:space="0" w:color="auto"/>
            </w:tcBorders>
            <w:vAlign w:val="center"/>
          </w:tcPr>
          <w:p w:rsidR="00510574" w:rsidRPr="00AD3737" w:rsidRDefault="00FD0EDE" w:rsidP="00FD0EDE">
            <w:pPr>
              <w:keepNext/>
              <w:spacing w:after="0"/>
              <w:jc w:val="left"/>
              <w:rPr>
                <w:rFonts w:ascii="Times" w:hAnsi="Times"/>
                <w:sz w:val="18"/>
                <w:szCs w:val="18"/>
              </w:rPr>
            </w:pPr>
            <w:r>
              <w:rPr>
                <w:rFonts w:ascii="Times" w:hAnsi="Times"/>
                <w:sz w:val="18"/>
              </w:rPr>
              <w:t>[</w:t>
            </w:r>
            <w:r w:rsidR="00510574" w:rsidRPr="00420413">
              <w:rPr>
                <w:rFonts w:ascii="Times" w:hAnsi="Times"/>
                <w:sz w:val="18"/>
              </w:rPr>
              <w:t>3</w:t>
            </w:r>
            <w:r>
              <w:rPr>
                <w:rFonts w:ascii="Times" w:hAnsi="Times"/>
                <w:sz w:val="18"/>
              </w:rPr>
              <w:t>0-40]</w:t>
            </w:r>
            <w:r w:rsidR="00510574" w:rsidRPr="00420413">
              <w:rPr>
                <w:rFonts w:ascii="Times" w:hAnsi="Times"/>
                <w:sz w:val="18"/>
              </w:rPr>
              <w:t>%</w:t>
            </w:r>
            <w:r>
              <w:rPr>
                <w:rFonts w:ascii="Times" w:hAnsi="Times"/>
                <w:sz w:val="18"/>
              </w:rPr>
              <w:t xml:space="preserve"> </w:t>
            </w:r>
            <w:r w:rsidR="00510574" w:rsidRPr="00420413">
              <w:rPr>
                <w:rFonts w:ascii="Times" w:hAnsi="Times"/>
                <w:sz w:val="18"/>
              </w:rPr>
              <w:t>/</w:t>
            </w:r>
            <w:r>
              <w:rPr>
                <w:rFonts w:ascii="Times" w:hAnsi="Times"/>
                <w:sz w:val="18"/>
              </w:rPr>
              <w:t>[40-50]</w:t>
            </w:r>
            <w:r w:rsidR="00510574" w:rsidRPr="00420413">
              <w:rPr>
                <w:rFonts w:ascii="Times" w:hAnsi="Times"/>
                <w:sz w:val="18"/>
              </w:rPr>
              <w:t>%</w:t>
            </w:r>
          </w:p>
        </w:tc>
        <w:tc>
          <w:tcPr>
            <w:tcW w:w="910" w:type="pct"/>
            <w:tcBorders>
              <w:top w:val="single" w:sz="2" w:space="0" w:color="auto"/>
              <w:left w:val="single" w:sz="2" w:space="0" w:color="auto"/>
              <w:bottom w:val="single" w:sz="2" w:space="0" w:color="auto"/>
              <w:right w:val="single" w:sz="2" w:space="0" w:color="auto"/>
            </w:tcBorders>
            <w:vAlign w:val="center"/>
          </w:tcPr>
          <w:p w:rsidR="00510574" w:rsidRPr="00AD3737" w:rsidRDefault="00510574" w:rsidP="0076503C">
            <w:pPr>
              <w:keepNext/>
              <w:spacing w:after="0"/>
              <w:jc w:val="left"/>
              <w:rPr>
                <w:rFonts w:ascii="Times" w:hAnsi="Times"/>
                <w:sz w:val="18"/>
                <w:szCs w:val="18"/>
              </w:rPr>
            </w:pPr>
            <w:r w:rsidRPr="00420413">
              <w:rPr>
                <w:rFonts w:ascii="Times" w:hAnsi="Times"/>
                <w:sz w:val="18"/>
              </w:rPr>
              <w:t>At least 2</w:t>
            </w:r>
          </w:p>
        </w:tc>
      </w:tr>
      <w:tr w:rsidR="00FD0EDE" w:rsidRPr="00AD3737" w:rsidTr="0076503C">
        <w:trPr>
          <w:trHeight w:val="275"/>
        </w:trPr>
        <w:tc>
          <w:tcPr>
            <w:tcW w:w="929" w:type="pct"/>
            <w:vMerge/>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624" w:type="pct"/>
            <w:vMerge/>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469" w:type="pct"/>
            <w:tcBorders>
              <w:top w:val="single" w:sz="2" w:space="0" w:color="auto"/>
              <w:left w:val="single" w:sz="2" w:space="0" w:color="auto"/>
              <w:bottom w:val="single" w:sz="2" w:space="0" w:color="auto"/>
              <w:right w:val="single" w:sz="2" w:space="0" w:color="auto"/>
            </w:tcBorders>
            <w:vAlign w:val="center"/>
          </w:tcPr>
          <w:p w:rsidR="00FD0EDE" w:rsidRPr="00DF35F3" w:rsidRDefault="00FD0EDE" w:rsidP="0076503C">
            <w:pPr>
              <w:keepNext/>
              <w:spacing w:after="0"/>
              <w:jc w:val="left"/>
              <w:rPr>
                <w:rFonts w:ascii="Times" w:hAnsi="Times"/>
                <w:b/>
                <w:sz w:val="18"/>
              </w:rPr>
            </w:pPr>
            <w:r>
              <w:rPr>
                <w:rFonts w:ascii="Times" w:hAnsi="Times"/>
                <w:b/>
                <w:sz w:val="18"/>
              </w:rPr>
              <w:t>2016</w:t>
            </w:r>
          </w:p>
        </w:tc>
        <w:tc>
          <w:tcPr>
            <w:tcW w:w="753"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225426">
            <w:pPr>
              <w:keepNext/>
              <w:spacing w:after="0"/>
              <w:jc w:val="left"/>
              <w:rPr>
                <w:rFonts w:ascii="Times" w:hAnsi="Times"/>
                <w:sz w:val="18"/>
                <w:szCs w:val="18"/>
              </w:rPr>
            </w:pPr>
            <w:r>
              <w:rPr>
                <w:rFonts w:ascii="Times" w:hAnsi="Times"/>
                <w:sz w:val="18"/>
              </w:rPr>
              <w:t>[20-30]%  /[40-50]%</w:t>
            </w:r>
          </w:p>
        </w:tc>
        <w:tc>
          <w:tcPr>
            <w:tcW w:w="675"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rPr>
              <w:t>[</w:t>
            </w:r>
            <w:r w:rsidRPr="00420413">
              <w:rPr>
                <w:rFonts w:ascii="Times" w:hAnsi="Times"/>
                <w:sz w:val="18"/>
              </w:rPr>
              <w:t>20</w:t>
            </w:r>
            <w:r>
              <w:rPr>
                <w:rFonts w:ascii="Times" w:hAnsi="Times"/>
                <w:sz w:val="18"/>
              </w:rPr>
              <w:t>-30]</w:t>
            </w:r>
            <w:r w:rsidRPr="00420413">
              <w:rPr>
                <w:rFonts w:ascii="Times" w:hAnsi="Times"/>
                <w:sz w:val="18"/>
              </w:rPr>
              <w:t>%</w:t>
            </w:r>
            <w:r>
              <w:rPr>
                <w:rFonts w:ascii="Times" w:hAnsi="Times"/>
                <w:sz w:val="18"/>
              </w:rPr>
              <w:t xml:space="preserve"> </w:t>
            </w:r>
            <w:r w:rsidRPr="00420413">
              <w:rPr>
                <w:rFonts w:ascii="Times" w:hAnsi="Times"/>
                <w:sz w:val="18"/>
              </w:rPr>
              <w:t>/</w:t>
            </w:r>
            <w:r>
              <w:rPr>
                <w:rFonts w:ascii="Times" w:hAnsi="Times"/>
                <w:sz w:val="18"/>
              </w:rPr>
              <w:t>[5-10]</w:t>
            </w:r>
            <w:r w:rsidRPr="00420413">
              <w:rPr>
                <w:rFonts w:ascii="Times" w:hAnsi="Times"/>
                <w:sz w:val="18"/>
              </w:rPr>
              <w:t>%</w:t>
            </w:r>
          </w:p>
        </w:tc>
        <w:tc>
          <w:tcPr>
            <w:tcW w:w="640"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FD0EDE">
            <w:pPr>
              <w:keepNext/>
              <w:spacing w:after="0"/>
              <w:jc w:val="left"/>
              <w:rPr>
                <w:rFonts w:ascii="Times" w:hAnsi="Times"/>
                <w:sz w:val="18"/>
                <w:szCs w:val="18"/>
              </w:rPr>
            </w:pPr>
            <w:r>
              <w:rPr>
                <w:rFonts w:ascii="Times" w:hAnsi="Times"/>
                <w:sz w:val="18"/>
              </w:rPr>
              <w:t>[40-50]% /[40-50]%</w:t>
            </w:r>
          </w:p>
        </w:tc>
        <w:tc>
          <w:tcPr>
            <w:tcW w:w="910"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rPr>
              <w:t>At least 3</w:t>
            </w:r>
          </w:p>
        </w:tc>
      </w:tr>
      <w:tr w:rsidR="00FD0EDE" w:rsidRPr="00AD3737" w:rsidTr="00FF4418">
        <w:trPr>
          <w:trHeight w:val="275"/>
        </w:trPr>
        <w:tc>
          <w:tcPr>
            <w:tcW w:w="929" w:type="pct"/>
            <w:vMerge/>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624" w:type="pct"/>
            <w:vMerge/>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469" w:type="pct"/>
            <w:tcBorders>
              <w:top w:val="single" w:sz="2" w:space="0" w:color="auto"/>
              <w:left w:val="single" w:sz="2" w:space="0" w:color="auto"/>
              <w:bottom w:val="single" w:sz="2" w:space="0" w:color="auto"/>
              <w:right w:val="single" w:sz="2" w:space="0" w:color="auto"/>
            </w:tcBorders>
            <w:vAlign w:val="center"/>
          </w:tcPr>
          <w:p w:rsidR="00FD0EDE" w:rsidRPr="00DF35F3" w:rsidRDefault="00FD0EDE" w:rsidP="0076503C">
            <w:pPr>
              <w:keepNext/>
              <w:spacing w:after="0"/>
              <w:jc w:val="left"/>
              <w:rPr>
                <w:rFonts w:ascii="Times" w:hAnsi="Times"/>
                <w:b/>
                <w:sz w:val="18"/>
              </w:rPr>
            </w:pPr>
            <w:r>
              <w:rPr>
                <w:rFonts w:ascii="Times" w:hAnsi="Times"/>
                <w:b/>
                <w:sz w:val="18"/>
              </w:rPr>
              <w:t>2015</w:t>
            </w:r>
          </w:p>
        </w:tc>
        <w:tc>
          <w:tcPr>
            <w:tcW w:w="753"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rPr>
              <w:t>[10-20]</w:t>
            </w:r>
            <w:r w:rsidRPr="00420413">
              <w:rPr>
                <w:rFonts w:ascii="Times" w:hAnsi="Times"/>
                <w:sz w:val="18"/>
              </w:rPr>
              <w:t>%</w:t>
            </w:r>
            <w:r>
              <w:rPr>
                <w:rFonts w:ascii="Times" w:hAnsi="Times"/>
                <w:sz w:val="18"/>
              </w:rPr>
              <w:t xml:space="preserve">  </w:t>
            </w:r>
            <w:r w:rsidRPr="00420413">
              <w:rPr>
                <w:rFonts w:ascii="Times" w:hAnsi="Times"/>
                <w:sz w:val="18"/>
              </w:rPr>
              <w:t>/</w:t>
            </w:r>
            <w:r>
              <w:rPr>
                <w:rFonts w:ascii="Times" w:hAnsi="Times"/>
                <w:sz w:val="18"/>
              </w:rPr>
              <w:t>[40-50]</w:t>
            </w:r>
            <w:r w:rsidRPr="00420413">
              <w:rPr>
                <w:rFonts w:ascii="Times" w:hAnsi="Times"/>
                <w:sz w:val="18"/>
              </w:rPr>
              <w:t>%</w:t>
            </w:r>
          </w:p>
        </w:tc>
        <w:tc>
          <w:tcPr>
            <w:tcW w:w="675"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rPr>
              <w:t>[</w:t>
            </w:r>
            <w:r w:rsidRPr="00420413">
              <w:rPr>
                <w:rFonts w:ascii="Times" w:hAnsi="Times"/>
                <w:sz w:val="18"/>
              </w:rPr>
              <w:t>20</w:t>
            </w:r>
            <w:r>
              <w:rPr>
                <w:rFonts w:ascii="Times" w:hAnsi="Times"/>
                <w:sz w:val="18"/>
              </w:rPr>
              <w:t>-30]</w:t>
            </w:r>
            <w:r w:rsidRPr="00420413">
              <w:rPr>
                <w:rFonts w:ascii="Times" w:hAnsi="Times"/>
                <w:sz w:val="18"/>
              </w:rPr>
              <w:t>%</w:t>
            </w:r>
            <w:r>
              <w:rPr>
                <w:rFonts w:ascii="Times" w:hAnsi="Times"/>
                <w:sz w:val="18"/>
              </w:rPr>
              <w:t xml:space="preserve"> </w:t>
            </w:r>
            <w:r w:rsidRPr="00420413">
              <w:rPr>
                <w:rFonts w:ascii="Times" w:hAnsi="Times"/>
                <w:sz w:val="18"/>
              </w:rPr>
              <w:t>/</w:t>
            </w:r>
            <w:r>
              <w:rPr>
                <w:rFonts w:ascii="Times" w:hAnsi="Times"/>
                <w:sz w:val="18"/>
              </w:rPr>
              <w:t>[5-10]</w:t>
            </w:r>
            <w:r w:rsidRPr="00420413">
              <w:rPr>
                <w:rFonts w:ascii="Times" w:hAnsi="Times"/>
                <w:sz w:val="18"/>
              </w:rPr>
              <w:t>%</w:t>
            </w:r>
          </w:p>
        </w:tc>
        <w:tc>
          <w:tcPr>
            <w:tcW w:w="640"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rPr>
              <w:t>[40-50]% /[40-50]%</w:t>
            </w:r>
          </w:p>
        </w:tc>
        <w:tc>
          <w:tcPr>
            <w:tcW w:w="910"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rPr>
              <w:t>At least 3</w:t>
            </w:r>
          </w:p>
        </w:tc>
      </w:tr>
    </w:tbl>
    <w:p w:rsidR="00285B8A" w:rsidRPr="009911D5" w:rsidRDefault="00285B8A" w:rsidP="00CF47FF">
      <w:pPr>
        <w:pStyle w:val="ListNumber"/>
        <w:numPr>
          <w:ilvl w:val="0"/>
          <w:numId w:val="0"/>
        </w:numPr>
        <w:spacing w:after="0"/>
        <w:ind w:left="709" w:hanging="709"/>
        <w:rPr>
          <w:rFonts w:eastAsia="Calibri"/>
          <w:i/>
          <w:lang w:val="en-US"/>
        </w:rPr>
      </w:pPr>
    </w:p>
    <w:p w:rsidR="00285B8A" w:rsidRPr="00AD3737" w:rsidRDefault="00285B8A" w:rsidP="00285B8A">
      <w:pPr>
        <w:pStyle w:val="ListNumber"/>
        <w:rPr>
          <w:i/>
        </w:rPr>
      </w:pPr>
      <w:r>
        <w:t xml:space="preserve">The Parties' combined market share for </w:t>
      </w:r>
      <w:r w:rsidRPr="00EB3079">
        <w:rPr>
          <w:i/>
        </w:rPr>
        <w:t>paracetamol</w:t>
      </w:r>
      <w:r>
        <w:t xml:space="preserve">-based general pain relief products in Lithuania is </w:t>
      </w:r>
      <w:r w:rsidR="00FD0EDE">
        <w:t>[30-40]</w:t>
      </w:r>
      <w:r>
        <w:t xml:space="preserve">% in value and </w:t>
      </w:r>
      <w:r w:rsidR="00FD0EDE">
        <w:t>[</w:t>
      </w:r>
      <w:r>
        <w:t>4</w:t>
      </w:r>
      <w:r w:rsidR="00FD0EDE">
        <w:t>0-50]</w:t>
      </w:r>
      <w:r>
        <w:t xml:space="preserve">% in volume. </w:t>
      </w:r>
      <w:r w:rsidRPr="005346DC">
        <w:rPr>
          <w:rFonts w:eastAsia="Calibri"/>
          <w:lang w:val="en-US"/>
        </w:rPr>
        <w:t xml:space="preserve">The increment brought by the Transaction </w:t>
      </w:r>
      <w:r>
        <w:rPr>
          <w:rFonts w:eastAsia="Calibri"/>
          <w:lang w:val="en-US"/>
        </w:rPr>
        <w:t xml:space="preserve">is </w:t>
      </w:r>
      <w:r w:rsidR="00FD0EDE">
        <w:rPr>
          <w:rFonts w:eastAsia="Calibri"/>
          <w:lang w:val="en-US"/>
        </w:rPr>
        <w:t>[</w:t>
      </w:r>
      <w:r>
        <w:rPr>
          <w:rFonts w:eastAsia="Calibri"/>
          <w:lang w:val="en-US"/>
        </w:rPr>
        <w:t>20</w:t>
      </w:r>
      <w:r w:rsidR="00FD0EDE">
        <w:rPr>
          <w:rFonts w:eastAsia="Calibri"/>
          <w:lang w:val="en-US"/>
        </w:rPr>
        <w:t>-30]</w:t>
      </w:r>
      <w:r>
        <w:rPr>
          <w:rFonts w:eastAsia="Calibri"/>
          <w:lang w:val="en-US"/>
        </w:rPr>
        <w:t xml:space="preserve">% in value and </w:t>
      </w:r>
      <w:r w:rsidR="00FD0EDE">
        <w:rPr>
          <w:rFonts w:eastAsia="Calibri"/>
          <w:lang w:val="en-US"/>
        </w:rPr>
        <w:t>[5-10]</w:t>
      </w:r>
      <w:r>
        <w:rPr>
          <w:rFonts w:eastAsia="Calibri"/>
          <w:lang w:val="en-US"/>
        </w:rPr>
        <w:t xml:space="preserve">% in volume. Post-Transaction, </w:t>
      </w:r>
      <w:r>
        <w:t xml:space="preserve">the combined entity will continue to face competitive constraints from </w:t>
      </w:r>
      <w:r w:rsidRPr="00973614">
        <w:t xml:space="preserve">at least </w:t>
      </w:r>
      <w:r w:rsidR="00502FD8" w:rsidRPr="00A847CC">
        <w:t>2</w:t>
      </w:r>
      <w:r w:rsidRPr="00973614">
        <w:t xml:space="preserve"> competitors with a mark</w:t>
      </w:r>
      <w:r>
        <w:t xml:space="preserve">et share </w:t>
      </w:r>
      <w:r w:rsidR="003C719C">
        <w:t xml:space="preserve">of </w:t>
      </w:r>
      <w:r>
        <w:t>5%</w:t>
      </w:r>
      <w:r w:rsidR="003C719C">
        <w:t xml:space="preserve"> or more</w:t>
      </w:r>
      <w:r>
        <w:t xml:space="preserve"> in value</w:t>
      </w:r>
      <w:r w:rsidR="00502FD8" w:rsidRPr="00502FD8">
        <w:t xml:space="preserve"> an</w:t>
      </w:r>
      <w:r w:rsidR="00502FD8" w:rsidRPr="00580991">
        <w:t>d</w:t>
      </w:r>
      <w:r w:rsidR="00502FD8" w:rsidRPr="0002104E">
        <w:t xml:space="preserve"> volume</w:t>
      </w:r>
      <w:r w:rsidRPr="0002104E">
        <w:t>.</w:t>
      </w:r>
      <w:r>
        <w:t xml:space="preserve">  These competitors are Us Pharmacia </w:t>
      </w:r>
      <w:r w:rsidR="009C76B0" w:rsidRPr="001004BA">
        <w:t>with its Apap line of products</w:t>
      </w:r>
      <w:r>
        <w:t xml:space="preserve"> (with a share of </w:t>
      </w:r>
      <w:r w:rsidR="00FD0EDE">
        <w:t>[30-40]</w:t>
      </w:r>
      <w:r>
        <w:t>% in value</w:t>
      </w:r>
      <w:r w:rsidR="00D3370B">
        <w:t xml:space="preserve"> and </w:t>
      </w:r>
      <w:r w:rsidR="00FD0EDE">
        <w:t>[</w:t>
      </w:r>
      <w:r w:rsidR="00D3370B">
        <w:t>20</w:t>
      </w:r>
      <w:r w:rsidR="00FD0EDE">
        <w:t>-30]</w:t>
      </w:r>
      <w:r w:rsidR="00D3370B">
        <w:t>% in volume</w:t>
      </w:r>
      <w:r>
        <w:t>)</w:t>
      </w:r>
      <w:r w:rsidR="00D3370B">
        <w:t xml:space="preserve"> and</w:t>
      </w:r>
      <w:r>
        <w:t xml:space="preserve"> Valeant </w:t>
      </w:r>
      <w:r w:rsidR="009C76B0" w:rsidRPr="001004BA">
        <w:t xml:space="preserve">with its unbranded </w:t>
      </w:r>
      <w:r w:rsidR="009C76B0" w:rsidRPr="004F4BE3">
        <w:rPr>
          <w:i/>
        </w:rPr>
        <w:t xml:space="preserve">paracetamol </w:t>
      </w:r>
      <w:r>
        <w:t>(</w:t>
      </w:r>
      <w:r w:rsidR="00FD0EDE">
        <w:t>[</w:t>
      </w:r>
      <w:r>
        <w:t>1</w:t>
      </w:r>
      <w:r w:rsidR="00FD0EDE">
        <w:t>0-20]</w:t>
      </w:r>
      <w:r>
        <w:t>% in value</w:t>
      </w:r>
      <w:r w:rsidR="00D3370B">
        <w:t xml:space="preserve"> and </w:t>
      </w:r>
      <w:r w:rsidR="00FD0EDE">
        <w:t>[20-30]</w:t>
      </w:r>
      <w:r w:rsidR="00D3370B">
        <w:t>% in volume)</w:t>
      </w:r>
      <w:r>
        <w:t xml:space="preserve">. </w:t>
      </w:r>
    </w:p>
    <w:p w:rsidR="00285B8A" w:rsidRPr="00AD3737" w:rsidRDefault="00285B8A" w:rsidP="00285B8A">
      <w:pPr>
        <w:pStyle w:val="ListNumber"/>
        <w:rPr>
          <w:i/>
        </w:rPr>
      </w:pPr>
      <w:r>
        <w:t>Moreover, the products of the Parties do not compete closely – if at all.  Each of them has a different galenic form</w:t>
      </w:r>
      <w:r w:rsidR="009C3767">
        <w:t>,</w:t>
      </w:r>
      <w:r>
        <w:t xml:space="preserve"> dosage</w:t>
      </w:r>
      <w:r w:rsidR="009C3767">
        <w:t xml:space="preserve">, </w:t>
      </w:r>
      <w:r>
        <w:t>and</w:t>
      </w:r>
      <w:r w:rsidRPr="00EE0293">
        <w:t xml:space="preserve"> </w:t>
      </w:r>
      <w:r>
        <w:t xml:space="preserve">target audience. While Teva's Paracetamol ACT is oral and available in 500mg tablets, PGT's Paracetamol RPH is a suppository and it is made available in formulations of 125mg and 250mg.  Teva's product is indicated for adults while PGT's drug is for children.  </w:t>
      </w:r>
    </w:p>
    <w:p w:rsidR="00285B8A" w:rsidRPr="004B2EAB" w:rsidRDefault="009C3767" w:rsidP="00285B8A">
      <w:pPr>
        <w:pStyle w:val="ListNumber"/>
        <w:rPr>
          <w:rFonts w:eastAsia="Calibri"/>
          <w:i/>
          <w:lang w:val="en-US"/>
        </w:rPr>
      </w:pPr>
      <w:r>
        <w:t>Finally,</w:t>
      </w:r>
      <w:r w:rsidRPr="005B1C96">
        <w:t xml:space="preserve"> </w:t>
      </w:r>
      <w:r>
        <w:t xml:space="preserve">the market investigation did not reveal any </w:t>
      </w:r>
      <w:r w:rsidRPr="009C3767">
        <w:rPr>
          <w:rFonts w:eastAsia="Calibri"/>
          <w:szCs w:val="24"/>
        </w:rPr>
        <w:t>competition concerns in</w:t>
      </w:r>
      <w:r w:rsidRPr="009C3767" w:rsidDel="00A2241C">
        <w:rPr>
          <w:rFonts w:ascii="Times" w:eastAsia="Calibri" w:hAnsi="Times"/>
          <w:szCs w:val="24"/>
        </w:rPr>
        <w:t xml:space="preserve"> </w:t>
      </w:r>
      <w:r w:rsidRPr="009C3767">
        <w:rPr>
          <w:rFonts w:ascii="Times" w:eastAsia="Calibri" w:hAnsi="Times"/>
          <w:szCs w:val="24"/>
        </w:rPr>
        <w:t xml:space="preserve">relation to </w:t>
      </w:r>
      <w:r w:rsidRPr="009C3767">
        <w:rPr>
          <w:rFonts w:eastAsia="Calibri"/>
          <w:i/>
        </w:rPr>
        <w:t>paracetamol</w:t>
      </w:r>
      <w:r w:rsidRPr="009C3767">
        <w:rPr>
          <w:rFonts w:eastAsia="Calibri"/>
          <w:szCs w:val="24"/>
        </w:rPr>
        <w:t xml:space="preserve">-based </w:t>
      </w:r>
      <w:r w:rsidR="00285B8A">
        <w:rPr>
          <w:rFonts w:eastAsia="Calibri"/>
          <w:szCs w:val="24"/>
        </w:rPr>
        <w:t>general pain relief products</w:t>
      </w:r>
      <w:r w:rsidR="00285B8A" w:rsidRPr="003814A7">
        <w:rPr>
          <w:rFonts w:eastAsia="Calibri"/>
          <w:szCs w:val="24"/>
        </w:rPr>
        <w:t xml:space="preserve"> in </w:t>
      </w:r>
      <w:r w:rsidR="00285B8A">
        <w:rPr>
          <w:rFonts w:eastAsia="Calibri"/>
          <w:szCs w:val="24"/>
        </w:rPr>
        <w:t>Lithuania.</w:t>
      </w:r>
      <w:r w:rsidR="00285B8A" w:rsidRPr="004B2EAB">
        <w:rPr>
          <w:rFonts w:ascii="Calibri" w:eastAsia="Calibri" w:hAnsi="Calibri"/>
          <w:sz w:val="20"/>
          <w:vertAlign w:val="superscript"/>
          <w:lang w:val="en-US"/>
        </w:rPr>
        <w:footnoteReference w:id="38"/>
      </w:r>
    </w:p>
    <w:p w:rsidR="00285B8A" w:rsidRPr="007E50B6" w:rsidRDefault="00814F0F" w:rsidP="00285B8A">
      <w:pPr>
        <w:pStyle w:val="ListNumber"/>
      </w:pPr>
      <w:r w:rsidRPr="00546F00">
        <w:rPr>
          <w:rFonts w:ascii="Times" w:hAnsi="Times"/>
          <w:szCs w:val="24"/>
        </w:rPr>
        <w:t xml:space="preserve">In view of the above, the Commission concludes that </w:t>
      </w:r>
      <w:r>
        <w:rPr>
          <w:rFonts w:ascii="Times" w:hAnsi="Times"/>
          <w:szCs w:val="24"/>
        </w:rPr>
        <w:t xml:space="preserve">the Transaction does not raise serious doubts as to its compatibility with the internal market regarding </w:t>
      </w:r>
      <w:r w:rsidR="00285B8A" w:rsidRPr="00394E30">
        <w:rPr>
          <w:i/>
        </w:rPr>
        <w:t>paracetamol</w:t>
      </w:r>
      <w:r w:rsidR="00285B8A">
        <w:t xml:space="preserve">-based </w:t>
      </w:r>
      <w:r w:rsidR="00285B8A">
        <w:rPr>
          <w:rFonts w:eastAsia="Calibri"/>
          <w:szCs w:val="24"/>
        </w:rPr>
        <w:t>general pain relief products</w:t>
      </w:r>
      <w:r w:rsidR="00285B8A" w:rsidRPr="003814A7">
        <w:rPr>
          <w:rFonts w:eastAsia="Calibri"/>
          <w:szCs w:val="24"/>
        </w:rPr>
        <w:t xml:space="preserve"> </w:t>
      </w:r>
      <w:r w:rsidR="00285B8A">
        <w:t xml:space="preserve">in </w:t>
      </w:r>
      <w:r w:rsidR="00285B8A">
        <w:rPr>
          <w:rFonts w:eastAsia="Calibri"/>
          <w:szCs w:val="24"/>
        </w:rPr>
        <w:t>Lithuania</w:t>
      </w:r>
      <w:r w:rsidR="00285B8A" w:rsidRPr="00CD2ECB">
        <w:t>.</w:t>
      </w:r>
    </w:p>
    <w:p w:rsidR="00A95B38" w:rsidRDefault="00A95B38" w:rsidP="00A95B38">
      <w:pPr>
        <w:pStyle w:val="Heading3"/>
      </w:pPr>
      <w:bookmarkStart w:id="74" w:name="_Toc517709573"/>
      <w:bookmarkStart w:id="75" w:name="_Toc517710219"/>
      <w:bookmarkStart w:id="76" w:name="_Toc517710390"/>
      <w:bookmarkStart w:id="77" w:name="_Toc517710972"/>
      <w:bookmarkStart w:id="78" w:name="_Toc517714067"/>
      <w:bookmarkStart w:id="79" w:name="_Ref517709426"/>
      <w:bookmarkStart w:id="80" w:name="_Toc517710391"/>
      <w:bookmarkStart w:id="81" w:name="_Toc517812919"/>
      <w:bookmarkEnd w:id="74"/>
      <w:bookmarkEnd w:id="75"/>
      <w:bookmarkEnd w:id="76"/>
      <w:bookmarkEnd w:id="77"/>
      <w:bookmarkEnd w:id="78"/>
      <w:r>
        <w:t>H</w:t>
      </w:r>
      <w:r w:rsidRPr="002D2887">
        <w:t xml:space="preserve">eart attack prevention </w:t>
      </w:r>
      <w:r>
        <w:t xml:space="preserve">products </w:t>
      </w:r>
      <w:r w:rsidRPr="002D2887">
        <w:t>in Hungary</w:t>
      </w:r>
      <w:bookmarkEnd w:id="72"/>
      <w:bookmarkEnd w:id="73"/>
      <w:bookmarkEnd w:id="79"/>
      <w:bookmarkEnd w:id="80"/>
      <w:bookmarkEnd w:id="81"/>
    </w:p>
    <w:p w:rsidR="00A95B38" w:rsidRDefault="00A95B38" w:rsidP="00A95B38">
      <w:pPr>
        <w:pStyle w:val="Heading4"/>
      </w:pPr>
      <w:bookmarkStart w:id="82" w:name="_Toc517710392"/>
      <w:bookmarkStart w:id="83" w:name="_Toc517812920"/>
      <w:r>
        <w:t>Market definition</w:t>
      </w:r>
      <w:bookmarkEnd w:id="82"/>
      <w:bookmarkEnd w:id="83"/>
    </w:p>
    <w:p w:rsidR="00A95B38" w:rsidRPr="00FB7C9D" w:rsidRDefault="00A95B38" w:rsidP="00A95B38">
      <w:pPr>
        <w:pStyle w:val="ListNumber"/>
      </w:pPr>
      <w:r w:rsidRPr="00FB7C9D">
        <w:t xml:space="preserve">Heart attack prevention products sold </w:t>
      </w:r>
      <w:r w:rsidR="000B643E" w:rsidRPr="00FB7C9D">
        <w:t>OTC</w:t>
      </w:r>
      <w:r w:rsidRPr="00FB7C9D">
        <w:t xml:space="preserve"> are categorized in OTC 3 class 10E1</w:t>
      </w:r>
      <w:r w:rsidR="00FF4418" w:rsidRPr="00FB7C9D">
        <w:t xml:space="preserve"> (heart attack prevention products)</w:t>
      </w:r>
      <w:r w:rsidRPr="00FB7C9D">
        <w:t xml:space="preserve">.  This OTC 3 class includes products that help prevent clots from forming in the blood and thus, prevent heart attacks.  </w:t>
      </w:r>
      <w:r w:rsidR="000B643E" w:rsidRPr="00FB7C9D">
        <w:t xml:space="preserve">The same products are categorized in ATC 3 class B1C (platelet aggregation inhibitors).  This ATC 3 class is then further sub-divided into six ATC 4 categories.  All the OTC products of Teva and the Target in this </w:t>
      </w:r>
      <w:r w:rsidR="00591C8E" w:rsidRPr="00FB7C9D">
        <w:t xml:space="preserve">class </w:t>
      </w:r>
      <w:r w:rsidR="000B643E" w:rsidRPr="00FB7C9D">
        <w:t>belong to one ATC 4 class</w:t>
      </w:r>
      <w:r w:rsidR="009C3767" w:rsidRPr="00FB7C9D">
        <w:t xml:space="preserve"> </w:t>
      </w:r>
      <w:r w:rsidR="000B643E" w:rsidRPr="00FB7C9D">
        <w:t xml:space="preserve">B1C1.  This class includes cyclo-oxygenase inhibitors comprising mainly low dosage acetylsalicylic acid.  </w:t>
      </w:r>
    </w:p>
    <w:p w:rsidR="00A95B38" w:rsidRDefault="00A95B38" w:rsidP="00A95B38">
      <w:pPr>
        <w:pStyle w:val="ListNumber"/>
      </w:pPr>
      <w:r w:rsidRPr="00FB7C9D">
        <w:t xml:space="preserve">The Commission has not considered </w:t>
      </w:r>
      <w:r w:rsidR="000B643E" w:rsidRPr="00FB7C9D">
        <w:t xml:space="preserve">the </w:t>
      </w:r>
      <w:r w:rsidRPr="00FB7C9D">
        <w:t xml:space="preserve">OTC 3 class </w:t>
      </w:r>
      <w:r w:rsidR="000B643E" w:rsidRPr="00FB7C9D">
        <w:t xml:space="preserve">10E1 </w:t>
      </w:r>
      <w:r w:rsidRPr="00FB7C9D">
        <w:t xml:space="preserve">in its prior decisional practice.  </w:t>
      </w:r>
      <w:r w:rsidR="000A140B" w:rsidRPr="00FB7C9D">
        <w:t>However, it has analyzed heart attack prevention products at the level of the ATC 4 class (B1C1)</w:t>
      </w:r>
      <w:r w:rsidR="009C3767" w:rsidRPr="00FB7C9D">
        <w:t>.</w:t>
      </w:r>
      <w:r w:rsidR="000A140B" w:rsidRPr="00FB7C9D">
        <w:rPr>
          <w:rStyle w:val="FootnoteReference"/>
        </w:rPr>
        <w:footnoteReference w:id="39"/>
      </w:r>
      <w:r w:rsidR="009016B5" w:rsidRPr="00FB7C9D">
        <w:rPr>
          <w:rStyle w:val="FootnoteReference"/>
        </w:rPr>
        <w:footnoteReference w:id="40"/>
      </w:r>
      <w:r w:rsidR="000A140B" w:rsidRPr="00FB7C9D">
        <w:t xml:space="preserve">  </w:t>
      </w:r>
      <w:r w:rsidR="009C3767" w:rsidRPr="00FB7C9D">
        <w:t>T</w:t>
      </w:r>
      <w:r w:rsidRPr="00FB7C9D">
        <w:t xml:space="preserve">he Commission </w:t>
      </w:r>
      <w:r w:rsidR="009C3767" w:rsidRPr="00FB7C9D">
        <w:t>has not</w:t>
      </w:r>
      <w:r w:rsidRPr="00FB7C9D">
        <w:t xml:space="preserve"> </w:t>
      </w:r>
      <w:r w:rsidR="009016B5" w:rsidRPr="00FB7C9D">
        <w:t xml:space="preserve">defined </w:t>
      </w:r>
      <w:r w:rsidRPr="00FB7C9D">
        <w:t>any other relevant market segmentation in relation to heart attack pre</w:t>
      </w:r>
      <w:r>
        <w:t>vention products</w:t>
      </w:r>
      <w:r w:rsidR="009016B5">
        <w:t xml:space="preserve"> </w:t>
      </w:r>
      <w:r>
        <w:t xml:space="preserve">at the molecule level. </w:t>
      </w:r>
      <w:r w:rsidR="009016B5">
        <w:t xml:space="preserve">In </w:t>
      </w:r>
      <w:r w:rsidR="009016B5" w:rsidRPr="00420413">
        <w:rPr>
          <w:i/>
        </w:rPr>
        <w:t>Sanofi-Aventis/Zentiva</w:t>
      </w:r>
      <w:r w:rsidR="009016B5">
        <w:t xml:space="preserve">, the Commission considered the limited </w:t>
      </w:r>
      <w:r w:rsidR="009016B5">
        <w:lastRenderedPageBreak/>
        <w:t>substitutability between ASA and dypiridamole on the one hand and clopidogrel on the other hand but eventually left the market open.</w:t>
      </w:r>
      <w:r w:rsidR="009016B5">
        <w:rPr>
          <w:rStyle w:val="FootnoteReference"/>
        </w:rPr>
        <w:footnoteReference w:id="41"/>
      </w:r>
      <w:r w:rsidR="009016B5">
        <w:t xml:space="preserve"> </w:t>
      </w:r>
    </w:p>
    <w:p w:rsidR="00A95B38" w:rsidRDefault="009016B5" w:rsidP="00A95B38">
      <w:pPr>
        <w:pStyle w:val="ListNumber"/>
      </w:pPr>
      <w:r>
        <w:t>T</w:t>
      </w:r>
      <w:r w:rsidR="00A95B38">
        <w:t xml:space="preserve">he Parties submit that the market should be determined at the OTC 3 level.  The market would then include all drugs in OTC 3 class 10E1, irrespective of their molecule. </w:t>
      </w:r>
    </w:p>
    <w:p w:rsidR="00A95B38" w:rsidRPr="008A256A" w:rsidRDefault="00A95B38" w:rsidP="00A95B38">
      <w:pPr>
        <w:pStyle w:val="ListNumber"/>
      </w:pPr>
      <w:r w:rsidRPr="008A256A">
        <w:t xml:space="preserve">The results of the market investigation were not conclusive as to whether </w:t>
      </w:r>
      <w:r w:rsidR="009016B5">
        <w:t>the market should be defined at OTC 3 class level or at ATC 3 or ATC 4 class or molecule level.</w:t>
      </w:r>
      <w:r w:rsidRPr="008A256A">
        <w:rPr>
          <w:rStyle w:val="FootnoteReference"/>
        </w:rPr>
        <w:footnoteReference w:id="42"/>
      </w:r>
      <w:r w:rsidRPr="008A256A">
        <w:t xml:space="preserve">  As explained below, almost all the products within the OTC 3 class 10E1 are based on </w:t>
      </w:r>
      <w:r w:rsidRPr="009B11A3">
        <w:rPr>
          <w:i/>
        </w:rPr>
        <w:t xml:space="preserve">acetylsalicylic acid </w:t>
      </w:r>
      <w:r w:rsidRPr="009B11A3">
        <w:t>(ASA)</w:t>
      </w:r>
      <w:r w:rsidRPr="008A256A">
        <w:t>.</w:t>
      </w:r>
    </w:p>
    <w:p w:rsidR="00A95B38" w:rsidRPr="00272357" w:rsidRDefault="00A95B38" w:rsidP="00A95B38">
      <w:pPr>
        <w:pStyle w:val="ListNumber"/>
      </w:pPr>
      <w:r w:rsidRPr="00AC4CB2">
        <w:t>In any event, for the purposes of the present case, the exact market definition can be left open, as</w:t>
      </w:r>
      <w:r>
        <w:t xml:space="preserve"> </w:t>
      </w:r>
      <w:r w:rsidRPr="00AC4CB2">
        <w:t>no serious doubts arise under any plausible alternative market definition</w:t>
      </w:r>
      <w:r>
        <w:t xml:space="preserve"> (OTC3 class</w:t>
      </w:r>
      <w:r w:rsidR="009016B5">
        <w:t xml:space="preserve"> or ATC 3 or ATC 4 class</w:t>
      </w:r>
      <w:r>
        <w:t xml:space="preserve"> or molecule)</w:t>
      </w:r>
      <w:r w:rsidRPr="00AC4CB2">
        <w:t>.</w:t>
      </w:r>
    </w:p>
    <w:p w:rsidR="00A95B38" w:rsidRDefault="00A95B38" w:rsidP="00A95B38">
      <w:pPr>
        <w:pStyle w:val="Heading4"/>
      </w:pPr>
      <w:bookmarkStart w:id="84" w:name="_Toc517710393"/>
      <w:bookmarkStart w:id="85" w:name="_Toc517812921"/>
      <w:r>
        <w:t xml:space="preserve">Parties' </w:t>
      </w:r>
      <w:bookmarkEnd w:id="84"/>
      <w:r w:rsidR="0057100A">
        <w:t>p</w:t>
      </w:r>
      <w:r>
        <w:t>roducts</w:t>
      </w:r>
      <w:bookmarkEnd w:id="85"/>
    </w:p>
    <w:p w:rsidR="00A95B38" w:rsidRPr="00232D78" w:rsidRDefault="00A95B38" w:rsidP="00A95B38">
      <w:pPr>
        <w:pStyle w:val="ListNumber"/>
      </w:pPr>
      <w:r w:rsidRPr="00232D78">
        <w:t xml:space="preserve">The Parties supply OTC products based on the same molecule, </w:t>
      </w:r>
      <w:r w:rsidRPr="00232D78">
        <w:rPr>
          <w:i/>
        </w:rPr>
        <w:t xml:space="preserve">acetylsalicylic acid </w:t>
      </w:r>
      <w:r w:rsidRPr="00232D78">
        <w:t>(ASA).  Teva markets its product under the brand name Asactal and PGT's products are branded Asatrin and Astrix.  All products are sold in oral sold form, for adults and children, with a dosage of 100 mg.</w:t>
      </w:r>
    </w:p>
    <w:p w:rsidR="00A95B38" w:rsidRDefault="00A95B38" w:rsidP="00A95B38">
      <w:pPr>
        <w:pStyle w:val="Heading4"/>
      </w:pPr>
      <w:bookmarkStart w:id="86" w:name="_Toc517710394"/>
      <w:bookmarkStart w:id="87" w:name="_Toc517812922"/>
      <w:r>
        <w:t>Competitive assessment</w:t>
      </w:r>
      <w:bookmarkEnd w:id="86"/>
      <w:bookmarkEnd w:id="87"/>
    </w:p>
    <w:p w:rsidR="00A95B38" w:rsidRPr="002A7B17" w:rsidRDefault="00A95B38" w:rsidP="00A95B38">
      <w:pPr>
        <w:pStyle w:val="ListNumber"/>
      </w:pPr>
      <w:r w:rsidRPr="002A7B17">
        <w:t xml:space="preserve">The Transaction gives rise to </w:t>
      </w:r>
      <w:r w:rsidR="00B2077C">
        <w:t xml:space="preserve">a Group 3 market at ATC 3 level (B1C) in terms of volume and a non-affected market in terms of value.  The Transaction gives rise to </w:t>
      </w:r>
      <w:r w:rsidRPr="002A7B17">
        <w:t>Group 1 markets at OTC 3 level (10E1)</w:t>
      </w:r>
      <w:r w:rsidR="00B2077C">
        <w:t>, at ATC 4 level (B1C1)</w:t>
      </w:r>
      <w:r w:rsidRPr="002A7B17">
        <w:t xml:space="preserve"> and molecule level (ASA)</w:t>
      </w:r>
      <w:r>
        <w:t>, based on volume</w:t>
      </w:r>
      <w:r w:rsidRPr="002A7B17">
        <w:t>.</w:t>
      </w:r>
    </w:p>
    <w:p w:rsidR="00A95B38" w:rsidRDefault="00A95B38" w:rsidP="00A95B38">
      <w:pPr>
        <w:pStyle w:val="ListNumber"/>
      </w:pPr>
      <w:r w:rsidRPr="002A7B17">
        <w:t xml:space="preserve">The table below presents the Parties' market shares for heart attack prevention products and ASA based heart attack prevention products in Hungary in </w:t>
      </w:r>
      <w:r w:rsidR="004C6514">
        <w:t>2015-</w:t>
      </w:r>
      <w:r w:rsidRPr="002A7B17">
        <w:t>2017.</w:t>
      </w:r>
    </w:p>
    <w:tbl>
      <w:tblPr>
        <w:tblStyle w:val="TableGrid"/>
        <w:tblW w:w="4933" w:type="pct"/>
        <w:tblLayout w:type="fixed"/>
        <w:tblLook w:val="04A0" w:firstRow="1" w:lastRow="0" w:firstColumn="1" w:lastColumn="0" w:noHBand="0" w:noVBand="1"/>
      </w:tblPr>
      <w:tblGrid>
        <w:gridCol w:w="1165"/>
        <w:gridCol w:w="1402"/>
        <w:gridCol w:w="943"/>
        <w:gridCol w:w="709"/>
        <w:gridCol w:w="1135"/>
        <w:gridCol w:w="1020"/>
        <w:gridCol w:w="967"/>
        <w:gridCol w:w="1375"/>
      </w:tblGrid>
      <w:tr w:rsidR="00510574" w:rsidRPr="00AD3737" w:rsidTr="00510574">
        <w:trPr>
          <w:tblHeader/>
        </w:trPr>
        <w:tc>
          <w:tcPr>
            <w:tcW w:w="668" w:type="pct"/>
            <w:vMerge w:val="restart"/>
            <w:shd w:val="clear" w:color="auto" w:fill="D9D9D9" w:themeFill="background1" w:themeFillShade="D9"/>
            <w:vAlign w:val="center"/>
          </w:tcPr>
          <w:p w:rsidR="0097239C"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lastRenderedPageBreak/>
              <w:t>OTC3</w:t>
            </w:r>
          </w:p>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ATC3 ATC4</w:t>
            </w:r>
          </w:p>
        </w:tc>
        <w:tc>
          <w:tcPr>
            <w:tcW w:w="804" w:type="pct"/>
            <w:vMerge w:val="restart"/>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Category Description</w:t>
            </w:r>
          </w:p>
        </w:tc>
        <w:tc>
          <w:tcPr>
            <w:tcW w:w="541" w:type="pct"/>
            <w:vMerge w:val="restart"/>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Market Group</w:t>
            </w:r>
          </w:p>
        </w:tc>
        <w:tc>
          <w:tcPr>
            <w:tcW w:w="407" w:type="pct"/>
            <w:vMerge w:val="restart"/>
            <w:shd w:val="clear" w:color="auto" w:fill="D9D9D9" w:themeFill="background1" w:themeFillShade="D9"/>
          </w:tcPr>
          <w:p w:rsidR="00510574" w:rsidRPr="00AD3737" w:rsidRDefault="00510574" w:rsidP="0076503C">
            <w:pPr>
              <w:keepNext/>
              <w:snapToGrid w:val="0"/>
              <w:spacing w:after="0"/>
              <w:contextualSpacing/>
              <w:jc w:val="center"/>
              <w:rPr>
                <w:rFonts w:ascii="Times" w:hAnsi="Times"/>
                <w:b/>
                <w:sz w:val="18"/>
                <w:szCs w:val="18"/>
              </w:rPr>
            </w:pPr>
          </w:p>
          <w:p w:rsidR="00510574" w:rsidRPr="00AD3737" w:rsidRDefault="00510574" w:rsidP="0076503C">
            <w:pPr>
              <w:keepNext/>
              <w:snapToGrid w:val="0"/>
              <w:spacing w:after="0"/>
              <w:contextualSpacing/>
              <w:jc w:val="center"/>
              <w:rPr>
                <w:rFonts w:ascii="Times" w:hAnsi="Times"/>
                <w:b/>
                <w:sz w:val="18"/>
                <w:szCs w:val="18"/>
              </w:rPr>
            </w:pPr>
            <w:r>
              <w:rPr>
                <w:rFonts w:ascii="Times" w:hAnsi="Times"/>
                <w:b/>
                <w:sz w:val="18"/>
                <w:szCs w:val="18"/>
              </w:rPr>
              <w:t>Year</w:t>
            </w:r>
          </w:p>
        </w:tc>
        <w:tc>
          <w:tcPr>
            <w:tcW w:w="1791" w:type="pct"/>
            <w:gridSpan w:val="3"/>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Market Shares (Value/Volume)</w:t>
            </w:r>
          </w:p>
        </w:tc>
        <w:tc>
          <w:tcPr>
            <w:tcW w:w="789" w:type="pct"/>
            <w:vMerge w:val="restart"/>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Number of Competitors &gt; 5%</w:t>
            </w:r>
          </w:p>
        </w:tc>
      </w:tr>
      <w:tr w:rsidR="00510574" w:rsidRPr="00AD3737" w:rsidTr="00510574">
        <w:trPr>
          <w:tblHeader/>
        </w:trPr>
        <w:tc>
          <w:tcPr>
            <w:tcW w:w="668" w:type="pct"/>
            <w:vMerge/>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p>
        </w:tc>
        <w:tc>
          <w:tcPr>
            <w:tcW w:w="804" w:type="pct"/>
            <w:vMerge/>
            <w:tcBorders>
              <w:bottom w:val="single" w:sz="2" w:space="0" w:color="auto"/>
            </w:tcBorders>
            <w:shd w:val="clear" w:color="auto" w:fill="D9D9D9" w:themeFill="background1" w:themeFillShade="D9"/>
          </w:tcPr>
          <w:p w:rsidR="00510574" w:rsidRPr="00AD3737" w:rsidRDefault="00510574" w:rsidP="0076503C">
            <w:pPr>
              <w:keepNext/>
              <w:snapToGrid w:val="0"/>
              <w:spacing w:after="0"/>
              <w:contextualSpacing/>
              <w:jc w:val="center"/>
              <w:rPr>
                <w:rFonts w:ascii="Times" w:hAnsi="Times"/>
                <w:b/>
                <w:sz w:val="18"/>
                <w:szCs w:val="18"/>
              </w:rPr>
            </w:pPr>
          </w:p>
        </w:tc>
        <w:tc>
          <w:tcPr>
            <w:tcW w:w="541" w:type="pct"/>
            <w:vMerge/>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p>
        </w:tc>
        <w:tc>
          <w:tcPr>
            <w:tcW w:w="407" w:type="pct"/>
            <w:vMerge/>
            <w:tcBorders>
              <w:bottom w:val="single" w:sz="2" w:space="0" w:color="auto"/>
            </w:tcBorders>
            <w:shd w:val="clear" w:color="auto" w:fill="D9D9D9" w:themeFill="background1" w:themeFillShade="D9"/>
          </w:tcPr>
          <w:p w:rsidR="00510574" w:rsidRPr="00AD3737" w:rsidRDefault="00510574" w:rsidP="0076503C">
            <w:pPr>
              <w:keepNext/>
              <w:snapToGrid w:val="0"/>
              <w:spacing w:after="0"/>
              <w:contextualSpacing/>
              <w:jc w:val="center"/>
              <w:rPr>
                <w:rFonts w:ascii="Times" w:hAnsi="Times"/>
                <w:b/>
                <w:sz w:val="18"/>
                <w:szCs w:val="18"/>
              </w:rPr>
            </w:pPr>
          </w:p>
        </w:tc>
        <w:tc>
          <w:tcPr>
            <w:tcW w:w="651" w:type="pct"/>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Teva</w:t>
            </w:r>
          </w:p>
        </w:tc>
        <w:tc>
          <w:tcPr>
            <w:tcW w:w="585" w:type="pct"/>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Target</w:t>
            </w:r>
          </w:p>
        </w:tc>
        <w:tc>
          <w:tcPr>
            <w:tcW w:w="555" w:type="pct"/>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r w:rsidRPr="00AD3737">
              <w:rPr>
                <w:rFonts w:ascii="Times" w:hAnsi="Times"/>
                <w:b/>
                <w:sz w:val="18"/>
                <w:szCs w:val="18"/>
              </w:rPr>
              <w:t>Comb</w:t>
            </w:r>
            <w:r>
              <w:rPr>
                <w:rFonts w:ascii="Times" w:hAnsi="Times"/>
                <w:b/>
                <w:sz w:val="18"/>
                <w:szCs w:val="18"/>
              </w:rPr>
              <w:t>ine</w:t>
            </w:r>
            <w:r w:rsidRPr="00AD3737">
              <w:rPr>
                <w:rFonts w:ascii="Times" w:hAnsi="Times"/>
                <w:b/>
                <w:sz w:val="18"/>
                <w:szCs w:val="18"/>
              </w:rPr>
              <w:t>d</w:t>
            </w:r>
          </w:p>
        </w:tc>
        <w:tc>
          <w:tcPr>
            <w:tcW w:w="789" w:type="pct"/>
            <w:vMerge/>
            <w:tcBorders>
              <w:bottom w:val="single" w:sz="2" w:space="0" w:color="auto"/>
            </w:tcBorders>
            <w:shd w:val="clear" w:color="auto" w:fill="D9D9D9" w:themeFill="background1" w:themeFillShade="D9"/>
            <w:vAlign w:val="center"/>
          </w:tcPr>
          <w:p w:rsidR="00510574" w:rsidRPr="00AD3737" w:rsidRDefault="00510574" w:rsidP="0076503C">
            <w:pPr>
              <w:keepNext/>
              <w:snapToGrid w:val="0"/>
              <w:spacing w:after="0"/>
              <w:contextualSpacing/>
              <w:jc w:val="center"/>
              <w:rPr>
                <w:rFonts w:ascii="Times" w:hAnsi="Times"/>
                <w:b/>
                <w:sz w:val="18"/>
                <w:szCs w:val="18"/>
              </w:rPr>
            </w:pPr>
          </w:p>
        </w:tc>
      </w:tr>
      <w:tr w:rsidR="00510574" w:rsidRPr="00AD3737" w:rsidTr="00510574">
        <w:trPr>
          <w:trHeight w:val="275"/>
        </w:trPr>
        <w:tc>
          <w:tcPr>
            <w:tcW w:w="668" w:type="pct"/>
            <w:vMerge w:val="restart"/>
            <w:tcBorders>
              <w:top w:val="single" w:sz="2" w:space="0" w:color="auto"/>
              <w:left w:val="single" w:sz="2" w:space="0" w:color="auto"/>
              <w:bottom w:val="single" w:sz="2" w:space="0" w:color="auto"/>
              <w:right w:val="single" w:sz="2" w:space="0" w:color="auto"/>
            </w:tcBorders>
            <w:vAlign w:val="center"/>
          </w:tcPr>
          <w:p w:rsidR="00510574" w:rsidRPr="00AD3737" w:rsidRDefault="00510574" w:rsidP="0076503C">
            <w:pPr>
              <w:keepNext/>
              <w:spacing w:after="0"/>
              <w:jc w:val="left"/>
              <w:rPr>
                <w:rFonts w:ascii="Times" w:hAnsi="Times"/>
                <w:sz w:val="18"/>
                <w:szCs w:val="18"/>
              </w:rPr>
            </w:pPr>
            <w:r>
              <w:rPr>
                <w:rFonts w:ascii="Times" w:hAnsi="Times"/>
                <w:sz w:val="18"/>
                <w:szCs w:val="18"/>
              </w:rPr>
              <w:t>10E1</w:t>
            </w:r>
            <w:r w:rsidRPr="00AD3737">
              <w:rPr>
                <w:rFonts w:ascii="Times" w:hAnsi="Times"/>
                <w:sz w:val="18"/>
                <w:szCs w:val="18"/>
              </w:rPr>
              <w:t xml:space="preserve"> </w:t>
            </w:r>
          </w:p>
        </w:tc>
        <w:tc>
          <w:tcPr>
            <w:tcW w:w="804" w:type="pct"/>
            <w:vMerge w:val="restart"/>
            <w:tcBorders>
              <w:top w:val="single" w:sz="2" w:space="0" w:color="auto"/>
              <w:left w:val="single" w:sz="2" w:space="0" w:color="auto"/>
              <w:bottom w:val="single" w:sz="2" w:space="0" w:color="auto"/>
              <w:right w:val="single" w:sz="2" w:space="0" w:color="auto"/>
            </w:tcBorders>
          </w:tcPr>
          <w:p w:rsidR="00510574" w:rsidRPr="00AD3737" w:rsidRDefault="00510574" w:rsidP="0076503C">
            <w:pPr>
              <w:keepNext/>
              <w:spacing w:after="0"/>
              <w:jc w:val="left"/>
              <w:rPr>
                <w:rFonts w:ascii="Times" w:hAnsi="Times"/>
                <w:sz w:val="18"/>
                <w:szCs w:val="18"/>
              </w:rPr>
            </w:pPr>
            <w:r>
              <w:rPr>
                <w:rFonts w:ascii="Times" w:hAnsi="Times"/>
                <w:sz w:val="18"/>
                <w:szCs w:val="18"/>
              </w:rPr>
              <w:t>Heart attack prevention (OTC</w:t>
            </w:r>
            <w:r w:rsidRPr="00AD3737">
              <w:rPr>
                <w:rFonts w:ascii="Times" w:hAnsi="Times"/>
                <w:sz w:val="18"/>
                <w:szCs w:val="18"/>
              </w:rPr>
              <w:t>)</w:t>
            </w:r>
          </w:p>
        </w:tc>
        <w:tc>
          <w:tcPr>
            <w:tcW w:w="541" w:type="pct"/>
            <w:vMerge w:val="restart"/>
            <w:tcBorders>
              <w:top w:val="single" w:sz="2" w:space="0" w:color="auto"/>
              <w:left w:val="single" w:sz="2" w:space="0" w:color="auto"/>
              <w:bottom w:val="single" w:sz="2" w:space="0" w:color="auto"/>
              <w:right w:val="single" w:sz="2" w:space="0" w:color="auto"/>
            </w:tcBorders>
            <w:vAlign w:val="center"/>
          </w:tcPr>
          <w:p w:rsidR="00510574" w:rsidRPr="00AD3737" w:rsidRDefault="00510574" w:rsidP="0076503C">
            <w:pPr>
              <w:keepNext/>
              <w:spacing w:after="0"/>
              <w:jc w:val="left"/>
              <w:rPr>
                <w:rFonts w:ascii="Times" w:hAnsi="Times"/>
                <w:sz w:val="18"/>
                <w:szCs w:val="18"/>
              </w:rPr>
            </w:pPr>
            <w:r>
              <w:rPr>
                <w:rFonts w:ascii="Times" w:hAnsi="Times"/>
                <w:sz w:val="18"/>
                <w:szCs w:val="18"/>
              </w:rPr>
              <w:t>Group 1</w:t>
            </w:r>
          </w:p>
        </w:tc>
        <w:tc>
          <w:tcPr>
            <w:tcW w:w="407" w:type="pct"/>
            <w:tcBorders>
              <w:top w:val="single" w:sz="2" w:space="0" w:color="auto"/>
              <w:left w:val="single" w:sz="2" w:space="0" w:color="auto"/>
              <w:bottom w:val="single" w:sz="2" w:space="0" w:color="auto"/>
              <w:right w:val="single" w:sz="2" w:space="0" w:color="auto"/>
            </w:tcBorders>
            <w:vAlign w:val="center"/>
          </w:tcPr>
          <w:p w:rsidR="00510574" w:rsidRPr="002D7FBB" w:rsidRDefault="00510574" w:rsidP="0076503C">
            <w:pPr>
              <w:keepNext/>
              <w:spacing w:after="0"/>
              <w:jc w:val="left"/>
              <w:rPr>
                <w:rFonts w:ascii="Times" w:hAnsi="Times"/>
                <w:b/>
                <w:sz w:val="18"/>
              </w:rPr>
            </w:pPr>
            <w:r w:rsidRPr="00DF35F3">
              <w:rPr>
                <w:rFonts w:ascii="Times" w:hAnsi="Times"/>
                <w:b/>
                <w:sz w:val="18"/>
              </w:rPr>
              <w:t>2017</w:t>
            </w:r>
          </w:p>
        </w:tc>
        <w:tc>
          <w:tcPr>
            <w:tcW w:w="651" w:type="pct"/>
            <w:tcBorders>
              <w:top w:val="single" w:sz="2" w:space="0" w:color="auto"/>
              <w:left w:val="single" w:sz="2" w:space="0" w:color="auto"/>
              <w:bottom w:val="single" w:sz="2" w:space="0" w:color="auto"/>
              <w:right w:val="single" w:sz="2" w:space="0" w:color="auto"/>
            </w:tcBorders>
            <w:vAlign w:val="center"/>
          </w:tcPr>
          <w:p w:rsidR="00510574" w:rsidRPr="00AD3737" w:rsidRDefault="00FD0EDE" w:rsidP="00FD0EDE">
            <w:pPr>
              <w:keepNext/>
              <w:spacing w:after="0"/>
              <w:jc w:val="left"/>
              <w:rPr>
                <w:rFonts w:ascii="Times" w:hAnsi="Times"/>
                <w:sz w:val="18"/>
                <w:szCs w:val="18"/>
              </w:rPr>
            </w:pPr>
            <w:r>
              <w:rPr>
                <w:rFonts w:ascii="Times" w:hAnsi="Times"/>
                <w:sz w:val="18"/>
                <w:szCs w:val="18"/>
              </w:rPr>
              <w:t>[</w:t>
            </w:r>
            <w:r w:rsidR="00510574">
              <w:rPr>
                <w:rFonts w:ascii="Times" w:hAnsi="Times"/>
                <w:sz w:val="18"/>
                <w:szCs w:val="18"/>
              </w:rPr>
              <w:t>1</w:t>
            </w:r>
            <w:r>
              <w:rPr>
                <w:rFonts w:ascii="Times" w:hAnsi="Times"/>
                <w:sz w:val="18"/>
                <w:szCs w:val="18"/>
              </w:rPr>
              <w:t>0-20]</w:t>
            </w:r>
            <w:r w:rsidR="00510574">
              <w:rPr>
                <w:rFonts w:ascii="Times" w:hAnsi="Times"/>
                <w:sz w:val="18"/>
                <w:szCs w:val="18"/>
              </w:rPr>
              <w:t>%</w:t>
            </w:r>
            <w:r>
              <w:rPr>
                <w:rFonts w:ascii="Times" w:hAnsi="Times"/>
                <w:sz w:val="18"/>
                <w:szCs w:val="18"/>
              </w:rPr>
              <w:t xml:space="preserve"> </w:t>
            </w:r>
            <w:r w:rsidR="00510574">
              <w:rPr>
                <w:rFonts w:ascii="Times" w:hAnsi="Times"/>
                <w:sz w:val="18"/>
                <w:szCs w:val="18"/>
              </w:rPr>
              <w:t>/</w:t>
            </w:r>
            <w:r>
              <w:rPr>
                <w:rFonts w:ascii="Times" w:hAnsi="Times"/>
                <w:sz w:val="18"/>
                <w:szCs w:val="18"/>
              </w:rPr>
              <w:t>[10-20]</w:t>
            </w:r>
            <w:r w:rsidR="00510574">
              <w:rPr>
                <w:rFonts w:ascii="Times" w:hAnsi="Times"/>
                <w:sz w:val="18"/>
                <w:szCs w:val="18"/>
              </w:rPr>
              <w:t>%</w:t>
            </w:r>
          </w:p>
        </w:tc>
        <w:tc>
          <w:tcPr>
            <w:tcW w:w="585" w:type="pct"/>
            <w:tcBorders>
              <w:top w:val="single" w:sz="2" w:space="0" w:color="auto"/>
              <w:left w:val="single" w:sz="2" w:space="0" w:color="auto"/>
              <w:bottom w:val="single" w:sz="2" w:space="0" w:color="auto"/>
              <w:right w:val="single" w:sz="2" w:space="0" w:color="auto"/>
            </w:tcBorders>
            <w:vAlign w:val="center"/>
          </w:tcPr>
          <w:p w:rsidR="00510574" w:rsidRPr="00AD3737" w:rsidRDefault="00FD0EDE" w:rsidP="00FD0EDE">
            <w:pPr>
              <w:keepNext/>
              <w:spacing w:after="0"/>
              <w:jc w:val="left"/>
              <w:rPr>
                <w:rFonts w:ascii="Times" w:hAnsi="Times"/>
                <w:sz w:val="18"/>
                <w:szCs w:val="18"/>
              </w:rPr>
            </w:pPr>
            <w:r>
              <w:rPr>
                <w:rFonts w:ascii="Times" w:hAnsi="Times"/>
                <w:sz w:val="18"/>
                <w:szCs w:val="18"/>
              </w:rPr>
              <w:t>[10-20]</w:t>
            </w:r>
            <w:r w:rsidR="00510574">
              <w:rPr>
                <w:rFonts w:ascii="Times" w:hAnsi="Times"/>
                <w:sz w:val="18"/>
                <w:szCs w:val="18"/>
              </w:rPr>
              <w:t>%</w:t>
            </w:r>
            <w:r>
              <w:rPr>
                <w:rFonts w:ascii="Times" w:hAnsi="Times"/>
                <w:sz w:val="18"/>
                <w:szCs w:val="18"/>
              </w:rPr>
              <w:t xml:space="preserve"> </w:t>
            </w:r>
            <w:r w:rsidR="00510574">
              <w:rPr>
                <w:rFonts w:ascii="Times" w:hAnsi="Times"/>
                <w:sz w:val="18"/>
                <w:szCs w:val="18"/>
              </w:rPr>
              <w:t>/</w:t>
            </w:r>
            <w:r>
              <w:rPr>
                <w:rFonts w:ascii="Times" w:hAnsi="Times"/>
                <w:sz w:val="18"/>
                <w:szCs w:val="18"/>
              </w:rPr>
              <w:t>[20-30]</w:t>
            </w:r>
            <w:r w:rsidR="00510574">
              <w:rPr>
                <w:rFonts w:ascii="Times" w:hAnsi="Times"/>
                <w:sz w:val="18"/>
                <w:szCs w:val="18"/>
              </w:rPr>
              <w:t>%</w:t>
            </w:r>
          </w:p>
        </w:tc>
        <w:tc>
          <w:tcPr>
            <w:tcW w:w="555" w:type="pct"/>
            <w:tcBorders>
              <w:top w:val="single" w:sz="2" w:space="0" w:color="auto"/>
              <w:left w:val="single" w:sz="2" w:space="0" w:color="auto"/>
              <w:bottom w:val="single" w:sz="2" w:space="0" w:color="auto"/>
              <w:right w:val="single" w:sz="2" w:space="0" w:color="auto"/>
            </w:tcBorders>
            <w:vAlign w:val="center"/>
          </w:tcPr>
          <w:p w:rsidR="00510574" w:rsidRPr="00AD3737" w:rsidRDefault="00FD0EDE" w:rsidP="00FD0EDE">
            <w:pPr>
              <w:keepNext/>
              <w:spacing w:after="0"/>
              <w:jc w:val="left"/>
              <w:rPr>
                <w:rFonts w:ascii="Times" w:hAnsi="Times"/>
                <w:sz w:val="18"/>
                <w:szCs w:val="18"/>
              </w:rPr>
            </w:pPr>
            <w:r>
              <w:rPr>
                <w:rFonts w:ascii="Times" w:hAnsi="Times"/>
                <w:sz w:val="18"/>
                <w:szCs w:val="18"/>
              </w:rPr>
              <w:t>[20-30]</w:t>
            </w:r>
            <w:r w:rsidR="00510574">
              <w:rPr>
                <w:rFonts w:ascii="Times" w:hAnsi="Times"/>
                <w:sz w:val="18"/>
                <w:szCs w:val="18"/>
              </w:rPr>
              <w:t>%</w:t>
            </w:r>
            <w:r>
              <w:rPr>
                <w:rFonts w:ascii="Times" w:hAnsi="Times"/>
                <w:sz w:val="18"/>
                <w:szCs w:val="18"/>
              </w:rPr>
              <w:t xml:space="preserve"> </w:t>
            </w:r>
            <w:r w:rsidR="00510574">
              <w:rPr>
                <w:rFonts w:ascii="Times" w:hAnsi="Times"/>
                <w:sz w:val="18"/>
                <w:szCs w:val="18"/>
              </w:rPr>
              <w:t>/</w:t>
            </w:r>
            <w:r>
              <w:rPr>
                <w:rFonts w:ascii="Times" w:hAnsi="Times"/>
                <w:sz w:val="18"/>
                <w:szCs w:val="18"/>
              </w:rPr>
              <w:t>[30-40]</w:t>
            </w:r>
            <w:r w:rsidR="00510574">
              <w:rPr>
                <w:rFonts w:ascii="Times" w:hAnsi="Times"/>
                <w:sz w:val="18"/>
                <w:szCs w:val="18"/>
              </w:rPr>
              <w:t>%</w:t>
            </w:r>
          </w:p>
        </w:tc>
        <w:tc>
          <w:tcPr>
            <w:tcW w:w="789" w:type="pct"/>
            <w:tcBorders>
              <w:top w:val="single" w:sz="2" w:space="0" w:color="auto"/>
              <w:left w:val="single" w:sz="2" w:space="0" w:color="auto"/>
              <w:bottom w:val="single" w:sz="2" w:space="0" w:color="auto"/>
              <w:right w:val="single" w:sz="2" w:space="0" w:color="auto"/>
            </w:tcBorders>
            <w:vAlign w:val="center"/>
          </w:tcPr>
          <w:p w:rsidR="00510574" w:rsidRPr="00AD3737" w:rsidRDefault="00510574" w:rsidP="0076503C">
            <w:pPr>
              <w:keepNext/>
              <w:spacing w:after="0"/>
              <w:jc w:val="left"/>
              <w:rPr>
                <w:rFonts w:ascii="Times" w:hAnsi="Times"/>
                <w:sz w:val="18"/>
                <w:szCs w:val="18"/>
              </w:rPr>
            </w:pPr>
            <w:r>
              <w:rPr>
                <w:rFonts w:ascii="Times" w:hAnsi="Times"/>
                <w:sz w:val="18"/>
                <w:szCs w:val="18"/>
              </w:rPr>
              <w:t>At least 2</w:t>
            </w:r>
          </w:p>
        </w:tc>
      </w:tr>
      <w:tr w:rsidR="00FD0EDE" w:rsidRPr="00AD3737" w:rsidTr="00D1067E">
        <w:trPr>
          <w:trHeight w:val="275"/>
        </w:trPr>
        <w:tc>
          <w:tcPr>
            <w:tcW w:w="668" w:type="pct"/>
            <w:vMerge/>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804" w:type="pct"/>
            <w:vMerge/>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541" w:type="pct"/>
            <w:vMerge/>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407" w:type="pct"/>
            <w:tcBorders>
              <w:top w:val="single" w:sz="2" w:space="0" w:color="auto"/>
              <w:left w:val="single" w:sz="2" w:space="0" w:color="auto"/>
              <w:bottom w:val="single" w:sz="2" w:space="0" w:color="auto"/>
              <w:right w:val="single" w:sz="2" w:space="0" w:color="auto"/>
            </w:tcBorders>
            <w:vAlign w:val="center"/>
          </w:tcPr>
          <w:p w:rsidR="00FD0EDE" w:rsidRPr="00DF35F3" w:rsidRDefault="00FD0EDE" w:rsidP="0076503C">
            <w:pPr>
              <w:keepNext/>
              <w:spacing w:after="0"/>
              <w:jc w:val="left"/>
              <w:rPr>
                <w:rFonts w:ascii="Times" w:hAnsi="Times"/>
                <w:b/>
                <w:sz w:val="18"/>
              </w:rPr>
            </w:pPr>
            <w:r>
              <w:rPr>
                <w:rFonts w:ascii="Times" w:hAnsi="Times"/>
                <w:b/>
                <w:sz w:val="18"/>
              </w:rPr>
              <w:t>2016</w:t>
            </w:r>
          </w:p>
        </w:tc>
        <w:tc>
          <w:tcPr>
            <w:tcW w:w="651"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[10-20]% /[10-20]%</w:t>
            </w:r>
          </w:p>
        </w:tc>
        <w:tc>
          <w:tcPr>
            <w:tcW w:w="585"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[10-20]% /[20-30]%</w:t>
            </w:r>
          </w:p>
        </w:tc>
        <w:tc>
          <w:tcPr>
            <w:tcW w:w="555" w:type="pct"/>
            <w:tcBorders>
              <w:top w:val="single" w:sz="2" w:space="0" w:color="auto"/>
              <w:left w:val="single" w:sz="2" w:space="0" w:color="auto"/>
              <w:bottom w:val="single" w:sz="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[20-30]% /[30-40]%</w:t>
            </w:r>
          </w:p>
        </w:tc>
        <w:tc>
          <w:tcPr>
            <w:tcW w:w="789" w:type="pct"/>
            <w:tcBorders>
              <w:top w:val="single" w:sz="2" w:space="0" w:color="auto"/>
              <w:left w:val="single" w:sz="2" w:space="0" w:color="auto"/>
              <w:bottom w:val="single" w:sz="2" w:space="0" w:color="auto"/>
              <w:right w:val="single" w:sz="2" w:space="0" w:color="auto"/>
            </w:tcBorders>
          </w:tcPr>
          <w:p w:rsidR="00FD0EDE" w:rsidRPr="00AD3737" w:rsidRDefault="00FD0EDE" w:rsidP="0076503C">
            <w:pPr>
              <w:keepNext/>
              <w:spacing w:after="0"/>
              <w:jc w:val="left"/>
              <w:rPr>
                <w:rFonts w:ascii="Times" w:hAnsi="Times"/>
                <w:sz w:val="18"/>
                <w:szCs w:val="18"/>
              </w:rPr>
            </w:pPr>
            <w:r w:rsidRPr="00BB6DBA">
              <w:rPr>
                <w:rFonts w:ascii="Times" w:hAnsi="Times"/>
                <w:sz w:val="18"/>
                <w:szCs w:val="18"/>
              </w:rPr>
              <w:t>At least 2</w:t>
            </w:r>
          </w:p>
        </w:tc>
      </w:tr>
      <w:tr w:rsidR="00FD0EDE" w:rsidRPr="00AD3737" w:rsidTr="00D1067E">
        <w:trPr>
          <w:trHeight w:val="275"/>
        </w:trPr>
        <w:tc>
          <w:tcPr>
            <w:tcW w:w="668" w:type="pct"/>
            <w:vMerge/>
            <w:tcBorders>
              <w:top w:val="single" w:sz="2" w:space="0" w:color="auto"/>
              <w:left w:val="single" w:sz="2" w:space="0" w:color="auto"/>
              <w:bottom w:val="single" w:sz="1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804" w:type="pct"/>
            <w:vMerge/>
            <w:tcBorders>
              <w:top w:val="single" w:sz="2" w:space="0" w:color="auto"/>
              <w:left w:val="single" w:sz="2" w:space="0" w:color="auto"/>
              <w:bottom w:val="single" w:sz="1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541" w:type="pct"/>
            <w:vMerge/>
            <w:tcBorders>
              <w:top w:val="single" w:sz="2" w:space="0" w:color="auto"/>
              <w:left w:val="single" w:sz="2" w:space="0" w:color="auto"/>
              <w:bottom w:val="single" w:sz="1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p>
        </w:tc>
        <w:tc>
          <w:tcPr>
            <w:tcW w:w="407" w:type="pct"/>
            <w:tcBorders>
              <w:top w:val="single" w:sz="2" w:space="0" w:color="auto"/>
              <w:left w:val="single" w:sz="2" w:space="0" w:color="auto"/>
              <w:bottom w:val="single" w:sz="12" w:space="0" w:color="auto"/>
              <w:right w:val="single" w:sz="2" w:space="0" w:color="auto"/>
            </w:tcBorders>
            <w:vAlign w:val="center"/>
          </w:tcPr>
          <w:p w:rsidR="00FD0EDE" w:rsidRPr="00DF35F3" w:rsidRDefault="00FD0EDE" w:rsidP="0076503C">
            <w:pPr>
              <w:keepNext/>
              <w:spacing w:after="0"/>
              <w:jc w:val="left"/>
              <w:rPr>
                <w:rFonts w:ascii="Times" w:hAnsi="Times"/>
                <w:b/>
                <w:sz w:val="18"/>
              </w:rPr>
            </w:pPr>
            <w:r>
              <w:rPr>
                <w:rFonts w:ascii="Times" w:hAnsi="Times"/>
                <w:b/>
                <w:sz w:val="18"/>
              </w:rPr>
              <w:t>2015</w:t>
            </w:r>
          </w:p>
        </w:tc>
        <w:tc>
          <w:tcPr>
            <w:tcW w:w="651" w:type="pct"/>
            <w:tcBorders>
              <w:top w:val="single" w:sz="2" w:space="0" w:color="auto"/>
              <w:left w:val="single" w:sz="2" w:space="0" w:color="auto"/>
              <w:bottom w:val="single" w:sz="1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[10-20]% /[10-20]%</w:t>
            </w:r>
          </w:p>
        </w:tc>
        <w:tc>
          <w:tcPr>
            <w:tcW w:w="585" w:type="pct"/>
            <w:tcBorders>
              <w:top w:val="single" w:sz="2" w:space="0" w:color="auto"/>
              <w:left w:val="single" w:sz="2" w:space="0" w:color="auto"/>
              <w:bottom w:val="single" w:sz="1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[10-20]% /[20-30]%</w:t>
            </w:r>
          </w:p>
        </w:tc>
        <w:tc>
          <w:tcPr>
            <w:tcW w:w="555" w:type="pct"/>
            <w:tcBorders>
              <w:top w:val="single" w:sz="2" w:space="0" w:color="auto"/>
              <w:left w:val="single" w:sz="2" w:space="0" w:color="auto"/>
              <w:bottom w:val="single" w:sz="12" w:space="0" w:color="auto"/>
              <w:right w:val="single" w:sz="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[20-30]% /[40-50]%</w:t>
            </w:r>
          </w:p>
        </w:tc>
        <w:tc>
          <w:tcPr>
            <w:tcW w:w="789" w:type="pct"/>
            <w:tcBorders>
              <w:top w:val="single" w:sz="2" w:space="0" w:color="auto"/>
              <w:left w:val="single" w:sz="2" w:space="0" w:color="auto"/>
              <w:bottom w:val="single" w:sz="12" w:space="0" w:color="auto"/>
              <w:right w:val="single" w:sz="2" w:space="0" w:color="auto"/>
            </w:tcBorders>
          </w:tcPr>
          <w:p w:rsidR="00FD0EDE" w:rsidRPr="00AD3737" w:rsidRDefault="00FD0EDE" w:rsidP="0076503C">
            <w:pPr>
              <w:keepNext/>
              <w:spacing w:after="0"/>
              <w:jc w:val="left"/>
              <w:rPr>
                <w:rFonts w:ascii="Times" w:hAnsi="Times"/>
                <w:sz w:val="18"/>
                <w:szCs w:val="18"/>
              </w:rPr>
            </w:pPr>
            <w:r w:rsidRPr="00BB6DBA">
              <w:rPr>
                <w:rFonts w:ascii="Times" w:hAnsi="Times"/>
                <w:sz w:val="18"/>
                <w:szCs w:val="18"/>
              </w:rPr>
              <w:t>At least 2</w:t>
            </w:r>
          </w:p>
        </w:tc>
      </w:tr>
      <w:tr w:rsidR="00FD0EDE" w:rsidRPr="00AD3737" w:rsidTr="0076503C">
        <w:trPr>
          <w:trHeight w:val="205"/>
        </w:trPr>
        <w:tc>
          <w:tcPr>
            <w:tcW w:w="668" w:type="pct"/>
            <w:vMerge w:val="restart"/>
            <w:tcBorders>
              <w:top w:val="single" w:sz="12" w:space="0" w:color="auto"/>
            </w:tcBorders>
            <w:vAlign w:val="center"/>
          </w:tcPr>
          <w:p w:rsidR="00FD0EDE" w:rsidRPr="00FF4418" w:rsidRDefault="00FD0EDE" w:rsidP="0076503C">
            <w:pPr>
              <w:keepNext/>
              <w:spacing w:after="0"/>
              <w:jc w:val="left"/>
              <w:rPr>
                <w:rFonts w:ascii="Times" w:hAnsi="Times"/>
                <w:sz w:val="18"/>
                <w:szCs w:val="18"/>
              </w:rPr>
            </w:pPr>
            <w:r w:rsidRPr="00FF4418">
              <w:rPr>
                <w:rFonts w:ascii="Times" w:hAnsi="Times"/>
                <w:sz w:val="18"/>
                <w:szCs w:val="18"/>
              </w:rPr>
              <w:t>B1C1</w:t>
            </w:r>
          </w:p>
        </w:tc>
        <w:tc>
          <w:tcPr>
            <w:tcW w:w="804" w:type="pct"/>
            <w:vMerge w:val="restart"/>
            <w:tcBorders>
              <w:top w:val="single" w:sz="12" w:space="0" w:color="auto"/>
            </w:tcBorders>
          </w:tcPr>
          <w:p w:rsidR="00FD0EDE" w:rsidRPr="00FF4418" w:rsidRDefault="00FD0EDE" w:rsidP="0076503C">
            <w:pPr>
              <w:keepNext/>
              <w:spacing w:after="0"/>
              <w:jc w:val="left"/>
              <w:rPr>
                <w:rFonts w:ascii="Times" w:hAnsi="Times"/>
                <w:sz w:val="18"/>
                <w:szCs w:val="18"/>
              </w:rPr>
            </w:pPr>
            <w:r w:rsidRPr="00FF4418">
              <w:rPr>
                <w:rFonts w:ascii="Times" w:hAnsi="Times"/>
                <w:i/>
                <w:sz w:val="18"/>
              </w:rPr>
              <w:t>Cyclo-oxygenase</w:t>
            </w:r>
            <w:r w:rsidRPr="00FF4418">
              <w:rPr>
                <w:rFonts w:ascii="Times" w:hAnsi="Times"/>
                <w:sz w:val="18"/>
                <w:szCs w:val="18"/>
              </w:rPr>
              <w:t xml:space="preserve"> inhibitors </w:t>
            </w:r>
          </w:p>
        </w:tc>
        <w:tc>
          <w:tcPr>
            <w:tcW w:w="541" w:type="pct"/>
            <w:vMerge w:val="restart"/>
            <w:tcBorders>
              <w:top w:val="single" w:sz="12" w:space="0" w:color="auto"/>
            </w:tcBorders>
            <w:vAlign w:val="center"/>
          </w:tcPr>
          <w:p w:rsidR="00FD0EDE" w:rsidRPr="00FF4418" w:rsidRDefault="00FD0EDE" w:rsidP="0076503C">
            <w:pPr>
              <w:keepNext/>
              <w:spacing w:after="0"/>
              <w:jc w:val="left"/>
              <w:rPr>
                <w:rFonts w:ascii="Times" w:hAnsi="Times"/>
                <w:sz w:val="18"/>
                <w:szCs w:val="18"/>
              </w:rPr>
            </w:pPr>
            <w:r w:rsidRPr="00FF4418">
              <w:rPr>
                <w:rFonts w:ascii="Times" w:hAnsi="Times"/>
                <w:sz w:val="18"/>
                <w:szCs w:val="18"/>
              </w:rPr>
              <w:t>Group 1</w:t>
            </w:r>
          </w:p>
        </w:tc>
        <w:tc>
          <w:tcPr>
            <w:tcW w:w="407" w:type="pct"/>
            <w:tcBorders>
              <w:top w:val="single" w:sz="12" w:space="0" w:color="auto"/>
            </w:tcBorders>
            <w:vAlign w:val="center"/>
          </w:tcPr>
          <w:p w:rsidR="00FD0EDE" w:rsidRPr="00FF4418" w:rsidRDefault="00FD0EDE" w:rsidP="0076503C">
            <w:pPr>
              <w:keepNext/>
              <w:spacing w:after="0"/>
              <w:jc w:val="left"/>
              <w:rPr>
                <w:rFonts w:ascii="Times" w:hAnsi="Times"/>
                <w:b/>
                <w:sz w:val="18"/>
              </w:rPr>
            </w:pPr>
            <w:r w:rsidRPr="00FF4418">
              <w:rPr>
                <w:rFonts w:ascii="Times" w:hAnsi="Times"/>
                <w:b/>
                <w:sz w:val="18"/>
              </w:rPr>
              <w:t>2017</w:t>
            </w:r>
          </w:p>
        </w:tc>
        <w:tc>
          <w:tcPr>
            <w:tcW w:w="651" w:type="pct"/>
            <w:tcBorders>
              <w:top w:val="single" w:sz="12" w:space="0" w:color="auto"/>
            </w:tcBorders>
            <w:vAlign w:val="center"/>
          </w:tcPr>
          <w:p w:rsidR="00FD0EDE" w:rsidRPr="00FF4418" w:rsidRDefault="00FD0EDE" w:rsidP="0076503C">
            <w:pPr>
              <w:keepNext/>
              <w:spacing w:after="0"/>
              <w:jc w:val="left"/>
              <w:rPr>
                <w:rFonts w:ascii="Times" w:hAnsi="Times"/>
                <w:sz w:val="18"/>
                <w:szCs w:val="18"/>
              </w:rPr>
            </w:pPr>
            <w:r>
              <w:rPr>
                <w:rFonts w:ascii="Times" w:hAnsi="Times"/>
                <w:sz w:val="18"/>
                <w:szCs w:val="18"/>
              </w:rPr>
              <w:t>[10-20]% /[10-20]%</w:t>
            </w:r>
          </w:p>
        </w:tc>
        <w:tc>
          <w:tcPr>
            <w:tcW w:w="585" w:type="pct"/>
            <w:tcBorders>
              <w:top w:val="single" w:sz="12" w:space="0" w:color="auto"/>
            </w:tcBorders>
            <w:vAlign w:val="center"/>
          </w:tcPr>
          <w:p w:rsidR="00FD0EDE" w:rsidRPr="00FF4418" w:rsidRDefault="00FD0EDE" w:rsidP="0076503C">
            <w:pPr>
              <w:keepNext/>
              <w:spacing w:after="0"/>
              <w:jc w:val="left"/>
              <w:rPr>
                <w:rFonts w:ascii="Times" w:hAnsi="Times"/>
                <w:sz w:val="18"/>
                <w:szCs w:val="18"/>
              </w:rPr>
            </w:pPr>
            <w:r>
              <w:rPr>
                <w:rFonts w:ascii="Times" w:hAnsi="Times"/>
                <w:sz w:val="18"/>
                <w:szCs w:val="18"/>
              </w:rPr>
              <w:t>[10-20]% /[20-30]%</w:t>
            </w:r>
          </w:p>
        </w:tc>
        <w:tc>
          <w:tcPr>
            <w:tcW w:w="555" w:type="pct"/>
            <w:tcBorders>
              <w:top w:val="single" w:sz="12" w:space="0" w:color="auto"/>
            </w:tcBorders>
            <w:vAlign w:val="center"/>
          </w:tcPr>
          <w:p w:rsidR="00FD0EDE" w:rsidRPr="00FF4418" w:rsidRDefault="00FD0EDE" w:rsidP="0076503C">
            <w:pPr>
              <w:keepNext/>
              <w:spacing w:after="0"/>
              <w:jc w:val="left"/>
              <w:rPr>
                <w:rFonts w:ascii="Times" w:hAnsi="Times"/>
                <w:sz w:val="18"/>
                <w:szCs w:val="18"/>
              </w:rPr>
            </w:pPr>
            <w:r>
              <w:rPr>
                <w:rFonts w:ascii="Times" w:hAnsi="Times"/>
                <w:sz w:val="18"/>
                <w:szCs w:val="18"/>
              </w:rPr>
              <w:t>[20-30]% /[30-40]%</w:t>
            </w:r>
          </w:p>
        </w:tc>
        <w:tc>
          <w:tcPr>
            <w:tcW w:w="789" w:type="pct"/>
            <w:tcBorders>
              <w:top w:val="single" w:sz="12" w:space="0" w:color="auto"/>
            </w:tcBorders>
            <w:vAlign w:val="center"/>
          </w:tcPr>
          <w:p w:rsidR="00FD0EDE" w:rsidRPr="00FF4418" w:rsidRDefault="00FD0EDE" w:rsidP="0076503C">
            <w:pPr>
              <w:keepNext/>
              <w:spacing w:after="0"/>
              <w:jc w:val="left"/>
              <w:rPr>
                <w:rFonts w:ascii="Times" w:hAnsi="Times"/>
                <w:sz w:val="18"/>
                <w:szCs w:val="18"/>
              </w:rPr>
            </w:pPr>
            <w:r w:rsidRPr="00FF4418">
              <w:rPr>
                <w:rFonts w:ascii="Times" w:hAnsi="Times"/>
                <w:sz w:val="18"/>
                <w:szCs w:val="18"/>
              </w:rPr>
              <w:t>At least 2</w:t>
            </w:r>
          </w:p>
        </w:tc>
      </w:tr>
      <w:tr w:rsidR="00FD0EDE" w:rsidRPr="00AD3737" w:rsidTr="00510574">
        <w:trPr>
          <w:trHeight w:val="205"/>
        </w:trPr>
        <w:tc>
          <w:tcPr>
            <w:tcW w:w="668" w:type="pct"/>
            <w:vMerge/>
            <w:vAlign w:val="center"/>
          </w:tcPr>
          <w:p w:rsidR="00FD0EDE" w:rsidRPr="00FF4418" w:rsidRDefault="00FD0EDE" w:rsidP="0076503C">
            <w:pPr>
              <w:keepNext/>
              <w:spacing w:after="0"/>
              <w:jc w:val="left"/>
              <w:rPr>
                <w:rFonts w:ascii="Times" w:hAnsi="Times"/>
                <w:sz w:val="18"/>
                <w:szCs w:val="18"/>
              </w:rPr>
            </w:pPr>
          </w:p>
        </w:tc>
        <w:tc>
          <w:tcPr>
            <w:tcW w:w="804" w:type="pct"/>
            <w:vMerge/>
            <w:vAlign w:val="center"/>
          </w:tcPr>
          <w:p w:rsidR="00FD0EDE" w:rsidRPr="00FF4418" w:rsidRDefault="00FD0EDE" w:rsidP="0076503C">
            <w:pPr>
              <w:keepNext/>
              <w:spacing w:after="0"/>
              <w:jc w:val="left"/>
              <w:rPr>
                <w:rFonts w:ascii="Times" w:hAnsi="Times"/>
                <w:sz w:val="18"/>
                <w:szCs w:val="18"/>
              </w:rPr>
            </w:pPr>
          </w:p>
        </w:tc>
        <w:tc>
          <w:tcPr>
            <w:tcW w:w="541" w:type="pct"/>
            <w:vMerge/>
            <w:vAlign w:val="center"/>
          </w:tcPr>
          <w:p w:rsidR="00FD0EDE" w:rsidRPr="00FF4418" w:rsidRDefault="00FD0EDE" w:rsidP="0076503C">
            <w:pPr>
              <w:keepNext/>
              <w:spacing w:after="0"/>
              <w:jc w:val="left"/>
              <w:rPr>
                <w:rFonts w:ascii="Times" w:hAnsi="Times"/>
                <w:sz w:val="18"/>
                <w:szCs w:val="18"/>
              </w:rPr>
            </w:pPr>
          </w:p>
        </w:tc>
        <w:tc>
          <w:tcPr>
            <w:tcW w:w="407" w:type="pct"/>
            <w:vAlign w:val="center"/>
          </w:tcPr>
          <w:p w:rsidR="00FD0EDE" w:rsidRPr="00FF4418" w:rsidRDefault="00FD0EDE" w:rsidP="0076503C">
            <w:pPr>
              <w:keepNext/>
              <w:spacing w:after="0"/>
              <w:jc w:val="left"/>
              <w:rPr>
                <w:rFonts w:ascii="Times" w:hAnsi="Times"/>
                <w:b/>
                <w:sz w:val="18"/>
              </w:rPr>
            </w:pPr>
            <w:r w:rsidRPr="00FF4418">
              <w:rPr>
                <w:rFonts w:ascii="Times" w:hAnsi="Times"/>
                <w:b/>
                <w:sz w:val="18"/>
              </w:rPr>
              <w:t>2016</w:t>
            </w:r>
          </w:p>
        </w:tc>
        <w:tc>
          <w:tcPr>
            <w:tcW w:w="651" w:type="pct"/>
            <w:vAlign w:val="center"/>
          </w:tcPr>
          <w:p w:rsidR="00FD0EDE" w:rsidRPr="00FF4418" w:rsidRDefault="00FD0EDE" w:rsidP="0076503C">
            <w:pPr>
              <w:keepNext/>
              <w:spacing w:after="0"/>
              <w:jc w:val="left"/>
              <w:rPr>
                <w:rFonts w:ascii="Times" w:hAnsi="Times"/>
                <w:sz w:val="18"/>
                <w:szCs w:val="18"/>
              </w:rPr>
            </w:pPr>
            <w:r>
              <w:rPr>
                <w:rFonts w:ascii="Times" w:hAnsi="Times"/>
                <w:sz w:val="18"/>
                <w:szCs w:val="18"/>
              </w:rPr>
              <w:t>[10-20]% /[10-20]%</w:t>
            </w:r>
          </w:p>
        </w:tc>
        <w:tc>
          <w:tcPr>
            <w:tcW w:w="585" w:type="pct"/>
            <w:vAlign w:val="center"/>
          </w:tcPr>
          <w:p w:rsidR="00FD0EDE" w:rsidRPr="00FF4418" w:rsidRDefault="00FD0EDE" w:rsidP="0076503C">
            <w:pPr>
              <w:keepNext/>
              <w:spacing w:after="0"/>
              <w:jc w:val="left"/>
              <w:rPr>
                <w:rFonts w:ascii="Times" w:hAnsi="Times"/>
                <w:sz w:val="18"/>
                <w:szCs w:val="18"/>
              </w:rPr>
            </w:pPr>
            <w:r>
              <w:rPr>
                <w:rFonts w:ascii="Times" w:hAnsi="Times"/>
                <w:sz w:val="18"/>
                <w:szCs w:val="18"/>
              </w:rPr>
              <w:t>[10-20]% /[20-30]%</w:t>
            </w:r>
          </w:p>
        </w:tc>
        <w:tc>
          <w:tcPr>
            <w:tcW w:w="555" w:type="pct"/>
            <w:vAlign w:val="center"/>
          </w:tcPr>
          <w:p w:rsidR="00FD0EDE" w:rsidRPr="00FF4418" w:rsidRDefault="00FD0EDE" w:rsidP="0076503C">
            <w:pPr>
              <w:keepNext/>
              <w:spacing w:after="0"/>
              <w:jc w:val="left"/>
              <w:rPr>
                <w:rFonts w:ascii="Times" w:hAnsi="Times"/>
                <w:sz w:val="18"/>
                <w:szCs w:val="18"/>
              </w:rPr>
            </w:pPr>
            <w:r>
              <w:rPr>
                <w:rFonts w:ascii="Times" w:hAnsi="Times"/>
                <w:sz w:val="18"/>
                <w:szCs w:val="18"/>
              </w:rPr>
              <w:t>[20-30]% /[30-40]%</w:t>
            </w:r>
          </w:p>
        </w:tc>
        <w:tc>
          <w:tcPr>
            <w:tcW w:w="789" w:type="pct"/>
            <w:vAlign w:val="center"/>
          </w:tcPr>
          <w:p w:rsidR="00FD0EDE" w:rsidRPr="00FF4418" w:rsidRDefault="00FD0EDE" w:rsidP="0076503C">
            <w:pPr>
              <w:keepNext/>
              <w:spacing w:after="0"/>
              <w:jc w:val="left"/>
              <w:rPr>
                <w:rFonts w:ascii="Times" w:hAnsi="Times"/>
                <w:sz w:val="18"/>
                <w:szCs w:val="18"/>
              </w:rPr>
            </w:pPr>
            <w:r w:rsidRPr="00FF4418">
              <w:rPr>
                <w:rFonts w:ascii="Times" w:hAnsi="Times"/>
                <w:sz w:val="18"/>
                <w:szCs w:val="18"/>
              </w:rPr>
              <w:t>At least 2</w:t>
            </w:r>
          </w:p>
        </w:tc>
      </w:tr>
      <w:tr w:rsidR="00FD0EDE" w:rsidRPr="00AD3737" w:rsidTr="00510574">
        <w:trPr>
          <w:trHeight w:val="205"/>
        </w:trPr>
        <w:tc>
          <w:tcPr>
            <w:tcW w:w="668" w:type="pct"/>
            <w:vMerge/>
            <w:tcBorders>
              <w:bottom w:val="single" w:sz="12" w:space="0" w:color="auto"/>
            </w:tcBorders>
            <w:vAlign w:val="center"/>
          </w:tcPr>
          <w:p w:rsidR="00FD0EDE" w:rsidRPr="00AD3737" w:rsidRDefault="00FD0EDE" w:rsidP="0076503C">
            <w:pPr>
              <w:keepNext/>
              <w:spacing w:after="0"/>
              <w:jc w:val="left"/>
              <w:rPr>
                <w:rFonts w:ascii="Times" w:hAnsi="Times"/>
                <w:sz w:val="18"/>
                <w:szCs w:val="18"/>
              </w:rPr>
            </w:pPr>
          </w:p>
        </w:tc>
        <w:tc>
          <w:tcPr>
            <w:tcW w:w="804" w:type="pct"/>
            <w:vMerge/>
            <w:tcBorders>
              <w:bottom w:val="single" w:sz="12" w:space="0" w:color="auto"/>
            </w:tcBorders>
            <w:vAlign w:val="center"/>
          </w:tcPr>
          <w:p w:rsidR="00FD0EDE" w:rsidRPr="00AD3737" w:rsidRDefault="00FD0EDE" w:rsidP="0076503C">
            <w:pPr>
              <w:keepNext/>
              <w:spacing w:after="0"/>
              <w:jc w:val="left"/>
              <w:rPr>
                <w:rFonts w:ascii="Times" w:hAnsi="Times"/>
                <w:sz w:val="18"/>
                <w:szCs w:val="18"/>
              </w:rPr>
            </w:pPr>
          </w:p>
        </w:tc>
        <w:tc>
          <w:tcPr>
            <w:tcW w:w="541" w:type="pct"/>
            <w:vMerge/>
            <w:tcBorders>
              <w:bottom w:val="single" w:sz="12" w:space="0" w:color="auto"/>
            </w:tcBorders>
            <w:vAlign w:val="center"/>
          </w:tcPr>
          <w:p w:rsidR="00FD0EDE" w:rsidRPr="00AD3737" w:rsidRDefault="00FD0EDE" w:rsidP="0076503C">
            <w:pPr>
              <w:keepNext/>
              <w:spacing w:after="0"/>
              <w:jc w:val="left"/>
              <w:rPr>
                <w:rFonts w:ascii="Times" w:hAnsi="Times"/>
                <w:sz w:val="18"/>
                <w:szCs w:val="18"/>
              </w:rPr>
            </w:pPr>
          </w:p>
        </w:tc>
        <w:tc>
          <w:tcPr>
            <w:tcW w:w="407" w:type="pct"/>
            <w:tcBorders>
              <w:bottom w:val="single" w:sz="12" w:space="0" w:color="auto"/>
            </w:tcBorders>
            <w:vAlign w:val="center"/>
          </w:tcPr>
          <w:p w:rsidR="00FD0EDE" w:rsidRPr="002D7FBB" w:rsidRDefault="00FD0EDE" w:rsidP="0076503C">
            <w:pPr>
              <w:keepNext/>
              <w:spacing w:after="0"/>
              <w:jc w:val="left"/>
              <w:rPr>
                <w:rFonts w:ascii="Times" w:hAnsi="Times"/>
                <w:b/>
                <w:sz w:val="18"/>
              </w:rPr>
            </w:pPr>
            <w:r>
              <w:rPr>
                <w:rFonts w:ascii="Times" w:hAnsi="Times"/>
                <w:b/>
                <w:sz w:val="18"/>
              </w:rPr>
              <w:t>2015</w:t>
            </w:r>
          </w:p>
        </w:tc>
        <w:tc>
          <w:tcPr>
            <w:tcW w:w="651" w:type="pct"/>
            <w:tcBorders>
              <w:bottom w:val="single" w:sz="1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[10-20]% /[10-20]%</w:t>
            </w:r>
          </w:p>
        </w:tc>
        <w:tc>
          <w:tcPr>
            <w:tcW w:w="585" w:type="pct"/>
            <w:tcBorders>
              <w:bottom w:val="single" w:sz="1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[10-20]% /[20-30]%</w:t>
            </w:r>
          </w:p>
        </w:tc>
        <w:tc>
          <w:tcPr>
            <w:tcW w:w="555" w:type="pct"/>
            <w:tcBorders>
              <w:bottom w:val="single" w:sz="1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[20-30]% /[40-50]%</w:t>
            </w:r>
          </w:p>
        </w:tc>
        <w:tc>
          <w:tcPr>
            <w:tcW w:w="789" w:type="pct"/>
            <w:tcBorders>
              <w:bottom w:val="single" w:sz="1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At least 2</w:t>
            </w:r>
          </w:p>
        </w:tc>
      </w:tr>
      <w:tr w:rsidR="00FD0EDE" w:rsidRPr="00AD3737" w:rsidTr="0076503C">
        <w:trPr>
          <w:trHeight w:val="205"/>
        </w:trPr>
        <w:tc>
          <w:tcPr>
            <w:tcW w:w="668" w:type="pct"/>
            <w:vMerge w:val="restart"/>
            <w:tcBorders>
              <w:top w:val="single" w:sz="12" w:space="0" w:color="auto"/>
            </w:tcBorders>
            <w:vAlign w:val="center"/>
          </w:tcPr>
          <w:p w:rsidR="00FD0EDE" w:rsidRPr="00AD3737" w:rsidRDefault="00FD0EDE" w:rsidP="0076503C">
            <w:pPr>
              <w:keepNext/>
              <w:spacing w:after="0"/>
              <w:jc w:val="left"/>
              <w:rPr>
                <w:rFonts w:ascii="Times" w:hAnsi="Times"/>
                <w:sz w:val="18"/>
                <w:szCs w:val="18"/>
              </w:rPr>
            </w:pPr>
            <w:r w:rsidRPr="00420413">
              <w:rPr>
                <w:rFonts w:ascii="Times" w:hAnsi="Times"/>
                <w:i/>
                <w:sz w:val="18"/>
                <w:szCs w:val="18"/>
              </w:rPr>
              <w:t>ASA</w:t>
            </w:r>
          </w:p>
        </w:tc>
        <w:tc>
          <w:tcPr>
            <w:tcW w:w="804" w:type="pct"/>
            <w:vMerge w:val="restart"/>
            <w:tcBorders>
              <w:top w:val="single" w:sz="12" w:space="0" w:color="auto"/>
            </w:tcBorders>
          </w:tcPr>
          <w:p w:rsidR="00FD0EDE" w:rsidRPr="00AD3737" w:rsidRDefault="00FD0EDE" w:rsidP="0076503C">
            <w:pPr>
              <w:keepNext/>
              <w:spacing w:after="0"/>
              <w:jc w:val="left"/>
              <w:rPr>
                <w:rFonts w:ascii="Times" w:hAnsi="Times"/>
                <w:sz w:val="18"/>
                <w:szCs w:val="18"/>
              </w:rPr>
            </w:pPr>
            <w:r w:rsidRPr="004F4BE3">
              <w:rPr>
                <w:rFonts w:ascii="Times" w:hAnsi="Times"/>
                <w:i/>
                <w:sz w:val="18"/>
              </w:rPr>
              <w:t>ASA</w:t>
            </w:r>
            <w:r>
              <w:rPr>
                <w:rFonts w:ascii="Times" w:hAnsi="Times"/>
                <w:sz w:val="18"/>
                <w:szCs w:val="18"/>
              </w:rPr>
              <w:t>-based heart attack prevention</w:t>
            </w:r>
            <w:r w:rsidRPr="00AD3737">
              <w:rPr>
                <w:rFonts w:ascii="Times" w:hAnsi="Times"/>
                <w:sz w:val="18"/>
                <w:szCs w:val="18"/>
              </w:rPr>
              <w:t xml:space="preserve"> (OTC)</w:t>
            </w:r>
          </w:p>
        </w:tc>
        <w:tc>
          <w:tcPr>
            <w:tcW w:w="541" w:type="pct"/>
            <w:vMerge w:val="restart"/>
            <w:tcBorders>
              <w:top w:val="single" w:sz="1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Group 1</w:t>
            </w:r>
          </w:p>
        </w:tc>
        <w:tc>
          <w:tcPr>
            <w:tcW w:w="407" w:type="pct"/>
            <w:tcBorders>
              <w:top w:val="single" w:sz="12" w:space="0" w:color="auto"/>
            </w:tcBorders>
            <w:vAlign w:val="center"/>
          </w:tcPr>
          <w:p w:rsidR="00FD0EDE" w:rsidRDefault="00FD0EDE" w:rsidP="0076503C">
            <w:pPr>
              <w:keepNext/>
              <w:spacing w:after="0"/>
              <w:jc w:val="left"/>
              <w:rPr>
                <w:rFonts w:ascii="Times" w:hAnsi="Times"/>
                <w:b/>
                <w:sz w:val="18"/>
              </w:rPr>
            </w:pPr>
            <w:r>
              <w:rPr>
                <w:rFonts w:ascii="Times" w:hAnsi="Times"/>
                <w:b/>
                <w:sz w:val="18"/>
              </w:rPr>
              <w:t>2017</w:t>
            </w:r>
          </w:p>
        </w:tc>
        <w:tc>
          <w:tcPr>
            <w:tcW w:w="651" w:type="pct"/>
            <w:tcBorders>
              <w:top w:val="single" w:sz="12" w:space="0" w:color="auto"/>
            </w:tcBorders>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[10-20]% /[10-20]%</w:t>
            </w:r>
          </w:p>
        </w:tc>
        <w:tc>
          <w:tcPr>
            <w:tcW w:w="585" w:type="pct"/>
            <w:tcBorders>
              <w:top w:val="single" w:sz="12" w:space="0" w:color="auto"/>
            </w:tcBorders>
            <w:vAlign w:val="center"/>
          </w:tcPr>
          <w:p w:rsidR="00FD0EDE" w:rsidRDefault="00FD0EDE" w:rsidP="0076503C">
            <w:pPr>
              <w:keepNext/>
              <w:spacing w:after="0"/>
              <w:jc w:val="left"/>
              <w:rPr>
                <w:rFonts w:ascii="Times" w:hAnsi="Times"/>
                <w:sz w:val="18"/>
                <w:szCs w:val="18"/>
              </w:rPr>
            </w:pPr>
            <w:r>
              <w:rPr>
                <w:rFonts w:ascii="Times" w:hAnsi="Times"/>
                <w:sz w:val="18"/>
                <w:szCs w:val="18"/>
              </w:rPr>
              <w:t>[10-20]% /[20-30]%</w:t>
            </w:r>
          </w:p>
        </w:tc>
        <w:tc>
          <w:tcPr>
            <w:tcW w:w="555" w:type="pct"/>
            <w:tcBorders>
              <w:top w:val="single" w:sz="12" w:space="0" w:color="auto"/>
            </w:tcBorders>
            <w:vAlign w:val="center"/>
          </w:tcPr>
          <w:p w:rsidR="00FD0EDE" w:rsidRDefault="00FD0EDE" w:rsidP="0076503C">
            <w:pPr>
              <w:keepNext/>
              <w:spacing w:after="0"/>
              <w:jc w:val="left"/>
              <w:rPr>
                <w:rFonts w:ascii="Times" w:hAnsi="Times"/>
                <w:sz w:val="18"/>
                <w:szCs w:val="18"/>
              </w:rPr>
            </w:pPr>
            <w:r>
              <w:rPr>
                <w:rFonts w:ascii="Times" w:hAnsi="Times"/>
                <w:sz w:val="18"/>
                <w:szCs w:val="18"/>
              </w:rPr>
              <w:t>[20-30]% /[30-40]%</w:t>
            </w:r>
          </w:p>
        </w:tc>
        <w:tc>
          <w:tcPr>
            <w:tcW w:w="789" w:type="pct"/>
            <w:tcBorders>
              <w:top w:val="single" w:sz="12" w:space="0" w:color="auto"/>
            </w:tcBorders>
            <w:vAlign w:val="center"/>
          </w:tcPr>
          <w:p w:rsidR="00FD0EDE" w:rsidRPr="00BE4E50" w:rsidRDefault="00FD0EDE" w:rsidP="0076503C">
            <w:pPr>
              <w:keepNext/>
              <w:spacing w:after="0"/>
              <w:jc w:val="left"/>
              <w:rPr>
                <w:rFonts w:ascii="Times" w:hAnsi="Times"/>
                <w:sz w:val="18"/>
                <w:szCs w:val="18"/>
              </w:rPr>
            </w:pPr>
            <w:r>
              <w:rPr>
                <w:rFonts w:ascii="Times" w:hAnsi="Times"/>
                <w:sz w:val="18"/>
                <w:szCs w:val="18"/>
              </w:rPr>
              <w:t>At least 2</w:t>
            </w:r>
          </w:p>
        </w:tc>
      </w:tr>
      <w:tr w:rsidR="00FD0EDE" w:rsidRPr="00AD3737" w:rsidTr="00D1067E">
        <w:trPr>
          <w:trHeight w:val="205"/>
        </w:trPr>
        <w:tc>
          <w:tcPr>
            <w:tcW w:w="668" w:type="pct"/>
            <w:vMerge/>
            <w:vAlign w:val="center"/>
          </w:tcPr>
          <w:p w:rsidR="00FD0EDE" w:rsidRPr="00AD3737" w:rsidRDefault="00FD0EDE" w:rsidP="0076503C">
            <w:pPr>
              <w:keepNext/>
              <w:spacing w:after="0"/>
              <w:jc w:val="left"/>
              <w:rPr>
                <w:rFonts w:ascii="Times" w:hAnsi="Times"/>
                <w:sz w:val="18"/>
                <w:szCs w:val="18"/>
              </w:rPr>
            </w:pPr>
          </w:p>
        </w:tc>
        <w:tc>
          <w:tcPr>
            <w:tcW w:w="804" w:type="pct"/>
            <w:vMerge/>
            <w:vAlign w:val="center"/>
          </w:tcPr>
          <w:p w:rsidR="00FD0EDE" w:rsidRPr="00AD3737" w:rsidRDefault="00FD0EDE" w:rsidP="0076503C">
            <w:pPr>
              <w:keepNext/>
              <w:spacing w:after="0"/>
              <w:jc w:val="left"/>
              <w:rPr>
                <w:rFonts w:ascii="Times" w:hAnsi="Times"/>
                <w:sz w:val="18"/>
                <w:szCs w:val="18"/>
              </w:rPr>
            </w:pPr>
          </w:p>
        </w:tc>
        <w:tc>
          <w:tcPr>
            <w:tcW w:w="541" w:type="pct"/>
            <w:vMerge/>
            <w:vAlign w:val="center"/>
          </w:tcPr>
          <w:p w:rsidR="00FD0EDE" w:rsidRPr="00AD3737" w:rsidRDefault="00FD0EDE" w:rsidP="0076503C">
            <w:pPr>
              <w:keepNext/>
              <w:spacing w:after="0"/>
              <w:jc w:val="left"/>
              <w:rPr>
                <w:rFonts w:ascii="Times" w:hAnsi="Times"/>
                <w:sz w:val="18"/>
                <w:szCs w:val="18"/>
              </w:rPr>
            </w:pPr>
          </w:p>
        </w:tc>
        <w:tc>
          <w:tcPr>
            <w:tcW w:w="407" w:type="pct"/>
            <w:vAlign w:val="center"/>
          </w:tcPr>
          <w:p w:rsidR="00FD0EDE" w:rsidRDefault="00FD0EDE" w:rsidP="0076503C">
            <w:pPr>
              <w:keepNext/>
              <w:spacing w:after="0"/>
              <w:jc w:val="left"/>
              <w:rPr>
                <w:rFonts w:ascii="Times" w:hAnsi="Times"/>
                <w:b/>
                <w:sz w:val="18"/>
              </w:rPr>
            </w:pPr>
            <w:r>
              <w:rPr>
                <w:rFonts w:ascii="Times" w:hAnsi="Times"/>
                <w:b/>
                <w:sz w:val="18"/>
              </w:rPr>
              <w:t>2016</w:t>
            </w:r>
          </w:p>
        </w:tc>
        <w:tc>
          <w:tcPr>
            <w:tcW w:w="651" w:type="pct"/>
            <w:vAlign w:val="center"/>
          </w:tcPr>
          <w:p w:rsidR="00FD0EDE" w:rsidRPr="00AD3737" w:rsidRDefault="00FD0EDE" w:rsidP="0076503C">
            <w:pPr>
              <w:keepNext/>
              <w:spacing w:after="0"/>
              <w:jc w:val="left"/>
              <w:rPr>
                <w:rFonts w:ascii="Times" w:hAnsi="Times"/>
                <w:sz w:val="18"/>
                <w:szCs w:val="18"/>
              </w:rPr>
            </w:pPr>
            <w:r>
              <w:rPr>
                <w:rFonts w:ascii="Times" w:hAnsi="Times"/>
                <w:sz w:val="18"/>
                <w:szCs w:val="18"/>
              </w:rPr>
              <w:t>[10-20]% /[10-20]%</w:t>
            </w:r>
          </w:p>
        </w:tc>
        <w:tc>
          <w:tcPr>
            <w:tcW w:w="585" w:type="pct"/>
            <w:vAlign w:val="center"/>
          </w:tcPr>
          <w:p w:rsidR="00FD0EDE" w:rsidRDefault="00FD0EDE" w:rsidP="0076503C">
            <w:pPr>
              <w:keepNext/>
              <w:spacing w:after="0"/>
              <w:jc w:val="left"/>
              <w:rPr>
                <w:rFonts w:ascii="Times" w:hAnsi="Times"/>
                <w:sz w:val="18"/>
                <w:szCs w:val="18"/>
              </w:rPr>
            </w:pPr>
            <w:r>
              <w:rPr>
                <w:rFonts w:ascii="Times" w:hAnsi="Times"/>
                <w:sz w:val="18"/>
                <w:szCs w:val="18"/>
              </w:rPr>
              <w:t>[10-20]% /[20-30]%</w:t>
            </w:r>
          </w:p>
        </w:tc>
        <w:tc>
          <w:tcPr>
            <w:tcW w:w="555" w:type="pct"/>
            <w:vAlign w:val="center"/>
          </w:tcPr>
          <w:p w:rsidR="00FD0EDE" w:rsidRDefault="00FD0EDE" w:rsidP="0076503C">
            <w:pPr>
              <w:keepNext/>
              <w:spacing w:after="0"/>
              <w:jc w:val="left"/>
              <w:rPr>
                <w:rFonts w:ascii="Times" w:hAnsi="Times"/>
                <w:sz w:val="18"/>
                <w:szCs w:val="18"/>
              </w:rPr>
            </w:pPr>
            <w:r>
              <w:rPr>
                <w:rFonts w:ascii="Times" w:hAnsi="Times"/>
                <w:sz w:val="18"/>
                <w:szCs w:val="18"/>
              </w:rPr>
              <w:t>[20-30]% /[30-40]%</w:t>
            </w:r>
          </w:p>
        </w:tc>
        <w:tc>
          <w:tcPr>
            <w:tcW w:w="789" w:type="pct"/>
            <w:vAlign w:val="center"/>
          </w:tcPr>
          <w:p w:rsidR="00FD0EDE" w:rsidRPr="00BE4E50" w:rsidRDefault="00FD0EDE" w:rsidP="0076503C">
            <w:pPr>
              <w:keepNext/>
              <w:spacing w:after="0"/>
              <w:jc w:val="left"/>
              <w:rPr>
                <w:rFonts w:ascii="Times" w:hAnsi="Times"/>
                <w:sz w:val="18"/>
                <w:szCs w:val="18"/>
              </w:rPr>
            </w:pPr>
            <w:r>
              <w:rPr>
                <w:rFonts w:ascii="Times" w:hAnsi="Times"/>
                <w:sz w:val="18"/>
                <w:szCs w:val="18"/>
              </w:rPr>
              <w:t>At least 2</w:t>
            </w:r>
          </w:p>
        </w:tc>
      </w:tr>
      <w:tr w:rsidR="00FD0EDE" w:rsidRPr="00AD3737" w:rsidTr="00510574">
        <w:trPr>
          <w:trHeight w:val="205"/>
        </w:trPr>
        <w:tc>
          <w:tcPr>
            <w:tcW w:w="668" w:type="pct"/>
            <w:vMerge/>
            <w:vAlign w:val="center"/>
          </w:tcPr>
          <w:p w:rsidR="00FD0EDE" w:rsidRPr="00AD3737" w:rsidRDefault="00FD0EDE" w:rsidP="0076503C">
            <w:pPr>
              <w:keepNext/>
              <w:spacing w:after="0"/>
              <w:jc w:val="left"/>
              <w:rPr>
                <w:rFonts w:ascii="Times" w:hAnsi="Times"/>
                <w:sz w:val="18"/>
                <w:szCs w:val="18"/>
              </w:rPr>
            </w:pPr>
          </w:p>
        </w:tc>
        <w:tc>
          <w:tcPr>
            <w:tcW w:w="804" w:type="pct"/>
            <w:vMerge/>
            <w:vAlign w:val="center"/>
          </w:tcPr>
          <w:p w:rsidR="00FD0EDE" w:rsidRPr="00AD3737" w:rsidRDefault="00FD0EDE" w:rsidP="0076503C">
            <w:pPr>
              <w:keepNext/>
              <w:spacing w:after="0"/>
              <w:jc w:val="left"/>
              <w:rPr>
                <w:rFonts w:ascii="Times" w:hAnsi="Times"/>
                <w:sz w:val="18"/>
                <w:szCs w:val="18"/>
              </w:rPr>
            </w:pPr>
          </w:p>
        </w:tc>
        <w:tc>
          <w:tcPr>
            <w:tcW w:w="541" w:type="pct"/>
            <w:vMerge/>
            <w:vAlign w:val="center"/>
          </w:tcPr>
          <w:p w:rsidR="00FD0EDE" w:rsidRPr="00AD3737" w:rsidRDefault="00FD0EDE" w:rsidP="0076503C">
            <w:pPr>
              <w:keepNext/>
              <w:spacing w:after="0"/>
              <w:jc w:val="left"/>
              <w:rPr>
                <w:rFonts w:ascii="Times" w:hAnsi="Times"/>
                <w:sz w:val="18"/>
                <w:szCs w:val="18"/>
              </w:rPr>
            </w:pPr>
          </w:p>
        </w:tc>
        <w:tc>
          <w:tcPr>
            <w:tcW w:w="407" w:type="pct"/>
            <w:vAlign w:val="center"/>
          </w:tcPr>
          <w:p w:rsidR="00FD0EDE" w:rsidRDefault="00FD0EDE" w:rsidP="00510574">
            <w:pPr>
              <w:keepNext/>
              <w:spacing w:after="0"/>
              <w:jc w:val="left"/>
              <w:rPr>
                <w:rFonts w:ascii="Times" w:hAnsi="Times"/>
                <w:b/>
                <w:sz w:val="18"/>
              </w:rPr>
            </w:pPr>
            <w:r>
              <w:rPr>
                <w:rFonts w:ascii="Times" w:hAnsi="Times"/>
                <w:b/>
                <w:sz w:val="18"/>
              </w:rPr>
              <w:t>2015</w:t>
            </w:r>
          </w:p>
        </w:tc>
        <w:tc>
          <w:tcPr>
            <w:tcW w:w="651" w:type="pct"/>
            <w:vAlign w:val="center"/>
          </w:tcPr>
          <w:p w:rsidR="00FD0EDE" w:rsidRPr="00AD3737" w:rsidRDefault="00FD0EDE" w:rsidP="00510574">
            <w:pPr>
              <w:keepNext/>
              <w:spacing w:after="0"/>
              <w:jc w:val="left"/>
              <w:rPr>
                <w:rFonts w:ascii="Times" w:hAnsi="Times"/>
                <w:sz w:val="18"/>
                <w:szCs w:val="18"/>
              </w:rPr>
            </w:pPr>
            <w:r>
              <w:rPr>
                <w:rFonts w:ascii="Times" w:hAnsi="Times"/>
                <w:sz w:val="18"/>
                <w:szCs w:val="18"/>
              </w:rPr>
              <w:t>[10-20]% /[10-20]%</w:t>
            </w:r>
          </w:p>
        </w:tc>
        <w:tc>
          <w:tcPr>
            <w:tcW w:w="585" w:type="pct"/>
            <w:vAlign w:val="center"/>
          </w:tcPr>
          <w:p w:rsidR="00FD0EDE" w:rsidRDefault="00FD0EDE" w:rsidP="00510574">
            <w:pPr>
              <w:keepNext/>
              <w:spacing w:after="0"/>
              <w:jc w:val="left"/>
              <w:rPr>
                <w:rFonts w:ascii="Times" w:hAnsi="Times"/>
                <w:sz w:val="18"/>
                <w:szCs w:val="18"/>
              </w:rPr>
            </w:pPr>
            <w:r>
              <w:rPr>
                <w:rFonts w:ascii="Times" w:hAnsi="Times"/>
                <w:sz w:val="18"/>
                <w:szCs w:val="18"/>
              </w:rPr>
              <w:t>[10-20]% /[20-30]%</w:t>
            </w:r>
          </w:p>
        </w:tc>
        <w:tc>
          <w:tcPr>
            <w:tcW w:w="555" w:type="pct"/>
            <w:vAlign w:val="center"/>
          </w:tcPr>
          <w:p w:rsidR="00FD0EDE" w:rsidRDefault="00FD0EDE" w:rsidP="00FD0EDE">
            <w:pPr>
              <w:keepNext/>
              <w:spacing w:after="0"/>
              <w:jc w:val="left"/>
              <w:rPr>
                <w:rFonts w:ascii="Times" w:hAnsi="Times"/>
                <w:sz w:val="18"/>
                <w:szCs w:val="18"/>
              </w:rPr>
            </w:pPr>
            <w:r>
              <w:rPr>
                <w:rFonts w:ascii="Times" w:hAnsi="Times"/>
                <w:sz w:val="18"/>
                <w:szCs w:val="18"/>
              </w:rPr>
              <w:t>[20-30]% /[40-50]%</w:t>
            </w:r>
          </w:p>
        </w:tc>
        <w:tc>
          <w:tcPr>
            <w:tcW w:w="789" w:type="pct"/>
            <w:vAlign w:val="center"/>
          </w:tcPr>
          <w:p w:rsidR="00FD0EDE" w:rsidRPr="00BE4E50" w:rsidRDefault="00FD0EDE" w:rsidP="00510574">
            <w:pPr>
              <w:keepNext/>
              <w:spacing w:after="0"/>
              <w:jc w:val="left"/>
              <w:rPr>
                <w:rFonts w:ascii="Times" w:hAnsi="Times"/>
                <w:sz w:val="18"/>
                <w:szCs w:val="18"/>
              </w:rPr>
            </w:pPr>
            <w:r>
              <w:rPr>
                <w:rFonts w:ascii="Times" w:hAnsi="Times"/>
                <w:sz w:val="18"/>
                <w:szCs w:val="18"/>
              </w:rPr>
              <w:t>At least 2</w:t>
            </w:r>
          </w:p>
        </w:tc>
      </w:tr>
    </w:tbl>
    <w:p w:rsidR="00A95B38" w:rsidRDefault="00A95B38" w:rsidP="00CF51B4">
      <w:pPr>
        <w:pStyle w:val="ListNumber"/>
        <w:numPr>
          <w:ilvl w:val="0"/>
          <w:numId w:val="0"/>
        </w:numPr>
        <w:spacing w:after="0"/>
        <w:ind w:left="709"/>
      </w:pPr>
    </w:p>
    <w:p w:rsidR="00A95B38" w:rsidRDefault="00A95B38" w:rsidP="00A95B38">
      <w:pPr>
        <w:pStyle w:val="ListNumber"/>
      </w:pPr>
      <w:r>
        <w:t xml:space="preserve">The Parties' combined share amounts to </w:t>
      </w:r>
      <w:r w:rsidR="00FD0EDE">
        <w:t>[20-30]</w:t>
      </w:r>
      <w:r>
        <w:t xml:space="preserve">% </w:t>
      </w:r>
      <w:r w:rsidR="00B85F67">
        <w:t xml:space="preserve">in </w:t>
      </w:r>
      <w:r>
        <w:t xml:space="preserve">value and </w:t>
      </w:r>
      <w:r w:rsidR="00FD0EDE">
        <w:t>[30-40]</w:t>
      </w:r>
      <w:r>
        <w:t xml:space="preserve">% </w:t>
      </w:r>
      <w:r w:rsidR="00B85F67">
        <w:t xml:space="preserve">in </w:t>
      </w:r>
      <w:r>
        <w:t>volume in heart attack prevention products</w:t>
      </w:r>
      <w:r w:rsidR="00B2077C">
        <w:t xml:space="preserve"> in OTC 3 class 10E1</w:t>
      </w:r>
      <w:r>
        <w:t xml:space="preserve"> with an increment of </w:t>
      </w:r>
      <w:r w:rsidR="00FD0EDE">
        <w:t>[10-20]</w:t>
      </w:r>
      <w:r>
        <w:t xml:space="preserve">% </w:t>
      </w:r>
      <w:r w:rsidR="00B85F67">
        <w:t xml:space="preserve">in </w:t>
      </w:r>
      <w:r>
        <w:t xml:space="preserve">value and </w:t>
      </w:r>
      <w:r w:rsidR="00FD0EDE">
        <w:t>[20-30]</w:t>
      </w:r>
      <w:r>
        <w:t xml:space="preserve">% </w:t>
      </w:r>
      <w:r w:rsidR="00B85F67">
        <w:t xml:space="preserve">in </w:t>
      </w:r>
      <w:r>
        <w:t xml:space="preserve">volume contributed by PGT.  The combined share of the Parties does not change significantly if the market is </w:t>
      </w:r>
      <w:r w:rsidR="00B2077C">
        <w:t xml:space="preserve">defined at ATC 4 level or if it is </w:t>
      </w:r>
      <w:r>
        <w:t xml:space="preserve">limited to </w:t>
      </w:r>
      <w:r w:rsidRPr="004F4BE3">
        <w:rPr>
          <w:i/>
        </w:rPr>
        <w:t>ASA</w:t>
      </w:r>
      <w:r>
        <w:t>-based products in OTC 3 class 10E1, since the vast majority of drugs in this class contain ASA.</w:t>
      </w:r>
      <w:r>
        <w:rPr>
          <w:rStyle w:val="FootnoteReference"/>
        </w:rPr>
        <w:footnoteReference w:id="43"/>
      </w:r>
      <w:r>
        <w:t xml:space="preserve">  </w:t>
      </w:r>
    </w:p>
    <w:p w:rsidR="00A95B38" w:rsidRDefault="00A95B38" w:rsidP="00A95B38">
      <w:pPr>
        <w:pStyle w:val="ListNumber"/>
      </w:pPr>
      <w:r>
        <w:t>Post-Transaction, the combined entity will continue to face competitive constraints from Bayer (</w:t>
      </w:r>
      <w:r w:rsidR="00FD0EDE">
        <w:t>[40-50]</w:t>
      </w:r>
      <w:r>
        <w:t xml:space="preserve">% </w:t>
      </w:r>
      <w:r w:rsidR="00B85F67">
        <w:t xml:space="preserve">in </w:t>
      </w:r>
      <w:r>
        <w:t xml:space="preserve">value and </w:t>
      </w:r>
      <w:r w:rsidR="00FD0EDE">
        <w:t>[</w:t>
      </w:r>
      <w:r>
        <w:t>30</w:t>
      </w:r>
      <w:r w:rsidR="00FD0EDE">
        <w:t>-40]</w:t>
      </w:r>
      <w:r>
        <w:t xml:space="preserve">% </w:t>
      </w:r>
      <w:r w:rsidR="00B85F67">
        <w:t xml:space="preserve">in </w:t>
      </w:r>
      <w:r>
        <w:t>volume in OTC 3 class 10E1 (heart attack products)</w:t>
      </w:r>
      <w:r w:rsidR="00480A22">
        <w:t xml:space="preserve">; </w:t>
      </w:r>
      <w:r w:rsidR="00FD0EDE">
        <w:t>[</w:t>
      </w:r>
      <w:r w:rsidR="00480A22">
        <w:t>50</w:t>
      </w:r>
      <w:r w:rsidR="00FD0EDE">
        <w:t>-60]</w:t>
      </w:r>
      <w:r w:rsidR="00480A22">
        <w:t xml:space="preserve">% in value and </w:t>
      </w:r>
      <w:r w:rsidR="00FD0EDE">
        <w:t>[30-40]</w:t>
      </w:r>
      <w:r w:rsidR="00480A22">
        <w:t>% in volume in ATC 4 class B1C1 (</w:t>
      </w:r>
      <w:r w:rsidR="00480A22" w:rsidRPr="004F4BE3">
        <w:rPr>
          <w:i/>
        </w:rPr>
        <w:t>cyclo-oxygenase</w:t>
      </w:r>
      <w:r w:rsidR="00480A22">
        <w:t xml:space="preserve"> inhibitors); and </w:t>
      </w:r>
      <w:r>
        <w:t xml:space="preserve">50% </w:t>
      </w:r>
      <w:r w:rsidR="00B85F67">
        <w:t xml:space="preserve">in </w:t>
      </w:r>
      <w:r>
        <w:t>value</w:t>
      </w:r>
      <w:r w:rsidR="00480A22">
        <w:t xml:space="preserve"> and </w:t>
      </w:r>
      <w:r w:rsidR="00FD0EDE">
        <w:t>[</w:t>
      </w:r>
      <w:r>
        <w:t>30</w:t>
      </w:r>
      <w:r w:rsidR="00FD0EDE">
        <w:t>-40]</w:t>
      </w:r>
      <w:r>
        <w:t xml:space="preserve">% </w:t>
      </w:r>
      <w:r w:rsidR="00B85F67">
        <w:t xml:space="preserve">in </w:t>
      </w:r>
      <w:r>
        <w:t xml:space="preserve">volume in </w:t>
      </w:r>
      <w:r w:rsidRPr="004F4BE3">
        <w:rPr>
          <w:i/>
        </w:rPr>
        <w:t>ASA</w:t>
      </w:r>
      <w:r>
        <w:t>-based heart attack prevention products) and Valeant (</w:t>
      </w:r>
      <w:r w:rsidR="00FD0EDE">
        <w:t>[20-30]</w:t>
      </w:r>
      <w:r>
        <w:t xml:space="preserve">% </w:t>
      </w:r>
      <w:r w:rsidR="00B85F67">
        <w:t xml:space="preserve">in </w:t>
      </w:r>
      <w:r>
        <w:t xml:space="preserve">value and </w:t>
      </w:r>
      <w:r w:rsidR="00FD0EDE">
        <w:t>[20-30]</w:t>
      </w:r>
      <w:r>
        <w:t xml:space="preserve">% </w:t>
      </w:r>
      <w:r w:rsidR="00B85F67">
        <w:t xml:space="preserve">in </w:t>
      </w:r>
      <w:r>
        <w:t>volume</w:t>
      </w:r>
      <w:r w:rsidR="00480A22">
        <w:t xml:space="preserve"> </w:t>
      </w:r>
      <w:r>
        <w:t>in OTC 3 class 10E1</w:t>
      </w:r>
      <w:r w:rsidR="00480A22">
        <w:t>; in ATC 4 class B1C1;</w:t>
      </w:r>
      <w:r>
        <w:t xml:space="preserve"> and in </w:t>
      </w:r>
      <w:r w:rsidRPr="004F4BE3">
        <w:rPr>
          <w:i/>
        </w:rPr>
        <w:t>ASA</w:t>
      </w:r>
      <w:r>
        <w:t>-based heart attack prevention products</w:t>
      </w:r>
      <w:r w:rsidR="00B85F67">
        <w:t>)</w:t>
      </w:r>
      <w:r>
        <w:t xml:space="preserve">. </w:t>
      </w:r>
    </w:p>
    <w:p w:rsidR="00A95B38" w:rsidRDefault="00A95B38" w:rsidP="00A95B38">
      <w:pPr>
        <w:pStyle w:val="ListNumber"/>
      </w:pPr>
      <w:r>
        <w:t xml:space="preserve">Furthermore, according to the market investigation, the Parties' products do not compete particularly closely with each other in terms of </w:t>
      </w:r>
      <w:r w:rsidR="00A64E0F">
        <w:t>design packs</w:t>
      </w:r>
      <w:r w:rsidR="00A64E0F">
        <w:rPr>
          <w:rStyle w:val="FootnoteReference"/>
        </w:rPr>
        <w:footnoteReference w:id="44"/>
      </w:r>
      <w:r w:rsidR="00A64E0F">
        <w:t xml:space="preserve"> </w:t>
      </w:r>
      <w:r>
        <w:t>or pricing.</w:t>
      </w:r>
      <w:r>
        <w:rPr>
          <w:rStyle w:val="FootnoteReference"/>
        </w:rPr>
        <w:footnoteReference w:id="45"/>
      </w:r>
      <w:r>
        <w:t xml:space="preserve">  </w:t>
      </w:r>
      <w:r w:rsidR="007E6F4E">
        <w:t xml:space="preserve">Indeed, when </w:t>
      </w:r>
      <w:r>
        <w:t xml:space="preserve">asked to identify the closest competitor of Teva's products, none of the respondents identified PGT's products or </w:t>
      </w:r>
      <w:r w:rsidRPr="00AD3737">
        <w:rPr>
          <w:i/>
        </w:rPr>
        <w:t>vice versa</w:t>
      </w:r>
      <w:r>
        <w:t xml:space="preserve">.  </w:t>
      </w:r>
      <w:r w:rsidR="00924CEB">
        <w:t>T</w:t>
      </w:r>
      <w:r>
        <w:t>he market investigation suggested that Bayer's Aspirin Protect is the closest competitor for products of the Parties.</w:t>
      </w:r>
      <w:r>
        <w:rPr>
          <w:rStyle w:val="FootnoteReference"/>
        </w:rPr>
        <w:footnoteReference w:id="46"/>
      </w:r>
      <w:r>
        <w:t xml:space="preserve">   </w:t>
      </w:r>
    </w:p>
    <w:p w:rsidR="007E6F4E" w:rsidRPr="004B2EAB" w:rsidRDefault="007E6F4E" w:rsidP="007E6F4E">
      <w:pPr>
        <w:pStyle w:val="ListNumber"/>
        <w:rPr>
          <w:rFonts w:eastAsia="Calibri"/>
          <w:i/>
          <w:lang w:val="en-US"/>
        </w:rPr>
      </w:pPr>
      <w:r>
        <w:t>Finally,</w:t>
      </w:r>
      <w:r w:rsidRPr="005B1C96">
        <w:t xml:space="preserve"> </w:t>
      </w:r>
      <w:r>
        <w:t xml:space="preserve">the market investigation did not reveal any </w:t>
      </w:r>
      <w:r>
        <w:rPr>
          <w:rFonts w:eastAsia="Calibri"/>
          <w:szCs w:val="24"/>
        </w:rPr>
        <w:t>competition concerns in</w:t>
      </w:r>
      <w:r w:rsidRPr="00546F00" w:rsidDel="00A2241C">
        <w:rPr>
          <w:rFonts w:ascii="Times" w:eastAsia="Calibri" w:hAnsi="Times"/>
          <w:szCs w:val="24"/>
        </w:rPr>
        <w:t xml:space="preserve"> </w:t>
      </w:r>
      <w:r>
        <w:rPr>
          <w:rFonts w:ascii="Times" w:eastAsia="Calibri" w:hAnsi="Times"/>
          <w:szCs w:val="24"/>
        </w:rPr>
        <w:t>relation to heart attack prevention products in Hungary.</w:t>
      </w:r>
    </w:p>
    <w:p w:rsidR="00A95B38" w:rsidRDefault="00814F0F" w:rsidP="00A95B38">
      <w:pPr>
        <w:pStyle w:val="ListNumber"/>
      </w:pPr>
      <w:r w:rsidRPr="00546F00">
        <w:rPr>
          <w:rFonts w:ascii="Times" w:hAnsi="Times"/>
          <w:szCs w:val="24"/>
        </w:rPr>
        <w:lastRenderedPageBreak/>
        <w:t xml:space="preserve">In view of the above, the Commission concludes that </w:t>
      </w:r>
      <w:r>
        <w:rPr>
          <w:rFonts w:ascii="Times" w:hAnsi="Times"/>
          <w:szCs w:val="24"/>
        </w:rPr>
        <w:t xml:space="preserve">the Transaction does not raise serious doubts as to its compatibility with the internal market regarding </w:t>
      </w:r>
      <w:r w:rsidR="00A95B38">
        <w:t>heart attack prevention products in Hungary</w:t>
      </w:r>
      <w:r w:rsidR="00A95B38" w:rsidRPr="00904C4C">
        <w:t>.</w:t>
      </w:r>
    </w:p>
    <w:p w:rsidR="005B1C96" w:rsidRPr="00AD3737" w:rsidRDefault="005B1C96" w:rsidP="00AD3737">
      <w:pPr>
        <w:pStyle w:val="Heading3"/>
      </w:pPr>
      <w:bookmarkStart w:id="88" w:name="_Toc517709581"/>
      <w:bookmarkStart w:id="89" w:name="_Toc517710227"/>
      <w:bookmarkStart w:id="90" w:name="_Toc517710398"/>
      <w:bookmarkStart w:id="91" w:name="_Toc517710980"/>
      <w:bookmarkStart w:id="92" w:name="_Toc517714075"/>
      <w:bookmarkStart w:id="93" w:name="_Toc517709592"/>
      <w:bookmarkStart w:id="94" w:name="_Toc517710238"/>
      <w:bookmarkStart w:id="95" w:name="_Toc517710409"/>
      <w:bookmarkStart w:id="96" w:name="_Toc517710991"/>
      <w:bookmarkStart w:id="97" w:name="_Toc517714086"/>
      <w:bookmarkStart w:id="98" w:name="_Toc517709616"/>
      <w:bookmarkStart w:id="99" w:name="_Toc517710262"/>
      <w:bookmarkStart w:id="100" w:name="_Toc517710433"/>
      <w:bookmarkStart w:id="101" w:name="_Toc517711015"/>
      <w:bookmarkStart w:id="102" w:name="_Toc517714110"/>
      <w:bookmarkStart w:id="103" w:name="_Toc517709618"/>
      <w:bookmarkStart w:id="104" w:name="_Toc517710264"/>
      <w:bookmarkStart w:id="105" w:name="_Toc517710435"/>
      <w:bookmarkStart w:id="106" w:name="_Toc517711017"/>
      <w:bookmarkStart w:id="107" w:name="_Toc517714112"/>
      <w:bookmarkStart w:id="108" w:name="_Toc517709619"/>
      <w:bookmarkStart w:id="109" w:name="_Toc517710265"/>
      <w:bookmarkStart w:id="110" w:name="_Toc517710436"/>
      <w:bookmarkStart w:id="111" w:name="_Toc517711018"/>
      <w:bookmarkStart w:id="112" w:name="_Toc517714113"/>
      <w:bookmarkStart w:id="113" w:name="_Toc517709620"/>
      <w:bookmarkStart w:id="114" w:name="_Toc517710266"/>
      <w:bookmarkStart w:id="115" w:name="_Toc517710437"/>
      <w:bookmarkStart w:id="116" w:name="_Toc517711019"/>
      <w:bookmarkStart w:id="117" w:name="_Toc517714114"/>
      <w:bookmarkStart w:id="118" w:name="_Toc517709621"/>
      <w:bookmarkStart w:id="119" w:name="_Toc517710267"/>
      <w:bookmarkStart w:id="120" w:name="_Toc517710438"/>
      <w:bookmarkStart w:id="121" w:name="_Toc517711020"/>
      <w:bookmarkStart w:id="122" w:name="_Toc517714115"/>
      <w:bookmarkStart w:id="123" w:name="_Toc517709622"/>
      <w:bookmarkStart w:id="124" w:name="_Toc517710268"/>
      <w:bookmarkStart w:id="125" w:name="_Toc517710439"/>
      <w:bookmarkStart w:id="126" w:name="_Toc517711021"/>
      <w:bookmarkStart w:id="127" w:name="_Toc517714116"/>
      <w:bookmarkStart w:id="128" w:name="_Toc517709623"/>
      <w:bookmarkStart w:id="129" w:name="_Toc517710269"/>
      <w:bookmarkStart w:id="130" w:name="_Toc517710440"/>
      <w:bookmarkStart w:id="131" w:name="_Toc517711022"/>
      <w:bookmarkStart w:id="132" w:name="_Toc517714117"/>
      <w:bookmarkStart w:id="133" w:name="_Toc517709624"/>
      <w:bookmarkStart w:id="134" w:name="_Toc517710270"/>
      <w:bookmarkStart w:id="135" w:name="_Toc517710441"/>
      <w:bookmarkStart w:id="136" w:name="_Toc517711023"/>
      <w:bookmarkStart w:id="137" w:name="_Toc517714118"/>
      <w:bookmarkStart w:id="138" w:name="_Toc517709625"/>
      <w:bookmarkStart w:id="139" w:name="_Toc517710271"/>
      <w:bookmarkStart w:id="140" w:name="_Toc517710442"/>
      <w:bookmarkStart w:id="141" w:name="_Toc517711024"/>
      <w:bookmarkStart w:id="142" w:name="_Toc517714119"/>
      <w:bookmarkStart w:id="143" w:name="_Toc517709626"/>
      <w:bookmarkStart w:id="144" w:name="_Toc517710272"/>
      <w:bookmarkStart w:id="145" w:name="_Toc517710443"/>
      <w:bookmarkStart w:id="146" w:name="_Toc517711025"/>
      <w:bookmarkStart w:id="147" w:name="_Toc517714120"/>
      <w:bookmarkStart w:id="148" w:name="_Toc517709627"/>
      <w:bookmarkStart w:id="149" w:name="_Toc517710273"/>
      <w:bookmarkStart w:id="150" w:name="_Toc517710444"/>
      <w:bookmarkStart w:id="151" w:name="_Toc517711026"/>
      <w:bookmarkStart w:id="152" w:name="_Toc517714121"/>
      <w:bookmarkStart w:id="153" w:name="_Toc517709628"/>
      <w:bookmarkStart w:id="154" w:name="_Toc517710274"/>
      <w:bookmarkStart w:id="155" w:name="_Toc517710445"/>
      <w:bookmarkStart w:id="156" w:name="_Toc517711027"/>
      <w:bookmarkStart w:id="157" w:name="_Toc517714122"/>
      <w:bookmarkStart w:id="158" w:name="_Toc517444575"/>
      <w:bookmarkStart w:id="159" w:name="_Ref517681210"/>
      <w:bookmarkStart w:id="160" w:name="_Toc517710446"/>
      <w:bookmarkStart w:id="161" w:name="_Toc51781292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AD3737">
        <w:t>Proton Pumps Inhibitors (PPIs) in Bulgaria</w:t>
      </w:r>
      <w:bookmarkEnd w:id="158"/>
      <w:bookmarkEnd w:id="159"/>
      <w:bookmarkEnd w:id="160"/>
      <w:bookmarkEnd w:id="161"/>
    </w:p>
    <w:p w:rsidR="00904C4C" w:rsidRDefault="00904C4C" w:rsidP="00AD3737">
      <w:pPr>
        <w:pStyle w:val="Heading4"/>
      </w:pPr>
      <w:bookmarkStart w:id="162" w:name="_Toc517710447"/>
      <w:bookmarkStart w:id="163" w:name="_Toc517812924"/>
      <w:r>
        <w:t>Market Definition</w:t>
      </w:r>
      <w:bookmarkEnd w:id="162"/>
      <w:bookmarkEnd w:id="163"/>
    </w:p>
    <w:p w:rsidR="00657DAB" w:rsidRDefault="006C6064" w:rsidP="00AD3737">
      <w:pPr>
        <w:pStyle w:val="ListNumber"/>
      </w:pPr>
      <w:bookmarkStart w:id="164" w:name="_Ref517709772"/>
      <w:r w:rsidRPr="00AD3737">
        <w:t xml:space="preserve">Proton Pumps Inhibitors </w:t>
      </w:r>
      <w:r>
        <w:t>(</w:t>
      </w:r>
      <w:r w:rsidR="00B95518">
        <w:t>PPIs</w:t>
      </w:r>
      <w:r>
        <w:t>)</w:t>
      </w:r>
      <w:r w:rsidR="00B95518">
        <w:t xml:space="preserve"> are drugs that proactively inhibit the acid secretion into the stomach.  Acid is pumped into the stomach by a specific enzyme (the "proton pump") inside the parietal cells along the stomach's walls.</w:t>
      </w:r>
    </w:p>
    <w:p w:rsidR="00904C4C" w:rsidRDefault="000676EA" w:rsidP="00AD3737">
      <w:pPr>
        <w:pStyle w:val="ListNumber"/>
      </w:pPr>
      <w:r>
        <w:t>PPIs that are sold over the counter are categorized in OTC 3 class 03G3</w:t>
      </w:r>
      <w:r w:rsidR="00657DAB">
        <w:t xml:space="preserve"> (PPIs) </w:t>
      </w:r>
      <w:r>
        <w:t xml:space="preserve">which </w:t>
      </w:r>
      <w:r w:rsidR="00657DAB">
        <w:t>corresponds to ATC 4 class A2B2</w:t>
      </w:r>
      <w:r>
        <w:t>.</w:t>
      </w:r>
      <w:r w:rsidR="00704DE9">
        <w:rPr>
          <w:rStyle w:val="FootnoteReference"/>
        </w:rPr>
        <w:footnoteReference w:id="47"/>
      </w:r>
      <w:r>
        <w:t xml:space="preserve"> </w:t>
      </w:r>
      <w:r w:rsidR="00EC3CE9">
        <w:t xml:space="preserve">OTC 3 class 03G3 belongs to the OTC 2 class 03G (antiulcerants) which also includes OTC 3 class 03G2 (H2 blockers).  </w:t>
      </w:r>
      <w:r w:rsidR="00C71301">
        <w:t xml:space="preserve">The ATC 4 class A2B2 belongs to the ATC 3 class A2B (antiulcerants) which also includes ATC 4 class A2B1 (H2 </w:t>
      </w:r>
      <w:r w:rsidR="00EC3CE9">
        <w:t>blockers</w:t>
      </w:r>
      <w:r w:rsidR="00C71301">
        <w:t>).</w:t>
      </w:r>
      <w:r w:rsidR="00C71301">
        <w:rPr>
          <w:rStyle w:val="FootnoteReference"/>
        </w:rPr>
        <w:footnoteReference w:id="48"/>
      </w:r>
      <w:bookmarkEnd w:id="164"/>
      <w:r w:rsidR="00C71301">
        <w:t xml:space="preserve"> </w:t>
      </w:r>
    </w:p>
    <w:p w:rsidR="00704DE9" w:rsidRDefault="000676EA" w:rsidP="00AD3737">
      <w:pPr>
        <w:pStyle w:val="ListNumber"/>
      </w:pPr>
      <w:bookmarkStart w:id="165" w:name="_Ref517709758"/>
      <w:r>
        <w:t xml:space="preserve">In previous decisions, the Commission </w:t>
      </w:r>
      <w:r w:rsidR="00C71301">
        <w:t>has analysed PPIs both at the ATC 3 level (A2B - antiulcerants) and ATC4 level (A2B2 - PPIs).</w:t>
      </w:r>
      <w:r w:rsidR="00C71301">
        <w:rPr>
          <w:rStyle w:val="FootnoteReference"/>
        </w:rPr>
        <w:footnoteReference w:id="49"/>
      </w:r>
      <w:r w:rsidR="00C71301">
        <w:t xml:space="preserve">  </w:t>
      </w:r>
      <w:r w:rsidR="00924CEB">
        <w:t xml:space="preserve">In </w:t>
      </w:r>
      <w:r w:rsidR="00924CEB" w:rsidRPr="00CF47FF">
        <w:rPr>
          <w:i/>
        </w:rPr>
        <w:t>AstraZeneca</w:t>
      </w:r>
      <w:r w:rsidR="00924CEB">
        <w:t>, the Commission considered separate relevant markets at the ATC 4 level for PPIs (A2B2).</w:t>
      </w:r>
      <w:r w:rsidR="00924CEB">
        <w:rPr>
          <w:rStyle w:val="FootnoteReference"/>
        </w:rPr>
        <w:footnoteReference w:id="50"/>
      </w:r>
      <w:r w:rsidR="00924CEB">
        <w:t xml:space="preserve">  </w:t>
      </w:r>
      <w:r w:rsidR="00C71301">
        <w:t xml:space="preserve">Most recently, in </w:t>
      </w:r>
      <w:r w:rsidR="00C71301" w:rsidRPr="00AD3737">
        <w:rPr>
          <w:i/>
        </w:rPr>
        <w:t>Sanofi/Boehringer-Ingelheim</w:t>
      </w:r>
      <w:r w:rsidR="00C71301">
        <w:t xml:space="preserve">, the Commission's market investigation indicated that a distinction should be made between ATC 4 class A2B1 and ATC 4 class A2B2. As to a potential distinction of markets by molecule within PPIs, the market investigation in the same case suggested </w:t>
      </w:r>
      <w:r w:rsidR="00704DE9">
        <w:t>"</w:t>
      </w:r>
      <w:r w:rsidR="00704DE9" w:rsidRPr="00AD3737">
        <w:rPr>
          <w:i/>
        </w:rPr>
        <w:t>pharmacists and patients substitute… OTC products across molecules with the same therapeutic/labelled indications…</w:t>
      </w:r>
      <w:r w:rsidR="00704DE9">
        <w:t>".</w:t>
      </w:r>
      <w:r w:rsidR="00704DE9">
        <w:rPr>
          <w:rStyle w:val="FootnoteReference"/>
        </w:rPr>
        <w:footnoteReference w:id="51"/>
      </w:r>
      <w:bookmarkEnd w:id="165"/>
      <w:r w:rsidR="00704DE9">
        <w:t xml:space="preserve"> </w:t>
      </w:r>
      <w:r w:rsidR="00C71301">
        <w:t xml:space="preserve"> </w:t>
      </w:r>
    </w:p>
    <w:p w:rsidR="000676EA" w:rsidRDefault="00704DE9" w:rsidP="00AD3737">
      <w:pPr>
        <w:pStyle w:val="ListNumber"/>
      </w:pPr>
      <w:r>
        <w:t xml:space="preserve">The </w:t>
      </w:r>
      <w:r w:rsidR="0032473C">
        <w:t xml:space="preserve">Notifying Party </w:t>
      </w:r>
      <w:r>
        <w:t>submit</w:t>
      </w:r>
      <w:r w:rsidR="0032473C">
        <w:t>s</w:t>
      </w:r>
      <w:r>
        <w:t xml:space="preserve"> that the relevant product market in relation to PPIs should be determined at the level of ATC 3 class (including both PPIs and H2 </w:t>
      </w:r>
      <w:r w:rsidR="00EC3CE9">
        <w:t>blockers</w:t>
      </w:r>
      <w:r>
        <w:t xml:space="preserve">).  </w:t>
      </w:r>
    </w:p>
    <w:p w:rsidR="00704DE9" w:rsidRPr="00904C4C" w:rsidRDefault="00704DE9" w:rsidP="00AD3737">
      <w:pPr>
        <w:pStyle w:val="ListNumber"/>
      </w:pPr>
      <w:r w:rsidRPr="00AC4CB2">
        <w:t>In any event, for the purposes of the present case, the exact market definition can be left open</w:t>
      </w:r>
      <w:r w:rsidR="007256BE">
        <w:t xml:space="preserve"> as n</w:t>
      </w:r>
      <w:r>
        <w:t xml:space="preserve">o serious </w:t>
      </w:r>
      <w:r w:rsidRPr="00AC4CB2">
        <w:t>doubts arise under any plausible alternative market definition</w:t>
      </w:r>
      <w:r>
        <w:t xml:space="preserve"> (namely, at ATC3 or ATC4/OTC3 level</w:t>
      </w:r>
      <w:r w:rsidR="00BD0622">
        <w:t xml:space="preserve"> or molecule</w:t>
      </w:r>
      <w:r>
        <w:t xml:space="preserve">). </w:t>
      </w:r>
    </w:p>
    <w:p w:rsidR="00904C4C" w:rsidRDefault="00554E2B" w:rsidP="00AD3737">
      <w:pPr>
        <w:pStyle w:val="Heading4"/>
      </w:pPr>
      <w:bookmarkStart w:id="166" w:name="_Toc517710448"/>
      <w:bookmarkStart w:id="167" w:name="_Toc517812925"/>
      <w:r>
        <w:t>Parties' p</w:t>
      </w:r>
      <w:r w:rsidR="00904C4C">
        <w:t>roducts</w:t>
      </w:r>
      <w:bookmarkEnd w:id="166"/>
      <w:bookmarkEnd w:id="167"/>
    </w:p>
    <w:p w:rsidR="00904C4C" w:rsidRPr="009D592F" w:rsidRDefault="00704DE9" w:rsidP="00AD3737">
      <w:pPr>
        <w:pStyle w:val="ListNumber"/>
      </w:pPr>
      <w:r w:rsidRPr="009D592F">
        <w:t>Teva supplies the following PPI products that are sold OTC in Bulgaria: Panrazol (</w:t>
      </w:r>
      <w:r w:rsidRPr="009D592F">
        <w:rPr>
          <w:i/>
        </w:rPr>
        <w:t>pantoprazole</w:t>
      </w:r>
      <w:r w:rsidRPr="009D592F">
        <w:t>),</w:t>
      </w:r>
      <w:r w:rsidRPr="009D592F">
        <w:rPr>
          <w:rStyle w:val="FootnoteReference"/>
        </w:rPr>
        <w:footnoteReference w:id="52"/>
      </w:r>
      <w:r w:rsidR="0032473C" w:rsidRPr="009D592F">
        <w:t xml:space="preserve"> Gastrocid (</w:t>
      </w:r>
      <w:r w:rsidR="0032473C" w:rsidRPr="009D592F">
        <w:rPr>
          <w:i/>
        </w:rPr>
        <w:t>omep</w:t>
      </w:r>
      <w:r w:rsidRPr="009D592F">
        <w:rPr>
          <w:i/>
        </w:rPr>
        <w:t>razole</w:t>
      </w:r>
      <w:r w:rsidRPr="009D592F">
        <w:t>), and Gastrocid Eso (</w:t>
      </w:r>
      <w:r w:rsidRPr="009D592F">
        <w:rPr>
          <w:i/>
        </w:rPr>
        <w:t>esomprazole</w:t>
      </w:r>
      <w:r w:rsidRPr="009D592F">
        <w:t xml:space="preserve">).  PGT supplies Prazolpan, which includes </w:t>
      </w:r>
      <w:r w:rsidRPr="009D592F">
        <w:rPr>
          <w:i/>
        </w:rPr>
        <w:t>pantoprazole</w:t>
      </w:r>
      <w:r w:rsidRPr="009D592F">
        <w:t xml:space="preserve">.  </w:t>
      </w:r>
      <w:r w:rsidR="009D592F">
        <w:t>All products are sold in oral solid form and with a dosage of 20 mg.</w:t>
      </w:r>
    </w:p>
    <w:p w:rsidR="00904C4C" w:rsidRDefault="00904C4C" w:rsidP="00AD3737">
      <w:pPr>
        <w:pStyle w:val="Heading4"/>
      </w:pPr>
      <w:bookmarkStart w:id="168" w:name="_Toc517710449"/>
      <w:bookmarkStart w:id="169" w:name="_Toc517812926"/>
      <w:r>
        <w:lastRenderedPageBreak/>
        <w:t>Competitive Assessment</w:t>
      </w:r>
      <w:bookmarkEnd w:id="168"/>
      <w:bookmarkEnd w:id="169"/>
      <w:r>
        <w:t xml:space="preserve"> </w:t>
      </w:r>
    </w:p>
    <w:p w:rsidR="0032473C" w:rsidRDefault="0032473C" w:rsidP="00704DE9">
      <w:pPr>
        <w:pStyle w:val="ListNumber"/>
      </w:pPr>
      <w:r>
        <w:t>At ATC3</w:t>
      </w:r>
      <w:r w:rsidR="00FF4418">
        <w:t xml:space="preserve"> and ATC4</w:t>
      </w:r>
      <w:r>
        <w:t xml:space="preserve"> level</w:t>
      </w:r>
      <w:r w:rsidR="00FF4418">
        <w:t>s</w:t>
      </w:r>
      <w:r>
        <w:t xml:space="preserve">, </w:t>
      </w:r>
      <w:r w:rsidR="00FF4418">
        <w:t xml:space="preserve">the Transaction gives rise to </w:t>
      </w:r>
      <w:r>
        <w:t>Group 3 market</w:t>
      </w:r>
      <w:r w:rsidR="00FF4418">
        <w:t>s</w:t>
      </w:r>
      <w:r>
        <w:t xml:space="preserve">. </w:t>
      </w:r>
      <w:r w:rsidR="00FF4418">
        <w:t xml:space="preserve">At the OTC3 level, the Transaction gives rise to a Group1 market. </w:t>
      </w:r>
      <w:r w:rsidR="003245F1">
        <w:t>There is no affected market at molecule level (</w:t>
      </w:r>
      <w:r w:rsidR="003245F1" w:rsidRPr="004F4BE3">
        <w:rPr>
          <w:i/>
        </w:rPr>
        <w:t>pantoprazole</w:t>
      </w:r>
      <w:r w:rsidR="003245F1">
        <w:t>).</w:t>
      </w:r>
      <w:r w:rsidR="00263788">
        <w:t xml:space="preserve"> </w:t>
      </w:r>
    </w:p>
    <w:p w:rsidR="00704DE9" w:rsidRDefault="00704DE9" w:rsidP="00704DE9">
      <w:pPr>
        <w:pStyle w:val="ListNumber"/>
      </w:pPr>
      <w:r>
        <w:t xml:space="preserve">The table below presents the Parties' market shares for PPI products </w:t>
      </w:r>
      <w:r w:rsidR="00D93F3B">
        <w:t xml:space="preserve">at </w:t>
      </w:r>
      <w:r w:rsidR="00CB287C">
        <w:t>the OTC3 level</w:t>
      </w:r>
      <w:r w:rsidR="00D93F3B">
        <w:t xml:space="preserve"> </w:t>
      </w:r>
      <w:r>
        <w:t xml:space="preserve">in Bulgaria in </w:t>
      </w:r>
      <w:r w:rsidR="004C6514">
        <w:t>2015-</w:t>
      </w:r>
      <w:r>
        <w:t xml:space="preserve">2017. </w:t>
      </w:r>
    </w:p>
    <w:tbl>
      <w:tblPr>
        <w:tblStyle w:val="TableGrid"/>
        <w:tblW w:w="5000" w:type="pct"/>
        <w:tblLook w:val="04A0" w:firstRow="1" w:lastRow="0" w:firstColumn="1" w:lastColumn="0" w:noHBand="0" w:noVBand="1"/>
      </w:tblPr>
      <w:tblGrid>
        <w:gridCol w:w="1374"/>
        <w:gridCol w:w="1375"/>
        <w:gridCol w:w="921"/>
        <w:gridCol w:w="691"/>
        <w:gridCol w:w="1113"/>
        <w:gridCol w:w="996"/>
        <w:gridCol w:w="1018"/>
        <w:gridCol w:w="1346"/>
      </w:tblGrid>
      <w:tr w:rsidR="00FF4418" w:rsidRPr="00AD3737" w:rsidTr="00CF47FF">
        <w:trPr>
          <w:tblHeader/>
        </w:trPr>
        <w:tc>
          <w:tcPr>
            <w:tcW w:w="778" w:type="pct"/>
            <w:vMerge w:val="restart"/>
            <w:shd w:val="clear" w:color="auto" w:fill="D9D9D9" w:themeFill="background1" w:themeFillShade="D9"/>
            <w:vAlign w:val="center"/>
          </w:tcPr>
          <w:p w:rsidR="00FF4418" w:rsidRPr="00AD3737" w:rsidRDefault="00FF4418" w:rsidP="00CF47FF">
            <w:pPr>
              <w:snapToGrid w:val="0"/>
              <w:spacing w:after="0"/>
              <w:jc w:val="center"/>
              <w:rPr>
                <w:rFonts w:ascii="Times" w:hAnsi="Times"/>
                <w:b/>
                <w:sz w:val="18"/>
                <w:szCs w:val="18"/>
              </w:rPr>
            </w:pPr>
            <w:r w:rsidRPr="00AD3737">
              <w:rPr>
                <w:rFonts w:ascii="Times" w:hAnsi="Times"/>
                <w:b/>
                <w:sz w:val="18"/>
                <w:szCs w:val="18"/>
              </w:rPr>
              <w:t>OTC3</w:t>
            </w:r>
          </w:p>
        </w:tc>
        <w:tc>
          <w:tcPr>
            <w:tcW w:w="778" w:type="pct"/>
            <w:vMerge w:val="restart"/>
            <w:shd w:val="clear" w:color="auto" w:fill="D9D9D9" w:themeFill="background1" w:themeFillShade="D9"/>
            <w:vAlign w:val="center"/>
          </w:tcPr>
          <w:p w:rsidR="00FF4418" w:rsidRPr="00AD3737" w:rsidRDefault="00FF4418" w:rsidP="0097239C">
            <w:pPr>
              <w:keepNext/>
              <w:snapToGrid w:val="0"/>
              <w:spacing w:after="0"/>
              <w:contextualSpacing/>
              <w:jc w:val="center"/>
              <w:rPr>
                <w:rFonts w:ascii="Times" w:hAnsi="Times"/>
                <w:b/>
                <w:sz w:val="18"/>
                <w:szCs w:val="18"/>
              </w:rPr>
            </w:pPr>
            <w:r w:rsidRPr="00AD3737">
              <w:rPr>
                <w:rFonts w:ascii="Times" w:hAnsi="Times"/>
                <w:b/>
                <w:sz w:val="18"/>
                <w:szCs w:val="18"/>
              </w:rPr>
              <w:t>Category Description</w:t>
            </w:r>
          </w:p>
        </w:tc>
        <w:tc>
          <w:tcPr>
            <w:tcW w:w="521" w:type="pct"/>
            <w:vMerge w:val="restart"/>
            <w:shd w:val="clear" w:color="auto" w:fill="D9D9D9" w:themeFill="background1" w:themeFillShade="D9"/>
            <w:vAlign w:val="center"/>
          </w:tcPr>
          <w:p w:rsidR="00FF4418" w:rsidRPr="00AD3737" w:rsidRDefault="00FF4418">
            <w:pPr>
              <w:keepNext/>
              <w:snapToGrid w:val="0"/>
              <w:spacing w:after="0"/>
              <w:contextualSpacing/>
              <w:jc w:val="center"/>
              <w:rPr>
                <w:rFonts w:ascii="Times" w:hAnsi="Times"/>
                <w:b/>
                <w:sz w:val="18"/>
                <w:szCs w:val="18"/>
              </w:rPr>
            </w:pPr>
            <w:r w:rsidRPr="00AD3737">
              <w:rPr>
                <w:rFonts w:ascii="Times" w:hAnsi="Times"/>
                <w:b/>
                <w:sz w:val="18"/>
                <w:szCs w:val="18"/>
              </w:rPr>
              <w:t>Market Group</w:t>
            </w:r>
          </w:p>
        </w:tc>
        <w:tc>
          <w:tcPr>
            <w:tcW w:w="391" w:type="pct"/>
            <w:vMerge w:val="restart"/>
            <w:shd w:val="clear" w:color="auto" w:fill="D9D9D9" w:themeFill="background1" w:themeFillShade="D9"/>
          </w:tcPr>
          <w:p w:rsidR="00FF4418" w:rsidRPr="00AD3737" w:rsidRDefault="00FF4418" w:rsidP="00FF4418">
            <w:pPr>
              <w:keepNext/>
              <w:snapToGrid w:val="0"/>
              <w:spacing w:after="0"/>
              <w:contextualSpacing/>
              <w:jc w:val="center"/>
              <w:rPr>
                <w:rFonts w:ascii="Times" w:hAnsi="Times"/>
                <w:b/>
                <w:sz w:val="18"/>
                <w:szCs w:val="18"/>
              </w:rPr>
            </w:pPr>
          </w:p>
          <w:p w:rsidR="00FF4418" w:rsidRPr="00AD3737" w:rsidRDefault="00FF4418" w:rsidP="00FF4418">
            <w:pPr>
              <w:keepNext/>
              <w:snapToGrid w:val="0"/>
              <w:spacing w:after="0"/>
              <w:contextualSpacing/>
              <w:jc w:val="center"/>
              <w:rPr>
                <w:rFonts w:ascii="Times" w:hAnsi="Times"/>
                <w:b/>
                <w:sz w:val="18"/>
                <w:szCs w:val="18"/>
              </w:rPr>
            </w:pPr>
            <w:r>
              <w:rPr>
                <w:rFonts w:ascii="Times" w:hAnsi="Times"/>
                <w:b/>
                <w:sz w:val="18"/>
                <w:szCs w:val="18"/>
              </w:rPr>
              <w:t>Year</w:t>
            </w:r>
          </w:p>
        </w:tc>
        <w:tc>
          <w:tcPr>
            <w:tcW w:w="1770" w:type="pct"/>
            <w:gridSpan w:val="3"/>
            <w:shd w:val="clear" w:color="auto" w:fill="D9D9D9" w:themeFill="background1" w:themeFillShade="D9"/>
            <w:vAlign w:val="center"/>
          </w:tcPr>
          <w:p w:rsidR="00FF4418" w:rsidRPr="00AD3737" w:rsidRDefault="00FF4418" w:rsidP="00FF4418">
            <w:pPr>
              <w:keepNext/>
              <w:snapToGrid w:val="0"/>
              <w:spacing w:after="0"/>
              <w:contextualSpacing/>
              <w:jc w:val="center"/>
              <w:rPr>
                <w:rFonts w:ascii="Times" w:hAnsi="Times"/>
                <w:b/>
                <w:sz w:val="18"/>
                <w:szCs w:val="18"/>
              </w:rPr>
            </w:pPr>
            <w:r w:rsidRPr="00AD3737">
              <w:rPr>
                <w:rFonts w:ascii="Times" w:hAnsi="Times"/>
                <w:b/>
                <w:sz w:val="18"/>
                <w:szCs w:val="18"/>
              </w:rPr>
              <w:t>Market Shares (Value/Volume)</w:t>
            </w:r>
          </w:p>
        </w:tc>
        <w:tc>
          <w:tcPr>
            <w:tcW w:w="762" w:type="pct"/>
            <w:vMerge w:val="restart"/>
            <w:shd w:val="clear" w:color="auto" w:fill="D9D9D9" w:themeFill="background1" w:themeFillShade="D9"/>
            <w:vAlign w:val="center"/>
          </w:tcPr>
          <w:p w:rsidR="00FF4418" w:rsidRPr="00AD3737" w:rsidRDefault="00FF4418" w:rsidP="00FF4418">
            <w:pPr>
              <w:keepNext/>
              <w:snapToGrid w:val="0"/>
              <w:spacing w:after="0"/>
              <w:contextualSpacing/>
              <w:jc w:val="center"/>
              <w:rPr>
                <w:rFonts w:ascii="Times" w:hAnsi="Times"/>
                <w:b/>
                <w:sz w:val="18"/>
                <w:szCs w:val="18"/>
              </w:rPr>
            </w:pPr>
            <w:r w:rsidRPr="00AD3737">
              <w:rPr>
                <w:rFonts w:ascii="Times" w:hAnsi="Times"/>
                <w:b/>
                <w:sz w:val="18"/>
                <w:szCs w:val="18"/>
              </w:rPr>
              <w:t>Number of Competitors &gt; 5%</w:t>
            </w:r>
          </w:p>
        </w:tc>
      </w:tr>
      <w:tr w:rsidR="00FF4418" w:rsidRPr="00AD3737" w:rsidTr="00FF4418">
        <w:trPr>
          <w:tblHeader/>
        </w:trPr>
        <w:tc>
          <w:tcPr>
            <w:tcW w:w="778" w:type="pct"/>
            <w:vMerge/>
            <w:tcBorders>
              <w:bottom w:val="single" w:sz="2" w:space="0" w:color="auto"/>
            </w:tcBorders>
            <w:shd w:val="clear" w:color="auto" w:fill="D9D9D9" w:themeFill="background1" w:themeFillShade="D9"/>
          </w:tcPr>
          <w:p w:rsidR="00FF4418" w:rsidRPr="00AD3737" w:rsidRDefault="00FF4418" w:rsidP="00FF4418">
            <w:pPr>
              <w:keepNext/>
              <w:snapToGrid w:val="0"/>
              <w:spacing w:after="0"/>
              <w:contextualSpacing/>
              <w:jc w:val="center"/>
              <w:rPr>
                <w:rFonts w:ascii="Times" w:hAnsi="Times"/>
                <w:b/>
                <w:sz w:val="18"/>
                <w:szCs w:val="18"/>
              </w:rPr>
            </w:pPr>
          </w:p>
        </w:tc>
        <w:tc>
          <w:tcPr>
            <w:tcW w:w="778" w:type="pct"/>
            <w:vMerge/>
            <w:tcBorders>
              <w:bottom w:val="single" w:sz="2" w:space="0" w:color="auto"/>
            </w:tcBorders>
            <w:shd w:val="clear" w:color="auto" w:fill="D9D9D9" w:themeFill="background1" w:themeFillShade="D9"/>
          </w:tcPr>
          <w:p w:rsidR="00FF4418" w:rsidRPr="00AD3737" w:rsidRDefault="00FF4418" w:rsidP="00FF4418">
            <w:pPr>
              <w:keepNext/>
              <w:snapToGrid w:val="0"/>
              <w:spacing w:after="0"/>
              <w:contextualSpacing/>
              <w:jc w:val="center"/>
              <w:rPr>
                <w:rFonts w:ascii="Times" w:hAnsi="Times"/>
                <w:b/>
                <w:sz w:val="18"/>
                <w:szCs w:val="18"/>
              </w:rPr>
            </w:pPr>
          </w:p>
        </w:tc>
        <w:tc>
          <w:tcPr>
            <w:tcW w:w="521" w:type="pct"/>
            <w:vMerge/>
            <w:tcBorders>
              <w:bottom w:val="single" w:sz="2" w:space="0" w:color="auto"/>
            </w:tcBorders>
            <w:shd w:val="clear" w:color="auto" w:fill="D9D9D9" w:themeFill="background1" w:themeFillShade="D9"/>
            <w:vAlign w:val="center"/>
          </w:tcPr>
          <w:p w:rsidR="00FF4418" w:rsidRPr="00AD3737" w:rsidRDefault="00FF4418" w:rsidP="00FF4418">
            <w:pPr>
              <w:keepNext/>
              <w:snapToGrid w:val="0"/>
              <w:spacing w:after="0"/>
              <w:contextualSpacing/>
              <w:jc w:val="center"/>
              <w:rPr>
                <w:rFonts w:ascii="Times" w:hAnsi="Times"/>
                <w:b/>
                <w:sz w:val="18"/>
                <w:szCs w:val="18"/>
              </w:rPr>
            </w:pPr>
          </w:p>
        </w:tc>
        <w:tc>
          <w:tcPr>
            <w:tcW w:w="391" w:type="pct"/>
            <w:vMerge/>
            <w:tcBorders>
              <w:bottom w:val="single" w:sz="2" w:space="0" w:color="auto"/>
            </w:tcBorders>
            <w:shd w:val="clear" w:color="auto" w:fill="D9D9D9" w:themeFill="background1" w:themeFillShade="D9"/>
          </w:tcPr>
          <w:p w:rsidR="00FF4418" w:rsidRPr="00AD3737" w:rsidRDefault="00FF4418" w:rsidP="00FF4418">
            <w:pPr>
              <w:keepNext/>
              <w:snapToGrid w:val="0"/>
              <w:spacing w:after="0"/>
              <w:contextualSpacing/>
              <w:jc w:val="center"/>
              <w:rPr>
                <w:rFonts w:ascii="Times" w:hAnsi="Times"/>
                <w:b/>
                <w:sz w:val="18"/>
                <w:szCs w:val="18"/>
              </w:rPr>
            </w:pPr>
          </w:p>
        </w:tc>
        <w:tc>
          <w:tcPr>
            <w:tcW w:w="630" w:type="pct"/>
            <w:tcBorders>
              <w:bottom w:val="single" w:sz="2" w:space="0" w:color="auto"/>
            </w:tcBorders>
            <w:shd w:val="clear" w:color="auto" w:fill="D9D9D9" w:themeFill="background1" w:themeFillShade="D9"/>
            <w:vAlign w:val="center"/>
          </w:tcPr>
          <w:p w:rsidR="00FF4418" w:rsidRPr="00AD3737" w:rsidRDefault="00FF4418" w:rsidP="00FF4418">
            <w:pPr>
              <w:keepNext/>
              <w:snapToGrid w:val="0"/>
              <w:spacing w:after="0"/>
              <w:contextualSpacing/>
              <w:jc w:val="center"/>
              <w:rPr>
                <w:rFonts w:ascii="Times" w:hAnsi="Times"/>
                <w:b/>
                <w:sz w:val="18"/>
                <w:szCs w:val="18"/>
              </w:rPr>
            </w:pPr>
            <w:r w:rsidRPr="00AD3737">
              <w:rPr>
                <w:rFonts w:ascii="Times" w:hAnsi="Times"/>
                <w:b/>
                <w:sz w:val="18"/>
                <w:szCs w:val="18"/>
              </w:rPr>
              <w:t>Teva</w:t>
            </w:r>
          </w:p>
        </w:tc>
        <w:tc>
          <w:tcPr>
            <w:tcW w:w="564" w:type="pct"/>
            <w:tcBorders>
              <w:bottom w:val="single" w:sz="2" w:space="0" w:color="auto"/>
            </w:tcBorders>
            <w:shd w:val="clear" w:color="auto" w:fill="D9D9D9" w:themeFill="background1" w:themeFillShade="D9"/>
            <w:vAlign w:val="center"/>
          </w:tcPr>
          <w:p w:rsidR="00FF4418" w:rsidRPr="00AD3737" w:rsidRDefault="00FF4418" w:rsidP="00FF4418">
            <w:pPr>
              <w:keepNext/>
              <w:snapToGrid w:val="0"/>
              <w:spacing w:after="0"/>
              <w:contextualSpacing/>
              <w:jc w:val="center"/>
              <w:rPr>
                <w:rFonts w:ascii="Times" w:hAnsi="Times"/>
                <w:b/>
                <w:sz w:val="18"/>
                <w:szCs w:val="18"/>
              </w:rPr>
            </w:pPr>
            <w:r w:rsidRPr="00AD3737">
              <w:rPr>
                <w:rFonts w:ascii="Times" w:hAnsi="Times"/>
                <w:b/>
                <w:sz w:val="18"/>
                <w:szCs w:val="18"/>
              </w:rPr>
              <w:t>Target</w:t>
            </w:r>
          </w:p>
        </w:tc>
        <w:tc>
          <w:tcPr>
            <w:tcW w:w="576" w:type="pct"/>
            <w:tcBorders>
              <w:bottom w:val="single" w:sz="2" w:space="0" w:color="auto"/>
            </w:tcBorders>
            <w:shd w:val="clear" w:color="auto" w:fill="D9D9D9" w:themeFill="background1" w:themeFillShade="D9"/>
            <w:vAlign w:val="center"/>
          </w:tcPr>
          <w:p w:rsidR="00FF4418" w:rsidRPr="00AD3737" w:rsidRDefault="00FF4418" w:rsidP="00FF4418">
            <w:pPr>
              <w:keepNext/>
              <w:snapToGrid w:val="0"/>
              <w:spacing w:after="0"/>
              <w:contextualSpacing/>
              <w:jc w:val="center"/>
              <w:rPr>
                <w:rFonts w:ascii="Times" w:hAnsi="Times"/>
                <w:b/>
                <w:sz w:val="18"/>
                <w:szCs w:val="18"/>
              </w:rPr>
            </w:pPr>
            <w:r w:rsidRPr="00AD3737">
              <w:rPr>
                <w:rFonts w:ascii="Times" w:hAnsi="Times"/>
                <w:b/>
                <w:sz w:val="18"/>
                <w:szCs w:val="18"/>
              </w:rPr>
              <w:t>Comb</w:t>
            </w:r>
            <w:r>
              <w:rPr>
                <w:rFonts w:ascii="Times" w:hAnsi="Times"/>
                <w:b/>
                <w:sz w:val="18"/>
                <w:szCs w:val="18"/>
              </w:rPr>
              <w:t>ine</w:t>
            </w:r>
            <w:r w:rsidRPr="00AD3737">
              <w:rPr>
                <w:rFonts w:ascii="Times" w:hAnsi="Times"/>
                <w:b/>
                <w:sz w:val="18"/>
                <w:szCs w:val="18"/>
              </w:rPr>
              <w:t>d</w:t>
            </w:r>
          </w:p>
        </w:tc>
        <w:tc>
          <w:tcPr>
            <w:tcW w:w="762" w:type="pct"/>
            <w:vMerge/>
            <w:tcBorders>
              <w:bottom w:val="single" w:sz="2" w:space="0" w:color="auto"/>
            </w:tcBorders>
            <w:shd w:val="clear" w:color="auto" w:fill="D9D9D9" w:themeFill="background1" w:themeFillShade="D9"/>
            <w:vAlign w:val="center"/>
          </w:tcPr>
          <w:p w:rsidR="00FF4418" w:rsidRPr="00AD3737" w:rsidRDefault="00FF4418" w:rsidP="00FF4418">
            <w:pPr>
              <w:keepNext/>
              <w:snapToGrid w:val="0"/>
              <w:spacing w:after="0"/>
              <w:contextualSpacing/>
              <w:jc w:val="center"/>
              <w:rPr>
                <w:rFonts w:ascii="Times" w:hAnsi="Times"/>
                <w:b/>
                <w:sz w:val="18"/>
                <w:szCs w:val="18"/>
              </w:rPr>
            </w:pPr>
          </w:p>
        </w:tc>
      </w:tr>
      <w:tr w:rsidR="00270AE1" w:rsidRPr="00AD3737" w:rsidTr="00FF4418">
        <w:trPr>
          <w:trHeight w:val="275"/>
        </w:trPr>
        <w:tc>
          <w:tcPr>
            <w:tcW w:w="778" w:type="pct"/>
            <w:vMerge w:val="restart"/>
            <w:tcBorders>
              <w:top w:val="single" w:sz="2" w:space="0" w:color="auto"/>
              <w:left w:val="single" w:sz="2" w:space="0" w:color="auto"/>
              <w:right w:val="single" w:sz="2" w:space="0" w:color="auto"/>
            </w:tcBorders>
            <w:vAlign w:val="center"/>
          </w:tcPr>
          <w:p w:rsidR="00270AE1" w:rsidRPr="00420413" w:rsidRDefault="00270AE1" w:rsidP="00FF4418">
            <w:pPr>
              <w:keepNext/>
              <w:spacing w:after="0"/>
              <w:jc w:val="left"/>
              <w:rPr>
                <w:rFonts w:ascii="Times" w:hAnsi="Times"/>
                <w:i/>
                <w:sz w:val="18"/>
                <w:szCs w:val="18"/>
              </w:rPr>
            </w:pPr>
            <w:r w:rsidRPr="00AD3737">
              <w:rPr>
                <w:rFonts w:ascii="Times" w:hAnsi="Times"/>
                <w:sz w:val="18"/>
                <w:szCs w:val="18"/>
              </w:rPr>
              <w:t>03G3</w:t>
            </w:r>
          </w:p>
        </w:tc>
        <w:tc>
          <w:tcPr>
            <w:tcW w:w="778" w:type="pct"/>
            <w:vMerge w:val="restar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sidRPr="00AD3737">
              <w:rPr>
                <w:rFonts w:ascii="Times" w:hAnsi="Times"/>
                <w:sz w:val="18"/>
                <w:szCs w:val="18"/>
              </w:rPr>
              <w:t>PPIs (OTC)</w:t>
            </w:r>
          </w:p>
        </w:tc>
        <w:tc>
          <w:tcPr>
            <w:tcW w:w="521" w:type="pct"/>
            <w:vMerge w:val="restar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sidRPr="00AD3737">
              <w:rPr>
                <w:rFonts w:ascii="Times" w:hAnsi="Times"/>
                <w:sz w:val="18"/>
                <w:szCs w:val="18"/>
              </w:rPr>
              <w:t>Group 1</w:t>
            </w:r>
          </w:p>
        </w:tc>
        <w:tc>
          <w:tcPr>
            <w:tcW w:w="391" w:type="pct"/>
            <w:tcBorders>
              <w:top w:val="single" w:sz="2" w:space="0" w:color="auto"/>
              <w:left w:val="single" w:sz="2" w:space="0" w:color="auto"/>
              <w:bottom w:val="single" w:sz="2" w:space="0" w:color="auto"/>
              <w:right w:val="single" w:sz="2" w:space="0" w:color="auto"/>
            </w:tcBorders>
            <w:vAlign w:val="center"/>
          </w:tcPr>
          <w:p w:rsidR="00270AE1" w:rsidRPr="002D7FBB" w:rsidRDefault="00270AE1" w:rsidP="00FF4418">
            <w:pPr>
              <w:keepNext/>
              <w:spacing w:after="0"/>
              <w:jc w:val="left"/>
              <w:rPr>
                <w:rFonts w:ascii="Times" w:hAnsi="Times"/>
                <w:b/>
                <w:sz w:val="18"/>
              </w:rPr>
            </w:pPr>
            <w:r w:rsidRPr="00DF35F3">
              <w:rPr>
                <w:rFonts w:ascii="Times" w:hAnsi="Times"/>
                <w:b/>
                <w:sz w:val="18"/>
              </w:rPr>
              <w:t>2017</w:t>
            </w:r>
          </w:p>
        </w:tc>
        <w:tc>
          <w:tcPr>
            <w:tcW w:w="630"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270AE1">
            <w:pPr>
              <w:keepNext/>
              <w:spacing w:after="0"/>
              <w:jc w:val="left"/>
              <w:rPr>
                <w:rFonts w:ascii="Times" w:hAnsi="Times"/>
                <w:sz w:val="18"/>
                <w:szCs w:val="18"/>
              </w:rPr>
            </w:pPr>
            <w:r>
              <w:rPr>
                <w:rFonts w:ascii="Times" w:hAnsi="Times"/>
                <w:sz w:val="18"/>
                <w:szCs w:val="18"/>
              </w:rPr>
              <w:t>[40-50]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[40-50]</w:t>
            </w:r>
            <w:r w:rsidRPr="00AD3737">
              <w:rPr>
                <w:rFonts w:ascii="Times" w:hAnsi="Times"/>
                <w:sz w:val="18"/>
                <w:szCs w:val="18"/>
              </w:rPr>
              <w:t>%</w:t>
            </w:r>
          </w:p>
        </w:tc>
        <w:tc>
          <w:tcPr>
            <w:tcW w:w="564"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270AE1">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576"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Pr>
                <w:rFonts w:ascii="Times" w:hAnsi="Times"/>
                <w:sz w:val="18"/>
                <w:szCs w:val="18"/>
              </w:rPr>
              <w:t>[40-50]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[40-50]</w:t>
            </w:r>
            <w:r w:rsidRPr="00AD3737">
              <w:rPr>
                <w:rFonts w:ascii="Times" w:hAnsi="Times"/>
                <w:sz w:val="18"/>
                <w:szCs w:val="18"/>
              </w:rPr>
              <w:t>%</w:t>
            </w:r>
          </w:p>
        </w:tc>
        <w:tc>
          <w:tcPr>
            <w:tcW w:w="762"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sidRPr="00AD3737">
              <w:rPr>
                <w:rFonts w:ascii="Times" w:hAnsi="Times"/>
                <w:sz w:val="18"/>
                <w:szCs w:val="18"/>
              </w:rPr>
              <w:t>At least 2</w:t>
            </w:r>
          </w:p>
        </w:tc>
      </w:tr>
      <w:tr w:rsidR="00270AE1" w:rsidRPr="00AD3737" w:rsidTr="00FF4418">
        <w:trPr>
          <w:trHeight w:val="275"/>
        </w:trPr>
        <w:tc>
          <w:tcPr>
            <w:tcW w:w="778" w:type="pct"/>
            <w:vMerge/>
            <w:tcBorders>
              <w:left w:val="single" w:sz="2" w:space="0" w:color="auto"/>
              <w:right w:val="single" w:sz="2" w:space="0" w:color="auto"/>
            </w:tcBorders>
          </w:tcPr>
          <w:p w:rsidR="00270AE1" w:rsidRPr="00AD3737" w:rsidRDefault="00270AE1" w:rsidP="00FF4418">
            <w:pPr>
              <w:keepNext/>
              <w:spacing w:after="0"/>
              <w:jc w:val="left"/>
              <w:rPr>
                <w:rFonts w:ascii="Times" w:hAnsi="Times"/>
                <w:sz w:val="18"/>
                <w:szCs w:val="18"/>
              </w:rPr>
            </w:pPr>
          </w:p>
        </w:tc>
        <w:tc>
          <w:tcPr>
            <w:tcW w:w="778" w:type="pct"/>
            <w:vMerge/>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p>
        </w:tc>
        <w:tc>
          <w:tcPr>
            <w:tcW w:w="521" w:type="pct"/>
            <w:vMerge/>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p>
        </w:tc>
        <w:tc>
          <w:tcPr>
            <w:tcW w:w="391" w:type="pct"/>
            <w:tcBorders>
              <w:top w:val="single" w:sz="2" w:space="0" w:color="auto"/>
              <w:left w:val="single" w:sz="2" w:space="0" w:color="auto"/>
              <w:bottom w:val="single" w:sz="2" w:space="0" w:color="auto"/>
              <w:right w:val="single" w:sz="2" w:space="0" w:color="auto"/>
            </w:tcBorders>
            <w:vAlign w:val="center"/>
          </w:tcPr>
          <w:p w:rsidR="00270AE1" w:rsidRPr="00DF35F3" w:rsidRDefault="00270AE1" w:rsidP="00FF4418">
            <w:pPr>
              <w:keepNext/>
              <w:spacing w:after="0"/>
              <w:jc w:val="left"/>
              <w:rPr>
                <w:rFonts w:ascii="Times" w:hAnsi="Times"/>
                <w:b/>
                <w:sz w:val="18"/>
              </w:rPr>
            </w:pPr>
            <w:r>
              <w:rPr>
                <w:rFonts w:ascii="Times" w:hAnsi="Times"/>
                <w:b/>
                <w:sz w:val="18"/>
              </w:rPr>
              <w:t>2016</w:t>
            </w:r>
          </w:p>
        </w:tc>
        <w:tc>
          <w:tcPr>
            <w:tcW w:w="630"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270AE1">
            <w:pPr>
              <w:keepNext/>
              <w:spacing w:after="0"/>
              <w:jc w:val="left"/>
              <w:rPr>
                <w:rFonts w:ascii="Times" w:hAnsi="Times"/>
                <w:sz w:val="18"/>
                <w:szCs w:val="18"/>
              </w:rPr>
            </w:pPr>
            <w:r>
              <w:rPr>
                <w:rFonts w:ascii="Times" w:hAnsi="Times"/>
                <w:sz w:val="18"/>
                <w:szCs w:val="18"/>
              </w:rPr>
              <w:t>[40-50]% /[30-40]%</w:t>
            </w:r>
          </w:p>
        </w:tc>
        <w:tc>
          <w:tcPr>
            <w:tcW w:w="564"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576"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Pr>
                <w:rFonts w:ascii="Times" w:hAnsi="Times"/>
                <w:sz w:val="18"/>
                <w:szCs w:val="18"/>
              </w:rPr>
              <w:t>[40-50]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[40-50]</w:t>
            </w:r>
            <w:r w:rsidRPr="00AD3737">
              <w:rPr>
                <w:rFonts w:ascii="Times" w:hAnsi="Times"/>
                <w:sz w:val="18"/>
                <w:szCs w:val="18"/>
              </w:rPr>
              <w:t>%</w:t>
            </w:r>
          </w:p>
        </w:tc>
        <w:tc>
          <w:tcPr>
            <w:tcW w:w="762"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sidRPr="00AD3737">
              <w:rPr>
                <w:rFonts w:ascii="Times" w:hAnsi="Times"/>
                <w:sz w:val="18"/>
                <w:szCs w:val="18"/>
              </w:rPr>
              <w:t>At least 2</w:t>
            </w:r>
          </w:p>
        </w:tc>
      </w:tr>
      <w:tr w:rsidR="00270AE1" w:rsidRPr="00AD3737" w:rsidTr="00FF4418">
        <w:trPr>
          <w:trHeight w:val="275"/>
        </w:trPr>
        <w:tc>
          <w:tcPr>
            <w:tcW w:w="778" w:type="pct"/>
            <w:vMerge/>
            <w:tcBorders>
              <w:left w:val="single" w:sz="2" w:space="0" w:color="auto"/>
              <w:bottom w:val="single" w:sz="2" w:space="0" w:color="auto"/>
              <w:right w:val="single" w:sz="2" w:space="0" w:color="auto"/>
            </w:tcBorders>
          </w:tcPr>
          <w:p w:rsidR="00270AE1" w:rsidRPr="00AD3737" w:rsidRDefault="00270AE1" w:rsidP="00FF4418">
            <w:pPr>
              <w:keepNext/>
              <w:spacing w:after="0"/>
              <w:jc w:val="left"/>
              <w:rPr>
                <w:rFonts w:ascii="Times" w:hAnsi="Times"/>
                <w:sz w:val="18"/>
                <w:szCs w:val="18"/>
              </w:rPr>
            </w:pPr>
          </w:p>
        </w:tc>
        <w:tc>
          <w:tcPr>
            <w:tcW w:w="778" w:type="pct"/>
            <w:vMerge/>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p>
        </w:tc>
        <w:tc>
          <w:tcPr>
            <w:tcW w:w="521" w:type="pct"/>
            <w:vMerge/>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p>
        </w:tc>
        <w:tc>
          <w:tcPr>
            <w:tcW w:w="391" w:type="pct"/>
            <w:tcBorders>
              <w:top w:val="single" w:sz="2" w:space="0" w:color="auto"/>
              <w:left w:val="single" w:sz="2" w:space="0" w:color="auto"/>
              <w:bottom w:val="single" w:sz="2" w:space="0" w:color="auto"/>
              <w:right w:val="single" w:sz="2" w:space="0" w:color="auto"/>
            </w:tcBorders>
            <w:vAlign w:val="center"/>
          </w:tcPr>
          <w:p w:rsidR="00270AE1" w:rsidRPr="00DF35F3" w:rsidRDefault="00270AE1" w:rsidP="00FF4418">
            <w:pPr>
              <w:keepNext/>
              <w:spacing w:after="0"/>
              <w:jc w:val="left"/>
              <w:rPr>
                <w:rFonts w:ascii="Times" w:hAnsi="Times"/>
                <w:b/>
                <w:sz w:val="18"/>
              </w:rPr>
            </w:pPr>
            <w:r>
              <w:rPr>
                <w:rFonts w:ascii="Times" w:hAnsi="Times"/>
                <w:b/>
                <w:sz w:val="18"/>
              </w:rPr>
              <w:t>2015</w:t>
            </w:r>
          </w:p>
        </w:tc>
        <w:tc>
          <w:tcPr>
            <w:tcW w:w="630"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Pr>
                <w:rFonts w:ascii="Times" w:hAnsi="Times"/>
                <w:sz w:val="18"/>
                <w:szCs w:val="18"/>
              </w:rPr>
              <w:t>[40-50]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[40-50]</w:t>
            </w:r>
            <w:r w:rsidRPr="00AD3737">
              <w:rPr>
                <w:rFonts w:ascii="Times" w:hAnsi="Times"/>
                <w:sz w:val="18"/>
                <w:szCs w:val="18"/>
              </w:rPr>
              <w:t>%</w:t>
            </w:r>
          </w:p>
        </w:tc>
        <w:tc>
          <w:tcPr>
            <w:tcW w:w="564"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Pr>
                <w:rFonts w:ascii="Times" w:hAnsi="Times"/>
                <w:sz w:val="18"/>
                <w:szCs w:val="18"/>
              </w:rPr>
              <w:t>[0-5]</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[0-5]</w:t>
            </w:r>
            <w:r w:rsidRPr="00AD3737">
              <w:rPr>
                <w:rFonts w:ascii="Times" w:hAnsi="Times"/>
                <w:sz w:val="18"/>
                <w:szCs w:val="18"/>
              </w:rPr>
              <w:t>%</w:t>
            </w:r>
          </w:p>
        </w:tc>
        <w:tc>
          <w:tcPr>
            <w:tcW w:w="576"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Pr>
                <w:rFonts w:ascii="Times" w:hAnsi="Times"/>
                <w:sz w:val="18"/>
                <w:szCs w:val="18"/>
              </w:rPr>
              <w:t>[40-50]</w:t>
            </w:r>
            <w:r w:rsidRPr="00AD3737">
              <w:rPr>
                <w:rFonts w:ascii="Times" w:hAnsi="Times"/>
                <w:sz w:val="18"/>
                <w:szCs w:val="18"/>
              </w:rPr>
              <w:t>%</w:t>
            </w:r>
            <w:r>
              <w:rPr>
                <w:rFonts w:ascii="Times" w:hAnsi="Times"/>
                <w:sz w:val="18"/>
                <w:szCs w:val="18"/>
              </w:rPr>
              <w:t xml:space="preserve"> </w:t>
            </w:r>
            <w:r w:rsidRPr="00AD3737">
              <w:rPr>
                <w:rFonts w:ascii="Times" w:hAnsi="Times"/>
                <w:sz w:val="18"/>
                <w:szCs w:val="18"/>
              </w:rPr>
              <w:t>/</w:t>
            </w:r>
            <w:r>
              <w:rPr>
                <w:rFonts w:ascii="Times" w:hAnsi="Times"/>
                <w:sz w:val="18"/>
                <w:szCs w:val="18"/>
              </w:rPr>
              <w:t>[40-50]</w:t>
            </w:r>
            <w:r w:rsidRPr="00AD3737">
              <w:rPr>
                <w:rFonts w:ascii="Times" w:hAnsi="Times"/>
                <w:sz w:val="18"/>
                <w:szCs w:val="18"/>
              </w:rPr>
              <w:t>%</w:t>
            </w:r>
          </w:p>
        </w:tc>
        <w:tc>
          <w:tcPr>
            <w:tcW w:w="762" w:type="pct"/>
            <w:tcBorders>
              <w:top w:val="single" w:sz="2" w:space="0" w:color="auto"/>
              <w:left w:val="single" w:sz="2" w:space="0" w:color="auto"/>
              <w:bottom w:val="single" w:sz="2" w:space="0" w:color="auto"/>
              <w:right w:val="single" w:sz="2" w:space="0" w:color="auto"/>
            </w:tcBorders>
            <w:vAlign w:val="center"/>
          </w:tcPr>
          <w:p w:rsidR="00270AE1" w:rsidRPr="00AD3737" w:rsidRDefault="00270AE1" w:rsidP="00FF4418">
            <w:pPr>
              <w:keepNext/>
              <w:spacing w:after="0"/>
              <w:jc w:val="left"/>
              <w:rPr>
                <w:rFonts w:ascii="Times" w:hAnsi="Times"/>
                <w:sz w:val="18"/>
                <w:szCs w:val="18"/>
              </w:rPr>
            </w:pPr>
            <w:r>
              <w:rPr>
                <w:rFonts w:ascii="Times" w:hAnsi="Times"/>
                <w:sz w:val="18"/>
                <w:szCs w:val="18"/>
              </w:rPr>
              <w:t>At least 3</w:t>
            </w:r>
          </w:p>
        </w:tc>
      </w:tr>
    </w:tbl>
    <w:p w:rsidR="00FF4418" w:rsidRPr="009911D5" w:rsidRDefault="00FF4418" w:rsidP="00CB287C">
      <w:pPr>
        <w:pStyle w:val="ListNumber"/>
        <w:numPr>
          <w:ilvl w:val="0"/>
          <w:numId w:val="0"/>
        </w:numPr>
        <w:spacing w:after="0"/>
        <w:ind w:left="709" w:hanging="709"/>
        <w:rPr>
          <w:rFonts w:eastAsia="Calibri"/>
          <w:i/>
          <w:lang w:val="en-US"/>
        </w:rPr>
      </w:pPr>
    </w:p>
    <w:p w:rsidR="00704DE9" w:rsidRDefault="00704DE9" w:rsidP="00FF4418">
      <w:pPr>
        <w:pStyle w:val="ListNumber"/>
      </w:pPr>
      <w:r>
        <w:t xml:space="preserve">The Parties' combined market share is </w:t>
      </w:r>
      <w:r w:rsidR="00270AE1">
        <w:t>[40-50]</w:t>
      </w:r>
      <w:r>
        <w:t xml:space="preserve">% in value and </w:t>
      </w:r>
      <w:r w:rsidR="00270AE1">
        <w:t xml:space="preserve">[40-50]% </w:t>
      </w:r>
      <w:r>
        <w:t xml:space="preserve">in volume in 2017 for </w:t>
      </w:r>
      <w:r w:rsidR="0016370C">
        <w:t>PPI products</w:t>
      </w:r>
      <w:r>
        <w:t xml:space="preserve"> sold OTC </w:t>
      </w:r>
      <w:r w:rsidR="0016370C">
        <w:t xml:space="preserve">in Bulgaria </w:t>
      </w:r>
      <w:r>
        <w:t>(OTC 3 class 0</w:t>
      </w:r>
      <w:r w:rsidR="0016370C">
        <w:t>3G3</w:t>
      </w:r>
      <w:r>
        <w:t>).</w:t>
      </w:r>
      <w:r w:rsidR="0016370C">
        <w:rPr>
          <w:rStyle w:val="FootnoteReference"/>
        </w:rPr>
        <w:footnoteReference w:id="53"/>
      </w:r>
      <w:r>
        <w:t xml:space="preserve"> </w:t>
      </w:r>
      <w:r w:rsidR="00B47CC0">
        <w:t>In this market, t</w:t>
      </w:r>
      <w:r>
        <w:t xml:space="preserve">he increment brought by the </w:t>
      </w:r>
      <w:r w:rsidRPr="005B1C96">
        <w:t xml:space="preserve">Transaction is minimal, </w:t>
      </w:r>
      <w:r w:rsidR="00B47CC0">
        <w:t>namely,</w:t>
      </w:r>
      <w:r w:rsidRPr="005B1C96">
        <w:t xml:space="preserve"> </w:t>
      </w:r>
      <w:r w:rsidR="00270AE1">
        <w:t>[0-5]</w:t>
      </w:r>
      <w:r w:rsidRPr="005B1C96">
        <w:t>%</w:t>
      </w:r>
      <w:r w:rsidR="00CB287C">
        <w:t xml:space="preserve"> over the last three years</w:t>
      </w:r>
      <w:r>
        <w:t xml:space="preserve">. </w:t>
      </w:r>
      <w:r w:rsidRPr="00973614">
        <w:t xml:space="preserve">The HHI </w:t>
      </w:r>
      <w:r w:rsidRPr="004B2EAB">
        <w:t xml:space="preserve">delta </w:t>
      </w:r>
      <w:r w:rsidRPr="00973614">
        <w:t>is therefore below 150.</w:t>
      </w:r>
      <w:r>
        <w:t xml:space="preserve">  In addition,</w:t>
      </w:r>
      <w:r w:rsidRPr="005B1C96">
        <w:t xml:space="preserve"> at least </w:t>
      </w:r>
      <w:r w:rsidR="00B47CC0">
        <w:t>2</w:t>
      </w:r>
      <w:r w:rsidRPr="005B1C96">
        <w:t xml:space="preserve"> competitors </w:t>
      </w:r>
      <w:r w:rsidR="00D3370B">
        <w:t>with a market share of</w:t>
      </w:r>
      <w:r w:rsidR="00D3370B" w:rsidRPr="00973614">
        <w:t xml:space="preserve"> 5%</w:t>
      </w:r>
      <w:r w:rsidR="00D3370B">
        <w:t xml:space="preserve"> or more in both value and volume will remain in the market post-Transaction.  These are </w:t>
      </w:r>
      <w:r w:rsidR="00D370D9" w:rsidRPr="00652EBB">
        <w:t xml:space="preserve">Nobel </w:t>
      </w:r>
      <w:r w:rsidRPr="005B1C96">
        <w:t xml:space="preserve">with </w:t>
      </w:r>
      <w:r w:rsidR="00D370D9" w:rsidRPr="00652EBB">
        <w:t xml:space="preserve">its Pulcet product </w:t>
      </w:r>
      <w:r w:rsidR="00D3370B">
        <w:t xml:space="preserve">(holding </w:t>
      </w:r>
      <w:r w:rsidR="00270AE1">
        <w:t xml:space="preserve">[40-50]% </w:t>
      </w:r>
      <w:r w:rsidR="00D3370B">
        <w:t xml:space="preserve">in value and </w:t>
      </w:r>
      <w:r w:rsidR="00270AE1">
        <w:t xml:space="preserve">[40-50]% </w:t>
      </w:r>
      <w:r w:rsidR="00D3370B">
        <w:t xml:space="preserve">in volume) </w:t>
      </w:r>
      <w:r w:rsidR="00D370D9" w:rsidRPr="00D370D9">
        <w:t>and Sanofi with its Helicid product</w:t>
      </w:r>
      <w:r w:rsidR="00D3370B">
        <w:t xml:space="preserve"> (having a market share of </w:t>
      </w:r>
      <w:r w:rsidR="00270AE1">
        <w:t>[</w:t>
      </w:r>
      <w:r w:rsidR="00D3370B">
        <w:t>5</w:t>
      </w:r>
      <w:r w:rsidR="00270AE1">
        <w:t>-10]</w:t>
      </w:r>
      <w:r w:rsidR="00D3370B">
        <w:t>% in both value and volume).</w:t>
      </w:r>
      <w:r w:rsidRPr="005B1C96">
        <w:t xml:space="preserve">. </w:t>
      </w:r>
    </w:p>
    <w:p w:rsidR="005B1C96" w:rsidRPr="007C79D9" w:rsidRDefault="007256BE" w:rsidP="005B1C96">
      <w:pPr>
        <w:pStyle w:val="ListNumber"/>
      </w:pPr>
      <w:r>
        <w:t>Finally,</w:t>
      </w:r>
      <w:r w:rsidRPr="005B1C96">
        <w:t xml:space="preserve"> </w:t>
      </w:r>
      <w:r>
        <w:t xml:space="preserve">the market investigation did not reveal any </w:t>
      </w:r>
      <w:r>
        <w:rPr>
          <w:rFonts w:eastAsia="Calibri"/>
          <w:szCs w:val="24"/>
        </w:rPr>
        <w:t>competition concerns in</w:t>
      </w:r>
      <w:r w:rsidRPr="00546F00" w:rsidDel="00A2241C">
        <w:rPr>
          <w:rFonts w:ascii="Times" w:eastAsia="Calibri" w:hAnsi="Times"/>
          <w:szCs w:val="24"/>
        </w:rPr>
        <w:t xml:space="preserve"> </w:t>
      </w:r>
      <w:r>
        <w:rPr>
          <w:rFonts w:ascii="Times" w:eastAsia="Calibri" w:hAnsi="Times"/>
          <w:szCs w:val="24"/>
        </w:rPr>
        <w:t xml:space="preserve">relation to </w:t>
      </w:r>
      <w:r w:rsidR="005B1C96" w:rsidRPr="001B2085">
        <w:t>PPIs in Bulgaria</w:t>
      </w:r>
      <w:r w:rsidR="005B1C96" w:rsidRPr="003B43D2">
        <w:t>.</w:t>
      </w:r>
      <w:r w:rsidR="00384555">
        <w:rPr>
          <w:rStyle w:val="FootnoteReference"/>
        </w:rPr>
        <w:footnoteReference w:id="54"/>
      </w:r>
      <w:r w:rsidR="00617BB4" w:rsidRPr="00907CDA">
        <w:rPr>
          <w:rFonts w:ascii="Calibri" w:eastAsia="Calibri" w:hAnsi="Calibri"/>
          <w:sz w:val="20"/>
          <w:vertAlign w:val="superscript"/>
          <w:lang w:val="en-US"/>
        </w:rPr>
        <w:t xml:space="preserve"> </w:t>
      </w:r>
    </w:p>
    <w:p w:rsidR="00B31511" w:rsidRPr="00C8164D" w:rsidRDefault="00814F0F" w:rsidP="00B31511">
      <w:pPr>
        <w:pStyle w:val="ListNumber"/>
      </w:pPr>
      <w:r w:rsidRPr="00546F00">
        <w:rPr>
          <w:rFonts w:ascii="Times" w:hAnsi="Times"/>
          <w:szCs w:val="24"/>
        </w:rPr>
        <w:t xml:space="preserve">In view of the above, the Commission concludes that </w:t>
      </w:r>
      <w:r>
        <w:rPr>
          <w:rFonts w:ascii="Times" w:hAnsi="Times"/>
          <w:szCs w:val="24"/>
        </w:rPr>
        <w:t xml:space="preserve">the Transaction does not raise serious doubts as to its compatibility with the internal market regarding </w:t>
      </w:r>
      <w:r w:rsidR="00B31511">
        <w:t>PPIs in Bulgaria</w:t>
      </w:r>
      <w:r w:rsidR="00B31511" w:rsidRPr="00C8164D">
        <w:t>.</w:t>
      </w:r>
    </w:p>
    <w:p w:rsidR="002D2887" w:rsidRDefault="00A91C73" w:rsidP="00CF47FF">
      <w:pPr>
        <w:pStyle w:val="Heading2"/>
        <w:tabs>
          <w:tab w:val="clear" w:pos="1080"/>
          <w:tab w:val="num" w:pos="709"/>
        </w:tabs>
        <w:ind w:left="709"/>
      </w:pPr>
      <w:bookmarkStart w:id="170" w:name="_Toc517444578"/>
      <w:bookmarkStart w:id="171" w:name="_Toc517710450"/>
      <w:bookmarkStart w:id="172" w:name="_Toc517812927"/>
      <w:r>
        <w:t xml:space="preserve">Prescription (Rx) v. </w:t>
      </w:r>
      <w:r w:rsidR="002D2887">
        <w:t>OTC</w:t>
      </w:r>
      <w:r w:rsidR="0088775C">
        <w:t xml:space="preserve"> Product</w:t>
      </w:r>
      <w:r>
        <w:t xml:space="preserve"> Overlaps --</w:t>
      </w:r>
      <w:r w:rsidR="0088775C">
        <w:t xml:space="preserve"> Group 1/1+/2 markets</w:t>
      </w:r>
      <w:bookmarkEnd w:id="170"/>
      <w:bookmarkEnd w:id="171"/>
      <w:bookmarkEnd w:id="172"/>
      <w:r w:rsidR="00AE6926">
        <w:t xml:space="preserve"> </w:t>
      </w:r>
    </w:p>
    <w:p w:rsidR="00B57A52" w:rsidRPr="00B57A52" w:rsidRDefault="00B57A52" w:rsidP="00CF47FF">
      <w:pPr>
        <w:pStyle w:val="ListNumber"/>
        <w:keepNext/>
      </w:pPr>
      <w:r>
        <w:t>As explained above,</w:t>
      </w:r>
      <w:r>
        <w:rPr>
          <w:rStyle w:val="FootnoteReference"/>
          <w:szCs w:val="24"/>
        </w:rPr>
        <w:footnoteReference w:id="55"/>
      </w:r>
      <w:r>
        <w:t xml:space="preserve"> the Commission has considered in the past that</w:t>
      </w:r>
      <w:r w:rsidRPr="00554E2B">
        <w:t xml:space="preserve"> </w:t>
      </w:r>
      <w:r>
        <w:t>Rx and OTC products are generally part of distinct markets, since the m</w:t>
      </w:r>
      <w:r w:rsidRPr="00B64208">
        <w:t>edical indications, side effects, regulatory framework, distribution</w:t>
      </w:r>
      <w:r w:rsidRPr="00E66996">
        <w:t xml:space="preserve"> and marketing tend to differ between these drug categories, even </w:t>
      </w:r>
      <w:r>
        <w:t>when</w:t>
      </w:r>
      <w:r w:rsidRPr="00E66996">
        <w:t xml:space="preserve"> the active ingredients </w:t>
      </w:r>
      <w:r>
        <w:t>are</w:t>
      </w:r>
      <w:r w:rsidRPr="00E66996">
        <w:t xml:space="preserve"> identical. </w:t>
      </w:r>
      <w:r>
        <w:t xml:space="preserve">The Commission however stressed that </w:t>
      </w:r>
      <w:r w:rsidRPr="00554E2B">
        <w:rPr>
          <w:szCs w:val="24"/>
        </w:rPr>
        <w:t xml:space="preserve">it cannot be excluded that OTC and </w:t>
      </w:r>
      <w:r>
        <w:rPr>
          <w:szCs w:val="24"/>
        </w:rPr>
        <w:t>Rx</w:t>
      </w:r>
      <w:r w:rsidRPr="00554E2B">
        <w:rPr>
          <w:szCs w:val="24"/>
        </w:rPr>
        <w:t xml:space="preserve"> products </w:t>
      </w:r>
      <w:r>
        <w:rPr>
          <w:szCs w:val="24"/>
        </w:rPr>
        <w:t xml:space="preserve">sometimes </w:t>
      </w:r>
      <w:r w:rsidRPr="00554E2B">
        <w:rPr>
          <w:szCs w:val="24"/>
        </w:rPr>
        <w:t>compete with each other.</w:t>
      </w:r>
      <w:r>
        <w:rPr>
          <w:szCs w:val="24"/>
        </w:rPr>
        <w:t xml:space="preserve"> The following assessment is based on the assumption that Rx and OTC products might be part of the same relevant market. </w:t>
      </w:r>
      <w:r w:rsidR="008940A4">
        <w:rPr>
          <w:szCs w:val="24"/>
        </w:rPr>
        <w:t>If they were not</w:t>
      </w:r>
      <w:r>
        <w:rPr>
          <w:szCs w:val="24"/>
        </w:rPr>
        <w:t>, there would be no overlap or affected market.</w:t>
      </w:r>
      <w:r>
        <w:rPr>
          <w:rStyle w:val="FootnoteReference"/>
          <w:szCs w:val="24"/>
        </w:rPr>
        <w:footnoteReference w:id="56"/>
      </w:r>
      <w:r>
        <w:rPr>
          <w:szCs w:val="24"/>
        </w:rPr>
        <w:t xml:space="preserve">, </w:t>
      </w:r>
    </w:p>
    <w:p w:rsidR="00CB287C" w:rsidRPr="00E96988" w:rsidRDefault="006C6064" w:rsidP="00CF51B4">
      <w:pPr>
        <w:pStyle w:val="ListNumber"/>
        <w:keepNext/>
      </w:pPr>
      <w:r>
        <w:t xml:space="preserve">The Transaction gives rise to Group 1 and Group 2 markets </w:t>
      </w:r>
      <w:r w:rsidR="003A78A2">
        <w:t>in the following segments where</w:t>
      </w:r>
      <w:r>
        <w:t xml:space="preserve"> Teva's Rx and the Target's OTC products </w:t>
      </w:r>
      <w:r w:rsidR="003A78A2">
        <w:t>overlap</w:t>
      </w:r>
      <w:r>
        <w:t xml:space="preserve">: </w:t>
      </w:r>
      <w:r w:rsidR="00C5458B" w:rsidRPr="00DA0CD2">
        <w:rPr>
          <w:i/>
        </w:rPr>
        <w:t>aciclovir</w:t>
      </w:r>
      <w:r w:rsidR="00C5458B">
        <w:t>-</w:t>
      </w:r>
      <w:r w:rsidR="00C5458B">
        <w:lastRenderedPageBreak/>
        <w:t xml:space="preserve">based </w:t>
      </w:r>
      <w:r>
        <w:t>anti-herpes in Finland (</w:t>
      </w:r>
      <w:r>
        <w:fldChar w:fldCharType="begin"/>
      </w:r>
      <w:r>
        <w:instrText xml:space="preserve"> REF _Ref517683671 \r \h </w:instrText>
      </w:r>
      <w:r>
        <w:fldChar w:fldCharType="separate"/>
      </w:r>
      <w:r w:rsidR="00FE3ACD">
        <w:t>4.5.1</w:t>
      </w:r>
      <w:r>
        <w:fldChar w:fldCharType="end"/>
      </w:r>
      <w:r>
        <w:t xml:space="preserve">); </w:t>
      </w:r>
      <w:r w:rsidR="00C5458B" w:rsidRPr="00DA0CD2">
        <w:rPr>
          <w:i/>
        </w:rPr>
        <w:t>ascorbic-acid</w:t>
      </w:r>
      <w:r w:rsidR="00C5458B">
        <w:t xml:space="preserve"> based vitamin C products in Poland (</w:t>
      </w:r>
      <w:r w:rsidR="00C5458B">
        <w:fldChar w:fldCharType="begin"/>
      </w:r>
      <w:r w:rsidR="00C5458B">
        <w:instrText xml:space="preserve"> REF _Ref517683779 \r \h </w:instrText>
      </w:r>
      <w:r w:rsidR="00C5458B">
        <w:fldChar w:fldCharType="separate"/>
      </w:r>
      <w:r w:rsidR="00FE3ACD">
        <w:t>4.5.2</w:t>
      </w:r>
      <w:r w:rsidR="00C5458B">
        <w:fldChar w:fldCharType="end"/>
      </w:r>
      <w:r w:rsidR="00C5458B">
        <w:t xml:space="preserve">); </w:t>
      </w:r>
      <w:r w:rsidR="00C5458B" w:rsidRPr="00DA0CD2">
        <w:rPr>
          <w:i/>
        </w:rPr>
        <w:t>beclome</w:t>
      </w:r>
      <w:r w:rsidR="0086338E" w:rsidRPr="00DA0CD2">
        <w:rPr>
          <w:i/>
        </w:rPr>
        <w:t>t</w:t>
      </w:r>
      <w:r w:rsidR="00C5458B" w:rsidRPr="00DA0CD2">
        <w:rPr>
          <w:i/>
        </w:rPr>
        <w:t>asone</w:t>
      </w:r>
      <w:r w:rsidR="00C5458B">
        <w:t>-based topical nasal preparations in Germany (</w:t>
      </w:r>
      <w:r w:rsidR="00C5458B">
        <w:fldChar w:fldCharType="begin"/>
      </w:r>
      <w:r w:rsidR="00C5458B">
        <w:instrText xml:space="preserve"> REF _Ref517683787 \r \h </w:instrText>
      </w:r>
      <w:r w:rsidR="00C5458B">
        <w:fldChar w:fldCharType="separate"/>
      </w:r>
      <w:r w:rsidR="00FE3ACD">
        <w:t>4.5.3</w:t>
      </w:r>
      <w:r w:rsidR="00C5458B">
        <w:fldChar w:fldCharType="end"/>
      </w:r>
      <w:r w:rsidR="00C5458B">
        <w:t xml:space="preserve">); </w:t>
      </w:r>
      <w:r w:rsidR="00C5458B" w:rsidRPr="00DA0CD2">
        <w:rPr>
          <w:i/>
        </w:rPr>
        <w:t>clotrimazole</w:t>
      </w:r>
      <w:r w:rsidR="00C5458B">
        <w:t>-based dermatological antifungal products in Croatia (</w:t>
      </w:r>
      <w:r w:rsidR="00C5458B">
        <w:fldChar w:fldCharType="begin"/>
      </w:r>
      <w:r w:rsidR="00C5458B">
        <w:instrText xml:space="preserve"> REF _Ref517683796 \r \h </w:instrText>
      </w:r>
      <w:r w:rsidR="00C5458B">
        <w:fldChar w:fldCharType="separate"/>
      </w:r>
      <w:r w:rsidR="00FE3ACD">
        <w:t>4.5.4</w:t>
      </w:r>
      <w:r w:rsidR="00C5458B">
        <w:fldChar w:fldCharType="end"/>
      </w:r>
      <w:r w:rsidR="00C5458B">
        <w:t xml:space="preserve">); </w:t>
      </w:r>
      <w:r w:rsidR="00C5458B" w:rsidRPr="00DA0CD2">
        <w:rPr>
          <w:i/>
        </w:rPr>
        <w:t>fluticasone</w:t>
      </w:r>
      <w:r w:rsidR="00C5458B">
        <w:t>-based topical nasal preparations in Sweden (</w:t>
      </w:r>
      <w:r w:rsidR="003A78A2">
        <w:fldChar w:fldCharType="begin"/>
      </w:r>
      <w:r w:rsidR="003A78A2">
        <w:instrText xml:space="preserve"> REF _Ref517790488 \r \h </w:instrText>
      </w:r>
      <w:r w:rsidR="003A78A2">
        <w:fldChar w:fldCharType="separate"/>
      </w:r>
      <w:r w:rsidR="00FE3ACD">
        <w:t>4.5.5</w:t>
      </w:r>
      <w:r w:rsidR="003A78A2">
        <w:fldChar w:fldCharType="end"/>
      </w:r>
      <w:r w:rsidR="00C5458B">
        <w:t xml:space="preserve">); </w:t>
      </w:r>
      <w:r w:rsidR="00C5458B" w:rsidRPr="00DA0CD2">
        <w:rPr>
          <w:i/>
        </w:rPr>
        <w:t>furazidin</w:t>
      </w:r>
      <w:r w:rsidR="00C5458B">
        <w:t>-based urinary anti-infectives in Poland (</w:t>
      </w:r>
      <w:r w:rsidR="00C5458B">
        <w:fldChar w:fldCharType="begin"/>
      </w:r>
      <w:r w:rsidR="00C5458B">
        <w:instrText xml:space="preserve"> REF _Ref517683813 \r \h </w:instrText>
      </w:r>
      <w:r w:rsidR="00C5458B">
        <w:fldChar w:fldCharType="separate"/>
      </w:r>
      <w:r w:rsidR="00FE3ACD">
        <w:t>4.5.6</w:t>
      </w:r>
      <w:r w:rsidR="00C5458B">
        <w:fldChar w:fldCharType="end"/>
      </w:r>
      <w:r w:rsidR="00C5458B">
        <w:t xml:space="preserve">); </w:t>
      </w:r>
      <w:r w:rsidR="00C5458B" w:rsidRPr="00DA0CD2">
        <w:rPr>
          <w:i/>
        </w:rPr>
        <w:t>ibuprofen</w:t>
      </w:r>
      <w:r w:rsidR="00C5458B">
        <w:t>-based non-steroidal anti-rheumatics in Luxembourg and the Netherlands (</w:t>
      </w:r>
      <w:r w:rsidR="00C5458B">
        <w:fldChar w:fldCharType="begin"/>
      </w:r>
      <w:r w:rsidR="00C5458B">
        <w:instrText xml:space="preserve"> REF _Ref517683821 \r \h </w:instrText>
      </w:r>
      <w:r w:rsidR="00C5458B">
        <w:fldChar w:fldCharType="separate"/>
      </w:r>
      <w:r w:rsidR="00FE3ACD">
        <w:t>4.5.7</w:t>
      </w:r>
      <w:r w:rsidR="00C5458B">
        <w:fldChar w:fldCharType="end"/>
      </w:r>
      <w:r w:rsidR="00C5458B">
        <w:t>); omeprazole-based PPIs in Estonia and Latvia (</w:t>
      </w:r>
      <w:r w:rsidR="00C5458B">
        <w:fldChar w:fldCharType="begin"/>
      </w:r>
      <w:r w:rsidR="00C5458B">
        <w:instrText xml:space="preserve"> REF _Ref517683832 \r \h </w:instrText>
      </w:r>
      <w:r w:rsidR="00C5458B">
        <w:fldChar w:fldCharType="separate"/>
      </w:r>
      <w:r w:rsidR="00FE3ACD">
        <w:t>4.5.8</w:t>
      </w:r>
      <w:r w:rsidR="00C5458B">
        <w:fldChar w:fldCharType="end"/>
      </w:r>
      <w:r w:rsidR="00C5458B">
        <w:t xml:space="preserve">); </w:t>
      </w:r>
      <w:r w:rsidR="00C5458B" w:rsidRPr="00DA0CD2">
        <w:rPr>
          <w:i/>
        </w:rPr>
        <w:t>orlistat</w:t>
      </w:r>
      <w:r w:rsidR="00C5458B">
        <w:t>-based anti-obesity preparations in Portugal (</w:t>
      </w:r>
      <w:r w:rsidR="00C5458B">
        <w:fldChar w:fldCharType="begin"/>
      </w:r>
      <w:r w:rsidR="00C5458B">
        <w:instrText xml:space="preserve"> REF _Ref517683840 \r \h </w:instrText>
      </w:r>
      <w:r w:rsidR="00C5458B">
        <w:fldChar w:fldCharType="separate"/>
      </w:r>
      <w:r w:rsidR="00FE3ACD">
        <w:t>4.5.9</w:t>
      </w:r>
      <w:r w:rsidR="00C5458B">
        <w:fldChar w:fldCharType="end"/>
      </w:r>
      <w:r w:rsidR="00C5458B">
        <w:t xml:space="preserve">); and </w:t>
      </w:r>
      <w:r w:rsidR="00C5458B" w:rsidRPr="00DA0CD2">
        <w:rPr>
          <w:i/>
        </w:rPr>
        <w:t>paracetamol</w:t>
      </w:r>
      <w:r w:rsidR="00C5458B">
        <w:t>-based non narcotics analgesics in Austria (</w:t>
      </w:r>
      <w:r w:rsidR="00C5458B">
        <w:fldChar w:fldCharType="begin"/>
      </w:r>
      <w:r w:rsidR="00C5458B">
        <w:instrText xml:space="preserve"> REF _Ref517683848 \r \h </w:instrText>
      </w:r>
      <w:r w:rsidR="00C5458B">
        <w:fldChar w:fldCharType="separate"/>
      </w:r>
      <w:r w:rsidR="00FE3ACD">
        <w:t>4.5.10</w:t>
      </w:r>
      <w:r w:rsidR="00C5458B">
        <w:fldChar w:fldCharType="end"/>
      </w:r>
      <w:r w:rsidR="00C5458B">
        <w:t>).</w:t>
      </w:r>
      <w:r w:rsidR="00B57A52" w:rsidRPr="00DA0CD2">
        <w:t xml:space="preserve"> </w:t>
      </w:r>
    </w:p>
    <w:p w:rsidR="00A90801" w:rsidRDefault="00137E60" w:rsidP="00137E60">
      <w:pPr>
        <w:pStyle w:val="Heading3"/>
        <w:keepNext w:val="0"/>
        <w:tabs>
          <w:tab w:val="clear" w:pos="1920"/>
          <w:tab w:val="num" w:pos="709"/>
        </w:tabs>
        <w:ind w:left="709" w:hanging="709"/>
      </w:pPr>
      <w:bookmarkStart w:id="173" w:name="_Toc517444584"/>
      <w:bookmarkStart w:id="174" w:name="_Ref517683671"/>
      <w:bookmarkStart w:id="175" w:name="_Toc517710451"/>
      <w:bookmarkStart w:id="176" w:name="_Toc517812928"/>
      <w:r>
        <w:t>Aciclovir</w:t>
      </w:r>
      <w:r w:rsidR="006614E4">
        <w:t>-</w:t>
      </w:r>
      <w:r w:rsidR="005458F4">
        <w:t>b</w:t>
      </w:r>
      <w:r>
        <w:t xml:space="preserve">ased </w:t>
      </w:r>
      <w:r w:rsidR="00E305BA">
        <w:t>anti-</w:t>
      </w:r>
      <w:r w:rsidR="00514083">
        <w:t xml:space="preserve">herpes </w:t>
      </w:r>
      <w:r>
        <w:t>antivirals in Finland</w:t>
      </w:r>
      <w:bookmarkEnd w:id="173"/>
      <w:bookmarkEnd w:id="174"/>
      <w:bookmarkEnd w:id="175"/>
      <w:bookmarkEnd w:id="176"/>
    </w:p>
    <w:p w:rsidR="00137E60" w:rsidRDefault="00137E60" w:rsidP="00137E60">
      <w:pPr>
        <w:pStyle w:val="Heading4"/>
      </w:pPr>
      <w:bookmarkStart w:id="177" w:name="_Toc517710452"/>
      <w:bookmarkStart w:id="178" w:name="_Toc517812929"/>
      <w:r>
        <w:t>Market definition</w:t>
      </w:r>
      <w:bookmarkEnd w:id="177"/>
      <w:bookmarkEnd w:id="178"/>
    </w:p>
    <w:p w:rsidR="00176C3F" w:rsidRPr="00DB1803" w:rsidRDefault="00514083" w:rsidP="00176C3F">
      <w:pPr>
        <w:pStyle w:val="ListNumber"/>
        <w:rPr>
          <w:szCs w:val="24"/>
        </w:rPr>
      </w:pPr>
      <w:r w:rsidRPr="00DB1803">
        <w:rPr>
          <w:szCs w:val="24"/>
        </w:rPr>
        <w:t>A</w:t>
      </w:r>
      <w:r w:rsidR="00137E60" w:rsidRPr="00DB1803">
        <w:rPr>
          <w:szCs w:val="24"/>
        </w:rPr>
        <w:t>n</w:t>
      </w:r>
      <w:r w:rsidRPr="00DB1803">
        <w:rPr>
          <w:szCs w:val="24"/>
        </w:rPr>
        <w:t>tiviral products to treat herpes</w:t>
      </w:r>
      <w:r w:rsidR="00137E60" w:rsidRPr="00DB1803">
        <w:rPr>
          <w:szCs w:val="24"/>
        </w:rPr>
        <w:t xml:space="preserve"> are classified </w:t>
      </w:r>
      <w:r w:rsidR="00176C3F" w:rsidRPr="00DB1803">
        <w:rPr>
          <w:szCs w:val="24"/>
        </w:rPr>
        <w:t>in the ATC3 class J5B (antivirals, other). This ATC3 class i</w:t>
      </w:r>
      <w:r w:rsidR="00176C3F" w:rsidRPr="00CF47FF">
        <w:rPr>
          <w:szCs w:val="24"/>
        </w:rPr>
        <w:t xml:space="preserve">ncludes systemic antivirals for herpes, influenza, viral respiratory conditions, etc. </w:t>
      </w:r>
      <w:r w:rsidRPr="00CF47FF">
        <w:rPr>
          <w:szCs w:val="24"/>
        </w:rPr>
        <w:t>It e</w:t>
      </w:r>
      <w:r w:rsidR="00176C3F" w:rsidRPr="00CF47FF">
        <w:rPr>
          <w:szCs w:val="24"/>
        </w:rPr>
        <w:t xml:space="preserve">xcludes topical skin antivirals (D6D), topical ophthalmic antivirals (S1D), HIV antivirals (J5C), and hepatitis antivirals (J5D). </w:t>
      </w:r>
      <w:r w:rsidRPr="00CF47FF">
        <w:rPr>
          <w:szCs w:val="24"/>
        </w:rPr>
        <w:t>More specifically, antivirals designed to treat herpes are part of the ATC4 class J5B3 (Herpes antivirals).</w:t>
      </w:r>
    </w:p>
    <w:p w:rsidR="00DB1803" w:rsidRDefault="00514083" w:rsidP="00DB1803">
      <w:pPr>
        <w:pStyle w:val="ListNumber"/>
      </w:pPr>
      <w:r w:rsidRPr="00DB1803">
        <w:rPr>
          <w:szCs w:val="24"/>
        </w:rPr>
        <w:t>In one previous decision,</w:t>
      </w:r>
      <w:r w:rsidRPr="00CF51B4">
        <w:rPr>
          <w:rStyle w:val="FootnoteReference"/>
          <w:sz w:val="24"/>
          <w:szCs w:val="24"/>
          <w:vertAlign w:val="superscript"/>
        </w:rPr>
        <w:footnoteReference w:id="57"/>
      </w:r>
      <w:r w:rsidRPr="00DB1803">
        <w:rPr>
          <w:szCs w:val="24"/>
        </w:rPr>
        <w:t xml:space="preserve"> the Commission considered that the ATC3 class J5B should be considered as a starting point for the assessment. The Commission however added that drugs treating influenza and drugs treating herpes are not substitutable so that the relevant market could be limited to anti-herpes drugs. In this decision, there is no consideration</w:t>
      </w:r>
      <w:r>
        <w:t xml:space="preserve"> on a possible segmentation of the market based on molecule.</w:t>
      </w:r>
    </w:p>
    <w:p w:rsidR="00514083" w:rsidRDefault="00E305BA" w:rsidP="00137E60">
      <w:pPr>
        <w:pStyle w:val="ListNumber"/>
      </w:pPr>
      <w:bookmarkStart w:id="179" w:name="_Ref517875324"/>
      <w:r>
        <w:t xml:space="preserve">The Notifying Party submits that Rx and OTC anti-herpes drugs are not </w:t>
      </w:r>
      <w:r w:rsidR="00CB287C">
        <w:t>in the same market</w:t>
      </w:r>
      <w:r>
        <w:t>. More specifically, the Notifying Party considers that the indication for the Rx product is much broader than for OTC products</w:t>
      </w:r>
      <w:r w:rsidR="00776BFC">
        <w:t>. PGT OTC product is indicated only for the treatment of diagnosed recurrent herpes simplex labialis (or oral herpes, affecting the mouth), while Teva Rx product is indicat</w:t>
      </w:r>
      <w:r w:rsidR="008940A4">
        <w:t>ed</w:t>
      </w:r>
      <w:r w:rsidR="00776BFC">
        <w:t xml:space="preserve"> for the treatment of any infection of the skin and mucus membranes (including genital herpes), the treatment of varicella etc. The Notifying Party adds that Teva's Rx product is significantly cheaper than PGT's similar OTC product, respectively EUR 7.52 with a 40% reimbursement and EUR 10.90 with no reimbursement.</w:t>
      </w:r>
      <w:bookmarkEnd w:id="179"/>
      <w:r w:rsidR="00C20667">
        <w:t xml:space="preserve">  </w:t>
      </w:r>
    </w:p>
    <w:p w:rsidR="00776BFC" w:rsidRDefault="00776BFC" w:rsidP="00137E60">
      <w:pPr>
        <w:pStyle w:val="ListNumber"/>
      </w:pPr>
      <w:r>
        <w:t>The Notifying Party also considers that should Rx and OTC be part of the same market, the market should be defined at the ATC3 level J5B or at the very least at the ATC4 level J5B3.</w:t>
      </w:r>
    </w:p>
    <w:p w:rsidR="00776BFC" w:rsidRPr="00E305BA" w:rsidRDefault="00776BFC" w:rsidP="00776BFC">
      <w:pPr>
        <w:pStyle w:val="ListNumber"/>
      </w:pPr>
      <w:r w:rsidRPr="00AC4CB2">
        <w:t>In any event, for the purposes of the present case, the exact market definition can be left open</w:t>
      </w:r>
      <w:r w:rsidR="007256BE">
        <w:t xml:space="preserve"> as no</w:t>
      </w:r>
      <w:r>
        <w:t xml:space="preserve"> serious </w:t>
      </w:r>
      <w:r w:rsidRPr="00AC4CB2">
        <w:t xml:space="preserve">doubts arise under </w:t>
      </w:r>
      <w:r w:rsidRPr="00E305BA">
        <w:t>any plausible alternative market definition (namely, at ATC3 or ATC4/OTC3 level</w:t>
      </w:r>
      <w:r>
        <w:t xml:space="preserve"> or molecule</w:t>
      </w:r>
      <w:r w:rsidRPr="00E305BA">
        <w:t xml:space="preserve">). </w:t>
      </w:r>
    </w:p>
    <w:p w:rsidR="00137E60" w:rsidRDefault="00137E60" w:rsidP="00137E60">
      <w:pPr>
        <w:pStyle w:val="Heading4"/>
      </w:pPr>
      <w:bookmarkStart w:id="180" w:name="_Toc517710453"/>
      <w:bookmarkStart w:id="181" w:name="_Toc517812930"/>
      <w:r>
        <w:t>Parties' products</w:t>
      </w:r>
      <w:bookmarkEnd w:id="180"/>
      <w:bookmarkEnd w:id="181"/>
    </w:p>
    <w:p w:rsidR="00776BFC" w:rsidRDefault="00776BFC" w:rsidP="002A7B17">
      <w:pPr>
        <w:pStyle w:val="ListNumber"/>
      </w:pPr>
      <w:r>
        <w:t xml:space="preserve">In Finland, Teva and PGT supply </w:t>
      </w:r>
      <w:r w:rsidRPr="002A7B17">
        <w:rPr>
          <w:i/>
        </w:rPr>
        <w:t>ac</w:t>
      </w:r>
      <w:r>
        <w:rPr>
          <w:i/>
        </w:rPr>
        <w:t>i</w:t>
      </w:r>
      <w:r w:rsidRPr="002A7B17">
        <w:rPr>
          <w:i/>
        </w:rPr>
        <w:t>clovir</w:t>
      </w:r>
      <w:r>
        <w:t>-</w:t>
      </w:r>
      <w:r w:rsidR="00243245">
        <w:t xml:space="preserve">based products branded Aclovir. Teva's </w:t>
      </w:r>
      <w:r>
        <w:t xml:space="preserve">is Rx </w:t>
      </w:r>
      <w:r w:rsidR="002A22B6">
        <w:t xml:space="preserve">(200 mg, 400 mg and 800 mg) </w:t>
      </w:r>
      <w:r>
        <w:t xml:space="preserve">and </w:t>
      </w:r>
      <w:r w:rsidR="00243245">
        <w:t>PGT's is</w:t>
      </w:r>
      <w:r>
        <w:t xml:space="preserve"> OTC</w:t>
      </w:r>
      <w:r w:rsidR="002A22B6">
        <w:t xml:space="preserve"> (200 mg)</w:t>
      </w:r>
      <w:r>
        <w:t>.</w:t>
      </w:r>
      <w:r w:rsidR="002A22B6">
        <w:t xml:space="preserve"> Both are sold in oral sol</w:t>
      </w:r>
      <w:r w:rsidR="00E666AA">
        <w:t>i</w:t>
      </w:r>
      <w:r w:rsidR="002A22B6">
        <w:t>d form.</w:t>
      </w:r>
    </w:p>
    <w:p w:rsidR="00137E60" w:rsidRDefault="00137E60" w:rsidP="00137E60">
      <w:pPr>
        <w:pStyle w:val="Heading4"/>
      </w:pPr>
      <w:bookmarkStart w:id="182" w:name="_Toc517710454"/>
      <w:bookmarkStart w:id="183" w:name="_Toc517812931"/>
      <w:r>
        <w:lastRenderedPageBreak/>
        <w:t>Competitive assessment</w:t>
      </w:r>
      <w:bookmarkEnd w:id="182"/>
      <w:bookmarkEnd w:id="183"/>
    </w:p>
    <w:p w:rsidR="00776BFC" w:rsidRDefault="00776BFC" w:rsidP="002A7B17">
      <w:pPr>
        <w:pStyle w:val="ListNumber"/>
      </w:pPr>
      <w:r>
        <w:t>At the ATC3 and ATC4 level, the Transaction gives rise to Group 3 market</w:t>
      </w:r>
      <w:r w:rsidR="00E666AA">
        <w:t>s</w:t>
      </w:r>
      <w:r>
        <w:t xml:space="preserve">. It is only at molecule level, for </w:t>
      </w:r>
      <w:r w:rsidRPr="00420413">
        <w:rPr>
          <w:i/>
        </w:rPr>
        <w:t>ac</w:t>
      </w:r>
      <w:r w:rsidR="00E666AA" w:rsidRPr="00420413">
        <w:rPr>
          <w:i/>
        </w:rPr>
        <w:t>i</w:t>
      </w:r>
      <w:r w:rsidRPr="00420413">
        <w:rPr>
          <w:i/>
        </w:rPr>
        <w:t>clovir</w:t>
      </w:r>
      <w:r>
        <w:t>-based products, that the Transaction gives rise to a Group 1 market (based on volume).</w:t>
      </w:r>
    </w:p>
    <w:p w:rsidR="00776BFC" w:rsidRDefault="00776BFC" w:rsidP="002A7B17">
      <w:pPr>
        <w:pStyle w:val="ListNumber"/>
      </w:pPr>
      <w:r>
        <w:t xml:space="preserve">The table below presents the Parties' market shares for </w:t>
      </w:r>
      <w:r w:rsidR="002E5E28" w:rsidRPr="002A7B17">
        <w:rPr>
          <w:i/>
        </w:rPr>
        <w:t>aci</w:t>
      </w:r>
      <w:r w:rsidRPr="002A7B17">
        <w:rPr>
          <w:i/>
        </w:rPr>
        <w:t>clovir</w:t>
      </w:r>
      <w:r w:rsidR="002E5E28">
        <w:rPr>
          <w:i/>
        </w:rPr>
        <w:t>-</w:t>
      </w:r>
      <w:r>
        <w:t xml:space="preserve">based anti-herpes in </w:t>
      </w:r>
      <w:r w:rsidR="004C6514">
        <w:t>2015-</w:t>
      </w:r>
      <w:r>
        <w:t>2017 in Finland.</w:t>
      </w:r>
    </w:p>
    <w:tbl>
      <w:tblPr>
        <w:tblStyle w:val="TableGrid"/>
        <w:tblW w:w="5000" w:type="pct"/>
        <w:tblLook w:val="04A0" w:firstRow="1" w:lastRow="0" w:firstColumn="1" w:lastColumn="0" w:noHBand="0" w:noVBand="1"/>
      </w:tblPr>
      <w:tblGrid>
        <w:gridCol w:w="1374"/>
        <w:gridCol w:w="1375"/>
        <w:gridCol w:w="921"/>
        <w:gridCol w:w="691"/>
        <w:gridCol w:w="1113"/>
        <w:gridCol w:w="996"/>
        <w:gridCol w:w="1018"/>
        <w:gridCol w:w="1346"/>
      </w:tblGrid>
      <w:tr w:rsidR="00DA0CD2" w:rsidRPr="00AD3737" w:rsidTr="00C063D0">
        <w:trPr>
          <w:tblHeader/>
        </w:trPr>
        <w:tc>
          <w:tcPr>
            <w:tcW w:w="778" w:type="pct"/>
            <w:vMerge w:val="restart"/>
            <w:shd w:val="clear" w:color="auto" w:fill="D9D9D9" w:themeFill="background1" w:themeFillShade="D9"/>
            <w:vAlign w:val="center"/>
          </w:tcPr>
          <w:p w:rsidR="00DA0CD2" w:rsidRPr="00AD3737" w:rsidRDefault="00DA0CD2" w:rsidP="00DA0CD2">
            <w:pPr>
              <w:snapToGrid w:val="0"/>
              <w:spacing w:after="0"/>
              <w:jc w:val="center"/>
              <w:rPr>
                <w:rFonts w:ascii="Times" w:hAnsi="Times"/>
                <w:b/>
                <w:sz w:val="18"/>
                <w:szCs w:val="18"/>
              </w:rPr>
            </w:pPr>
            <w:r>
              <w:rPr>
                <w:rFonts w:ascii="Times" w:hAnsi="Times"/>
                <w:b/>
                <w:sz w:val="18"/>
                <w:szCs w:val="18"/>
              </w:rPr>
              <w:t>Molecule</w:t>
            </w:r>
          </w:p>
        </w:tc>
        <w:tc>
          <w:tcPr>
            <w:tcW w:w="778" w:type="pct"/>
            <w:vMerge w:val="restart"/>
            <w:shd w:val="clear" w:color="auto" w:fill="D9D9D9" w:themeFill="background1" w:themeFillShade="D9"/>
            <w:vAlign w:val="center"/>
          </w:tcPr>
          <w:p w:rsidR="00DA0CD2" w:rsidRPr="00AD3737" w:rsidRDefault="00DA0CD2" w:rsidP="00C063D0">
            <w:pPr>
              <w:keepNext/>
              <w:snapToGrid w:val="0"/>
              <w:spacing w:after="0"/>
              <w:contextualSpacing/>
              <w:jc w:val="center"/>
              <w:rPr>
                <w:rFonts w:ascii="Times" w:hAnsi="Times"/>
                <w:b/>
                <w:sz w:val="18"/>
                <w:szCs w:val="18"/>
              </w:rPr>
            </w:pPr>
            <w:r w:rsidRPr="00AD3737">
              <w:rPr>
                <w:rFonts w:ascii="Times" w:hAnsi="Times"/>
                <w:b/>
                <w:sz w:val="18"/>
                <w:szCs w:val="18"/>
              </w:rPr>
              <w:t>Category Description</w:t>
            </w:r>
          </w:p>
        </w:tc>
        <w:tc>
          <w:tcPr>
            <w:tcW w:w="521" w:type="pct"/>
            <w:vMerge w:val="restart"/>
            <w:shd w:val="clear" w:color="auto" w:fill="D9D9D9" w:themeFill="background1" w:themeFillShade="D9"/>
            <w:vAlign w:val="center"/>
          </w:tcPr>
          <w:p w:rsidR="00DA0CD2" w:rsidRPr="00AD3737" w:rsidRDefault="00DA0CD2" w:rsidP="00C063D0">
            <w:pPr>
              <w:keepNext/>
              <w:snapToGrid w:val="0"/>
              <w:spacing w:after="0"/>
              <w:contextualSpacing/>
              <w:jc w:val="center"/>
              <w:rPr>
                <w:rFonts w:ascii="Times" w:hAnsi="Times"/>
                <w:b/>
                <w:sz w:val="18"/>
                <w:szCs w:val="18"/>
              </w:rPr>
            </w:pPr>
            <w:r w:rsidRPr="00AD3737">
              <w:rPr>
                <w:rFonts w:ascii="Times" w:hAnsi="Times"/>
                <w:b/>
                <w:sz w:val="18"/>
                <w:szCs w:val="18"/>
              </w:rPr>
              <w:t>Market Group</w:t>
            </w:r>
          </w:p>
        </w:tc>
        <w:tc>
          <w:tcPr>
            <w:tcW w:w="391" w:type="pct"/>
            <w:vMerge w:val="restart"/>
            <w:shd w:val="clear" w:color="auto" w:fill="D9D9D9" w:themeFill="background1" w:themeFillShade="D9"/>
          </w:tcPr>
          <w:p w:rsidR="00DA0CD2" w:rsidRPr="00AD3737" w:rsidRDefault="00DA0CD2" w:rsidP="00C063D0">
            <w:pPr>
              <w:keepNext/>
              <w:snapToGrid w:val="0"/>
              <w:spacing w:after="0"/>
              <w:contextualSpacing/>
              <w:jc w:val="center"/>
              <w:rPr>
                <w:rFonts w:ascii="Times" w:hAnsi="Times"/>
                <w:b/>
                <w:sz w:val="18"/>
                <w:szCs w:val="18"/>
              </w:rPr>
            </w:pPr>
          </w:p>
          <w:p w:rsidR="00DA0CD2" w:rsidRPr="00AD3737" w:rsidRDefault="00DA0CD2" w:rsidP="00C063D0">
            <w:pPr>
              <w:keepNext/>
              <w:snapToGrid w:val="0"/>
              <w:spacing w:after="0"/>
              <w:contextualSpacing/>
              <w:jc w:val="center"/>
              <w:rPr>
                <w:rFonts w:ascii="Times" w:hAnsi="Times"/>
                <w:b/>
                <w:sz w:val="18"/>
                <w:szCs w:val="18"/>
              </w:rPr>
            </w:pPr>
            <w:r>
              <w:rPr>
                <w:rFonts w:ascii="Times" w:hAnsi="Times"/>
                <w:b/>
                <w:sz w:val="18"/>
                <w:szCs w:val="18"/>
              </w:rPr>
              <w:t>Year</w:t>
            </w:r>
          </w:p>
        </w:tc>
        <w:tc>
          <w:tcPr>
            <w:tcW w:w="1770" w:type="pct"/>
            <w:gridSpan w:val="3"/>
            <w:shd w:val="clear" w:color="auto" w:fill="D9D9D9" w:themeFill="background1" w:themeFillShade="D9"/>
            <w:vAlign w:val="center"/>
          </w:tcPr>
          <w:p w:rsidR="00DA0CD2" w:rsidRPr="00AD3737" w:rsidRDefault="00DA0CD2" w:rsidP="00C063D0">
            <w:pPr>
              <w:keepNext/>
              <w:snapToGrid w:val="0"/>
              <w:spacing w:after="0"/>
              <w:contextualSpacing/>
              <w:jc w:val="center"/>
              <w:rPr>
                <w:rFonts w:ascii="Times" w:hAnsi="Times"/>
                <w:b/>
                <w:sz w:val="18"/>
                <w:szCs w:val="18"/>
              </w:rPr>
            </w:pPr>
            <w:r w:rsidRPr="00AD3737">
              <w:rPr>
                <w:rFonts w:ascii="Times" w:hAnsi="Times"/>
                <w:b/>
                <w:sz w:val="18"/>
                <w:szCs w:val="18"/>
              </w:rPr>
              <w:t>Market Shares (Value/Volume)</w:t>
            </w:r>
          </w:p>
        </w:tc>
        <w:tc>
          <w:tcPr>
            <w:tcW w:w="762" w:type="pct"/>
            <w:vMerge w:val="restart"/>
            <w:shd w:val="clear" w:color="auto" w:fill="D9D9D9" w:themeFill="background1" w:themeFillShade="D9"/>
            <w:vAlign w:val="center"/>
          </w:tcPr>
          <w:p w:rsidR="00DA0CD2" w:rsidRPr="00AD3737" w:rsidRDefault="00DA0CD2" w:rsidP="00C063D0">
            <w:pPr>
              <w:keepNext/>
              <w:snapToGrid w:val="0"/>
              <w:spacing w:after="0"/>
              <w:contextualSpacing/>
              <w:jc w:val="center"/>
              <w:rPr>
                <w:rFonts w:ascii="Times" w:hAnsi="Times"/>
                <w:b/>
                <w:sz w:val="18"/>
                <w:szCs w:val="18"/>
              </w:rPr>
            </w:pPr>
            <w:r w:rsidRPr="00AD3737">
              <w:rPr>
                <w:rFonts w:ascii="Times" w:hAnsi="Times"/>
                <w:b/>
                <w:sz w:val="18"/>
                <w:szCs w:val="18"/>
              </w:rPr>
              <w:t>Number of Competitors &gt; 5%</w:t>
            </w:r>
          </w:p>
        </w:tc>
      </w:tr>
      <w:tr w:rsidR="00DA0CD2" w:rsidRPr="00AD3737" w:rsidTr="00C063D0">
        <w:trPr>
          <w:tblHeader/>
        </w:trPr>
        <w:tc>
          <w:tcPr>
            <w:tcW w:w="778" w:type="pct"/>
            <w:vMerge/>
            <w:tcBorders>
              <w:bottom w:val="single" w:sz="2" w:space="0" w:color="auto"/>
            </w:tcBorders>
            <w:shd w:val="clear" w:color="auto" w:fill="D9D9D9" w:themeFill="background1" w:themeFillShade="D9"/>
          </w:tcPr>
          <w:p w:rsidR="00DA0CD2" w:rsidRPr="00AD3737" w:rsidRDefault="00DA0CD2" w:rsidP="00C063D0">
            <w:pPr>
              <w:keepNext/>
              <w:snapToGrid w:val="0"/>
              <w:spacing w:after="0"/>
              <w:contextualSpacing/>
              <w:jc w:val="center"/>
              <w:rPr>
                <w:rFonts w:ascii="Times" w:hAnsi="Times"/>
                <w:b/>
                <w:sz w:val="18"/>
                <w:szCs w:val="18"/>
              </w:rPr>
            </w:pPr>
          </w:p>
        </w:tc>
        <w:tc>
          <w:tcPr>
            <w:tcW w:w="778" w:type="pct"/>
            <w:vMerge/>
            <w:tcBorders>
              <w:bottom w:val="single" w:sz="2" w:space="0" w:color="auto"/>
            </w:tcBorders>
            <w:shd w:val="clear" w:color="auto" w:fill="D9D9D9" w:themeFill="background1" w:themeFillShade="D9"/>
          </w:tcPr>
          <w:p w:rsidR="00DA0CD2" w:rsidRPr="00AD3737" w:rsidRDefault="00DA0CD2" w:rsidP="00C063D0">
            <w:pPr>
              <w:keepNext/>
              <w:snapToGrid w:val="0"/>
              <w:spacing w:after="0"/>
              <w:contextualSpacing/>
              <w:jc w:val="center"/>
              <w:rPr>
                <w:rFonts w:ascii="Times" w:hAnsi="Times"/>
                <w:b/>
                <w:sz w:val="18"/>
                <w:szCs w:val="18"/>
              </w:rPr>
            </w:pPr>
          </w:p>
        </w:tc>
        <w:tc>
          <w:tcPr>
            <w:tcW w:w="521" w:type="pct"/>
            <w:vMerge/>
            <w:tcBorders>
              <w:bottom w:val="single" w:sz="2" w:space="0" w:color="auto"/>
            </w:tcBorders>
            <w:shd w:val="clear" w:color="auto" w:fill="D9D9D9" w:themeFill="background1" w:themeFillShade="D9"/>
            <w:vAlign w:val="center"/>
          </w:tcPr>
          <w:p w:rsidR="00DA0CD2" w:rsidRPr="00AD3737" w:rsidRDefault="00DA0CD2" w:rsidP="00C063D0">
            <w:pPr>
              <w:keepNext/>
              <w:snapToGrid w:val="0"/>
              <w:spacing w:after="0"/>
              <w:contextualSpacing/>
              <w:jc w:val="center"/>
              <w:rPr>
                <w:rFonts w:ascii="Times" w:hAnsi="Times"/>
                <w:b/>
                <w:sz w:val="18"/>
                <w:szCs w:val="18"/>
              </w:rPr>
            </w:pPr>
          </w:p>
        </w:tc>
        <w:tc>
          <w:tcPr>
            <w:tcW w:w="391" w:type="pct"/>
            <w:vMerge/>
            <w:tcBorders>
              <w:bottom w:val="single" w:sz="2" w:space="0" w:color="auto"/>
            </w:tcBorders>
            <w:shd w:val="clear" w:color="auto" w:fill="D9D9D9" w:themeFill="background1" w:themeFillShade="D9"/>
          </w:tcPr>
          <w:p w:rsidR="00DA0CD2" w:rsidRPr="00AD3737" w:rsidRDefault="00DA0CD2" w:rsidP="00C063D0">
            <w:pPr>
              <w:keepNext/>
              <w:snapToGrid w:val="0"/>
              <w:spacing w:after="0"/>
              <w:contextualSpacing/>
              <w:jc w:val="center"/>
              <w:rPr>
                <w:rFonts w:ascii="Times" w:hAnsi="Times"/>
                <w:b/>
                <w:sz w:val="18"/>
                <w:szCs w:val="18"/>
              </w:rPr>
            </w:pPr>
          </w:p>
        </w:tc>
        <w:tc>
          <w:tcPr>
            <w:tcW w:w="630" w:type="pct"/>
            <w:tcBorders>
              <w:bottom w:val="single" w:sz="2" w:space="0" w:color="auto"/>
            </w:tcBorders>
            <w:shd w:val="clear" w:color="auto" w:fill="D9D9D9" w:themeFill="background1" w:themeFillShade="D9"/>
            <w:vAlign w:val="center"/>
          </w:tcPr>
          <w:p w:rsidR="00DA0CD2" w:rsidRPr="00AD3737" w:rsidRDefault="00DA0CD2" w:rsidP="00C063D0">
            <w:pPr>
              <w:keepNext/>
              <w:snapToGrid w:val="0"/>
              <w:spacing w:after="0"/>
              <w:contextualSpacing/>
              <w:jc w:val="center"/>
              <w:rPr>
                <w:rFonts w:ascii="Times" w:hAnsi="Times"/>
                <w:b/>
                <w:sz w:val="18"/>
                <w:szCs w:val="18"/>
              </w:rPr>
            </w:pPr>
            <w:r w:rsidRPr="00AD3737">
              <w:rPr>
                <w:rFonts w:ascii="Times" w:hAnsi="Times"/>
                <w:b/>
                <w:sz w:val="18"/>
                <w:szCs w:val="18"/>
              </w:rPr>
              <w:t>Teva</w:t>
            </w:r>
          </w:p>
        </w:tc>
        <w:tc>
          <w:tcPr>
            <w:tcW w:w="564" w:type="pct"/>
            <w:tcBorders>
              <w:bottom w:val="single" w:sz="2" w:space="0" w:color="auto"/>
            </w:tcBorders>
            <w:shd w:val="clear" w:color="auto" w:fill="D9D9D9" w:themeFill="background1" w:themeFillShade="D9"/>
            <w:vAlign w:val="center"/>
          </w:tcPr>
          <w:p w:rsidR="00DA0CD2" w:rsidRPr="00AD3737" w:rsidRDefault="00DA0CD2" w:rsidP="00C063D0">
            <w:pPr>
              <w:keepNext/>
              <w:snapToGrid w:val="0"/>
              <w:spacing w:after="0"/>
              <w:contextualSpacing/>
              <w:jc w:val="center"/>
              <w:rPr>
                <w:rFonts w:ascii="Times" w:hAnsi="Times"/>
                <w:b/>
                <w:sz w:val="18"/>
                <w:szCs w:val="18"/>
              </w:rPr>
            </w:pPr>
            <w:r w:rsidRPr="00AD3737">
              <w:rPr>
                <w:rFonts w:ascii="Times" w:hAnsi="Times"/>
                <w:b/>
                <w:sz w:val="18"/>
                <w:szCs w:val="18"/>
              </w:rPr>
              <w:t>Target</w:t>
            </w:r>
          </w:p>
        </w:tc>
        <w:tc>
          <w:tcPr>
            <w:tcW w:w="576" w:type="pct"/>
            <w:tcBorders>
              <w:bottom w:val="single" w:sz="2" w:space="0" w:color="auto"/>
            </w:tcBorders>
            <w:shd w:val="clear" w:color="auto" w:fill="D9D9D9" w:themeFill="background1" w:themeFillShade="D9"/>
            <w:vAlign w:val="center"/>
          </w:tcPr>
          <w:p w:rsidR="00DA0CD2" w:rsidRPr="00AD3737" w:rsidRDefault="00DA0CD2" w:rsidP="00C063D0">
            <w:pPr>
              <w:keepNext/>
              <w:snapToGrid w:val="0"/>
              <w:spacing w:after="0"/>
              <w:contextualSpacing/>
              <w:jc w:val="center"/>
              <w:rPr>
                <w:rFonts w:ascii="Times" w:hAnsi="Times"/>
                <w:b/>
                <w:sz w:val="18"/>
                <w:szCs w:val="18"/>
              </w:rPr>
            </w:pPr>
            <w:r w:rsidRPr="00AD3737">
              <w:rPr>
                <w:rFonts w:ascii="Times" w:hAnsi="Times"/>
                <w:b/>
                <w:sz w:val="18"/>
                <w:szCs w:val="18"/>
              </w:rPr>
              <w:t>Comb</w:t>
            </w:r>
            <w:r>
              <w:rPr>
                <w:rFonts w:ascii="Times" w:hAnsi="Times"/>
                <w:b/>
                <w:sz w:val="18"/>
                <w:szCs w:val="18"/>
              </w:rPr>
              <w:t>ine</w:t>
            </w:r>
            <w:r w:rsidRPr="00AD3737">
              <w:rPr>
                <w:rFonts w:ascii="Times" w:hAnsi="Times"/>
                <w:b/>
                <w:sz w:val="18"/>
                <w:szCs w:val="18"/>
              </w:rPr>
              <w:t>d</w:t>
            </w:r>
          </w:p>
        </w:tc>
        <w:tc>
          <w:tcPr>
            <w:tcW w:w="762" w:type="pct"/>
            <w:vMerge/>
            <w:tcBorders>
              <w:bottom w:val="single" w:sz="2" w:space="0" w:color="auto"/>
            </w:tcBorders>
            <w:shd w:val="clear" w:color="auto" w:fill="D9D9D9" w:themeFill="background1" w:themeFillShade="D9"/>
            <w:vAlign w:val="center"/>
          </w:tcPr>
          <w:p w:rsidR="00DA0CD2" w:rsidRPr="00AD3737" w:rsidRDefault="00DA0CD2" w:rsidP="00C063D0">
            <w:pPr>
              <w:keepNext/>
              <w:snapToGrid w:val="0"/>
              <w:spacing w:after="0"/>
              <w:contextualSpacing/>
              <w:jc w:val="center"/>
              <w:rPr>
                <w:rFonts w:ascii="Times" w:hAnsi="Times"/>
                <w:b/>
                <w:sz w:val="18"/>
                <w:szCs w:val="18"/>
              </w:rPr>
            </w:pPr>
          </w:p>
        </w:tc>
      </w:tr>
      <w:tr w:rsidR="00DA0CD2" w:rsidRPr="00AD3737" w:rsidTr="00CF51B4">
        <w:trPr>
          <w:trHeight w:val="275"/>
        </w:trPr>
        <w:tc>
          <w:tcPr>
            <w:tcW w:w="778" w:type="pct"/>
            <w:vMerge w:val="restart"/>
            <w:tcBorders>
              <w:top w:val="single" w:sz="2" w:space="0" w:color="auto"/>
              <w:left w:val="single" w:sz="2" w:space="0" w:color="auto"/>
              <w:right w:val="single" w:sz="2" w:space="0" w:color="auto"/>
            </w:tcBorders>
            <w:vAlign w:val="center"/>
          </w:tcPr>
          <w:p w:rsidR="00DA0CD2" w:rsidRPr="00DA0CD2" w:rsidRDefault="00DA0CD2" w:rsidP="00C063D0">
            <w:pPr>
              <w:keepNext/>
              <w:spacing w:after="0"/>
              <w:jc w:val="left"/>
              <w:rPr>
                <w:rFonts w:ascii="Times" w:hAnsi="Times"/>
                <w:i/>
                <w:sz w:val="18"/>
                <w:szCs w:val="18"/>
              </w:rPr>
            </w:pPr>
            <w:r w:rsidRPr="00CF51B4">
              <w:rPr>
                <w:rFonts w:ascii="Times" w:hAnsi="Times"/>
                <w:i/>
                <w:sz w:val="18"/>
                <w:szCs w:val="18"/>
              </w:rPr>
              <w:t>Aciclovir</w:t>
            </w:r>
          </w:p>
        </w:tc>
        <w:tc>
          <w:tcPr>
            <w:tcW w:w="778" w:type="pct"/>
            <w:vMerge w:val="restart"/>
            <w:tcBorders>
              <w:top w:val="single" w:sz="2" w:space="0" w:color="auto"/>
              <w:left w:val="single" w:sz="2" w:space="0" w:color="auto"/>
              <w:bottom w:val="single" w:sz="2" w:space="0" w:color="auto"/>
              <w:right w:val="single" w:sz="2" w:space="0" w:color="auto"/>
            </w:tcBorders>
            <w:vAlign w:val="center"/>
          </w:tcPr>
          <w:p w:rsidR="00DA0CD2" w:rsidRPr="00AD3737" w:rsidRDefault="00DA0CD2" w:rsidP="00C063D0">
            <w:pPr>
              <w:keepNext/>
              <w:spacing w:after="0"/>
              <w:jc w:val="left"/>
              <w:rPr>
                <w:rFonts w:ascii="Times" w:hAnsi="Times"/>
                <w:sz w:val="18"/>
                <w:szCs w:val="18"/>
              </w:rPr>
            </w:pPr>
            <w:r w:rsidRPr="00420413">
              <w:rPr>
                <w:rFonts w:ascii="Times" w:hAnsi="Times"/>
                <w:i/>
                <w:sz w:val="18"/>
              </w:rPr>
              <w:t xml:space="preserve">Aciclovir </w:t>
            </w:r>
            <w:r w:rsidRPr="001436EE">
              <w:rPr>
                <w:rFonts w:ascii="Times" w:hAnsi="Times"/>
                <w:sz w:val="18"/>
              </w:rPr>
              <w:t>based anti-herpes products (Rx and OTC)</w:t>
            </w:r>
          </w:p>
        </w:tc>
        <w:tc>
          <w:tcPr>
            <w:tcW w:w="521" w:type="pct"/>
            <w:vMerge w:val="restart"/>
            <w:tcBorders>
              <w:top w:val="single" w:sz="2" w:space="0" w:color="auto"/>
              <w:left w:val="single" w:sz="2" w:space="0" w:color="auto"/>
              <w:bottom w:val="single" w:sz="2" w:space="0" w:color="auto"/>
              <w:right w:val="single" w:sz="2" w:space="0" w:color="auto"/>
            </w:tcBorders>
            <w:vAlign w:val="center"/>
          </w:tcPr>
          <w:p w:rsidR="00DA0CD2" w:rsidRPr="00AD3737" w:rsidRDefault="00DA0CD2" w:rsidP="00C063D0">
            <w:pPr>
              <w:keepNext/>
              <w:spacing w:after="0"/>
              <w:jc w:val="left"/>
              <w:rPr>
                <w:rFonts w:ascii="Times" w:hAnsi="Times"/>
                <w:sz w:val="18"/>
                <w:szCs w:val="18"/>
              </w:rPr>
            </w:pPr>
            <w:r w:rsidRPr="001436EE">
              <w:rPr>
                <w:rFonts w:ascii="Times" w:hAnsi="Times"/>
                <w:sz w:val="18"/>
              </w:rPr>
              <w:t>Group 1</w:t>
            </w:r>
          </w:p>
        </w:tc>
        <w:tc>
          <w:tcPr>
            <w:tcW w:w="391" w:type="pct"/>
            <w:tcBorders>
              <w:top w:val="single" w:sz="2" w:space="0" w:color="auto"/>
              <w:left w:val="single" w:sz="2" w:space="0" w:color="auto"/>
              <w:bottom w:val="single" w:sz="2" w:space="0" w:color="auto"/>
              <w:right w:val="single" w:sz="2" w:space="0" w:color="auto"/>
            </w:tcBorders>
            <w:vAlign w:val="center"/>
          </w:tcPr>
          <w:p w:rsidR="00DA0CD2" w:rsidRPr="002D7FBB" w:rsidRDefault="00DA0CD2" w:rsidP="00C063D0">
            <w:pPr>
              <w:keepNext/>
              <w:spacing w:after="0"/>
              <w:jc w:val="left"/>
              <w:rPr>
                <w:rFonts w:ascii="Times" w:hAnsi="Times"/>
                <w:b/>
                <w:sz w:val="18"/>
              </w:rPr>
            </w:pPr>
            <w:r w:rsidRPr="00DF35F3">
              <w:rPr>
                <w:rFonts w:ascii="Times" w:hAnsi="Times"/>
                <w:b/>
                <w:sz w:val="18"/>
              </w:rPr>
              <w:t>2017</w:t>
            </w:r>
          </w:p>
        </w:tc>
        <w:tc>
          <w:tcPr>
            <w:tcW w:w="630" w:type="pct"/>
            <w:tcBorders>
              <w:top w:val="single" w:sz="2" w:space="0" w:color="auto"/>
              <w:left w:val="single" w:sz="2" w:space="0" w:color="auto"/>
              <w:bottom w:val="single" w:sz="2" w:space="0" w:color="auto"/>
              <w:right w:val="single" w:sz="2" w:space="0" w:color="auto"/>
            </w:tcBorders>
            <w:vAlign w:val="center"/>
          </w:tcPr>
          <w:p w:rsidR="00DA0CD2" w:rsidRPr="00AD3737" w:rsidRDefault="00D1067E" w:rsidP="00D1067E">
            <w:pPr>
              <w:snapToGrid w:val="0"/>
              <w:spacing w:after="0"/>
              <w:jc w:val="center"/>
              <w:rPr>
                <w:rFonts w:ascii="Times" w:hAnsi="Times"/>
                <w:sz w:val="18"/>
                <w:szCs w:val="18"/>
              </w:rPr>
            </w:pPr>
            <w:r>
              <w:rPr>
                <w:rFonts w:ascii="Times New Roman" w:hAnsi="Times New Roman"/>
                <w:sz w:val="18"/>
                <w:szCs w:val="18"/>
              </w:rPr>
              <w:t>[20-30]</w:t>
            </w:r>
            <w:r w:rsidR="00DA0CD2">
              <w:rPr>
                <w:rFonts w:ascii="Times New Roman" w:hAnsi="Times New Roman"/>
                <w:sz w:val="18"/>
                <w:szCs w:val="18"/>
              </w:rPr>
              <w:t>%</w:t>
            </w:r>
            <w:r>
              <w:rPr>
                <w:rFonts w:ascii="Times New Roman" w:hAnsi="Times New Roman"/>
                <w:sz w:val="18"/>
                <w:szCs w:val="18"/>
              </w:rPr>
              <w:t xml:space="preserve"> </w:t>
            </w:r>
            <w:r w:rsidR="00DA0CD2">
              <w:rPr>
                <w:rFonts w:ascii="Times New Roman" w:hAnsi="Times New Roman"/>
                <w:sz w:val="18"/>
                <w:szCs w:val="18"/>
              </w:rPr>
              <w:t>/</w:t>
            </w:r>
            <w:r>
              <w:rPr>
                <w:rFonts w:ascii="Times New Roman" w:hAnsi="Times New Roman"/>
                <w:sz w:val="18"/>
                <w:szCs w:val="18"/>
              </w:rPr>
              <w:t>[20-30]</w:t>
            </w:r>
            <w:r w:rsidR="00DA0CD2">
              <w:rPr>
                <w:rFonts w:ascii="Times New Roman" w:hAnsi="Times New Roman"/>
                <w:sz w:val="18"/>
                <w:szCs w:val="18"/>
              </w:rPr>
              <w:t>%</w:t>
            </w:r>
          </w:p>
        </w:tc>
        <w:tc>
          <w:tcPr>
            <w:tcW w:w="564" w:type="pct"/>
            <w:tcBorders>
              <w:top w:val="single" w:sz="2" w:space="0" w:color="auto"/>
              <w:left w:val="single" w:sz="2" w:space="0" w:color="auto"/>
              <w:bottom w:val="single" w:sz="2" w:space="0" w:color="auto"/>
              <w:right w:val="single" w:sz="2" w:space="0" w:color="auto"/>
            </w:tcBorders>
            <w:vAlign w:val="center"/>
          </w:tcPr>
          <w:p w:rsidR="00DA0CD2" w:rsidRPr="00AD3737" w:rsidRDefault="00D1067E" w:rsidP="00CF51B4">
            <w:pPr>
              <w:keepNext/>
              <w:spacing w:after="0"/>
              <w:jc w:val="center"/>
              <w:rPr>
                <w:rFonts w:ascii="Times" w:hAnsi="Times"/>
                <w:sz w:val="18"/>
                <w:szCs w:val="18"/>
              </w:rPr>
            </w:pPr>
            <w:r>
              <w:rPr>
                <w:rFonts w:ascii="Times New Roman" w:hAnsi="Times New Roman"/>
                <w:sz w:val="18"/>
                <w:szCs w:val="18"/>
              </w:rPr>
              <w:t>[5-10]</w:t>
            </w:r>
            <w:r w:rsidR="00DA0CD2">
              <w:rPr>
                <w:rFonts w:ascii="Times New Roman" w:hAnsi="Times New Roman"/>
                <w:sz w:val="18"/>
                <w:szCs w:val="18"/>
              </w:rPr>
              <w:t xml:space="preserve">%/ </w:t>
            </w:r>
            <w:r>
              <w:rPr>
                <w:rFonts w:ascii="Times New Roman" w:hAnsi="Times New Roman"/>
                <w:sz w:val="18"/>
                <w:szCs w:val="18"/>
              </w:rPr>
              <w:t>[</w:t>
            </w:r>
            <w:r w:rsidR="00DA0CD2">
              <w:rPr>
                <w:rFonts w:ascii="Times New Roman" w:hAnsi="Times New Roman"/>
                <w:sz w:val="18"/>
                <w:szCs w:val="18"/>
              </w:rPr>
              <w:t>10</w:t>
            </w:r>
            <w:r>
              <w:rPr>
                <w:rFonts w:ascii="Times New Roman" w:hAnsi="Times New Roman"/>
                <w:sz w:val="18"/>
                <w:szCs w:val="18"/>
              </w:rPr>
              <w:t>-20]</w:t>
            </w:r>
            <w:r w:rsidR="00DA0CD2">
              <w:rPr>
                <w:rFonts w:ascii="Times New Roman" w:hAnsi="Times New Roman"/>
                <w:sz w:val="18"/>
                <w:szCs w:val="18"/>
              </w:rPr>
              <w:t>%</w:t>
            </w:r>
          </w:p>
        </w:tc>
        <w:tc>
          <w:tcPr>
            <w:tcW w:w="576" w:type="pct"/>
            <w:tcBorders>
              <w:top w:val="single" w:sz="2" w:space="0" w:color="auto"/>
              <w:left w:val="single" w:sz="2" w:space="0" w:color="auto"/>
              <w:bottom w:val="single" w:sz="2" w:space="0" w:color="auto"/>
              <w:right w:val="single" w:sz="2" w:space="0" w:color="auto"/>
            </w:tcBorders>
            <w:vAlign w:val="center"/>
          </w:tcPr>
          <w:p w:rsidR="00DA0CD2" w:rsidRPr="00AD3737" w:rsidRDefault="00D1067E" w:rsidP="00D1067E">
            <w:pPr>
              <w:keepNext/>
              <w:spacing w:after="0"/>
              <w:jc w:val="center"/>
              <w:rPr>
                <w:rFonts w:ascii="Times" w:hAnsi="Times"/>
                <w:sz w:val="18"/>
                <w:szCs w:val="18"/>
              </w:rPr>
            </w:pPr>
            <w:r>
              <w:rPr>
                <w:rFonts w:ascii="Times New Roman" w:hAnsi="Times New Roman"/>
                <w:sz w:val="18"/>
                <w:szCs w:val="18"/>
              </w:rPr>
              <w:t>[20-30]</w:t>
            </w:r>
            <w:r w:rsidR="00DA0CD2">
              <w:rPr>
                <w:rFonts w:ascii="Times New Roman" w:hAnsi="Times New Roman"/>
                <w:sz w:val="18"/>
                <w:szCs w:val="18"/>
              </w:rPr>
              <w:t>%</w:t>
            </w:r>
            <w:r>
              <w:rPr>
                <w:rFonts w:ascii="Times New Roman" w:hAnsi="Times New Roman"/>
                <w:sz w:val="18"/>
                <w:szCs w:val="18"/>
              </w:rPr>
              <w:t xml:space="preserve"> </w:t>
            </w:r>
            <w:r w:rsidR="00DA0CD2">
              <w:rPr>
                <w:rFonts w:ascii="Times New Roman" w:hAnsi="Times New Roman"/>
                <w:sz w:val="18"/>
                <w:szCs w:val="18"/>
              </w:rPr>
              <w:t>/</w:t>
            </w:r>
            <w:r>
              <w:rPr>
                <w:rFonts w:ascii="Times New Roman" w:hAnsi="Times New Roman"/>
                <w:sz w:val="18"/>
                <w:szCs w:val="18"/>
              </w:rPr>
              <w:t>[30-40]</w:t>
            </w:r>
            <w:r w:rsidR="00DA0CD2">
              <w:rPr>
                <w:rFonts w:ascii="Times New Roman" w:hAnsi="Times New Roman"/>
                <w:sz w:val="18"/>
                <w:szCs w:val="18"/>
              </w:rPr>
              <w:t>%</w:t>
            </w:r>
          </w:p>
        </w:tc>
        <w:tc>
          <w:tcPr>
            <w:tcW w:w="762" w:type="pct"/>
            <w:tcBorders>
              <w:top w:val="single" w:sz="2" w:space="0" w:color="auto"/>
              <w:left w:val="single" w:sz="2" w:space="0" w:color="auto"/>
              <w:bottom w:val="single" w:sz="2" w:space="0" w:color="auto"/>
              <w:right w:val="single" w:sz="2" w:space="0" w:color="auto"/>
            </w:tcBorders>
            <w:vAlign w:val="center"/>
          </w:tcPr>
          <w:p w:rsidR="00DA0CD2" w:rsidRPr="00AD3737" w:rsidRDefault="00DA0CD2" w:rsidP="00CF51B4">
            <w:pPr>
              <w:keepNext/>
              <w:spacing w:after="0"/>
              <w:jc w:val="center"/>
              <w:rPr>
                <w:rFonts w:ascii="Times" w:hAnsi="Times"/>
                <w:sz w:val="18"/>
                <w:szCs w:val="18"/>
              </w:rPr>
            </w:pPr>
            <w:r>
              <w:rPr>
                <w:rFonts w:ascii="Times New Roman" w:hAnsi="Times New Roman"/>
                <w:sz w:val="18"/>
                <w:szCs w:val="18"/>
              </w:rPr>
              <w:t>At least 3</w:t>
            </w:r>
          </w:p>
        </w:tc>
      </w:tr>
      <w:tr w:rsidR="00D1067E" w:rsidRPr="00AD3737" w:rsidTr="00CF51B4">
        <w:trPr>
          <w:trHeight w:val="275"/>
        </w:trPr>
        <w:tc>
          <w:tcPr>
            <w:tcW w:w="778" w:type="pct"/>
            <w:vMerge/>
            <w:tcBorders>
              <w:left w:val="single" w:sz="2" w:space="0" w:color="auto"/>
              <w:right w:val="single" w:sz="2" w:space="0" w:color="auto"/>
            </w:tcBorders>
          </w:tcPr>
          <w:p w:rsidR="00D1067E" w:rsidRPr="00AD3737" w:rsidRDefault="00D1067E" w:rsidP="00C063D0">
            <w:pPr>
              <w:keepNext/>
              <w:spacing w:after="0"/>
              <w:jc w:val="left"/>
              <w:rPr>
                <w:rFonts w:ascii="Times" w:hAnsi="Times"/>
                <w:sz w:val="18"/>
                <w:szCs w:val="18"/>
              </w:rPr>
            </w:pPr>
          </w:p>
        </w:tc>
        <w:tc>
          <w:tcPr>
            <w:tcW w:w="778" w:type="pct"/>
            <w:vMerge/>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063D0">
            <w:pPr>
              <w:keepNext/>
              <w:spacing w:after="0"/>
              <w:jc w:val="left"/>
              <w:rPr>
                <w:rFonts w:ascii="Times" w:hAnsi="Times"/>
                <w:sz w:val="18"/>
                <w:szCs w:val="18"/>
              </w:rPr>
            </w:pPr>
          </w:p>
        </w:tc>
        <w:tc>
          <w:tcPr>
            <w:tcW w:w="521" w:type="pct"/>
            <w:vMerge/>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063D0">
            <w:pPr>
              <w:keepNext/>
              <w:spacing w:after="0"/>
              <w:jc w:val="left"/>
              <w:rPr>
                <w:rFonts w:ascii="Times" w:hAnsi="Times"/>
                <w:sz w:val="18"/>
                <w:szCs w:val="18"/>
              </w:rPr>
            </w:pPr>
          </w:p>
        </w:tc>
        <w:tc>
          <w:tcPr>
            <w:tcW w:w="391" w:type="pct"/>
            <w:tcBorders>
              <w:top w:val="single" w:sz="2" w:space="0" w:color="auto"/>
              <w:left w:val="single" w:sz="2" w:space="0" w:color="auto"/>
              <w:bottom w:val="single" w:sz="2" w:space="0" w:color="auto"/>
              <w:right w:val="single" w:sz="2" w:space="0" w:color="auto"/>
            </w:tcBorders>
            <w:vAlign w:val="center"/>
          </w:tcPr>
          <w:p w:rsidR="00D1067E" w:rsidRPr="00DF35F3" w:rsidRDefault="00D1067E" w:rsidP="00C063D0">
            <w:pPr>
              <w:keepNext/>
              <w:spacing w:after="0"/>
              <w:jc w:val="left"/>
              <w:rPr>
                <w:rFonts w:ascii="Times" w:hAnsi="Times"/>
                <w:b/>
                <w:sz w:val="18"/>
              </w:rPr>
            </w:pPr>
            <w:r>
              <w:rPr>
                <w:rFonts w:ascii="Times" w:hAnsi="Times"/>
                <w:b/>
                <w:sz w:val="18"/>
              </w:rPr>
              <w:t>2016</w:t>
            </w:r>
          </w:p>
        </w:tc>
        <w:tc>
          <w:tcPr>
            <w:tcW w:w="630" w:type="pct"/>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F51B4">
            <w:pPr>
              <w:keepNext/>
              <w:spacing w:after="0"/>
              <w:jc w:val="center"/>
              <w:rPr>
                <w:rFonts w:ascii="Times" w:hAnsi="Times"/>
                <w:sz w:val="18"/>
                <w:szCs w:val="18"/>
              </w:rPr>
            </w:pPr>
            <w:r>
              <w:rPr>
                <w:rFonts w:ascii="Times New Roman" w:hAnsi="Times New Roman"/>
                <w:sz w:val="18"/>
                <w:szCs w:val="18"/>
              </w:rPr>
              <w:t>[20-30]% /[20-30]%</w:t>
            </w:r>
          </w:p>
        </w:tc>
        <w:tc>
          <w:tcPr>
            <w:tcW w:w="564" w:type="pct"/>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F51B4">
            <w:pPr>
              <w:keepNext/>
              <w:spacing w:after="0"/>
              <w:jc w:val="center"/>
              <w:rPr>
                <w:rFonts w:ascii="Times" w:hAnsi="Times"/>
                <w:sz w:val="18"/>
                <w:szCs w:val="18"/>
              </w:rPr>
            </w:pPr>
            <w:r>
              <w:rPr>
                <w:rFonts w:ascii="Times New Roman" w:hAnsi="Times New Roman"/>
                <w:sz w:val="18"/>
                <w:szCs w:val="18"/>
              </w:rPr>
              <w:t>[5-10]%/ [10-20]%</w:t>
            </w:r>
          </w:p>
        </w:tc>
        <w:tc>
          <w:tcPr>
            <w:tcW w:w="576" w:type="pct"/>
            <w:tcBorders>
              <w:top w:val="single" w:sz="2" w:space="0" w:color="auto"/>
              <w:left w:val="single" w:sz="2" w:space="0" w:color="auto"/>
              <w:bottom w:val="single" w:sz="2" w:space="0" w:color="auto"/>
              <w:right w:val="single" w:sz="2" w:space="0" w:color="auto"/>
            </w:tcBorders>
            <w:vAlign w:val="center"/>
          </w:tcPr>
          <w:p w:rsidR="00D1067E" w:rsidRPr="00AD3737" w:rsidRDefault="00D1067E" w:rsidP="00D1067E">
            <w:pPr>
              <w:keepNext/>
              <w:spacing w:after="0"/>
              <w:jc w:val="center"/>
              <w:rPr>
                <w:rFonts w:ascii="Times" w:hAnsi="Times"/>
                <w:sz w:val="18"/>
                <w:szCs w:val="18"/>
              </w:rPr>
            </w:pPr>
            <w:r>
              <w:rPr>
                <w:rFonts w:ascii="Times" w:hAnsi="Times"/>
                <w:sz w:val="18"/>
                <w:szCs w:val="18"/>
              </w:rPr>
              <w:t>[30-40]% /[30-40]%</w:t>
            </w:r>
          </w:p>
        </w:tc>
        <w:tc>
          <w:tcPr>
            <w:tcW w:w="762" w:type="pct"/>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F51B4">
            <w:pPr>
              <w:keepNext/>
              <w:spacing w:after="0"/>
              <w:jc w:val="center"/>
              <w:rPr>
                <w:rFonts w:ascii="Times" w:hAnsi="Times"/>
                <w:sz w:val="18"/>
                <w:szCs w:val="18"/>
              </w:rPr>
            </w:pPr>
            <w:r>
              <w:rPr>
                <w:rFonts w:ascii="Times New Roman" w:hAnsi="Times New Roman"/>
                <w:sz w:val="18"/>
                <w:szCs w:val="18"/>
              </w:rPr>
              <w:t>At least 3</w:t>
            </w:r>
          </w:p>
        </w:tc>
      </w:tr>
      <w:tr w:rsidR="00D1067E" w:rsidRPr="00AD3737" w:rsidTr="00CF51B4">
        <w:trPr>
          <w:trHeight w:val="275"/>
        </w:trPr>
        <w:tc>
          <w:tcPr>
            <w:tcW w:w="778" w:type="pct"/>
            <w:vMerge/>
            <w:tcBorders>
              <w:left w:val="single" w:sz="2" w:space="0" w:color="auto"/>
              <w:bottom w:val="single" w:sz="2" w:space="0" w:color="auto"/>
              <w:right w:val="single" w:sz="2" w:space="0" w:color="auto"/>
            </w:tcBorders>
          </w:tcPr>
          <w:p w:rsidR="00D1067E" w:rsidRPr="00AD3737" w:rsidRDefault="00D1067E" w:rsidP="00C063D0">
            <w:pPr>
              <w:keepNext/>
              <w:spacing w:after="0"/>
              <w:jc w:val="left"/>
              <w:rPr>
                <w:rFonts w:ascii="Times" w:hAnsi="Times"/>
                <w:sz w:val="18"/>
                <w:szCs w:val="18"/>
              </w:rPr>
            </w:pPr>
          </w:p>
        </w:tc>
        <w:tc>
          <w:tcPr>
            <w:tcW w:w="778" w:type="pct"/>
            <w:vMerge/>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063D0">
            <w:pPr>
              <w:keepNext/>
              <w:spacing w:after="0"/>
              <w:jc w:val="left"/>
              <w:rPr>
                <w:rFonts w:ascii="Times" w:hAnsi="Times"/>
                <w:sz w:val="18"/>
                <w:szCs w:val="18"/>
              </w:rPr>
            </w:pPr>
          </w:p>
        </w:tc>
        <w:tc>
          <w:tcPr>
            <w:tcW w:w="521" w:type="pct"/>
            <w:vMerge/>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063D0">
            <w:pPr>
              <w:keepNext/>
              <w:spacing w:after="0"/>
              <w:jc w:val="left"/>
              <w:rPr>
                <w:rFonts w:ascii="Times" w:hAnsi="Times"/>
                <w:sz w:val="18"/>
                <w:szCs w:val="18"/>
              </w:rPr>
            </w:pPr>
          </w:p>
        </w:tc>
        <w:tc>
          <w:tcPr>
            <w:tcW w:w="391" w:type="pct"/>
            <w:tcBorders>
              <w:top w:val="single" w:sz="2" w:space="0" w:color="auto"/>
              <w:left w:val="single" w:sz="2" w:space="0" w:color="auto"/>
              <w:bottom w:val="single" w:sz="2" w:space="0" w:color="auto"/>
              <w:right w:val="single" w:sz="2" w:space="0" w:color="auto"/>
            </w:tcBorders>
            <w:vAlign w:val="center"/>
          </w:tcPr>
          <w:p w:rsidR="00D1067E" w:rsidRPr="00DF35F3" w:rsidRDefault="00D1067E" w:rsidP="00C063D0">
            <w:pPr>
              <w:keepNext/>
              <w:spacing w:after="0"/>
              <w:jc w:val="left"/>
              <w:rPr>
                <w:rFonts w:ascii="Times" w:hAnsi="Times"/>
                <w:b/>
                <w:sz w:val="18"/>
              </w:rPr>
            </w:pPr>
            <w:r>
              <w:rPr>
                <w:rFonts w:ascii="Times" w:hAnsi="Times"/>
                <w:b/>
                <w:sz w:val="18"/>
              </w:rPr>
              <w:t>2015</w:t>
            </w:r>
          </w:p>
        </w:tc>
        <w:tc>
          <w:tcPr>
            <w:tcW w:w="630" w:type="pct"/>
            <w:tcBorders>
              <w:top w:val="single" w:sz="2" w:space="0" w:color="auto"/>
              <w:left w:val="single" w:sz="2" w:space="0" w:color="auto"/>
              <w:bottom w:val="single" w:sz="2" w:space="0" w:color="auto"/>
              <w:right w:val="single" w:sz="2" w:space="0" w:color="auto"/>
            </w:tcBorders>
            <w:vAlign w:val="center"/>
          </w:tcPr>
          <w:p w:rsidR="00D1067E" w:rsidRPr="00AD3737" w:rsidRDefault="00D1067E" w:rsidP="00D1067E">
            <w:pPr>
              <w:keepNext/>
              <w:spacing w:after="0"/>
              <w:jc w:val="center"/>
              <w:rPr>
                <w:rFonts w:ascii="Times" w:hAnsi="Times"/>
                <w:sz w:val="18"/>
                <w:szCs w:val="18"/>
              </w:rPr>
            </w:pPr>
            <w:r>
              <w:rPr>
                <w:rFonts w:ascii="Times" w:hAnsi="Times"/>
                <w:sz w:val="18"/>
                <w:szCs w:val="18"/>
              </w:rPr>
              <w:t>[10-20]% /[20-30]%</w:t>
            </w:r>
          </w:p>
        </w:tc>
        <w:tc>
          <w:tcPr>
            <w:tcW w:w="564" w:type="pct"/>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F51B4">
            <w:pPr>
              <w:keepNext/>
              <w:spacing w:after="0"/>
              <w:jc w:val="center"/>
              <w:rPr>
                <w:rFonts w:ascii="Times" w:hAnsi="Times"/>
                <w:sz w:val="18"/>
                <w:szCs w:val="18"/>
              </w:rPr>
            </w:pPr>
            <w:r>
              <w:rPr>
                <w:rFonts w:ascii="Times" w:hAnsi="Times"/>
                <w:sz w:val="18"/>
                <w:szCs w:val="18"/>
              </w:rPr>
              <w:t>[5-10]% /[5-10]%</w:t>
            </w:r>
          </w:p>
        </w:tc>
        <w:tc>
          <w:tcPr>
            <w:tcW w:w="576" w:type="pct"/>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F51B4">
            <w:pPr>
              <w:keepNext/>
              <w:spacing w:after="0"/>
              <w:jc w:val="center"/>
              <w:rPr>
                <w:rFonts w:ascii="Times" w:hAnsi="Times"/>
                <w:sz w:val="18"/>
                <w:szCs w:val="18"/>
              </w:rPr>
            </w:pPr>
            <w:r>
              <w:rPr>
                <w:rFonts w:ascii="Times New Roman" w:hAnsi="Times New Roman"/>
                <w:sz w:val="18"/>
                <w:szCs w:val="18"/>
              </w:rPr>
              <w:t>[20-30]% /[30-40]%</w:t>
            </w:r>
          </w:p>
        </w:tc>
        <w:tc>
          <w:tcPr>
            <w:tcW w:w="762" w:type="pct"/>
            <w:tcBorders>
              <w:top w:val="single" w:sz="2" w:space="0" w:color="auto"/>
              <w:left w:val="single" w:sz="2" w:space="0" w:color="auto"/>
              <w:bottom w:val="single" w:sz="2" w:space="0" w:color="auto"/>
              <w:right w:val="single" w:sz="2" w:space="0" w:color="auto"/>
            </w:tcBorders>
            <w:vAlign w:val="center"/>
          </w:tcPr>
          <w:p w:rsidR="00D1067E" w:rsidRPr="00AD3737" w:rsidRDefault="00D1067E" w:rsidP="00CF51B4">
            <w:pPr>
              <w:keepNext/>
              <w:spacing w:after="0"/>
              <w:jc w:val="center"/>
              <w:rPr>
                <w:rFonts w:ascii="Times" w:hAnsi="Times"/>
                <w:sz w:val="18"/>
                <w:szCs w:val="18"/>
              </w:rPr>
            </w:pPr>
            <w:r>
              <w:rPr>
                <w:rFonts w:ascii="Times New Roman" w:hAnsi="Times New Roman"/>
                <w:sz w:val="18"/>
                <w:szCs w:val="18"/>
              </w:rPr>
              <w:t>At least 3</w:t>
            </w:r>
          </w:p>
        </w:tc>
      </w:tr>
    </w:tbl>
    <w:p w:rsidR="00DA0CD2" w:rsidRDefault="00DA0CD2" w:rsidP="00CF51B4">
      <w:pPr>
        <w:pStyle w:val="ListNumber"/>
        <w:numPr>
          <w:ilvl w:val="0"/>
          <w:numId w:val="0"/>
        </w:numPr>
        <w:spacing w:after="0"/>
        <w:ind w:left="709"/>
      </w:pPr>
    </w:p>
    <w:p w:rsidR="00776BFC" w:rsidRDefault="00B91E12" w:rsidP="002A7B17">
      <w:pPr>
        <w:pStyle w:val="ListNumber"/>
      </w:pPr>
      <w:r>
        <w:t>In 2017, t</w:t>
      </w:r>
      <w:r w:rsidR="00D860D0">
        <w:t>he Parties</w:t>
      </w:r>
      <w:r w:rsidR="00C22CE6">
        <w:t>'</w:t>
      </w:r>
      <w:r w:rsidR="00D860D0">
        <w:t xml:space="preserve"> combined market shares for </w:t>
      </w:r>
      <w:r w:rsidR="00E666AA">
        <w:rPr>
          <w:i/>
        </w:rPr>
        <w:t>aciclovir</w:t>
      </w:r>
      <w:r w:rsidR="00E666AA">
        <w:t>-</w:t>
      </w:r>
      <w:r w:rsidR="00D860D0">
        <w:t xml:space="preserve">based anti-herpes products is </w:t>
      </w:r>
      <w:r w:rsidR="00D1067E">
        <w:t>[20-30]</w:t>
      </w:r>
      <w:r w:rsidR="00D860D0">
        <w:t xml:space="preserve">% in value and </w:t>
      </w:r>
      <w:r w:rsidR="00D1067E">
        <w:t>[30-40]</w:t>
      </w:r>
      <w:r w:rsidR="00D860D0">
        <w:t xml:space="preserve">% in volume. </w:t>
      </w:r>
    </w:p>
    <w:p w:rsidR="00D860D0" w:rsidRDefault="002A3307" w:rsidP="002A7B17">
      <w:pPr>
        <w:pStyle w:val="ListNumber"/>
      </w:pPr>
      <w:r>
        <w:t>Post-Transaction, s</w:t>
      </w:r>
      <w:r w:rsidR="00D860D0">
        <w:t xml:space="preserve">everal competitors will remain, including </w:t>
      </w:r>
      <w:r>
        <w:t xml:space="preserve">the leading player </w:t>
      </w:r>
      <w:r w:rsidR="00D860D0">
        <w:t>Orion (</w:t>
      </w:r>
      <w:r w:rsidR="00D1067E">
        <w:t>[30-40]</w:t>
      </w:r>
      <w:r w:rsidR="00D860D0">
        <w:t>% in value</w:t>
      </w:r>
      <w:r w:rsidR="00991140">
        <w:t xml:space="preserve">, </w:t>
      </w:r>
      <w:r w:rsidR="00D1067E">
        <w:t xml:space="preserve">[30-40]% </w:t>
      </w:r>
      <w:r w:rsidR="00D860D0">
        <w:t>in volume), GlaxoSmithKline (</w:t>
      </w:r>
      <w:r w:rsidR="00D1067E">
        <w:t>[20-30]</w:t>
      </w:r>
      <w:r w:rsidR="00D860D0">
        <w:t xml:space="preserve">% in value, </w:t>
      </w:r>
      <w:r w:rsidR="00D1067E">
        <w:t>[10-20]</w:t>
      </w:r>
      <w:r w:rsidR="00D860D0">
        <w:t>% in volume) and Pfizer (</w:t>
      </w:r>
      <w:r w:rsidR="00D1067E">
        <w:t>[10-20]</w:t>
      </w:r>
      <w:r w:rsidR="00D860D0">
        <w:t xml:space="preserve">% in value, </w:t>
      </w:r>
      <w:r w:rsidR="00D1067E">
        <w:t>[5-10]</w:t>
      </w:r>
      <w:r w:rsidR="00D860D0">
        <w:t>% in volume).</w:t>
      </w:r>
    </w:p>
    <w:p w:rsidR="00D860D0" w:rsidRPr="00DB0862" w:rsidRDefault="00D860D0" w:rsidP="00D860D0">
      <w:pPr>
        <w:pStyle w:val="ListNumber"/>
      </w:pPr>
      <w:r>
        <w:t xml:space="preserve">In addition, </w:t>
      </w:r>
      <w:r w:rsidR="00FA24E0">
        <w:t xml:space="preserve">as pointed out by the Notifying Party (see para. </w:t>
      </w:r>
      <w:r w:rsidR="00FA24E0">
        <w:fldChar w:fldCharType="begin"/>
      </w:r>
      <w:r w:rsidR="00FA24E0">
        <w:instrText xml:space="preserve"> REF _Ref517875324 \r \h </w:instrText>
      </w:r>
      <w:r w:rsidR="00FA24E0">
        <w:fldChar w:fldCharType="separate"/>
      </w:r>
      <w:r w:rsidR="00FE3ACD">
        <w:t>(98)</w:t>
      </w:r>
      <w:r w:rsidR="00FA24E0">
        <w:fldChar w:fldCharType="end"/>
      </w:r>
      <w:r w:rsidR="00FA24E0">
        <w:t xml:space="preserve">), </w:t>
      </w:r>
      <w:r w:rsidR="00243245">
        <w:t>there seems to be differentiation between the Parties' products.</w:t>
      </w:r>
      <w:r>
        <w:rPr>
          <w:rFonts w:eastAsia="Calibri"/>
          <w:szCs w:val="24"/>
        </w:rPr>
        <w:t xml:space="preserve"> </w:t>
      </w:r>
      <w:r w:rsidR="00DB0862">
        <w:rPr>
          <w:rFonts w:eastAsia="Calibri"/>
          <w:szCs w:val="24"/>
        </w:rPr>
        <w:t>Teva's Rx products cover more dosages (up to 800mg vs 200 mg for PGT) and also treat more serious conditions than PGT's product</w:t>
      </w:r>
      <w:r w:rsidR="00E666AA">
        <w:rPr>
          <w:rFonts w:eastAsia="Calibri"/>
          <w:szCs w:val="24"/>
        </w:rPr>
        <w:t xml:space="preserve"> (e.g. genital herpes and varicella)</w:t>
      </w:r>
      <w:r w:rsidR="00DB0862">
        <w:rPr>
          <w:rFonts w:eastAsia="Calibri"/>
          <w:szCs w:val="24"/>
        </w:rPr>
        <w:t>.</w:t>
      </w:r>
    </w:p>
    <w:p w:rsidR="00DB0862" w:rsidRDefault="00037B71" w:rsidP="00D860D0">
      <w:pPr>
        <w:pStyle w:val="ListNumber"/>
      </w:pPr>
      <w:r>
        <w:t>Finally,</w:t>
      </w:r>
      <w:r w:rsidRPr="005B1C96">
        <w:t xml:space="preserve"> </w:t>
      </w:r>
      <w:r>
        <w:t xml:space="preserve">the market investigation did not reveal any </w:t>
      </w:r>
      <w:r w:rsidRPr="00037B71">
        <w:rPr>
          <w:rFonts w:eastAsia="Calibri"/>
          <w:szCs w:val="24"/>
        </w:rPr>
        <w:t>competition concerns in</w:t>
      </w:r>
      <w:r w:rsidRPr="00037B71" w:rsidDel="00A2241C">
        <w:rPr>
          <w:rFonts w:ascii="Times" w:eastAsia="Calibri" w:hAnsi="Times"/>
          <w:szCs w:val="24"/>
        </w:rPr>
        <w:t xml:space="preserve"> </w:t>
      </w:r>
      <w:r w:rsidRPr="00037B71">
        <w:rPr>
          <w:rFonts w:ascii="Times" w:eastAsia="Calibri" w:hAnsi="Times"/>
          <w:szCs w:val="24"/>
        </w:rPr>
        <w:t xml:space="preserve">relation to </w:t>
      </w:r>
      <w:r w:rsidR="006614E4">
        <w:t xml:space="preserve">for </w:t>
      </w:r>
      <w:r w:rsidR="006614E4" w:rsidRPr="00420413">
        <w:rPr>
          <w:i/>
        </w:rPr>
        <w:t>ac</w:t>
      </w:r>
      <w:r w:rsidR="00E666AA" w:rsidRPr="00420413">
        <w:rPr>
          <w:i/>
        </w:rPr>
        <w:t>i</w:t>
      </w:r>
      <w:r w:rsidR="006614E4" w:rsidRPr="00420413">
        <w:rPr>
          <w:i/>
        </w:rPr>
        <w:t>clovir</w:t>
      </w:r>
      <w:r w:rsidR="006614E4">
        <w:t xml:space="preserve">-based anti-herpes </w:t>
      </w:r>
      <w:r>
        <w:t>products</w:t>
      </w:r>
      <w:r w:rsidR="006614E4">
        <w:t xml:space="preserve"> in Finland</w:t>
      </w:r>
      <w:r w:rsidR="00DB0862">
        <w:t xml:space="preserve">. </w:t>
      </w:r>
      <w:r w:rsidR="00DB0862" w:rsidRPr="00546F00">
        <w:rPr>
          <w:rFonts w:ascii="Times" w:eastAsia="Calibri" w:hAnsi="Times"/>
          <w:szCs w:val="24"/>
          <w:vertAlign w:val="superscript"/>
          <w:lang w:val="en-US"/>
        </w:rPr>
        <w:footnoteReference w:id="58"/>
      </w:r>
    </w:p>
    <w:p w:rsidR="002A3307" w:rsidRDefault="00814F0F" w:rsidP="002A3307">
      <w:pPr>
        <w:pStyle w:val="ListNumber"/>
      </w:pPr>
      <w:r w:rsidRPr="00546F00">
        <w:rPr>
          <w:rFonts w:ascii="Times" w:hAnsi="Times"/>
          <w:szCs w:val="24"/>
        </w:rPr>
        <w:t xml:space="preserve">In view of the above, the Commission concludes that </w:t>
      </w:r>
      <w:r>
        <w:rPr>
          <w:rFonts w:ascii="Times" w:hAnsi="Times"/>
          <w:szCs w:val="24"/>
        </w:rPr>
        <w:t xml:space="preserve">the Transaction does not raise serious doubts as to its compatibility with the internal market regarding </w:t>
      </w:r>
      <w:r w:rsidR="00B70190" w:rsidRPr="00B70190">
        <w:rPr>
          <w:i/>
        </w:rPr>
        <w:t>aci</w:t>
      </w:r>
      <w:r w:rsidR="002A3307" w:rsidRPr="00B70190">
        <w:rPr>
          <w:i/>
        </w:rPr>
        <w:t>clovir</w:t>
      </w:r>
      <w:r w:rsidR="002A3307">
        <w:t xml:space="preserve">-based anti-herpes </w:t>
      </w:r>
      <w:r w:rsidR="00037B71">
        <w:t xml:space="preserve">products </w:t>
      </w:r>
      <w:r w:rsidR="002A3307">
        <w:t>in Finland</w:t>
      </w:r>
      <w:r w:rsidR="002A3307" w:rsidRPr="00546F00">
        <w:t>.</w:t>
      </w:r>
    </w:p>
    <w:p w:rsidR="006662F2" w:rsidRDefault="006662F2" w:rsidP="00420413">
      <w:pPr>
        <w:pStyle w:val="Heading3"/>
        <w:tabs>
          <w:tab w:val="clear" w:pos="1920"/>
          <w:tab w:val="num" w:pos="709"/>
        </w:tabs>
        <w:ind w:left="709" w:hanging="709"/>
      </w:pPr>
      <w:bookmarkStart w:id="184" w:name="_Toc517709638"/>
      <w:bookmarkStart w:id="185" w:name="_Toc517710284"/>
      <w:bookmarkStart w:id="186" w:name="_Toc517710455"/>
      <w:bookmarkStart w:id="187" w:name="_Toc517711037"/>
      <w:bookmarkStart w:id="188" w:name="_Toc517714132"/>
      <w:bookmarkStart w:id="189" w:name="_Toc517444592"/>
      <w:bookmarkStart w:id="190" w:name="_Ref517683779"/>
      <w:bookmarkStart w:id="191" w:name="_Toc517710456"/>
      <w:bookmarkStart w:id="192" w:name="_Toc517812932"/>
      <w:bookmarkEnd w:id="184"/>
      <w:bookmarkEnd w:id="185"/>
      <w:bookmarkEnd w:id="186"/>
      <w:bookmarkEnd w:id="187"/>
      <w:bookmarkEnd w:id="188"/>
      <w:r w:rsidRPr="00901926">
        <w:t>Ascorbic acid</w:t>
      </w:r>
      <w:r w:rsidR="00901926">
        <w:t xml:space="preserve"> based Vitamin C products</w:t>
      </w:r>
      <w:r w:rsidRPr="00901926">
        <w:t xml:space="preserve"> in Poland</w:t>
      </w:r>
      <w:bookmarkEnd w:id="189"/>
      <w:bookmarkEnd w:id="190"/>
      <w:bookmarkEnd w:id="191"/>
      <w:bookmarkEnd w:id="192"/>
    </w:p>
    <w:p w:rsidR="00901926" w:rsidRDefault="00901926" w:rsidP="00420413">
      <w:pPr>
        <w:pStyle w:val="Heading4"/>
      </w:pPr>
      <w:bookmarkStart w:id="193" w:name="_Toc517710457"/>
      <w:bookmarkStart w:id="194" w:name="_Toc517812933"/>
      <w:r>
        <w:t>Market Definition</w:t>
      </w:r>
      <w:bookmarkEnd w:id="193"/>
      <w:bookmarkEnd w:id="194"/>
    </w:p>
    <w:p w:rsidR="00B75301" w:rsidRDefault="00B75301" w:rsidP="00420413">
      <w:pPr>
        <w:pStyle w:val="ListNumber"/>
        <w:keepNext/>
      </w:pPr>
      <w:r>
        <w:t>Vitamin C products are categorized in ATC 3 class A11G</w:t>
      </w:r>
      <w:r w:rsidR="00243245">
        <w:t xml:space="preserve"> (Vitamin C, including combinations with minerals)</w:t>
      </w:r>
      <w:r>
        <w:t>. This class contains vitamin C products, including comb</w:t>
      </w:r>
      <w:r w:rsidR="00E666AA">
        <w:t>i</w:t>
      </w:r>
      <w:r>
        <w:t>nations with minerals. The A11G class is subdivided into two ATC 4 categories: A11G1 which consists of plain vitamin C, including vitamin C salts and A11G2</w:t>
      </w:r>
      <w:r w:rsidR="00DD3DDA">
        <w:t>,</w:t>
      </w:r>
      <w:r>
        <w:t xml:space="preserve"> where vitamin C combinations belong.  </w:t>
      </w:r>
    </w:p>
    <w:p w:rsidR="00901926" w:rsidRPr="003D43D2" w:rsidRDefault="00B75301" w:rsidP="00901926">
      <w:pPr>
        <w:pStyle w:val="ListNumber"/>
      </w:pPr>
      <w:r>
        <w:t xml:space="preserve">In previous decisions, the Commission considered but ultimately left open plausible market definitions based on ATC 3 class A11G or based on ATC 4 class </w:t>
      </w:r>
      <w:r>
        <w:lastRenderedPageBreak/>
        <w:t>A11G1.</w:t>
      </w:r>
      <w:r>
        <w:rPr>
          <w:rStyle w:val="FootnoteReference"/>
        </w:rPr>
        <w:footnoteReference w:id="59"/>
      </w:r>
      <w:r>
        <w:t xml:space="preserve">  In </w:t>
      </w:r>
      <w:r w:rsidRPr="003B43D2">
        <w:rPr>
          <w:i/>
        </w:rPr>
        <w:t>Teva/Ratiopharm</w:t>
      </w:r>
      <w:r>
        <w:t xml:space="preserve">, the Commission also assessed the market shares of the Parties in </w:t>
      </w:r>
      <w:r w:rsidRPr="00420413">
        <w:rPr>
          <w:i/>
        </w:rPr>
        <w:t>ascorbic acid</w:t>
      </w:r>
      <w:r w:rsidR="00243245">
        <w:t>-based products in these ATC3 and ATC4</w:t>
      </w:r>
      <w:r>
        <w:t xml:space="preserve"> class</w:t>
      </w:r>
      <w:r w:rsidR="00243245">
        <w:t>es</w:t>
      </w:r>
      <w:r>
        <w:t>.</w:t>
      </w:r>
      <w:r>
        <w:rPr>
          <w:rStyle w:val="FootnoteReference"/>
        </w:rPr>
        <w:footnoteReference w:id="60"/>
      </w:r>
      <w:r>
        <w:t xml:space="preserve"> </w:t>
      </w:r>
    </w:p>
    <w:p w:rsidR="00947A31" w:rsidRPr="00243245" w:rsidRDefault="00243245" w:rsidP="00B75301">
      <w:pPr>
        <w:pStyle w:val="ListNumber"/>
      </w:pPr>
      <w:bookmarkStart w:id="195" w:name="_Ref517875452"/>
      <w:r w:rsidRPr="00243245">
        <w:t xml:space="preserve">The Notifying Party considers that Rx and OTC Vitamin C products are not in the same market. In Poland, all oral forms of Vitamin C are OTC and all injectable forms are Rx. Also, the indications of Rx and OTC products are different. Vitamin C in injectable form is indicated only in </w:t>
      </w:r>
      <w:r w:rsidRPr="004C6514">
        <w:rPr>
          <w:i/>
        </w:rPr>
        <w:t>ascorbic acid</w:t>
      </w:r>
      <w:r w:rsidRPr="00243245">
        <w:t xml:space="preserve"> deficiencies (e.g. scurvy) and only in severe cases or when oral administration is difficult.</w:t>
      </w:r>
      <w:bookmarkEnd w:id="195"/>
    </w:p>
    <w:p w:rsidR="00243245" w:rsidRPr="00243245" w:rsidRDefault="00243245" w:rsidP="00B75301">
      <w:pPr>
        <w:pStyle w:val="ListNumber"/>
      </w:pPr>
      <w:r w:rsidRPr="00243245">
        <w:t>The Notifying Party adds that should Rx and OTC products be considered as part of the same market, the latter would be at ATC3 level, A11G.</w:t>
      </w:r>
    </w:p>
    <w:p w:rsidR="00B75301" w:rsidRPr="003D43D2" w:rsidRDefault="000235E2" w:rsidP="00B75301">
      <w:pPr>
        <w:pStyle w:val="ListNumber"/>
      </w:pPr>
      <w:r w:rsidRPr="00AC4CB2">
        <w:t>In any event, for the purposes of the present case, the exact market definition can be left open</w:t>
      </w:r>
      <w:r w:rsidR="00F869C9">
        <w:t xml:space="preserve"> as n</w:t>
      </w:r>
      <w:r>
        <w:t xml:space="preserve">o serious </w:t>
      </w:r>
      <w:r w:rsidRPr="00AC4CB2">
        <w:t>doubts arise under any plausible alternative market definition</w:t>
      </w:r>
      <w:r>
        <w:t xml:space="preserve"> (namely, at ATC3 or ATC4 or molecule level).</w:t>
      </w:r>
    </w:p>
    <w:p w:rsidR="00901926" w:rsidRDefault="00901926" w:rsidP="00901926">
      <w:pPr>
        <w:pStyle w:val="Heading4"/>
        <w:keepNext w:val="0"/>
        <w:rPr>
          <w:rFonts w:eastAsia="Calibri"/>
        </w:rPr>
      </w:pPr>
      <w:bookmarkStart w:id="196" w:name="_Toc517710458"/>
      <w:bookmarkStart w:id="197" w:name="_Toc517812934"/>
      <w:r w:rsidRPr="0076154C">
        <w:t>Parties'</w:t>
      </w:r>
      <w:r>
        <w:rPr>
          <w:rFonts w:eastAsia="Calibri"/>
        </w:rPr>
        <w:t xml:space="preserve"> Products</w:t>
      </w:r>
      <w:bookmarkEnd w:id="196"/>
      <w:bookmarkEnd w:id="197"/>
    </w:p>
    <w:p w:rsidR="00FD6C73" w:rsidRPr="003B43D2" w:rsidRDefault="00FD6C73" w:rsidP="00FD6C73">
      <w:pPr>
        <w:pStyle w:val="ListNumber"/>
        <w:rPr>
          <w:rFonts w:eastAsia="Calibri"/>
        </w:rPr>
      </w:pPr>
      <w:r>
        <w:t xml:space="preserve">In Poland, both Parties offer products based on </w:t>
      </w:r>
      <w:r w:rsidRPr="00420413">
        <w:rPr>
          <w:i/>
        </w:rPr>
        <w:t>ascorbic acid</w:t>
      </w:r>
      <w:r>
        <w:t xml:space="preserve">. PGT offers Vitamin C/ Vitamin C Monovita, which is available in oral solid form and is sold OTC.  Teva supplies (i) Vitamin C, a drug in oral liquid form which is sold also OTC and (ii) Vitamin C, an injectable product which is only sold on prescription.  </w:t>
      </w:r>
    </w:p>
    <w:p w:rsidR="00901926" w:rsidRDefault="00901926" w:rsidP="00901926">
      <w:pPr>
        <w:pStyle w:val="Heading4"/>
        <w:keepNext w:val="0"/>
        <w:rPr>
          <w:rFonts w:eastAsia="Calibri"/>
        </w:rPr>
      </w:pPr>
      <w:bookmarkStart w:id="198" w:name="_Toc517710459"/>
      <w:bookmarkStart w:id="199" w:name="_Toc517812935"/>
      <w:r w:rsidRPr="0076154C">
        <w:t>Competition</w:t>
      </w:r>
      <w:r>
        <w:rPr>
          <w:rFonts w:eastAsia="Calibri"/>
        </w:rPr>
        <w:t xml:space="preserve"> Assessment</w:t>
      </w:r>
      <w:bookmarkEnd w:id="198"/>
      <w:bookmarkEnd w:id="199"/>
    </w:p>
    <w:p w:rsidR="00901926" w:rsidRPr="00232DC4" w:rsidRDefault="00FD6C73" w:rsidP="00901926">
      <w:pPr>
        <w:pStyle w:val="ListNumber"/>
        <w:rPr>
          <w:rFonts w:eastAsia="Calibri"/>
        </w:rPr>
      </w:pPr>
      <w:r>
        <w:t xml:space="preserve">The Transaction does not give rise to an affected market at ATC 3 level.  At ATC 4 level, it gives rise to a Group 2 market (in volume).  The Transaction also gives rise to a Group </w:t>
      </w:r>
      <w:r w:rsidR="003A78A2">
        <w:t xml:space="preserve">2 </w:t>
      </w:r>
      <w:r>
        <w:t>market at molecule level.  The Table below presents the Parties' market shares at ATC 4 and molecule levels</w:t>
      </w:r>
      <w:r w:rsidR="00B91E12">
        <w:t xml:space="preserve"> in 2015-2017</w:t>
      </w:r>
      <w:r>
        <w:t xml:space="preserve">: </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6"/>
        <w:gridCol w:w="994"/>
        <w:gridCol w:w="1136"/>
        <w:gridCol w:w="1204"/>
      </w:tblGrid>
      <w:tr w:rsidR="00462E47" w:rsidRPr="00AD3737" w:rsidTr="00462E47">
        <w:trPr>
          <w:tblHeader/>
        </w:trPr>
        <w:tc>
          <w:tcPr>
            <w:tcW w:w="608" w:type="pct"/>
            <w:vMerge w:val="restart"/>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r w:rsidRPr="00B6607C">
              <w:rPr>
                <w:rFonts w:ascii="Times" w:hAnsi="Times"/>
                <w:b/>
                <w:sz w:val="18"/>
                <w:szCs w:val="18"/>
              </w:rPr>
              <w:t>OTC3</w:t>
            </w:r>
          </w:p>
          <w:p w:rsidR="002D7FBB" w:rsidRPr="00B6607C" w:rsidRDefault="002D7FBB" w:rsidP="00087AE2">
            <w:pPr>
              <w:keepNext/>
              <w:snapToGrid w:val="0"/>
              <w:spacing w:after="0"/>
              <w:jc w:val="center"/>
              <w:rPr>
                <w:rFonts w:ascii="Times" w:hAnsi="Times"/>
                <w:b/>
                <w:sz w:val="18"/>
                <w:szCs w:val="18"/>
              </w:rPr>
            </w:pPr>
            <w:r w:rsidRPr="00B6607C">
              <w:rPr>
                <w:rFonts w:ascii="Times" w:hAnsi="Times"/>
                <w:b/>
                <w:sz w:val="18"/>
                <w:szCs w:val="18"/>
              </w:rPr>
              <w:t>ATC3</w:t>
            </w:r>
          </w:p>
          <w:p w:rsidR="002D7FBB" w:rsidRPr="00B6607C" w:rsidRDefault="002D7FBB" w:rsidP="00087AE2">
            <w:pPr>
              <w:keepNext/>
              <w:snapToGrid w:val="0"/>
              <w:spacing w:after="0"/>
              <w:jc w:val="center"/>
              <w:rPr>
                <w:rFonts w:ascii="Times" w:hAnsi="Times"/>
                <w:b/>
                <w:sz w:val="18"/>
                <w:szCs w:val="18"/>
              </w:rPr>
            </w:pPr>
            <w:r w:rsidRPr="00B6607C">
              <w:rPr>
                <w:rFonts w:ascii="Times" w:hAnsi="Times"/>
                <w:b/>
                <w:sz w:val="18"/>
                <w:szCs w:val="18"/>
              </w:rPr>
              <w:t>ATC4</w:t>
            </w:r>
          </w:p>
          <w:p w:rsidR="002D7FBB" w:rsidRPr="00B6607C" w:rsidRDefault="002D7FBB" w:rsidP="00087AE2">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2D7FBB" w:rsidRPr="00B6607C" w:rsidRDefault="00462E47" w:rsidP="00462E47">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2D7FBB" w:rsidRDefault="002D7FBB" w:rsidP="00087AE2">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462E47" w:rsidRPr="00AD3737" w:rsidTr="00243245">
        <w:trPr>
          <w:tblHeader/>
        </w:trPr>
        <w:tc>
          <w:tcPr>
            <w:tcW w:w="608" w:type="pct"/>
            <w:vMerge/>
            <w:tcBorders>
              <w:bottom w:val="single" w:sz="2" w:space="0" w:color="auto"/>
            </w:tcBorders>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p>
        </w:tc>
        <w:tc>
          <w:tcPr>
            <w:tcW w:w="696" w:type="pct"/>
            <w:vMerge/>
            <w:tcBorders>
              <w:bottom w:val="single" w:sz="2" w:space="0" w:color="auto"/>
            </w:tcBorders>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p>
        </w:tc>
        <w:tc>
          <w:tcPr>
            <w:tcW w:w="434" w:type="pct"/>
            <w:vMerge/>
            <w:tcBorders>
              <w:bottom w:val="single" w:sz="2" w:space="0" w:color="auto"/>
            </w:tcBorders>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p>
        </w:tc>
        <w:tc>
          <w:tcPr>
            <w:tcW w:w="523" w:type="pct"/>
            <w:vMerge/>
            <w:tcBorders>
              <w:bottom w:val="single" w:sz="2" w:space="0" w:color="auto"/>
            </w:tcBorders>
            <w:shd w:val="clear" w:color="auto" w:fill="D9D9D9" w:themeFill="background1" w:themeFillShade="D9"/>
          </w:tcPr>
          <w:p w:rsidR="002D7FBB" w:rsidRPr="00B6607C" w:rsidRDefault="002D7FBB" w:rsidP="00087AE2">
            <w:pPr>
              <w:keepNext/>
              <w:snapToGrid w:val="0"/>
              <w:spacing w:after="0"/>
              <w:jc w:val="center"/>
              <w:rPr>
                <w:rFonts w:ascii="Times" w:hAnsi="Times"/>
                <w:b/>
                <w:sz w:val="18"/>
                <w:szCs w:val="18"/>
              </w:rPr>
            </w:pPr>
          </w:p>
        </w:tc>
        <w:tc>
          <w:tcPr>
            <w:tcW w:w="696" w:type="pct"/>
            <w:tcBorders>
              <w:bottom w:val="single" w:sz="2" w:space="0" w:color="auto"/>
            </w:tcBorders>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r w:rsidRPr="00B6607C">
              <w:rPr>
                <w:rFonts w:ascii="Times" w:hAnsi="Times"/>
                <w:b/>
                <w:sz w:val="18"/>
                <w:szCs w:val="18"/>
              </w:rPr>
              <w:t>Teva</w:t>
            </w:r>
          </w:p>
        </w:tc>
        <w:tc>
          <w:tcPr>
            <w:tcW w:w="609" w:type="pct"/>
            <w:tcBorders>
              <w:bottom w:val="single" w:sz="2" w:space="0" w:color="auto"/>
            </w:tcBorders>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tcBorders>
              <w:bottom w:val="single" w:sz="2" w:space="0" w:color="auto"/>
            </w:tcBorders>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tcBorders>
              <w:bottom w:val="single" w:sz="2" w:space="0" w:color="auto"/>
            </w:tcBorders>
            <w:shd w:val="clear" w:color="auto" w:fill="D9D9D9" w:themeFill="background1" w:themeFillShade="D9"/>
            <w:vAlign w:val="center"/>
          </w:tcPr>
          <w:p w:rsidR="002D7FBB" w:rsidRPr="00B6607C" w:rsidRDefault="002D7FBB" w:rsidP="00087AE2">
            <w:pPr>
              <w:keepNext/>
              <w:snapToGrid w:val="0"/>
              <w:spacing w:after="0"/>
              <w:jc w:val="center"/>
              <w:rPr>
                <w:rFonts w:ascii="Times" w:hAnsi="Times"/>
                <w:b/>
                <w:sz w:val="18"/>
                <w:szCs w:val="18"/>
              </w:rPr>
            </w:pPr>
          </w:p>
        </w:tc>
      </w:tr>
      <w:tr w:rsidR="00D1067E" w:rsidRPr="00AD3737" w:rsidTr="00243245">
        <w:trPr>
          <w:trHeight w:val="345"/>
        </w:trPr>
        <w:tc>
          <w:tcPr>
            <w:tcW w:w="608" w:type="pct"/>
            <w:vMerge w:val="restart"/>
            <w:tcBorders>
              <w:top w:val="single" w:sz="2" w:space="0" w:color="auto"/>
              <w:left w:val="single" w:sz="2" w:space="0" w:color="auto"/>
              <w:bottom w:val="single" w:sz="2" w:space="0" w:color="auto"/>
              <w:right w:val="single" w:sz="2" w:space="0" w:color="auto"/>
            </w:tcBorders>
            <w:vAlign w:val="center"/>
          </w:tcPr>
          <w:p w:rsidR="00D1067E" w:rsidRPr="00420413" w:rsidRDefault="00D1067E" w:rsidP="00087AE2">
            <w:pPr>
              <w:keepNext/>
              <w:spacing w:after="0"/>
              <w:jc w:val="center"/>
              <w:rPr>
                <w:rFonts w:ascii="Times" w:hAnsi="Times"/>
                <w:i/>
                <w:sz w:val="18"/>
                <w:szCs w:val="18"/>
              </w:rPr>
            </w:pPr>
            <w:r>
              <w:rPr>
                <w:rFonts w:ascii="Times" w:hAnsi="Times"/>
                <w:sz w:val="18"/>
                <w:szCs w:val="18"/>
              </w:rPr>
              <w:t>A11G1</w:t>
            </w:r>
          </w:p>
        </w:tc>
        <w:tc>
          <w:tcPr>
            <w:tcW w:w="696" w:type="pct"/>
            <w:vMerge w:val="restart"/>
            <w:tcBorders>
              <w:top w:val="single" w:sz="2" w:space="0" w:color="auto"/>
              <w:left w:val="single" w:sz="2" w:space="0" w:color="auto"/>
              <w:bottom w:val="single" w:sz="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szCs w:val="18"/>
              </w:rPr>
              <w:t>Plain Vitamin C products</w:t>
            </w:r>
          </w:p>
        </w:tc>
        <w:tc>
          <w:tcPr>
            <w:tcW w:w="434" w:type="pct"/>
            <w:vMerge w:val="restart"/>
            <w:tcBorders>
              <w:top w:val="single" w:sz="2" w:space="0" w:color="auto"/>
              <w:left w:val="single" w:sz="2" w:space="0" w:color="auto"/>
              <w:bottom w:val="single" w:sz="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r w:rsidRPr="003245F1">
              <w:rPr>
                <w:rFonts w:ascii="Times" w:hAnsi="Times"/>
                <w:sz w:val="18"/>
                <w:szCs w:val="18"/>
              </w:rPr>
              <w:t>Group 2</w:t>
            </w:r>
          </w:p>
        </w:tc>
        <w:tc>
          <w:tcPr>
            <w:tcW w:w="523" w:type="pct"/>
            <w:tcBorders>
              <w:top w:val="single" w:sz="2" w:space="0" w:color="auto"/>
              <w:left w:val="single" w:sz="2" w:space="0" w:color="auto"/>
              <w:bottom w:val="single" w:sz="2" w:space="0" w:color="auto"/>
              <w:right w:val="single" w:sz="2" w:space="0" w:color="auto"/>
            </w:tcBorders>
            <w:vAlign w:val="center"/>
          </w:tcPr>
          <w:p w:rsidR="00D1067E" w:rsidRPr="004C6514" w:rsidRDefault="00D1067E" w:rsidP="00087AE2">
            <w:pPr>
              <w:keepNext/>
              <w:spacing w:after="0"/>
              <w:jc w:val="left"/>
              <w:rPr>
                <w:rFonts w:ascii="Times" w:hAnsi="Times"/>
                <w:b/>
                <w:sz w:val="18"/>
              </w:rPr>
            </w:pPr>
            <w:r w:rsidRPr="004C6514">
              <w:rPr>
                <w:rFonts w:ascii="Times" w:hAnsi="Times"/>
                <w:b/>
                <w:sz w:val="18"/>
              </w:rPr>
              <w:t>2017</w:t>
            </w:r>
          </w:p>
        </w:tc>
        <w:tc>
          <w:tcPr>
            <w:tcW w:w="696" w:type="pct"/>
            <w:tcBorders>
              <w:top w:val="single" w:sz="2" w:space="0" w:color="auto"/>
              <w:left w:val="single" w:sz="2" w:space="0" w:color="auto"/>
              <w:bottom w:val="single" w:sz="2" w:space="0" w:color="auto"/>
              <w:right w:val="single" w:sz="2" w:space="0" w:color="auto"/>
            </w:tcBorders>
            <w:vAlign w:val="center"/>
          </w:tcPr>
          <w:p w:rsidR="00D1067E" w:rsidRDefault="00D1067E" w:rsidP="00D1067E">
            <w:pPr>
              <w:keepNext/>
              <w:spacing w:after="0"/>
              <w:jc w:val="center"/>
              <w:rPr>
                <w:rFonts w:ascii="Times" w:hAnsi="Times"/>
                <w:sz w:val="18"/>
              </w:rPr>
            </w:pPr>
            <w:r>
              <w:rPr>
                <w:rFonts w:ascii="Times" w:hAnsi="Times"/>
                <w:sz w:val="18"/>
              </w:rPr>
              <w:t>[0-5]</w:t>
            </w:r>
            <w:r w:rsidRPr="004F4BE3">
              <w:rPr>
                <w:rFonts w:ascii="Times" w:hAnsi="Times"/>
                <w:sz w:val="18"/>
              </w:rPr>
              <w:t>%</w:t>
            </w:r>
          </w:p>
          <w:p w:rsidR="00D1067E" w:rsidRPr="00B6607C" w:rsidRDefault="00D1067E" w:rsidP="00D1067E">
            <w:pPr>
              <w:keepNext/>
              <w:spacing w:after="0"/>
              <w:jc w:val="center"/>
              <w:rPr>
                <w:rFonts w:ascii="Times" w:hAnsi="Times"/>
                <w:sz w:val="18"/>
                <w:szCs w:val="18"/>
              </w:rPr>
            </w:pPr>
            <w:r w:rsidRPr="004F4BE3">
              <w:rPr>
                <w:rFonts w:ascii="Times" w:hAnsi="Times"/>
                <w:sz w:val="18"/>
              </w:rPr>
              <w:t>/</w:t>
            </w:r>
            <w:r>
              <w:rPr>
                <w:rFonts w:ascii="Times" w:hAnsi="Times"/>
                <w:sz w:val="18"/>
              </w:rPr>
              <w:t>[0-5]</w:t>
            </w:r>
            <w:r w:rsidRPr="004F4BE3">
              <w:rPr>
                <w:rFonts w:ascii="Times" w:hAnsi="Times"/>
                <w:sz w:val="18"/>
              </w:rPr>
              <w:t xml:space="preserve">1% </w:t>
            </w:r>
          </w:p>
        </w:tc>
        <w:tc>
          <w:tcPr>
            <w:tcW w:w="609"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rsidP="00D1067E">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696"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738"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rsidP="00D3370B">
            <w:pPr>
              <w:keepNext/>
              <w:spacing w:after="0"/>
              <w:jc w:val="center"/>
              <w:rPr>
                <w:rFonts w:ascii="Times" w:hAnsi="Times"/>
                <w:sz w:val="18"/>
                <w:szCs w:val="18"/>
              </w:rPr>
            </w:pPr>
            <w:r w:rsidRPr="00157C91">
              <w:rPr>
                <w:rFonts w:ascii="Times" w:hAnsi="Times"/>
                <w:sz w:val="18"/>
                <w:szCs w:val="18"/>
              </w:rPr>
              <w:t xml:space="preserve">At least </w:t>
            </w:r>
            <w:r>
              <w:rPr>
                <w:rFonts w:ascii="Times" w:hAnsi="Times"/>
                <w:sz w:val="18"/>
                <w:szCs w:val="18"/>
              </w:rPr>
              <w:t>3</w:t>
            </w:r>
          </w:p>
        </w:tc>
      </w:tr>
      <w:tr w:rsidR="00D1067E" w:rsidRPr="00AD3737" w:rsidTr="00243245">
        <w:trPr>
          <w:trHeight w:val="345"/>
        </w:trPr>
        <w:tc>
          <w:tcPr>
            <w:tcW w:w="608" w:type="pct"/>
            <w:vMerge/>
            <w:tcBorders>
              <w:top w:val="single" w:sz="2" w:space="0" w:color="auto"/>
              <w:left w:val="single" w:sz="2" w:space="0" w:color="auto"/>
              <w:bottom w:val="single" w:sz="2" w:space="0" w:color="auto"/>
              <w:right w:val="single" w:sz="2" w:space="0" w:color="auto"/>
            </w:tcBorders>
            <w:vAlign w:val="center"/>
          </w:tcPr>
          <w:p w:rsidR="00D1067E" w:rsidRPr="00420413" w:rsidRDefault="00D1067E" w:rsidP="00087AE2">
            <w:pPr>
              <w:keepNext/>
              <w:spacing w:after="0"/>
              <w:jc w:val="center"/>
              <w:rPr>
                <w:rFonts w:ascii="Times" w:hAnsi="Times"/>
                <w:i/>
                <w:sz w:val="18"/>
                <w:szCs w:val="18"/>
              </w:rPr>
            </w:pPr>
          </w:p>
        </w:tc>
        <w:tc>
          <w:tcPr>
            <w:tcW w:w="696" w:type="pct"/>
            <w:vMerge/>
            <w:tcBorders>
              <w:top w:val="single" w:sz="2" w:space="0" w:color="auto"/>
              <w:left w:val="single" w:sz="2" w:space="0" w:color="auto"/>
              <w:bottom w:val="single" w:sz="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p>
        </w:tc>
        <w:tc>
          <w:tcPr>
            <w:tcW w:w="434" w:type="pct"/>
            <w:vMerge/>
            <w:tcBorders>
              <w:top w:val="single" w:sz="2" w:space="0" w:color="auto"/>
              <w:left w:val="single" w:sz="2" w:space="0" w:color="auto"/>
              <w:bottom w:val="single" w:sz="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rsidR="00D1067E" w:rsidRPr="004C6514" w:rsidRDefault="00D1067E" w:rsidP="00087AE2">
            <w:pPr>
              <w:keepNext/>
              <w:spacing w:after="0"/>
              <w:jc w:val="left"/>
              <w:rPr>
                <w:rFonts w:ascii="Times" w:hAnsi="Times"/>
                <w:b/>
                <w:sz w:val="18"/>
              </w:rPr>
            </w:pPr>
            <w:r w:rsidRPr="004C6514">
              <w:rPr>
                <w:rFonts w:ascii="Times" w:hAnsi="Times"/>
                <w:b/>
                <w:sz w:val="18"/>
              </w:rPr>
              <w:t>2016</w:t>
            </w:r>
          </w:p>
        </w:tc>
        <w:tc>
          <w:tcPr>
            <w:tcW w:w="696" w:type="pct"/>
            <w:tcBorders>
              <w:top w:val="single" w:sz="2" w:space="0" w:color="auto"/>
              <w:left w:val="single" w:sz="2" w:space="0" w:color="auto"/>
              <w:bottom w:val="single" w:sz="2" w:space="0" w:color="auto"/>
              <w:right w:val="single" w:sz="2" w:space="0" w:color="auto"/>
            </w:tcBorders>
            <w:vAlign w:val="center"/>
          </w:tcPr>
          <w:p w:rsidR="00D1067E" w:rsidRDefault="00D1067E" w:rsidP="00D1067E">
            <w:pPr>
              <w:keepNext/>
              <w:spacing w:after="0"/>
              <w:jc w:val="center"/>
              <w:rPr>
                <w:rFonts w:ascii="Times" w:hAnsi="Times"/>
                <w:sz w:val="18"/>
              </w:rPr>
            </w:pPr>
            <w:r>
              <w:rPr>
                <w:rFonts w:ascii="Times" w:hAnsi="Times"/>
                <w:sz w:val="18"/>
              </w:rPr>
              <w:t>[0-5]</w:t>
            </w:r>
            <w:r w:rsidRPr="004F4BE3">
              <w:rPr>
                <w:rFonts w:ascii="Times" w:hAnsi="Times"/>
                <w:sz w:val="18"/>
              </w:rPr>
              <w:t>%</w:t>
            </w:r>
          </w:p>
          <w:p w:rsidR="00D1067E" w:rsidRPr="00B6607C" w:rsidRDefault="00D1067E" w:rsidP="00087AE2">
            <w:pPr>
              <w:keepNext/>
              <w:spacing w:after="0"/>
              <w:jc w:val="center"/>
              <w:rPr>
                <w:rFonts w:ascii="Times" w:hAnsi="Times"/>
                <w:sz w:val="18"/>
                <w:szCs w:val="18"/>
              </w:rPr>
            </w:pPr>
            <w:r w:rsidRPr="004F4BE3">
              <w:rPr>
                <w:rFonts w:ascii="Times" w:hAnsi="Times"/>
                <w:sz w:val="18"/>
              </w:rPr>
              <w:t>/</w:t>
            </w:r>
            <w:r>
              <w:rPr>
                <w:rFonts w:ascii="Times" w:hAnsi="Times"/>
                <w:sz w:val="18"/>
              </w:rPr>
              <w:t>[0-5]</w:t>
            </w:r>
            <w:r w:rsidRPr="004F4BE3">
              <w:rPr>
                <w:rFonts w:ascii="Times" w:hAnsi="Times"/>
                <w:sz w:val="18"/>
              </w:rPr>
              <w:t xml:space="preserve">1% </w:t>
            </w:r>
          </w:p>
        </w:tc>
        <w:tc>
          <w:tcPr>
            <w:tcW w:w="609"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696"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738"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szCs w:val="18"/>
              </w:rPr>
              <w:t>At least 3</w:t>
            </w:r>
          </w:p>
        </w:tc>
      </w:tr>
      <w:tr w:rsidR="00D1067E" w:rsidRPr="00AD3737" w:rsidTr="00243245">
        <w:trPr>
          <w:trHeight w:val="345"/>
        </w:trPr>
        <w:tc>
          <w:tcPr>
            <w:tcW w:w="608" w:type="pct"/>
            <w:vMerge/>
            <w:tcBorders>
              <w:top w:val="single" w:sz="2" w:space="0" w:color="auto"/>
              <w:left w:val="single" w:sz="2" w:space="0" w:color="auto"/>
              <w:bottom w:val="single" w:sz="12" w:space="0" w:color="auto"/>
              <w:right w:val="single" w:sz="2" w:space="0" w:color="auto"/>
            </w:tcBorders>
            <w:vAlign w:val="center"/>
          </w:tcPr>
          <w:p w:rsidR="00D1067E" w:rsidRPr="00420413" w:rsidRDefault="00D1067E" w:rsidP="00087AE2">
            <w:pPr>
              <w:keepNext/>
              <w:spacing w:after="0"/>
              <w:jc w:val="center"/>
              <w:rPr>
                <w:rFonts w:ascii="Times" w:hAnsi="Times"/>
                <w:i/>
                <w:sz w:val="18"/>
                <w:szCs w:val="18"/>
              </w:rPr>
            </w:pPr>
          </w:p>
        </w:tc>
        <w:tc>
          <w:tcPr>
            <w:tcW w:w="696" w:type="pct"/>
            <w:vMerge/>
            <w:tcBorders>
              <w:top w:val="single" w:sz="2" w:space="0" w:color="auto"/>
              <w:left w:val="single" w:sz="2" w:space="0" w:color="auto"/>
              <w:bottom w:val="single" w:sz="1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p>
        </w:tc>
        <w:tc>
          <w:tcPr>
            <w:tcW w:w="434" w:type="pct"/>
            <w:vMerge/>
            <w:tcBorders>
              <w:top w:val="single" w:sz="2" w:space="0" w:color="auto"/>
              <w:left w:val="single" w:sz="2" w:space="0" w:color="auto"/>
              <w:bottom w:val="single" w:sz="1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p>
        </w:tc>
        <w:tc>
          <w:tcPr>
            <w:tcW w:w="523" w:type="pct"/>
            <w:tcBorders>
              <w:top w:val="single" w:sz="2" w:space="0" w:color="auto"/>
              <w:left w:val="single" w:sz="2" w:space="0" w:color="auto"/>
              <w:bottom w:val="single" w:sz="12" w:space="0" w:color="auto"/>
              <w:right w:val="single" w:sz="2" w:space="0" w:color="auto"/>
            </w:tcBorders>
            <w:vAlign w:val="center"/>
          </w:tcPr>
          <w:p w:rsidR="00D1067E" w:rsidRPr="004C6514" w:rsidRDefault="00D1067E" w:rsidP="00087AE2">
            <w:pPr>
              <w:keepNext/>
              <w:spacing w:after="0"/>
              <w:jc w:val="left"/>
              <w:rPr>
                <w:rFonts w:ascii="Times" w:hAnsi="Times"/>
                <w:b/>
                <w:sz w:val="18"/>
              </w:rPr>
            </w:pPr>
            <w:r w:rsidRPr="004C6514">
              <w:rPr>
                <w:rFonts w:ascii="Times" w:hAnsi="Times"/>
                <w:b/>
                <w:sz w:val="18"/>
              </w:rPr>
              <w:t>2015</w:t>
            </w:r>
          </w:p>
        </w:tc>
        <w:tc>
          <w:tcPr>
            <w:tcW w:w="696" w:type="pct"/>
            <w:tcBorders>
              <w:top w:val="single" w:sz="2" w:space="0" w:color="auto"/>
              <w:left w:val="single" w:sz="2" w:space="0" w:color="auto"/>
              <w:bottom w:val="single" w:sz="1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szCs w:val="18"/>
              </w:rPr>
              <w:t>[10-20]%</w:t>
            </w:r>
          </w:p>
        </w:tc>
        <w:tc>
          <w:tcPr>
            <w:tcW w:w="609" w:type="pct"/>
            <w:tcBorders>
              <w:top w:val="single" w:sz="2" w:space="0" w:color="auto"/>
              <w:left w:val="single" w:sz="2" w:space="0" w:color="auto"/>
              <w:bottom w:val="single" w:sz="1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696" w:type="pct"/>
            <w:tcBorders>
              <w:top w:val="single" w:sz="2" w:space="0" w:color="auto"/>
              <w:left w:val="single" w:sz="2" w:space="0" w:color="auto"/>
              <w:bottom w:val="single" w:sz="12" w:space="0" w:color="auto"/>
              <w:right w:val="single" w:sz="2" w:space="0" w:color="auto"/>
            </w:tcBorders>
            <w:vAlign w:val="center"/>
          </w:tcPr>
          <w:p w:rsidR="00D1067E" w:rsidRPr="00B6607C" w:rsidRDefault="00D1067E" w:rsidP="00D1067E">
            <w:pPr>
              <w:keepNext/>
              <w:spacing w:after="0"/>
              <w:jc w:val="center"/>
              <w:rPr>
                <w:rFonts w:ascii="Times" w:hAnsi="Times"/>
                <w:sz w:val="18"/>
                <w:szCs w:val="18"/>
              </w:rPr>
            </w:pPr>
            <w:r>
              <w:rPr>
                <w:rFonts w:ascii="Times" w:hAnsi="Times"/>
                <w:sz w:val="18"/>
                <w:szCs w:val="18"/>
              </w:rPr>
              <w:t>[30-40]% /[50-60]%</w:t>
            </w:r>
          </w:p>
        </w:tc>
        <w:tc>
          <w:tcPr>
            <w:tcW w:w="738" w:type="pct"/>
            <w:tcBorders>
              <w:top w:val="single" w:sz="2" w:space="0" w:color="auto"/>
              <w:left w:val="single" w:sz="2" w:space="0" w:color="auto"/>
              <w:bottom w:val="single" w:sz="12" w:space="0" w:color="auto"/>
              <w:right w:val="single" w:sz="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szCs w:val="18"/>
              </w:rPr>
              <w:t>At least 3</w:t>
            </w:r>
          </w:p>
        </w:tc>
      </w:tr>
      <w:tr w:rsidR="00D1067E" w:rsidRPr="00AD3737" w:rsidTr="00243245">
        <w:trPr>
          <w:trHeight w:val="345"/>
        </w:trPr>
        <w:tc>
          <w:tcPr>
            <w:tcW w:w="608" w:type="pct"/>
            <w:vMerge w:val="restart"/>
            <w:tcBorders>
              <w:top w:val="single" w:sz="12" w:space="0" w:color="auto"/>
            </w:tcBorders>
            <w:vAlign w:val="center"/>
          </w:tcPr>
          <w:p w:rsidR="00D1067E" w:rsidRPr="00420413" w:rsidRDefault="00D1067E" w:rsidP="00087AE2">
            <w:pPr>
              <w:keepNext/>
              <w:spacing w:after="0"/>
              <w:jc w:val="center"/>
              <w:rPr>
                <w:rFonts w:ascii="Times" w:hAnsi="Times"/>
                <w:i/>
                <w:sz w:val="18"/>
                <w:szCs w:val="18"/>
              </w:rPr>
            </w:pPr>
            <w:r>
              <w:rPr>
                <w:rFonts w:ascii="Times" w:hAnsi="Times"/>
                <w:sz w:val="18"/>
                <w:szCs w:val="18"/>
              </w:rPr>
              <w:t>Ascorbic Acid</w:t>
            </w:r>
          </w:p>
        </w:tc>
        <w:tc>
          <w:tcPr>
            <w:tcW w:w="696" w:type="pct"/>
            <w:vMerge w:val="restart"/>
            <w:tcBorders>
              <w:top w:val="single" w:sz="1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szCs w:val="18"/>
              </w:rPr>
              <w:t>Ascorbic Acid Based Vitamin C Products</w:t>
            </w:r>
          </w:p>
        </w:tc>
        <w:tc>
          <w:tcPr>
            <w:tcW w:w="434" w:type="pct"/>
            <w:vMerge w:val="restart"/>
            <w:tcBorders>
              <w:top w:val="single" w:sz="1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szCs w:val="18"/>
              </w:rPr>
              <w:t>Group 2</w:t>
            </w:r>
          </w:p>
        </w:tc>
        <w:tc>
          <w:tcPr>
            <w:tcW w:w="523" w:type="pct"/>
            <w:tcBorders>
              <w:top w:val="single" w:sz="12" w:space="0" w:color="auto"/>
            </w:tcBorders>
            <w:vAlign w:val="center"/>
          </w:tcPr>
          <w:p w:rsidR="00D1067E" w:rsidRPr="004C6514" w:rsidRDefault="00D1067E" w:rsidP="00087AE2">
            <w:pPr>
              <w:keepNext/>
              <w:spacing w:after="0"/>
              <w:jc w:val="left"/>
              <w:rPr>
                <w:rFonts w:ascii="Times" w:hAnsi="Times"/>
                <w:b/>
                <w:sz w:val="18"/>
              </w:rPr>
            </w:pPr>
            <w:r w:rsidRPr="004C6514">
              <w:rPr>
                <w:rFonts w:ascii="Times" w:hAnsi="Times"/>
                <w:b/>
                <w:sz w:val="18"/>
              </w:rPr>
              <w:t>2017</w:t>
            </w:r>
          </w:p>
        </w:tc>
        <w:tc>
          <w:tcPr>
            <w:tcW w:w="696" w:type="pct"/>
            <w:tcBorders>
              <w:top w:val="single" w:sz="12" w:space="0" w:color="auto"/>
            </w:tcBorders>
            <w:vAlign w:val="center"/>
          </w:tcPr>
          <w:p w:rsidR="00D1067E" w:rsidRDefault="00D1067E" w:rsidP="00D1067E">
            <w:pPr>
              <w:keepNext/>
              <w:spacing w:after="0"/>
              <w:jc w:val="center"/>
              <w:rPr>
                <w:rFonts w:ascii="Times" w:hAnsi="Times"/>
                <w:sz w:val="18"/>
              </w:rPr>
            </w:pPr>
            <w:r>
              <w:rPr>
                <w:rFonts w:ascii="Times" w:hAnsi="Times"/>
                <w:sz w:val="18"/>
              </w:rPr>
              <w:t>[0-5]</w:t>
            </w:r>
            <w:r w:rsidRPr="004F4BE3">
              <w:rPr>
                <w:rFonts w:ascii="Times" w:hAnsi="Times"/>
                <w:sz w:val="18"/>
              </w:rPr>
              <w:t>%</w:t>
            </w:r>
          </w:p>
          <w:p w:rsidR="00D1067E" w:rsidRPr="00B6607C" w:rsidRDefault="00D1067E" w:rsidP="00087AE2">
            <w:pPr>
              <w:keepNext/>
              <w:spacing w:after="0"/>
              <w:jc w:val="center"/>
              <w:rPr>
                <w:rFonts w:ascii="Times" w:hAnsi="Times"/>
                <w:sz w:val="18"/>
                <w:szCs w:val="18"/>
              </w:rPr>
            </w:pPr>
            <w:r w:rsidRPr="004F4BE3">
              <w:rPr>
                <w:rFonts w:ascii="Times" w:hAnsi="Times"/>
                <w:sz w:val="18"/>
              </w:rPr>
              <w:t>/</w:t>
            </w:r>
            <w:r>
              <w:rPr>
                <w:rFonts w:ascii="Times" w:hAnsi="Times"/>
                <w:sz w:val="18"/>
              </w:rPr>
              <w:t>[0-5]</w:t>
            </w:r>
            <w:r w:rsidRPr="004F4BE3">
              <w:rPr>
                <w:rFonts w:ascii="Times" w:hAnsi="Times"/>
                <w:sz w:val="18"/>
              </w:rPr>
              <w:t xml:space="preserve">1% </w:t>
            </w:r>
          </w:p>
        </w:tc>
        <w:tc>
          <w:tcPr>
            <w:tcW w:w="609" w:type="pct"/>
            <w:tcBorders>
              <w:top w:val="single" w:sz="1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696" w:type="pct"/>
            <w:tcBorders>
              <w:top w:val="single" w:sz="12" w:space="0" w:color="auto"/>
            </w:tcBorders>
            <w:vAlign w:val="center"/>
          </w:tcPr>
          <w:p w:rsidR="00D1067E" w:rsidRPr="00B6607C" w:rsidRDefault="00D1067E" w:rsidP="00087AE2">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738" w:type="pct"/>
            <w:tcBorders>
              <w:top w:val="single" w:sz="12" w:space="0" w:color="auto"/>
            </w:tcBorders>
            <w:vAlign w:val="center"/>
          </w:tcPr>
          <w:p w:rsidR="00D1067E" w:rsidRPr="00B6607C" w:rsidRDefault="00D1067E" w:rsidP="00D3370B">
            <w:pPr>
              <w:keepNext/>
              <w:spacing w:after="0"/>
              <w:jc w:val="center"/>
              <w:rPr>
                <w:rFonts w:ascii="Times" w:hAnsi="Times"/>
                <w:sz w:val="18"/>
                <w:szCs w:val="18"/>
              </w:rPr>
            </w:pPr>
            <w:r>
              <w:rPr>
                <w:rFonts w:ascii="Times" w:hAnsi="Times"/>
                <w:sz w:val="18"/>
                <w:szCs w:val="18"/>
              </w:rPr>
              <w:t>At least 3</w:t>
            </w:r>
          </w:p>
        </w:tc>
      </w:tr>
      <w:tr w:rsidR="00D1067E" w:rsidRPr="00AD3737" w:rsidTr="00462E47">
        <w:trPr>
          <w:trHeight w:val="345"/>
        </w:trPr>
        <w:tc>
          <w:tcPr>
            <w:tcW w:w="608" w:type="pct"/>
            <w:vMerge/>
            <w:vAlign w:val="center"/>
          </w:tcPr>
          <w:p w:rsidR="00D1067E" w:rsidRPr="00420413" w:rsidRDefault="00D1067E" w:rsidP="00087AE2">
            <w:pPr>
              <w:keepNext/>
              <w:spacing w:after="0"/>
              <w:jc w:val="center"/>
              <w:rPr>
                <w:rFonts w:ascii="Times" w:hAnsi="Times"/>
                <w:i/>
                <w:sz w:val="18"/>
                <w:szCs w:val="18"/>
              </w:rPr>
            </w:pPr>
          </w:p>
        </w:tc>
        <w:tc>
          <w:tcPr>
            <w:tcW w:w="696" w:type="pct"/>
            <w:vMerge/>
            <w:vAlign w:val="center"/>
          </w:tcPr>
          <w:p w:rsidR="00D1067E" w:rsidRPr="00B6607C" w:rsidRDefault="00D1067E" w:rsidP="00087AE2">
            <w:pPr>
              <w:keepNext/>
              <w:spacing w:after="0"/>
              <w:jc w:val="center"/>
              <w:rPr>
                <w:rFonts w:ascii="Times" w:hAnsi="Times"/>
                <w:sz w:val="18"/>
                <w:szCs w:val="18"/>
              </w:rPr>
            </w:pPr>
          </w:p>
        </w:tc>
        <w:tc>
          <w:tcPr>
            <w:tcW w:w="434" w:type="pct"/>
            <w:vMerge/>
            <w:vAlign w:val="center"/>
          </w:tcPr>
          <w:p w:rsidR="00D1067E" w:rsidRPr="00B6607C" w:rsidRDefault="00D1067E" w:rsidP="00087AE2">
            <w:pPr>
              <w:keepNext/>
              <w:spacing w:after="0"/>
              <w:jc w:val="center"/>
              <w:rPr>
                <w:rFonts w:ascii="Times" w:hAnsi="Times"/>
                <w:sz w:val="18"/>
                <w:szCs w:val="18"/>
              </w:rPr>
            </w:pPr>
          </w:p>
        </w:tc>
        <w:tc>
          <w:tcPr>
            <w:tcW w:w="523" w:type="pct"/>
            <w:vAlign w:val="center"/>
          </w:tcPr>
          <w:p w:rsidR="00D1067E" w:rsidRPr="004C6514" w:rsidRDefault="00D1067E" w:rsidP="00087AE2">
            <w:pPr>
              <w:keepNext/>
              <w:spacing w:after="0"/>
              <w:jc w:val="left"/>
              <w:rPr>
                <w:rFonts w:ascii="Times" w:hAnsi="Times"/>
                <w:b/>
                <w:sz w:val="18"/>
              </w:rPr>
            </w:pPr>
            <w:r w:rsidRPr="004C6514">
              <w:rPr>
                <w:rFonts w:ascii="Times" w:hAnsi="Times"/>
                <w:b/>
                <w:sz w:val="18"/>
              </w:rPr>
              <w:t>2016</w:t>
            </w:r>
          </w:p>
        </w:tc>
        <w:tc>
          <w:tcPr>
            <w:tcW w:w="696" w:type="pct"/>
            <w:vAlign w:val="center"/>
          </w:tcPr>
          <w:p w:rsidR="00D1067E" w:rsidRDefault="00D1067E" w:rsidP="00D1067E">
            <w:pPr>
              <w:keepNext/>
              <w:spacing w:after="0"/>
              <w:jc w:val="center"/>
              <w:rPr>
                <w:rFonts w:ascii="Times" w:hAnsi="Times"/>
                <w:sz w:val="18"/>
              </w:rPr>
            </w:pPr>
            <w:r>
              <w:rPr>
                <w:rFonts w:ascii="Times" w:hAnsi="Times"/>
                <w:sz w:val="18"/>
              </w:rPr>
              <w:t>[0-5]</w:t>
            </w:r>
            <w:r w:rsidRPr="004F4BE3">
              <w:rPr>
                <w:rFonts w:ascii="Times" w:hAnsi="Times"/>
                <w:sz w:val="18"/>
              </w:rPr>
              <w:t>%</w:t>
            </w:r>
          </w:p>
          <w:p w:rsidR="00D1067E" w:rsidRPr="00B6607C" w:rsidRDefault="00D1067E" w:rsidP="00087AE2">
            <w:pPr>
              <w:keepNext/>
              <w:spacing w:after="0"/>
              <w:jc w:val="center"/>
              <w:rPr>
                <w:rFonts w:ascii="Times" w:hAnsi="Times"/>
                <w:sz w:val="18"/>
                <w:szCs w:val="18"/>
              </w:rPr>
            </w:pPr>
            <w:r w:rsidRPr="004F4BE3">
              <w:rPr>
                <w:rFonts w:ascii="Times" w:hAnsi="Times"/>
                <w:sz w:val="18"/>
              </w:rPr>
              <w:t>/</w:t>
            </w:r>
            <w:r>
              <w:rPr>
                <w:rFonts w:ascii="Times" w:hAnsi="Times"/>
                <w:sz w:val="18"/>
              </w:rPr>
              <w:t>[0-5]</w:t>
            </w:r>
            <w:r w:rsidRPr="004F4BE3">
              <w:rPr>
                <w:rFonts w:ascii="Times" w:hAnsi="Times"/>
                <w:sz w:val="18"/>
              </w:rPr>
              <w:t xml:space="preserve">1% </w:t>
            </w:r>
          </w:p>
        </w:tc>
        <w:tc>
          <w:tcPr>
            <w:tcW w:w="609" w:type="pct"/>
            <w:vAlign w:val="center"/>
          </w:tcPr>
          <w:p w:rsidR="00D1067E" w:rsidRPr="00B6607C" w:rsidRDefault="00D1067E" w:rsidP="00087AE2">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696" w:type="pct"/>
            <w:vAlign w:val="center"/>
          </w:tcPr>
          <w:p w:rsidR="00D1067E" w:rsidRPr="00B6607C" w:rsidRDefault="00D1067E" w:rsidP="00087AE2">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738" w:type="pct"/>
            <w:vAlign w:val="center"/>
          </w:tcPr>
          <w:p w:rsidR="00D1067E" w:rsidRPr="00B6607C" w:rsidRDefault="00D1067E" w:rsidP="00087AE2">
            <w:pPr>
              <w:keepNext/>
              <w:spacing w:after="0"/>
              <w:jc w:val="center"/>
              <w:rPr>
                <w:rFonts w:ascii="Times" w:hAnsi="Times"/>
                <w:sz w:val="18"/>
                <w:szCs w:val="18"/>
              </w:rPr>
            </w:pPr>
            <w:r>
              <w:rPr>
                <w:rFonts w:ascii="Times" w:hAnsi="Times"/>
                <w:sz w:val="18"/>
                <w:szCs w:val="18"/>
              </w:rPr>
              <w:t>At least 3</w:t>
            </w:r>
          </w:p>
        </w:tc>
      </w:tr>
      <w:tr w:rsidR="00D1067E" w:rsidRPr="00AD3737" w:rsidTr="00462E47">
        <w:trPr>
          <w:trHeight w:val="345"/>
        </w:trPr>
        <w:tc>
          <w:tcPr>
            <w:tcW w:w="608" w:type="pct"/>
            <w:vMerge/>
            <w:vAlign w:val="center"/>
          </w:tcPr>
          <w:p w:rsidR="00D1067E" w:rsidRPr="00420413" w:rsidRDefault="00D1067E" w:rsidP="00087AE2">
            <w:pPr>
              <w:keepNext/>
              <w:spacing w:after="0"/>
              <w:jc w:val="center"/>
              <w:rPr>
                <w:rFonts w:ascii="Times" w:hAnsi="Times"/>
                <w:i/>
                <w:sz w:val="18"/>
                <w:szCs w:val="18"/>
              </w:rPr>
            </w:pPr>
          </w:p>
        </w:tc>
        <w:tc>
          <w:tcPr>
            <w:tcW w:w="696" w:type="pct"/>
            <w:vMerge/>
            <w:vAlign w:val="center"/>
          </w:tcPr>
          <w:p w:rsidR="00D1067E" w:rsidRPr="00B6607C" w:rsidRDefault="00D1067E" w:rsidP="00087AE2">
            <w:pPr>
              <w:keepNext/>
              <w:spacing w:after="0"/>
              <w:jc w:val="center"/>
              <w:rPr>
                <w:rFonts w:ascii="Times" w:hAnsi="Times"/>
                <w:sz w:val="18"/>
                <w:szCs w:val="18"/>
              </w:rPr>
            </w:pPr>
          </w:p>
        </w:tc>
        <w:tc>
          <w:tcPr>
            <w:tcW w:w="434" w:type="pct"/>
            <w:vMerge/>
            <w:vAlign w:val="center"/>
          </w:tcPr>
          <w:p w:rsidR="00D1067E" w:rsidRPr="00B6607C" w:rsidRDefault="00D1067E" w:rsidP="00087AE2">
            <w:pPr>
              <w:keepNext/>
              <w:spacing w:after="0"/>
              <w:jc w:val="center"/>
              <w:rPr>
                <w:rFonts w:ascii="Times" w:hAnsi="Times"/>
                <w:sz w:val="18"/>
                <w:szCs w:val="18"/>
              </w:rPr>
            </w:pPr>
          </w:p>
        </w:tc>
        <w:tc>
          <w:tcPr>
            <w:tcW w:w="523" w:type="pct"/>
            <w:vAlign w:val="center"/>
          </w:tcPr>
          <w:p w:rsidR="00D1067E" w:rsidRPr="004C6514" w:rsidRDefault="00D1067E" w:rsidP="00087AE2">
            <w:pPr>
              <w:keepNext/>
              <w:spacing w:after="0"/>
              <w:jc w:val="left"/>
              <w:rPr>
                <w:rFonts w:ascii="Times" w:hAnsi="Times"/>
                <w:b/>
                <w:sz w:val="18"/>
              </w:rPr>
            </w:pPr>
            <w:r w:rsidRPr="004C6514">
              <w:rPr>
                <w:rFonts w:ascii="Times" w:hAnsi="Times"/>
                <w:b/>
                <w:sz w:val="18"/>
              </w:rPr>
              <w:t>2015</w:t>
            </w:r>
          </w:p>
        </w:tc>
        <w:tc>
          <w:tcPr>
            <w:tcW w:w="696" w:type="pct"/>
            <w:vAlign w:val="center"/>
          </w:tcPr>
          <w:p w:rsidR="00D1067E" w:rsidRPr="00B6607C" w:rsidRDefault="00D1067E" w:rsidP="00D1067E">
            <w:pPr>
              <w:keepNext/>
              <w:spacing w:after="0"/>
              <w:jc w:val="center"/>
              <w:rPr>
                <w:rFonts w:ascii="Times" w:hAnsi="Times"/>
                <w:sz w:val="18"/>
                <w:szCs w:val="18"/>
              </w:rPr>
            </w:pPr>
            <w:r>
              <w:rPr>
                <w:rFonts w:ascii="Times" w:hAnsi="Times"/>
                <w:sz w:val="18"/>
                <w:szCs w:val="18"/>
              </w:rPr>
              <w:t>[10-20]% /[0-5]%</w:t>
            </w:r>
          </w:p>
        </w:tc>
        <w:tc>
          <w:tcPr>
            <w:tcW w:w="609" w:type="pct"/>
            <w:vAlign w:val="center"/>
          </w:tcPr>
          <w:p w:rsidR="00D1067E" w:rsidRPr="00B6607C" w:rsidRDefault="00D1067E" w:rsidP="00087AE2">
            <w:pPr>
              <w:keepNext/>
              <w:spacing w:after="0"/>
              <w:jc w:val="center"/>
              <w:rPr>
                <w:rFonts w:ascii="Times" w:hAnsi="Times"/>
                <w:sz w:val="18"/>
                <w:szCs w:val="18"/>
              </w:rPr>
            </w:pPr>
            <w:r>
              <w:rPr>
                <w:rFonts w:ascii="Times" w:hAnsi="Times"/>
                <w:sz w:val="18"/>
              </w:rPr>
              <w:t>[20-30]</w:t>
            </w:r>
            <w:r w:rsidRPr="004F4BE3">
              <w:rPr>
                <w:rFonts w:ascii="Times" w:hAnsi="Times"/>
                <w:sz w:val="18"/>
              </w:rPr>
              <w:t>%</w:t>
            </w:r>
            <w:r>
              <w:rPr>
                <w:rFonts w:ascii="Times" w:hAnsi="Times"/>
                <w:sz w:val="18"/>
              </w:rPr>
              <w:t xml:space="preserve"> </w:t>
            </w:r>
            <w:r w:rsidRPr="004F4BE3">
              <w:rPr>
                <w:rFonts w:ascii="Times" w:hAnsi="Times"/>
                <w:sz w:val="18"/>
              </w:rPr>
              <w:t>/</w:t>
            </w:r>
            <w:r>
              <w:rPr>
                <w:rFonts w:ascii="Times" w:hAnsi="Times"/>
                <w:sz w:val="18"/>
              </w:rPr>
              <w:t>[50-60]</w:t>
            </w:r>
            <w:r w:rsidRPr="004F4BE3">
              <w:rPr>
                <w:rFonts w:ascii="Times" w:hAnsi="Times"/>
                <w:sz w:val="18"/>
              </w:rPr>
              <w:t>%</w:t>
            </w:r>
          </w:p>
        </w:tc>
        <w:tc>
          <w:tcPr>
            <w:tcW w:w="696" w:type="pct"/>
            <w:vAlign w:val="center"/>
          </w:tcPr>
          <w:p w:rsidR="00D1067E" w:rsidRPr="00B6607C" w:rsidRDefault="00D1067E" w:rsidP="00087AE2">
            <w:pPr>
              <w:keepNext/>
              <w:spacing w:after="0"/>
              <w:jc w:val="center"/>
              <w:rPr>
                <w:rFonts w:ascii="Times" w:hAnsi="Times"/>
                <w:sz w:val="18"/>
                <w:szCs w:val="18"/>
              </w:rPr>
            </w:pPr>
            <w:r>
              <w:rPr>
                <w:rFonts w:ascii="Times" w:hAnsi="Times"/>
                <w:sz w:val="18"/>
                <w:szCs w:val="18"/>
              </w:rPr>
              <w:t>[30-40]% /[50-60]%</w:t>
            </w:r>
          </w:p>
        </w:tc>
        <w:tc>
          <w:tcPr>
            <w:tcW w:w="738" w:type="pct"/>
            <w:vAlign w:val="center"/>
          </w:tcPr>
          <w:p w:rsidR="00D1067E" w:rsidRPr="00B6607C" w:rsidRDefault="00D1067E" w:rsidP="00087AE2">
            <w:pPr>
              <w:keepNext/>
              <w:spacing w:after="0"/>
              <w:jc w:val="center"/>
              <w:rPr>
                <w:rFonts w:ascii="Times" w:hAnsi="Times"/>
                <w:sz w:val="18"/>
                <w:szCs w:val="18"/>
              </w:rPr>
            </w:pPr>
            <w:r>
              <w:rPr>
                <w:rFonts w:ascii="Times" w:hAnsi="Times"/>
                <w:sz w:val="18"/>
                <w:szCs w:val="18"/>
              </w:rPr>
              <w:t>At least 3</w:t>
            </w:r>
          </w:p>
        </w:tc>
      </w:tr>
    </w:tbl>
    <w:p w:rsidR="002D7FBB" w:rsidRDefault="002D7FBB" w:rsidP="001436EE">
      <w:pPr>
        <w:pStyle w:val="ListNumber"/>
        <w:numPr>
          <w:ilvl w:val="0"/>
          <w:numId w:val="0"/>
        </w:numPr>
        <w:spacing w:after="0"/>
        <w:rPr>
          <w:rFonts w:eastAsia="Calibri"/>
        </w:rPr>
      </w:pPr>
    </w:p>
    <w:p w:rsidR="0085160A" w:rsidRDefault="00B91E12" w:rsidP="00D37B09">
      <w:pPr>
        <w:pStyle w:val="ListNumber"/>
      </w:pPr>
      <w:r>
        <w:t>In 2017, t</w:t>
      </w:r>
      <w:r w:rsidR="00D37B09">
        <w:t xml:space="preserve">he Parties' combined share is </w:t>
      </w:r>
      <w:r w:rsidR="00D1067E">
        <w:t>[20-30]</w:t>
      </w:r>
      <w:r w:rsidR="00D37B09">
        <w:t xml:space="preserve">% in value and </w:t>
      </w:r>
      <w:r w:rsidR="00D1067E">
        <w:t>[50-60]</w:t>
      </w:r>
      <w:r w:rsidR="00D37B09">
        <w:t xml:space="preserve">% in volume at ATC </w:t>
      </w:r>
      <w:r w:rsidR="003A78A2">
        <w:t xml:space="preserve">4 </w:t>
      </w:r>
      <w:r w:rsidR="00D37B09">
        <w:t xml:space="preserve">class level and </w:t>
      </w:r>
      <w:r w:rsidR="00D1067E">
        <w:t>[20-30]</w:t>
      </w:r>
      <w:r w:rsidR="00D37B09">
        <w:t xml:space="preserve">% in value and </w:t>
      </w:r>
      <w:r w:rsidR="00D1067E">
        <w:t>[50-60]</w:t>
      </w:r>
      <w:r w:rsidR="00D37B09">
        <w:t xml:space="preserve">% in volume at the molecule level.  In both market segmentations, the share increment that Teva contributes will be very limited (less than </w:t>
      </w:r>
      <w:r w:rsidR="00D1067E">
        <w:t>[0-5]</w:t>
      </w:r>
      <w:r w:rsidR="00D37B09">
        <w:t xml:space="preserve">% in both value and volume).  The HHI delta is below 150. </w:t>
      </w:r>
      <w:r w:rsidR="003A78A2">
        <w:t xml:space="preserve"> Moreover, Teva's sales have been consistently decreasing over the past 3 years (both in value and volume). </w:t>
      </w:r>
    </w:p>
    <w:p w:rsidR="00D37B09" w:rsidRDefault="00D37B09" w:rsidP="00D37B09">
      <w:pPr>
        <w:pStyle w:val="ListNumber"/>
      </w:pPr>
      <w:r>
        <w:lastRenderedPageBreak/>
        <w:t>Post-Transaction</w:t>
      </w:r>
      <w:r w:rsidR="003A78A2">
        <w:t>,</w:t>
      </w:r>
      <w:r>
        <w:t xml:space="preserve"> the combined entity will continue to face competitive constraints from at least </w:t>
      </w:r>
      <w:r w:rsidR="00D3370B">
        <w:t xml:space="preserve">3 </w:t>
      </w:r>
      <w:r>
        <w:t xml:space="preserve">competitors with a market share </w:t>
      </w:r>
      <w:r w:rsidR="00D3370B">
        <w:t>of</w:t>
      </w:r>
      <w:r w:rsidR="00D3370B" w:rsidRPr="00973614">
        <w:t xml:space="preserve"> 5%</w:t>
      </w:r>
      <w:r w:rsidR="00D3370B">
        <w:t xml:space="preserve"> or more</w:t>
      </w:r>
      <w:r>
        <w:t xml:space="preserve"> in </w:t>
      </w:r>
      <w:r w:rsidR="00D3370B">
        <w:t xml:space="preserve">both </w:t>
      </w:r>
      <w:r>
        <w:t xml:space="preserve">value </w:t>
      </w:r>
      <w:r w:rsidR="00D3370B">
        <w:t xml:space="preserve">and </w:t>
      </w:r>
      <w:r>
        <w:t>volume.  These players are Merck (</w:t>
      </w:r>
      <w:r w:rsidR="00D1067E">
        <w:t>[30-40]</w:t>
      </w:r>
      <w:r>
        <w:t xml:space="preserve">% in value and </w:t>
      </w:r>
      <w:r w:rsidR="00D1067E">
        <w:t>[10-20]</w:t>
      </w:r>
      <w:r>
        <w:t>% in volume), Hasco (</w:t>
      </w:r>
      <w:r w:rsidR="00D1067E">
        <w:t>[20-30]</w:t>
      </w:r>
      <w:r>
        <w:t xml:space="preserve">% in value and </w:t>
      </w:r>
      <w:r w:rsidR="00D1067E">
        <w:t>[10-20]</w:t>
      </w:r>
      <w:r>
        <w:t xml:space="preserve">% in volume), </w:t>
      </w:r>
      <w:r w:rsidR="00C1482B">
        <w:t xml:space="preserve">and </w:t>
      </w:r>
      <w:r>
        <w:t>GlaxoSmithKline (</w:t>
      </w:r>
      <w:r w:rsidR="00D1067E">
        <w:t>[5-10]</w:t>
      </w:r>
      <w:r>
        <w:t xml:space="preserve">% in value and </w:t>
      </w:r>
      <w:r w:rsidR="00D1067E">
        <w:t>[0-5]</w:t>
      </w:r>
      <w:r>
        <w:t>% in volume)</w:t>
      </w:r>
      <w:r w:rsidR="00C1482B">
        <w:t xml:space="preserve">. </w:t>
      </w:r>
      <w:r>
        <w:t>Menta Pharma, which entered</w:t>
      </w:r>
      <w:r w:rsidR="00C1482B">
        <w:t xml:space="preserve"> the market</w:t>
      </w:r>
      <w:r>
        <w:t xml:space="preserve"> in 2016 </w:t>
      </w:r>
      <w:r w:rsidR="00C1482B">
        <w:t xml:space="preserve">holds </w:t>
      </w:r>
      <w:r w:rsidR="00D1067E">
        <w:t>[0-5]</w:t>
      </w:r>
      <w:r>
        <w:t xml:space="preserve">% in value and </w:t>
      </w:r>
      <w:r w:rsidR="00D1067E">
        <w:t>[0-5]</w:t>
      </w:r>
      <w:r>
        <w:t xml:space="preserve">% in volume. </w:t>
      </w:r>
    </w:p>
    <w:p w:rsidR="00FD6C73" w:rsidRDefault="00FA24E0" w:rsidP="00FD6C73">
      <w:pPr>
        <w:pStyle w:val="ListNumber"/>
      </w:pPr>
      <w:r>
        <w:t xml:space="preserve">In addition, as pointed out by the Notifying Party (see para. </w:t>
      </w:r>
      <w:r>
        <w:fldChar w:fldCharType="begin"/>
      </w:r>
      <w:r>
        <w:instrText xml:space="preserve"> REF _Ref517875452 \r \h </w:instrText>
      </w:r>
      <w:r>
        <w:fldChar w:fldCharType="separate"/>
      </w:r>
      <w:r w:rsidR="00FE3ACD">
        <w:t>(111)</w:t>
      </w:r>
      <w:r>
        <w:fldChar w:fldCharType="end"/>
      </w:r>
      <w:r>
        <w:t>), there seems to be differentiation between the Parties' products in terms of</w:t>
      </w:r>
      <w:r>
        <w:rPr>
          <w:rFonts w:eastAsia="Calibri"/>
          <w:szCs w:val="24"/>
        </w:rPr>
        <w:t xml:space="preserve"> </w:t>
      </w:r>
      <w:r w:rsidR="00D37B09">
        <w:t xml:space="preserve">therapeutic indications </w:t>
      </w:r>
      <w:r>
        <w:t xml:space="preserve">and </w:t>
      </w:r>
      <w:r w:rsidR="003A78A2">
        <w:t xml:space="preserve">galenic forms. </w:t>
      </w:r>
    </w:p>
    <w:p w:rsidR="00FD6C73" w:rsidRDefault="00397023" w:rsidP="00FD6C73">
      <w:pPr>
        <w:pStyle w:val="ListNumber"/>
      </w:pPr>
      <w:r w:rsidRPr="00397023">
        <w:t xml:space="preserve">Finally, the market investigation did not reveal any </w:t>
      </w:r>
      <w:r w:rsidRPr="00F95817">
        <w:rPr>
          <w:rFonts w:eastAsia="Calibri"/>
          <w:szCs w:val="24"/>
        </w:rPr>
        <w:t>competition concerns in</w:t>
      </w:r>
      <w:r w:rsidRPr="00F95817" w:rsidDel="00A2241C">
        <w:rPr>
          <w:rFonts w:ascii="Times" w:eastAsia="Calibri" w:hAnsi="Times"/>
          <w:szCs w:val="24"/>
        </w:rPr>
        <w:t xml:space="preserve"> </w:t>
      </w:r>
      <w:r w:rsidRPr="00A72F2D">
        <w:rPr>
          <w:rFonts w:ascii="Times" w:eastAsia="Calibri" w:hAnsi="Times"/>
          <w:szCs w:val="24"/>
        </w:rPr>
        <w:t xml:space="preserve">relation to </w:t>
      </w:r>
      <w:r w:rsidR="00FD6C73" w:rsidRPr="00420413">
        <w:rPr>
          <w:i/>
        </w:rPr>
        <w:t>ascorbic acid</w:t>
      </w:r>
      <w:r w:rsidR="000E1758">
        <w:t>-</w:t>
      </w:r>
      <w:r w:rsidR="00FD6C73">
        <w:t>based Vitamin C products in Poland</w:t>
      </w:r>
      <w:r w:rsidR="00FD6C73" w:rsidRPr="005B1C96">
        <w:t>.</w:t>
      </w:r>
      <w:r w:rsidR="00FD6C73" w:rsidRPr="004B2EAB">
        <w:rPr>
          <w:rFonts w:ascii="Calibri" w:eastAsia="Calibri" w:hAnsi="Calibri"/>
          <w:sz w:val="20"/>
          <w:vertAlign w:val="superscript"/>
          <w:lang w:val="en-US"/>
        </w:rPr>
        <w:footnoteReference w:id="61"/>
      </w:r>
      <w:r w:rsidRPr="004F4BE3" w:rsidDel="00397023">
        <w:t xml:space="preserve"> </w:t>
      </w:r>
    </w:p>
    <w:p w:rsidR="00FD6C73" w:rsidRPr="003D43D2" w:rsidRDefault="00814F0F" w:rsidP="00FD6C73">
      <w:pPr>
        <w:pStyle w:val="ListNumber"/>
        <w:rPr>
          <w:rFonts w:eastAsia="Calibri"/>
        </w:rPr>
      </w:pPr>
      <w:r w:rsidRPr="00546F00">
        <w:rPr>
          <w:rFonts w:ascii="Times" w:hAnsi="Times"/>
          <w:szCs w:val="24"/>
        </w:rPr>
        <w:t xml:space="preserve">In view of the above, the Commission concludes that </w:t>
      </w:r>
      <w:r>
        <w:rPr>
          <w:rFonts w:ascii="Times" w:hAnsi="Times"/>
          <w:szCs w:val="24"/>
        </w:rPr>
        <w:t xml:space="preserve">the Transaction does not raise serious doubts as to its compatibility with the internal market regarding </w:t>
      </w:r>
      <w:r w:rsidR="00FD6C73">
        <w:t>ascorbic acid based Vitamin C products in Poland</w:t>
      </w:r>
      <w:r w:rsidR="00FD6C73" w:rsidRPr="00546F00">
        <w:t>.</w:t>
      </w:r>
      <w:r w:rsidR="00FD6C73" w:rsidDel="00BF490B">
        <w:t xml:space="preserve"> </w:t>
      </w:r>
    </w:p>
    <w:p w:rsidR="0080226D" w:rsidRPr="0080226D" w:rsidRDefault="0080226D" w:rsidP="00420413">
      <w:pPr>
        <w:pStyle w:val="Heading3"/>
        <w:keepNext w:val="0"/>
        <w:tabs>
          <w:tab w:val="clear" w:pos="1920"/>
          <w:tab w:val="num" w:pos="709"/>
        </w:tabs>
        <w:ind w:left="709" w:hanging="709"/>
      </w:pPr>
      <w:bookmarkStart w:id="200" w:name="_Toc517444593"/>
      <w:bookmarkStart w:id="201" w:name="_Toc517444597"/>
      <w:bookmarkStart w:id="202" w:name="_Toc517444598"/>
      <w:bookmarkStart w:id="203" w:name="_Toc517444599"/>
      <w:bookmarkStart w:id="204" w:name="_Toc517444600"/>
      <w:bookmarkStart w:id="205" w:name="_Toc517444601"/>
      <w:bookmarkStart w:id="206" w:name="_Toc517444602"/>
      <w:bookmarkStart w:id="207" w:name="_Toc517444604"/>
      <w:bookmarkStart w:id="208" w:name="_Toc517444586"/>
      <w:bookmarkStart w:id="209" w:name="_Ref517683787"/>
      <w:bookmarkStart w:id="210" w:name="_Toc517710460"/>
      <w:bookmarkStart w:id="211" w:name="_Toc517812936"/>
      <w:bookmarkStart w:id="212" w:name="_Toc517444605"/>
      <w:bookmarkEnd w:id="200"/>
      <w:bookmarkEnd w:id="201"/>
      <w:bookmarkEnd w:id="202"/>
      <w:bookmarkEnd w:id="203"/>
      <w:bookmarkEnd w:id="204"/>
      <w:bookmarkEnd w:id="205"/>
      <w:bookmarkEnd w:id="206"/>
      <w:bookmarkEnd w:id="207"/>
      <w:r w:rsidRPr="0080226D">
        <w:t>Beclometasone-based topical nasal preparations in Germany</w:t>
      </w:r>
      <w:bookmarkEnd w:id="208"/>
      <w:bookmarkEnd w:id="209"/>
      <w:bookmarkEnd w:id="210"/>
      <w:bookmarkEnd w:id="211"/>
    </w:p>
    <w:p w:rsidR="0080226D" w:rsidRDefault="0080226D" w:rsidP="00420413">
      <w:pPr>
        <w:pStyle w:val="Heading4"/>
        <w:keepNext w:val="0"/>
      </w:pPr>
      <w:bookmarkStart w:id="213" w:name="_Toc517710461"/>
      <w:bookmarkStart w:id="214" w:name="_Toc517812937"/>
      <w:r>
        <w:t>Market Definition</w:t>
      </w:r>
      <w:bookmarkEnd w:id="213"/>
      <w:bookmarkEnd w:id="214"/>
    </w:p>
    <w:p w:rsidR="0080226D" w:rsidRDefault="0080226D" w:rsidP="00420413">
      <w:pPr>
        <w:pStyle w:val="ListNumber"/>
      </w:pPr>
      <w:bookmarkStart w:id="215" w:name="_Ref517709472"/>
      <w:r>
        <w:t>Topical nasal preparations are categorized in ATC 3 class R1A</w:t>
      </w:r>
      <w:r w:rsidR="00657DAB">
        <w:t xml:space="preserve"> (topical nasal preparations)</w:t>
      </w:r>
      <w:r>
        <w:t xml:space="preserve">.  </w:t>
      </w:r>
      <w:r w:rsidRPr="000C05EB">
        <w:t>These products are used for the local treatment of nasal congestion (e.g.</w:t>
      </w:r>
      <w:r>
        <w:t>,</w:t>
      </w:r>
      <w:r w:rsidRPr="000C05EB">
        <w:t xml:space="preserve"> sympathomimetics) or for prophylaxis and treatment of allergic rhinitis (e.g.</w:t>
      </w:r>
      <w:r>
        <w:t>,</w:t>
      </w:r>
      <w:r w:rsidRPr="000C05EB">
        <w:t xml:space="preserve"> corticosteroids, cromoglicate preparations). The ATC3 class R1A is further subdivided into several ATC4 classes on the basis of the drug’s mode of action and composition as follows: R1A1 (Nasal corticosteroids without anti-infectives), R1A3 (Nasal corticosteroids with anti-infectives), R1A4 (Nasal anti-infectives without corticosteroids), R1A6 (Nasalantiallergic agents) and R1A7 (Nasal decongestants). All other topical nasal preparations are classified under ATC4 class R1A9.</w:t>
      </w:r>
      <w:bookmarkEnd w:id="215"/>
    </w:p>
    <w:p w:rsidR="0080226D" w:rsidRDefault="0080226D" w:rsidP="0080226D">
      <w:pPr>
        <w:pStyle w:val="ListNumber"/>
      </w:pPr>
      <w:r>
        <w:t xml:space="preserve">In previous decisions, the Commission </w:t>
      </w:r>
      <w:r w:rsidRPr="000C05EB">
        <w:t>considered but ultimately left open plausible market defi</w:t>
      </w:r>
      <w:r>
        <w:t>nitions based on ATC3 class R1A or based on one or several ATC 4 classes.</w:t>
      </w:r>
      <w:r>
        <w:rPr>
          <w:rStyle w:val="FootnoteReference"/>
        </w:rPr>
        <w:footnoteReference w:id="62"/>
      </w:r>
      <w:r>
        <w:t xml:space="preserve">  </w:t>
      </w:r>
    </w:p>
    <w:p w:rsidR="0080226D" w:rsidRDefault="0080226D" w:rsidP="0080226D">
      <w:pPr>
        <w:pStyle w:val="ListNumber"/>
      </w:pPr>
      <w:bookmarkStart w:id="216" w:name="_Ref517709475"/>
      <w:r>
        <w:t xml:space="preserve">In </w:t>
      </w:r>
      <w:r w:rsidRPr="006E64A3">
        <w:rPr>
          <w:i/>
        </w:rPr>
        <w:t>Sanofi/Boehringer Ingelheim Consumer Healthcare Business</w:t>
      </w:r>
      <w:r>
        <w:t xml:space="preserve">, </w:t>
      </w:r>
      <w:r w:rsidRPr="00FA2643">
        <w:t xml:space="preserve">the Commission also contemplated </w:t>
      </w:r>
      <w:r>
        <w:t>a segmentation</w:t>
      </w:r>
      <w:r w:rsidRPr="00FA2643">
        <w:t xml:space="preserve"> of the relevant product market(s) by </w:t>
      </w:r>
      <w:r>
        <w:t>molecule.  The market investigation in that case indicated that such a market delineation would be inappropriate but the Commission eventually left the open the relevant product market.</w:t>
      </w:r>
      <w:r>
        <w:rPr>
          <w:rStyle w:val="FootnoteReference"/>
        </w:rPr>
        <w:footnoteReference w:id="63"/>
      </w:r>
      <w:r>
        <w:t xml:space="preserve">  The market investigation </w:t>
      </w:r>
      <w:r w:rsidR="002C5DE3">
        <w:t xml:space="preserve">in </w:t>
      </w:r>
      <w:r w:rsidR="00DD3DDA">
        <w:t>the present</w:t>
      </w:r>
      <w:r w:rsidR="002C5DE3">
        <w:t xml:space="preserve"> case also </w:t>
      </w:r>
      <w:r w:rsidR="00C82FE8">
        <w:t>suggested that the relevant product market should not be segmented by molecule</w:t>
      </w:r>
      <w:r>
        <w:t xml:space="preserve">.  Competitors identified several molecules as being substitutable to </w:t>
      </w:r>
      <w:r w:rsidR="001436EE" w:rsidRPr="001436EE">
        <w:rPr>
          <w:i/>
        </w:rPr>
        <w:t>beclometasone</w:t>
      </w:r>
      <w:r>
        <w:t xml:space="preserve"> for the management of nasal symptoms, such as </w:t>
      </w:r>
      <w:r w:rsidRPr="001436EE">
        <w:rPr>
          <w:i/>
        </w:rPr>
        <w:t>mometasone</w:t>
      </w:r>
      <w:r>
        <w:t>.</w:t>
      </w:r>
      <w:r>
        <w:rPr>
          <w:rStyle w:val="FootnoteReference"/>
        </w:rPr>
        <w:footnoteReference w:id="64"/>
      </w:r>
      <w:bookmarkEnd w:id="216"/>
      <w:r>
        <w:t xml:space="preserve"> </w:t>
      </w:r>
    </w:p>
    <w:p w:rsidR="0080226D" w:rsidRPr="00137E60" w:rsidRDefault="0080226D" w:rsidP="0080226D">
      <w:pPr>
        <w:pStyle w:val="ListNumber"/>
      </w:pPr>
      <w:r>
        <w:lastRenderedPageBreak/>
        <w:t xml:space="preserve">The Notifying Party submits that Rx and OTC </w:t>
      </w:r>
      <w:r w:rsidRPr="003B43D2">
        <w:rPr>
          <w:i/>
        </w:rPr>
        <w:t>beclometa</w:t>
      </w:r>
      <w:r w:rsidRPr="00B36641">
        <w:rPr>
          <w:i/>
        </w:rPr>
        <w:t xml:space="preserve">sone </w:t>
      </w:r>
      <w:r>
        <w:t xml:space="preserve">drugs </w:t>
      </w:r>
      <w:r w:rsidR="00947A31">
        <w:t>are not in the same market</w:t>
      </w:r>
      <w:r>
        <w:t xml:space="preserve">. More specifically, the Notifying Party considers that the Rx product has different indications compared to PGT's OTC product. </w:t>
      </w:r>
      <w:r w:rsidR="001C18CB">
        <w:t xml:space="preserve">PGT's product can only be used for the treatment of seasonal allergic rhinitis, while Teva's product is also indicated for perennial (chronic) rhinitis.  </w:t>
      </w:r>
    </w:p>
    <w:p w:rsidR="0080226D" w:rsidRDefault="0080226D" w:rsidP="0080226D">
      <w:pPr>
        <w:pStyle w:val="ListNumber"/>
      </w:pPr>
      <w:r w:rsidRPr="00AC4CB2">
        <w:t>In any event, for the purposes of the present case, the exact market definition can be left open</w:t>
      </w:r>
      <w:r w:rsidR="00CD51E5">
        <w:t xml:space="preserve"> as no</w:t>
      </w:r>
      <w:r>
        <w:t xml:space="preserve"> serious </w:t>
      </w:r>
      <w:r w:rsidRPr="00AC4CB2">
        <w:t xml:space="preserve">doubts arise under </w:t>
      </w:r>
      <w:r w:rsidRPr="00E305BA">
        <w:t>any plausible alternative market definition (namely, at ATC3 or ATC4 level</w:t>
      </w:r>
      <w:r>
        <w:t xml:space="preserve"> or molecule</w:t>
      </w:r>
      <w:r w:rsidRPr="00E305BA">
        <w:t>).</w:t>
      </w:r>
    </w:p>
    <w:p w:rsidR="0080226D" w:rsidRDefault="0080226D" w:rsidP="00CF47FF">
      <w:pPr>
        <w:pStyle w:val="Heading4"/>
        <w:rPr>
          <w:rFonts w:eastAsia="Calibri"/>
        </w:rPr>
      </w:pPr>
      <w:bookmarkStart w:id="217" w:name="_Toc517710462"/>
      <w:bookmarkStart w:id="218" w:name="_Toc517812938"/>
      <w:r w:rsidRPr="0076154C">
        <w:t>Parties'</w:t>
      </w:r>
      <w:r>
        <w:rPr>
          <w:rFonts w:eastAsia="Calibri"/>
        </w:rPr>
        <w:t xml:space="preserve"> Products</w:t>
      </w:r>
      <w:bookmarkEnd w:id="217"/>
      <w:bookmarkEnd w:id="218"/>
    </w:p>
    <w:p w:rsidR="0080226D" w:rsidRPr="003D43D2" w:rsidRDefault="0080226D" w:rsidP="00CF47FF">
      <w:pPr>
        <w:pStyle w:val="ListNumber"/>
        <w:keepNext/>
        <w:rPr>
          <w:rFonts w:eastAsia="Calibri"/>
        </w:rPr>
      </w:pPr>
      <w:r>
        <w:t xml:space="preserve">In Germany, both Parties offer products based on </w:t>
      </w:r>
      <w:r w:rsidRPr="003B43D2">
        <w:rPr>
          <w:i/>
        </w:rPr>
        <w:t>beclometasone</w:t>
      </w:r>
      <w:r>
        <w:t>.  Teva offers Beclometason-Ratio, which is indicated for adults and children above 6 years old and is available on prescription.  PGT offers Ratioallerg, which is indicated for adults and children above 12 years old</w:t>
      </w:r>
      <w:r w:rsidR="00286427">
        <w:t>, and</w:t>
      </w:r>
      <w:r>
        <w:t xml:space="preserve"> is sold OTC. </w:t>
      </w:r>
    </w:p>
    <w:p w:rsidR="0080226D" w:rsidRDefault="0080226D" w:rsidP="0080226D">
      <w:pPr>
        <w:pStyle w:val="Heading4"/>
        <w:rPr>
          <w:rFonts w:eastAsia="Calibri"/>
        </w:rPr>
      </w:pPr>
      <w:bookmarkStart w:id="219" w:name="_Toc517710463"/>
      <w:bookmarkStart w:id="220" w:name="_Toc517812939"/>
      <w:r w:rsidRPr="0076154C">
        <w:t>Competition</w:t>
      </w:r>
      <w:r>
        <w:rPr>
          <w:rFonts w:eastAsia="Calibri"/>
        </w:rPr>
        <w:t xml:space="preserve"> Assessment</w:t>
      </w:r>
      <w:bookmarkEnd w:id="219"/>
      <w:bookmarkEnd w:id="220"/>
    </w:p>
    <w:p w:rsidR="0080226D" w:rsidRDefault="0080226D" w:rsidP="0080226D">
      <w:pPr>
        <w:pStyle w:val="ListNumber"/>
        <w:keepNext/>
      </w:pPr>
      <w:r>
        <w:t>At the ATC</w:t>
      </w:r>
      <w:r w:rsidDel="00617BB4">
        <w:t>4</w:t>
      </w:r>
      <w:r>
        <w:t xml:space="preserve"> level (R1A1), the Transaction does not give rise to an affected market. At the ATC3 level (R1A), the Transaction gives rise to a Group 2 market (based on volume). The Transaction also gives rise to a Group 1 market </w:t>
      </w:r>
      <w:r w:rsidR="00C82FE8">
        <w:t>at the molecule level</w:t>
      </w:r>
      <w:r>
        <w:t xml:space="preserve">. </w:t>
      </w:r>
    </w:p>
    <w:p w:rsidR="0080226D" w:rsidRPr="003D43D2" w:rsidRDefault="0080226D" w:rsidP="0080226D">
      <w:pPr>
        <w:pStyle w:val="ListNumber"/>
        <w:rPr>
          <w:rFonts w:eastAsia="Calibri"/>
        </w:rPr>
      </w:pPr>
      <w:r>
        <w:t>The table below presents the Parties' market shares at the ATC 3 class level and at molecule level</w:t>
      </w:r>
      <w:r w:rsidR="00B91E12">
        <w:t xml:space="preserve"> in 2015-2017</w:t>
      </w:r>
      <w:r>
        <w:t>:</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6"/>
        <w:gridCol w:w="994"/>
        <w:gridCol w:w="1136"/>
        <w:gridCol w:w="1204"/>
      </w:tblGrid>
      <w:tr w:rsidR="00DB4E07" w:rsidRPr="00AD3737" w:rsidTr="00087AE2">
        <w:trPr>
          <w:tblHeader/>
        </w:trPr>
        <w:tc>
          <w:tcPr>
            <w:tcW w:w="608" w:type="pct"/>
            <w:vMerge w:val="restart"/>
            <w:shd w:val="clear" w:color="auto" w:fill="D9D9D9" w:themeFill="background1" w:themeFillShade="D9"/>
            <w:vAlign w:val="center"/>
          </w:tcPr>
          <w:p w:rsidR="00DB4E07" w:rsidRPr="00B6607C" w:rsidRDefault="00DB4E07" w:rsidP="00991140">
            <w:pPr>
              <w:keepNext/>
              <w:snapToGrid w:val="0"/>
              <w:spacing w:after="0"/>
              <w:jc w:val="center"/>
              <w:rPr>
                <w:rFonts w:ascii="Times" w:hAnsi="Times"/>
                <w:b/>
                <w:sz w:val="18"/>
                <w:szCs w:val="18"/>
              </w:rPr>
            </w:pPr>
            <w:r w:rsidRPr="00B6607C">
              <w:rPr>
                <w:rFonts w:ascii="Times" w:hAnsi="Times"/>
                <w:b/>
                <w:sz w:val="18"/>
                <w:szCs w:val="18"/>
              </w:rPr>
              <w:t>OTC3</w:t>
            </w:r>
          </w:p>
          <w:p w:rsidR="00DB4E07" w:rsidRPr="00B6607C" w:rsidRDefault="00DB4E07">
            <w:pPr>
              <w:keepNext/>
              <w:snapToGrid w:val="0"/>
              <w:spacing w:after="0"/>
              <w:jc w:val="center"/>
              <w:rPr>
                <w:rFonts w:ascii="Times" w:hAnsi="Times"/>
                <w:b/>
                <w:sz w:val="18"/>
                <w:szCs w:val="18"/>
              </w:rPr>
            </w:pPr>
            <w:r w:rsidRPr="00B6607C">
              <w:rPr>
                <w:rFonts w:ascii="Times" w:hAnsi="Times"/>
                <w:b/>
                <w:sz w:val="18"/>
                <w:szCs w:val="18"/>
              </w:rPr>
              <w:t>ATC3</w:t>
            </w:r>
          </w:p>
          <w:p w:rsidR="00DB4E07" w:rsidRPr="00B6607C" w:rsidRDefault="00DB4E07">
            <w:pPr>
              <w:keepNext/>
              <w:snapToGrid w:val="0"/>
              <w:spacing w:after="0"/>
              <w:jc w:val="center"/>
              <w:rPr>
                <w:rFonts w:ascii="Times" w:hAnsi="Times"/>
                <w:b/>
                <w:sz w:val="18"/>
                <w:szCs w:val="18"/>
              </w:rPr>
            </w:pPr>
            <w:r w:rsidRPr="00B6607C">
              <w:rPr>
                <w:rFonts w:ascii="Times" w:hAnsi="Times"/>
                <w:b/>
                <w:sz w:val="18"/>
                <w:szCs w:val="18"/>
              </w:rPr>
              <w:t>ATC4</w:t>
            </w:r>
          </w:p>
          <w:p w:rsidR="00DB4E07" w:rsidRPr="00B6607C" w:rsidRDefault="00DB4E07">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DB4E07" w:rsidRPr="00B6607C" w:rsidRDefault="00DB4E07">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DB4E07" w:rsidRDefault="00DB4E07">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DB4E07" w:rsidRPr="00AD3737" w:rsidTr="004C6514">
        <w:trPr>
          <w:tblHeader/>
        </w:trPr>
        <w:tc>
          <w:tcPr>
            <w:tcW w:w="608" w:type="pct"/>
            <w:vMerge/>
            <w:tcBorders>
              <w:bottom w:val="single" w:sz="2" w:space="0" w:color="auto"/>
            </w:tcBorders>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p>
        </w:tc>
        <w:tc>
          <w:tcPr>
            <w:tcW w:w="696" w:type="pct"/>
            <w:vMerge/>
            <w:tcBorders>
              <w:bottom w:val="single" w:sz="2" w:space="0" w:color="auto"/>
            </w:tcBorders>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p>
        </w:tc>
        <w:tc>
          <w:tcPr>
            <w:tcW w:w="434" w:type="pct"/>
            <w:vMerge/>
            <w:tcBorders>
              <w:bottom w:val="single" w:sz="2" w:space="0" w:color="auto"/>
            </w:tcBorders>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p>
        </w:tc>
        <w:tc>
          <w:tcPr>
            <w:tcW w:w="523" w:type="pct"/>
            <w:vMerge/>
            <w:tcBorders>
              <w:bottom w:val="single" w:sz="2" w:space="0" w:color="auto"/>
            </w:tcBorders>
            <w:shd w:val="clear" w:color="auto" w:fill="D9D9D9" w:themeFill="background1" w:themeFillShade="D9"/>
          </w:tcPr>
          <w:p w:rsidR="00DB4E07" w:rsidRPr="00B6607C" w:rsidRDefault="00DB4E07">
            <w:pPr>
              <w:keepNext/>
              <w:snapToGrid w:val="0"/>
              <w:spacing w:after="0"/>
              <w:jc w:val="center"/>
              <w:rPr>
                <w:rFonts w:ascii="Times" w:hAnsi="Times"/>
                <w:b/>
                <w:sz w:val="18"/>
                <w:szCs w:val="18"/>
              </w:rPr>
            </w:pPr>
          </w:p>
        </w:tc>
        <w:tc>
          <w:tcPr>
            <w:tcW w:w="696" w:type="pct"/>
            <w:tcBorders>
              <w:bottom w:val="single" w:sz="2" w:space="0" w:color="auto"/>
            </w:tcBorders>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r w:rsidRPr="00B6607C">
              <w:rPr>
                <w:rFonts w:ascii="Times" w:hAnsi="Times"/>
                <w:b/>
                <w:sz w:val="18"/>
                <w:szCs w:val="18"/>
              </w:rPr>
              <w:t>Teva</w:t>
            </w:r>
          </w:p>
        </w:tc>
        <w:tc>
          <w:tcPr>
            <w:tcW w:w="609" w:type="pct"/>
            <w:tcBorders>
              <w:bottom w:val="single" w:sz="2" w:space="0" w:color="auto"/>
            </w:tcBorders>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tcBorders>
              <w:bottom w:val="single" w:sz="2" w:space="0" w:color="auto"/>
            </w:tcBorders>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tcBorders>
              <w:bottom w:val="single" w:sz="2" w:space="0" w:color="auto"/>
            </w:tcBorders>
            <w:shd w:val="clear" w:color="auto" w:fill="D9D9D9" w:themeFill="background1" w:themeFillShade="D9"/>
            <w:vAlign w:val="center"/>
          </w:tcPr>
          <w:p w:rsidR="00DB4E07" w:rsidRPr="00B6607C" w:rsidRDefault="00DB4E07">
            <w:pPr>
              <w:keepNext/>
              <w:snapToGrid w:val="0"/>
              <w:spacing w:after="0"/>
              <w:jc w:val="center"/>
              <w:rPr>
                <w:rFonts w:ascii="Times" w:hAnsi="Times"/>
                <w:b/>
                <w:sz w:val="18"/>
                <w:szCs w:val="18"/>
              </w:rPr>
            </w:pPr>
          </w:p>
        </w:tc>
      </w:tr>
      <w:tr w:rsidR="00D1067E" w:rsidRPr="00AD3737" w:rsidTr="004C6514">
        <w:trPr>
          <w:trHeight w:val="345"/>
        </w:trPr>
        <w:tc>
          <w:tcPr>
            <w:tcW w:w="608" w:type="pct"/>
            <w:vMerge w:val="restart"/>
            <w:tcBorders>
              <w:top w:val="single" w:sz="2" w:space="0" w:color="auto"/>
              <w:left w:val="single" w:sz="2" w:space="0" w:color="auto"/>
              <w:bottom w:val="single" w:sz="2" w:space="0" w:color="auto"/>
              <w:right w:val="single" w:sz="2" w:space="0" w:color="auto"/>
            </w:tcBorders>
            <w:vAlign w:val="center"/>
          </w:tcPr>
          <w:p w:rsidR="00D1067E" w:rsidRPr="00420413" w:rsidRDefault="00D1067E" w:rsidP="00991140">
            <w:pPr>
              <w:keepNext/>
              <w:spacing w:after="0"/>
              <w:jc w:val="center"/>
              <w:rPr>
                <w:rFonts w:ascii="Times" w:hAnsi="Times"/>
                <w:i/>
                <w:sz w:val="18"/>
                <w:szCs w:val="18"/>
              </w:rPr>
            </w:pPr>
            <w:r>
              <w:rPr>
                <w:rFonts w:ascii="Times" w:hAnsi="Times"/>
                <w:sz w:val="18"/>
                <w:szCs w:val="18"/>
              </w:rPr>
              <w:t>R1A</w:t>
            </w:r>
          </w:p>
        </w:tc>
        <w:tc>
          <w:tcPr>
            <w:tcW w:w="696" w:type="pct"/>
            <w:vMerge w:val="restart"/>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r>
              <w:rPr>
                <w:rFonts w:ascii="Times" w:hAnsi="Times"/>
                <w:sz w:val="18"/>
                <w:szCs w:val="18"/>
              </w:rPr>
              <w:t>Topical nasal preparations</w:t>
            </w:r>
          </w:p>
        </w:tc>
        <w:tc>
          <w:tcPr>
            <w:tcW w:w="434" w:type="pct"/>
            <w:vMerge w:val="restart"/>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r>
              <w:rPr>
                <w:rFonts w:ascii="Times" w:hAnsi="Times"/>
                <w:sz w:val="18"/>
                <w:szCs w:val="18"/>
              </w:rPr>
              <w:t>Group 2</w:t>
            </w:r>
          </w:p>
        </w:tc>
        <w:tc>
          <w:tcPr>
            <w:tcW w:w="523" w:type="pct"/>
            <w:tcBorders>
              <w:top w:val="single" w:sz="2" w:space="0" w:color="auto"/>
              <w:left w:val="single" w:sz="2" w:space="0" w:color="auto"/>
              <w:bottom w:val="single" w:sz="2" w:space="0" w:color="auto"/>
              <w:right w:val="single" w:sz="2" w:space="0" w:color="auto"/>
            </w:tcBorders>
            <w:vAlign w:val="center"/>
          </w:tcPr>
          <w:p w:rsidR="00D1067E" w:rsidRPr="00213AF2" w:rsidRDefault="00D1067E">
            <w:pPr>
              <w:keepNext/>
              <w:spacing w:after="0"/>
              <w:jc w:val="left"/>
              <w:rPr>
                <w:rFonts w:ascii="Times" w:hAnsi="Times"/>
                <w:sz w:val="18"/>
              </w:rPr>
            </w:pPr>
            <w:r>
              <w:rPr>
                <w:rFonts w:ascii="Times" w:hAnsi="Times"/>
                <w:sz w:val="18"/>
              </w:rPr>
              <w:t>2017</w:t>
            </w:r>
          </w:p>
        </w:tc>
        <w:tc>
          <w:tcPr>
            <w:tcW w:w="696" w:type="pct"/>
            <w:tcBorders>
              <w:top w:val="single" w:sz="2" w:space="0" w:color="auto"/>
              <w:left w:val="single" w:sz="2" w:space="0" w:color="auto"/>
              <w:bottom w:val="single" w:sz="2" w:space="0" w:color="auto"/>
              <w:right w:val="single" w:sz="2" w:space="0" w:color="auto"/>
            </w:tcBorders>
            <w:vAlign w:val="center"/>
          </w:tcPr>
          <w:p w:rsidR="00D1067E" w:rsidRDefault="00D1067E" w:rsidP="00D1067E">
            <w:pPr>
              <w:keepNext/>
              <w:spacing w:after="0"/>
              <w:jc w:val="center"/>
              <w:rPr>
                <w:rFonts w:ascii="Times" w:hAnsi="Times"/>
                <w:sz w:val="18"/>
                <w:szCs w:val="18"/>
              </w:rPr>
            </w:pPr>
            <w:r>
              <w:rPr>
                <w:rFonts w:ascii="Times" w:hAnsi="Times"/>
                <w:sz w:val="18"/>
                <w:szCs w:val="18"/>
              </w:rPr>
              <w:t>[0-5]%</w:t>
            </w:r>
          </w:p>
          <w:p w:rsidR="00D1067E" w:rsidRPr="00B6607C" w:rsidRDefault="00D1067E" w:rsidP="00D1067E">
            <w:pPr>
              <w:keepNext/>
              <w:spacing w:after="0"/>
              <w:jc w:val="center"/>
              <w:rPr>
                <w:rFonts w:ascii="Times" w:hAnsi="Times"/>
                <w:sz w:val="18"/>
                <w:szCs w:val="18"/>
              </w:rPr>
            </w:pPr>
            <w:r>
              <w:rPr>
                <w:rFonts w:ascii="Times" w:hAnsi="Times"/>
                <w:sz w:val="18"/>
                <w:szCs w:val="18"/>
              </w:rPr>
              <w:t>/[0-5]1%</w:t>
            </w:r>
          </w:p>
        </w:tc>
        <w:tc>
          <w:tcPr>
            <w:tcW w:w="609"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r>
              <w:rPr>
                <w:rFonts w:ascii="Times" w:hAnsi="Times"/>
                <w:sz w:val="18"/>
                <w:szCs w:val="18"/>
              </w:rPr>
              <w:t>[20-30]% /[30-40]%</w:t>
            </w:r>
          </w:p>
        </w:tc>
        <w:tc>
          <w:tcPr>
            <w:tcW w:w="696"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r>
              <w:rPr>
                <w:rFonts w:ascii="Times" w:hAnsi="Times"/>
                <w:sz w:val="18"/>
                <w:szCs w:val="18"/>
              </w:rPr>
              <w:t>[20-30]% /[30-40]%</w:t>
            </w:r>
          </w:p>
        </w:tc>
        <w:tc>
          <w:tcPr>
            <w:tcW w:w="738"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r w:rsidRPr="004F4BE3">
              <w:rPr>
                <w:rFonts w:ascii="Times" w:hAnsi="Times"/>
                <w:sz w:val="18"/>
              </w:rPr>
              <w:t xml:space="preserve">At least </w:t>
            </w:r>
            <w:r w:rsidRPr="00A847CC">
              <w:rPr>
                <w:rFonts w:ascii="Times" w:hAnsi="Times"/>
                <w:sz w:val="18"/>
                <w:szCs w:val="18"/>
              </w:rPr>
              <w:t>6</w:t>
            </w:r>
          </w:p>
        </w:tc>
      </w:tr>
      <w:tr w:rsidR="00D1067E" w:rsidRPr="00AD3737" w:rsidTr="004C6514">
        <w:trPr>
          <w:trHeight w:val="345"/>
        </w:trPr>
        <w:tc>
          <w:tcPr>
            <w:tcW w:w="608" w:type="pct"/>
            <w:vMerge/>
            <w:tcBorders>
              <w:top w:val="single" w:sz="2" w:space="0" w:color="auto"/>
              <w:left w:val="single" w:sz="2" w:space="0" w:color="auto"/>
              <w:bottom w:val="single" w:sz="2" w:space="0" w:color="auto"/>
              <w:right w:val="single" w:sz="2" w:space="0" w:color="auto"/>
            </w:tcBorders>
            <w:vAlign w:val="center"/>
          </w:tcPr>
          <w:p w:rsidR="00D1067E" w:rsidRPr="00420413" w:rsidRDefault="00D1067E">
            <w:pPr>
              <w:keepNext/>
              <w:spacing w:after="0"/>
              <w:jc w:val="center"/>
              <w:rPr>
                <w:rFonts w:ascii="Times" w:hAnsi="Times"/>
                <w:i/>
                <w:sz w:val="18"/>
                <w:szCs w:val="18"/>
              </w:rPr>
            </w:pPr>
          </w:p>
        </w:tc>
        <w:tc>
          <w:tcPr>
            <w:tcW w:w="696" w:type="pct"/>
            <w:vMerge/>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p>
        </w:tc>
        <w:tc>
          <w:tcPr>
            <w:tcW w:w="434" w:type="pct"/>
            <w:vMerge/>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rsidR="00D1067E" w:rsidRPr="00213AF2" w:rsidRDefault="00D1067E">
            <w:pPr>
              <w:keepNext/>
              <w:spacing w:after="0"/>
              <w:jc w:val="left"/>
              <w:rPr>
                <w:rFonts w:ascii="Times" w:hAnsi="Times"/>
                <w:sz w:val="18"/>
              </w:rPr>
            </w:pPr>
            <w:r>
              <w:rPr>
                <w:rFonts w:ascii="Times" w:hAnsi="Times"/>
                <w:sz w:val="18"/>
              </w:rPr>
              <w:t>2016</w:t>
            </w:r>
          </w:p>
        </w:tc>
        <w:tc>
          <w:tcPr>
            <w:tcW w:w="696" w:type="pct"/>
            <w:tcBorders>
              <w:top w:val="single" w:sz="2" w:space="0" w:color="auto"/>
              <w:left w:val="single" w:sz="2" w:space="0" w:color="auto"/>
              <w:bottom w:val="single" w:sz="2" w:space="0" w:color="auto"/>
              <w:right w:val="single" w:sz="2" w:space="0" w:color="auto"/>
            </w:tcBorders>
            <w:vAlign w:val="center"/>
          </w:tcPr>
          <w:p w:rsidR="00D1067E" w:rsidRDefault="00D1067E" w:rsidP="00D1067E">
            <w:pPr>
              <w:keepNext/>
              <w:spacing w:after="0"/>
              <w:jc w:val="center"/>
              <w:rPr>
                <w:rFonts w:ascii="Times" w:hAnsi="Times"/>
                <w:sz w:val="18"/>
                <w:szCs w:val="18"/>
              </w:rPr>
            </w:pPr>
            <w:r>
              <w:rPr>
                <w:rFonts w:ascii="Times" w:hAnsi="Times"/>
                <w:sz w:val="18"/>
                <w:szCs w:val="18"/>
              </w:rPr>
              <w:t>[0-5]%</w:t>
            </w:r>
          </w:p>
          <w:p w:rsidR="00D1067E" w:rsidRPr="00B6607C" w:rsidRDefault="00D1067E">
            <w:pPr>
              <w:keepNext/>
              <w:spacing w:after="0"/>
              <w:jc w:val="center"/>
              <w:rPr>
                <w:rFonts w:ascii="Times" w:hAnsi="Times"/>
                <w:sz w:val="18"/>
                <w:szCs w:val="18"/>
              </w:rPr>
            </w:pPr>
            <w:r>
              <w:rPr>
                <w:rFonts w:ascii="Times" w:hAnsi="Times"/>
                <w:sz w:val="18"/>
                <w:szCs w:val="18"/>
              </w:rPr>
              <w:t>/[0-5]1%</w:t>
            </w:r>
          </w:p>
        </w:tc>
        <w:tc>
          <w:tcPr>
            <w:tcW w:w="609"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r>
              <w:rPr>
                <w:rFonts w:ascii="Times" w:hAnsi="Times"/>
                <w:sz w:val="18"/>
                <w:szCs w:val="18"/>
              </w:rPr>
              <w:t>[20-30]% /[30-40]%</w:t>
            </w:r>
          </w:p>
        </w:tc>
        <w:tc>
          <w:tcPr>
            <w:tcW w:w="696"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r>
              <w:rPr>
                <w:rFonts w:ascii="Times" w:hAnsi="Times"/>
                <w:sz w:val="18"/>
                <w:szCs w:val="18"/>
              </w:rPr>
              <w:t>[20-30]% /[30-40]%</w:t>
            </w:r>
          </w:p>
        </w:tc>
        <w:tc>
          <w:tcPr>
            <w:tcW w:w="738" w:type="pct"/>
            <w:tcBorders>
              <w:top w:val="single" w:sz="2" w:space="0" w:color="auto"/>
              <w:left w:val="single" w:sz="2" w:space="0" w:color="auto"/>
              <w:bottom w:val="single" w:sz="2" w:space="0" w:color="auto"/>
              <w:right w:val="single" w:sz="2" w:space="0" w:color="auto"/>
            </w:tcBorders>
            <w:vAlign w:val="center"/>
          </w:tcPr>
          <w:p w:rsidR="00D1067E" w:rsidRPr="00B6607C" w:rsidRDefault="00D1067E">
            <w:pPr>
              <w:keepNext/>
              <w:spacing w:after="0"/>
              <w:jc w:val="center"/>
              <w:rPr>
                <w:rFonts w:ascii="Times" w:hAnsi="Times"/>
                <w:sz w:val="18"/>
                <w:szCs w:val="18"/>
              </w:rPr>
            </w:pPr>
            <w:r w:rsidRPr="004F4BE3">
              <w:rPr>
                <w:rFonts w:ascii="Times" w:hAnsi="Times"/>
                <w:sz w:val="18"/>
              </w:rPr>
              <w:t xml:space="preserve">At least </w:t>
            </w:r>
            <w:r w:rsidRPr="00A847CC">
              <w:rPr>
                <w:rFonts w:ascii="Times" w:hAnsi="Times"/>
                <w:sz w:val="18"/>
                <w:szCs w:val="18"/>
              </w:rPr>
              <w:t>6</w:t>
            </w:r>
          </w:p>
        </w:tc>
      </w:tr>
      <w:tr w:rsidR="00D1067E" w:rsidRPr="00AD3737" w:rsidTr="004C6514">
        <w:trPr>
          <w:trHeight w:val="345"/>
        </w:trPr>
        <w:tc>
          <w:tcPr>
            <w:tcW w:w="608" w:type="pct"/>
            <w:vMerge/>
            <w:tcBorders>
              <w:top w:val="single" w:sz="2" w:space="0" w:color="auto"/>
              <w:left w:val="single" w:sz="2" w:space="0" w:color="auto"/>
              <w:bottom w:val="single" w:sz="12" w:space="0" w:color="auto"/>
              <w:right w:val="single" w:sz="2" w:space="0" w:color="auto"/>
            </w:tcBorders>
            <w:vAlign w:val="center"/>
          </w:tcPr>
          <w:p w:rsidR="00D1067E" w:rsidRPr="00420413" w:rsidRDefault="00D1067E">
            <w:pPr>
              <w:keepNext/>
              <w:spacing w:after="0"/>
              <w:jc w:val="center"/>
              <w:rPr>
                <w:rFonts w:ascii="Times" w:hAnsi="Times"/>
                <w:i/>
                <w:sz w:val="18"/>
                <w:szCs w:val="18"/>
              </w:rPr>
            </w:pPr>
          </w:p>
        </w:tc>
        <w:tc>
          <w:tcPr>
            <w:tcW w:w="696" w:type="pct"/>
            <w:vMerge/>
            <w:tcBorders>
              <w:top w:val="single" w:sz="2" w:space="0" w:color="auto"/>
              <w:left w:val="single" w:sz="2" w:space="0" w:color="auto"/>
              <w:bottom w:val="single" w:sz="12" w:space="0" w:color="auto"/>
              <w:right w:val="single" w:sz="2" w:space="0" w:color="auto"/>
            </w:tcBorders>
            <w:vAlign w:val="center"/>
          </w:tcPr>
          <w:p w:rsidR="00D1067E" w:rsidRPr="00B6607C" w:rsidRDefault="00D1067E">
            <w:pPr>
              <w:keepNext/>
              <w:spacing w:after="0"/>
              <w:jc w:val="center"/>
              <w:rPr>
                <w:rFonts w:ascii="Times" w:hAnsi="Times"/>
                <w:sz w:val="18"/>
                <w:szCs w:val="18"/>
              </w:rPr>
            </w:pPr>
          </w:p>
        </w:tc>
        <w:tc>
          <w:tcPr>
            <w:tcW w:w="434" w:type="pct"/>
            <w:vMerge/>
            <w:tcBorders>
              <w:top w:val="single" w:sz="2" w:space="0" w:color="auto"/>
              <w:left w:val="single" w:sz="2" w:space="0" w:color="auto"/>
              <w:bottom w:val="single" w:sz="12" w:space="0" w:color="auto"/>
              <w:right w:val="single" w:sz="2" w:space="0" w:color="auto"/>
            </w:tcBorders>
            <w:vAlign w:val="center"/>
          </w:tcPr>
          <w:p w:rsidR="00D1067E" w:rsidRPr="00B6607C" w:rsidRDefault="00D1067E">
            <w:pPr>
              <w:keepNext/>
              <w:spacing w:after="0"/>
              <w:jc w:val="center"/>
              <w:rPr>
                <w:rFonts w:ascii="Times" w:hAnsi="Times"/>
                <w:sz w:val="18"/>
                <w:szCs w:val="18"/>
              </w:rPr>
            </w:pPr>
          </w:p>
        </w:tc>
        <w:tc>
          <w:tcPr>
            <w:tcW w:w="523" w:type="pct"/>
            <w:tcBorders>
              <w:top w:val="single" w:sz="2" w:space="0" w:color="auto"/>
              <w:left w:val="single" w:sz="2" w:space="0" w:color="auto"/>
              <w:bottom w:val="single" w:sz="12" w:space="0" w:color="auto"/>
              <w:right w:val="single" w:sz="2" w:space="0" w:color="auto"/>
            </w:tcBorders>
            <w:vAlign w:val="center"/>
          </w:tcPr>
          <w:p w:rsidR="00D1067E" w:rsidRPr="00213AF2" w:rsidRDefault="00D1067E">
            <w:pPr>
              <w:keepNext/>
              <w:spacing w:after="0"/>
              <w:jc w:val="left"/>
              <w:rPr>
                <w:rFonts w:ascii="Times" w:hAnsi="Times"/>
                <w:sz w:val="18"/>
              </w:rPr>
            </w:pPr>
            <w:r>
              <w:rPr>
                <w:rFonts w:ascii="Times" w:hAnsi="Times"/>
                <w:sz w:val="18"/>
              </w:rPr>
              <w:t>2015</w:t>
            </w:r>
          </w:p>
        </w:tc>
        <w:tc>
          <w:tcPr>
            <w:tcW w:w="696" w:type="pct"/>
            <w:tcBorders>
              <w:top w:val="single" w:sz="2" w:space="0" w:color="auto"/>
              <w:left w:val="single" w:sz="2" w:space="0" w:color="auto"/>
              <w:bottom w:val="single" w:sz="12" w:space="0" w:color="auto"/>
              <w:right w:val="single" w:sz="2" w:space="0" w:color="auto"/>
            </w:tcBorders>
            <w:vAlign w:val="center"/>
          </w:tcPr>
          <w:p w:rsidR="00D1067E" w:rsidRDefault="00D1067E" w:rsidP="00D1067E">
            <w:pPr>
              <w:keepNext/>
              <w:spacing w:after="0"/>
              <w:jc w:val="center"/>
              <w:rPr>
                <w:rFonts w:ascii="Times" w:hAnsi="Times"/>
                <w:sz w:val="18"/>
                <w:szCs w:val="18"/>
              </w:rPr>
            </w:pPr>
            <w:r>
              <w:rPr>
                <w:rFonts w:ascii="Times" w:hAnsi="Times"/>
                <w:sz w:val="18"/>
                <w:szCs w:val="18"/>
              </w:rPr>
              <w:t>[0-5]%</w:t>
            </w:r>
          </w:p>
          <w:p w:rsidR="00D1067E" w:rsidRPr="00B6607C" w:rsidRDefault="00D1067E">
            <w:pPr>
              <w:keepNext/>
              <w:spacing w:after="0"/>
              <w:jc w:val="center"/>
              <w:rPr>
                <w:rFonts w:ascii="Times" w:hAnsi="Times"/>
                <w:sz w:val="18"/>
                <w:szCs w:val="18"/>
              </w:rPr>
            </w:pPr>
            <w:r>
              <w:rPr>
                <w:rFonts w:ascii="Times" w:hAnsi="Times"/>
                <w:sz w:val="18"/>
                <w:szCs w:val="18"/>
              </w:rPr>
              <w:t>/[0-5]1%</w:t>
            </w:r>
          </w:p>
        </w:tc>
        <w:tc>
          <w:tcPr>
            <w:tcW w:w="609" w:type="pct"/>
            <w:tcBorders>
              <w:top w:val="single" w:sz="2" w:space="0" w:color="auto"/>
              <w:left w:val="single" w:sz="2" w:space="0" w:color="auto"/>
              <w:bottom w:val="single" w:sz="12" w:space="0" w:color="auto"/>
              <w:right w:val="single" w:sz="2" w:space="0" w:color="auto"/>
            </w:tcBorders>
            <w:vAlign w:val="center"/>
          </w:tcPr>
          <w:p w:rsidR="00D1067E" w:rsidRPr="00B6607C" w:rsidRDefault="00D1067E">
            <w:pPr>
              <w:keepNext/>
              <w:spacing w:after="0"/>
              <w:jc w:val="center"/>
              <w:rPr>
                <w:rFonts w:ascii="Times" w:hAnsi="Times"/>
                <w:sz w:val="18"/>
                <w:szCs w:val="18"/>
              </w:rPr>
            </w:pPr>
            <w:r>
              <w:rPr>
                <w:rFonts w:ascii="Times" w:hAnsi="Times"/>
                <w:sz w:val="18"/>
                <w:szCs w:val="18"/>
              </w:rPr>
              <w:t>[20-30]% /[30-40]%</w:t>
            </w:r>
          </w:p>
        </w:tc>
        <w:tc>
          <w:tcPr>
            <w:tcW w:w="696" w:type="pct"/>
            <w:tcBorders>
              <w:top w:val="single" w:sz="2" w:space="0" w:color="auto"/>
              <w:left w:val="single" w:sz="2" w:space="0" w:color="auto"/>
              <w:bottom w:val="single" w:sz="12" w:space="0" w:color="auto"/>
              <w:right w:val="single" w:sz="2" w:space="0" w:color="auto"/>
            </w:tcBorders>
            <w:vAlign w:val="center"/>
          </w:tcPr>
          <w:p w:rsidR="00D1067E" w:rsidRPr="00B6607C" w:rsidRDefault="00D1067E">
            <w:pPr>
              <w:keepNext/>
              <w:spacing w:after="0"/>
              <w:jc w:val="center"/>
              <w:rPr>
                <w:rFonts w:ascii="Times" w:hAnsi="Times"/>
                <w:sz w:val="18"/>
                <w:szCs w:val="18"/>
              </w:rPr>
            </w:pPr>
            <w:r>
              <w:rPr>
                <w:rFonts w:ascii="Times" w:hAnsi="Times"/>
                <w:sz w:val="18"/>
                <w:szCs w:val="18"/>
              </w:rPr>
              <w:t>[20-30]% /[30-40]%</w:t>
            </w:r>
          </w:p>
        </w:tc>
        <w:tc>
          <w:tcPr>
            <w:tcW w:w="738" w:type="pct"/>
            <w:tcBorders>
              <w:top w:val="single" w:sz="2" w:space="0" w:color="auto"/>
              <w:left w:val="single" w:sz="2" w:space="0" w:color="auto"/>
              <w:bottom w:val="single" w:sz="12" w:space="0" w:color="auto"/>
              <w:right w:val="single" w:sz="2" w:space="0" w:color="auto"/>
            </w:tcBorders>
            <w:vAlign w:val="center"/>
          </w:tcPr>
          <w:p w:rsidR="00D1067E" w:rsidRPr="00B6607C" w:rsidRDefault="00D1067E">
            <w:pPr>
              <w:keepNext/>
              <w:spacing w:after="0"/>
              <w:jc w:val="center"/>
              <w:rPr>
                <w:rFonts w:ascii="Times" w:hAnsi="Times"/>
                <w:sz w:val="18"/>
                <w:szCs w:val="18"/>
              </w:rPr>
            </w:pPr>
            <w:r w:rsidRPr="004F4BE3">
              <w:rPr>
                <w:rFonts w:ascii="Times" w:hAnsi="Times"/>
                <w:sz w:val="18"/>
              </w:rPr>
              <w:t xml:space="preserve">At least </w:t>
            </w:r>
            <w:r w:rsidRPr="00A847CC">
              <w:rPr>
                <w:rFonts w:ascii="Times" w:hAnsi="Times"/>
                <w:sz w:val="18"/>
                <w:szCs w:val="18"/>
              </w:rPr>
              <w:t>6</w:t>
            </w:r>
          </w:p>
        </w:tc>
      </w:tr>
      <w:tr w:rsidR="00D60600" w:rsidRPr="00AD3737" w:rsidTr="004C6514">
        <w:trPr>
          <w:trHeight w:val="345"/>
        </w:trPr>
        <w:tc>
          <w:tcPr>
            <w:tcW w:w="608" w:type="pct"/>
            <w:vMerge w:val="restart"/>
            <w:tcBorders>
              <w:top w:val="single" w:sz="12" w:space="0" w:color="auto"/>
            </w:tcBorders>
            <w:vAlign w:val="center"/>
          </w:tcPr>
          <w:p w:rsidR="00D60600" w:rsidRPr="00420413" w:rsidRDefault="00D60600" w:rsidP="00991140">
            <w:pPr>
              <w:keepNext/>
              <w:spacing w:after="0"/>
              <w:jc w:val="center"/>
              <w:rPr>
                <w:rFonts w:ascii="Times" w:hAnsi="Times"/>
                <w:i/>
                <w:sz w:val="18"/>
                <w:szCs w:val="18"/>
              </w:rPr>
            </w:pPr>
            <w:r w:rsidRPr="004F4BE3">
              <w:rPr>
                <w:rFonts w:ascii="Times" w:hAnsi="Times"/>
                <w:i/>
                <w:sz w:val="18"/>
              </w:rPr>
              <w:t>Beclometa-sone</w:t>
            </w:r>
          </w:p>
        </w:tc>
        <w:tc>
          <w:tcPr>
            <w:tcW w:w="696" w:type="pct"/>
            <w:vMerge w:val="restart"/>
            <w:tcBorders>
              <w:top w:val="single" w:sz="12" w:space="0" w:color="auto"/>
            </w:tcBorders>
            <w:vAlign w:val="center"/>
          </w:tcPr>
          <w:p w:rsidR="00D60600" w:rsidRPr="00B6607C" w:rsidRDefault="00D60600">
            <w:pPr>
              <w:keepNext/>
              <w:spacing w:after="0"/>
              <w:jc w:val="center"/>
              <w:rPr>
                <w:rFonts w:ascii="Times" w:hAnsi="Times"/>
                <w:sz w:val="18"/>
                <w:szCs w:val="18"/>
              </w:rPr>
            </w:pPr>
            <w:r w:rsidRPr="004F4BE3">
              <w:rPr>
                <w:rFonts w:ascii="Times" w:hAnsi="Times"/>
                <w:i/>
                <w:sz w:val="18"/>
              </w:rPr>
              <w:t>Beclometasone</w:t>
            </w:r>
            <w:r w:rsidRPr="002543F2">
              <w:rPr>
                <w:rFonts w:ascii="Times" w:hAnsi="Times"/>
                <w:sz w:val="18"/>
                <w:szCs w:val="18"/>
              </w:rPr>
              <w:t>-based topical nasal preparations</w:t>
            </w:r>
          </w:p>
        </w:tc>
        <w:tc>
          <w:tcPr>
            <w:tcW w:w="434" w:type="pct"/>
            <w:vMerge w:val="restart"/>
            <w:tcBorders>
              <w:top w:val="single" w:sz="12" w:space="0" w:color="auto"/>
            </w:tcBorders>
            <w:vAlign w:val="center"/>
          </w:tcPr>
          <w:p w:rsidR="00D60600" w:rsidRPr="00B6607C" w:rsidRDefault="00D60600">
            <w:pPr>
              <w:keepNext/>
              <w:spacing w:after="0"/>
              <w:jc w:val="center"/>
              <w:rPr>
                <w:rFonts w:ascii="Times" w:hAnsi="Times"/>
                <w:sz w:val="18"/>
                <w:szCs w:val="18"/>
              </w:rPr>
            </w:pPr>
            <w:r w:rsidRPr="002543F2">
              <w:rPr>
                <w:rFonts w:ascii="Times" w:hAnsi="Times"/>
                <w:sz w:val="18"/>
                <w:szCs w:val="18"/>
              </w:rPr>
              <w:t>Group 1</w:t>
            </w:r>
          </w:p>
        </w:tc>
        <w:tc>
          <w:tcPr>
            <w:tcW w:w="523" w:type="pct"/>
            <w:tcBorders>
              <w:top w:val="single" w:sz="12" w:space="0" w:color="auto"/>
            </w:tcBorders>
            <w:vAlign w:val="center"/>
          </w:tcPr>
          <w:p w:rsidR="00D60600" w:rsidRPr="00213AF2" w:rsidRDefault="00D60600">
            <w:pPr>
              <w:keepNext/>
              <w:spacing w:after="0"/>
              <w:jc w:val="left"/>
              <w:rPr>
                <w:rFonts w:ascii="Times" w:hAnsi="Times"/>
                <w:sz w:val="18"/>
              </w:rPr>
            </w:pPr>
            <w:r>
              <w:rPr>
                <w:rFonts w:ascii="Times" w:hAnsi="Times"/>
                <w:sz w:val="18"/>
              </w:rPr>
              <w:t>2017</w:t>
            </w:r>
          </w:p>
        </w:tc>
        <w:tc>
          <w:tcPr>
            <w:tcW w:w="696" w:type="pct"/>
            <w:tcBorders>
              <w:top w:val="single" w:sz="12" w:space="0" w:color="auto"/>
            </w:tcBorders>
            <w:vAlign w:val="center"/>
          </w:tcPr>
          <w:p w:rsidR="00D60600" w:rsidRPr="00B6607C" w:rsidRDefault="00D1067E" w:rsidP="00D1067E">
            <w:pPr>
              <w:keepNext/>
              <w:spacing w:after="0"/>
              <w:jc w:val="center"/>
              <w:rPr>
                <w:rFonts w:ascii="Times" w:hAnsi="Times"/>
                <w:sz w:val="18"/>
                <w:szCs w:val="18"/>
              </w:rPr>
            </w:pPr>
            <w:r>
              <w:rPr>
                <w:rFonts w:ascii="Times" w:hAnsi="Times"/>
                <w:sz w:val="18"/>
                <w:szCs w:val="18"/>
              </w:rPr>
              <w:t>[30-40]</w:t>
            </w:r>
            <w:r w:rsidR="00D60600" w:rsidRPr="002543F2">
              <w:rPr>
                <w:rFonts w:ascii="Times" w:hAnsi="Times"/>
                <w:sz w:val="18"/>
                <w:szCs w:val="18"/>
              </w:rPr>
              <w:t>%</w:t>
            </w:r>
            <w:r>
              <w:rPr>
                <w:rFonts w:ascii="Times" w:hAnsi="Times"/>
                <w:sz w:val="18"/>
                <w:szCs w:val="18"/>
              </w:rPr>
              <w:t xml:space="preserve"> </w:t>
            </w:r>
            <w:r w:rsidR="00D60600" w:rsidRPr="002543F2">
              <w:rPr>
                <w:rFonts w:ascii="Times" w:hAnsi="Times"/>
                <w:sz w:val="18"/>
                <w:szCs w:val="18"/>
              </w:rPr>
              <w:t>/</w:t>
            </w:r>
            <w:r>
              <w:rPr>
                <w:rFonts w:ascii="Times" w:hAnsi="Times"/>
                <w:sz w:val="18"/>
                <w:szCs w:val="18"/>
              </w:rPr>
              <w:t>[40-50]</w:t>
            </w:r>
            <w:r w:rsidR="00D60600" w:rsidRPr="002543F2">
              <w:rPr>
                <w:rFonts w:ascii="Times" w:hAnsi="Times"/>
                <w:sz w:val="18"/>
                <w:szCs w:val="18"/>
              </w:rPr>
              <w:t>%</w:t>
            </w:r>
          </w:p>
        </w:tc>
        <w:tc>
          <w:tcPr>
            <w:tcW w:w="609" w:type="pct"/>
            <w:tcBorders>
              <w:top w:val="single" w:sz="12" w:space="0" w:color="auto"/>
            </w:tcBorders>
            <w:vAlign w:val="center"/>
          </w:tcPr>
          <w:p w:rsidR="00D60600" w:rsidRPr="00B6607C" w:rsidRDefault="00D1067E" w:rsidP="00D1067E">
            <w:pPr>
              <w:keepNext/>
              <w:spacing w:after="0"/>
              <w:jc w:val="center"/>
              <w:rPr>
                <w:rFonts w:ascii="Times" w:hAnsi="Times"/>
                <w:sz w:val="18"/>
                <w:szCs w:val="18"/>
              </w:rPr>
            </w:pPr>
            <w:r>
              <w:rPr>
                <w:rFonts w:ascii="Times" w:hAnsi="Times"/>
                <w:sz w:val="18"/>
                <w:szCs w:val="18"/>
              </w:rPr>
              <w:t>[40-50]</w:t>
            </w:r>
            <w:r w:rsidR="00D60600" w:rsidRPr="002543F2">
              <w:rPr>
                <w:rFonts w:ascii="Times" w:hAnsi="Times"/>
                <w:sz w:val="18"/>
                <w:szCs w:val="18"/>
              </w:rPr>
              <w:t>%</w:t>
            </w:r>
            <w:r>
              <w:rPr>
                <w:rFonts w:ascii="Times" w:hAnsi="Times"/>
                <w:sz w:val="18"/>
                <w:szCs w:val="18"/>
              </w:rPr>
              <w:t xml:space="preserve"> </w:t>
            </w:r>
            <w:r w:rsidR="00D60600" w:rsidRPr="002543F2">
              <w:rPr>
                <w:rFonts w:ascii="Times" w:hAnsi="Times"/>
                <w:sz w:val="18"/>
                <w:szCs w:val="18"/>
              </w:rPr>
              <w:t>/</w:t>
            </w:r>
            <w:r>
              <w:rPr>
                <w:rFonts w:ascii="Times" w:hAnsi="Times"/>
                <w:sz w:val="18"/>
                <w:szCs w:val="18"/>
              </w:rPr>
              <w:t>[20-30]</w:t>
            </w:r>
            <w:r w:rsidR="00D60600" w:rsidRPr="002543F2">
              <w:rPr>
                <w:rFonts w:ascii="Times" w:hAnsi="Times"/>
                <w:sz w:val="18"/>
                <w:szCs w:val="18"/>
              </w:rPr>
              <w:t>%</w:t>
            </w:r>
          </w:p>
        </w:tc>
        <w:tc>
          <w:tcPr>
            <w:tcW w:w="696" w:type="pct"/>
            <w:tcBorders>
              <w:top w:val="single" w:sz="12" w:space="0" w:color="auto"/>
            </w:tcBorders>
            <w:vAlign w:val="center"/>
          </w:tcPr>
          <w:p w:rsidR="00D60600" w:rsidRPr="00B6607C" w:rsidRDefault="00D1067E" w:rsidP="00D1067E">
            <w:pPr>
              <w:keepNext/>
              <w:spacing w:after="0"/>
              <w:jc w:val="center"/>
              <w:rPr>
                <w:rFonts w:ascii="Times" w:hAnsi="Times"/>
                <w:sz w:val="18"/>
                <w:szCs w:val="18"/>
              </w:rPr>
            </w:pPr>
            <w:r>
              <w:rPr>
                <w:rFonts w:ascii="Times" w:hAnsi="Times"/>
                <w:sz w:val="18"/>
                <w:szCs w:val="18"/>
              </w:rPr>
              <w:t>[70-80]</w:t>
            </w:r>
            <w:r w:rsidR="00D60600" w:rsidRPr="002543F2">
              <w:rPr>
                <w:rFonts w:ascii="Times" w:hAnsi="Times"/>
                <w:sz w:val="18"/>
                <w:szCs w:val="18"/>
              </w:rPr>
              <w:t>%</w:t>
            </w:r>
            <w:r>
              <w:rPr>
                <w:rFonts w:ascii="Times" w:hAnsi="Times"/>
                <w:sz w:val="18"/>
                <w:szCs w:val="18"/>
              </w:rPr>
              <w:t xml:space="preserve"> </w:t>
            </w:r>
            <w:r w:rsidR="00D60600" w:rsidRPr="002543F2">
              <w:rPr>
                <w:rFonts w:ascii="Times" w:hAnsi="Times"/>
                <w:sz w:val="18"/>
                <w:szCs w:val="18"/>
              </w:rPr>
              <w:t>/</w:t>
            </w:r>
            <w:r>
              <w:rPr>
                <w:rFonts w:ascii="Times" w:hAnsi="Times"/>
                <w:sz w:val="18"/>
                <w:szCs w:val="18"/>
              </w:rPr>
              <w:t>[70-80]</w:t>
            </w:r>
            <w:r w:rsidR="00D60600" w:rsidRPr="002543F2">
              <w:rPr>
                <w:rFonts w:ascii="Times" w:hAnsi="Times"/>
                <w:sz w:val="18"/>
                <w:szCs w:val="18"/>
              </w:rPr>
              <w:t>%</w:t>
            </w:r>
          </w:p>
        </w:tc>
        <w:tc>
          <w:tcPr>
            <w:tcW w:w="738" w:type="pct"/>
            <w:tcBorders>
              <w:top w:val="single" w:sz="12" w:space="0" w:color="auto"/>
            </w:tcBorders>
            <w:vAlign w:val="center"/>
          </w:tcPr>
          <w:p w:rsidR="00D60600" w:rsidRPr="00B6607C" w:rsidRDefault="00D60600">
            <w:pPr>
              <w:keepNext/>
              <w:spacing w:after="0"/>
              <w:jc w:val="center"/>
              <w:rPr>
                <w:rFonts w:ascii="Times" w:hAnsi="Times"/>
                <w:sz w:val="18"/>
                <w:szCs w:val="18"/>
              </w:rPr>
            </w:pPr>
            <w:r w:rsidRPr="004F4BE3">
              <w:rPr>
                <w:rFonts w:ascii="Times" w:hAnsi="Times"/>
                <w:sz w:val="18"/>
              </w:rPr>
              <w:t xml:space="preserve">At least </w:t>
            </w:r>
            <w:r w:rsidR="00C1482B">
              <w:rPr>
                <w:rFonts w:ascii="Times" w:hAnsi="Times"/>
                <w:sz w:val="18"/>
              </w:rPr>
              <w:t>2</w:t>
            </w:r>
          </w:p>
        </w:tc>
      </w:tr>
      <w:tr w:rsidR="00D1067E" w:rsidRPr="00AD3737" w:rsidTr="00087AE2">
        <w:trPr>
          <w:trHeight w:val="345"/>
        </w:trPr>
        <w:tc>
          <w:tcPr>
            <w:tcW w:w="608" w:type="pct"/>
            <w:vMerge/>
            <w:vAlign w:val="center"/>
          </w:tcPr>
          <w:p w:rsidR="00D1067E" w:rsidRPr="00420413" w:rsidRDefault="00D1067E">
            <w:pPr>
              <w:keepNext/>
              <w:spacing w:after="0"/>
              <w:jc w:val="center"/>
              <w:rPr>
                <w:rFonts w:ascii="Times" w:hAnsi="Times"/>
                <w:i/>
                <w:sz w:val="18"/>
                <w:szCs w:val="18"/>
              </w:rPr>
            </w:pPr>
          </w:p>
        </w:tc>
        <w:tc>
          <w:tcPr>
            <w:tcW w:w="696" w:type="pct"/>
            <w:vMerge/>
            <w:vAlign w:val="center"/>
          </w:tcPr>
          <w:p w:rsidR="00D1067E" w:rsidRPr="00B6607C" w:rsidRDefault="00D1067E">
            <w:pPr>
              <w:keepNext/>
              <w:spacing w:after="0"/>
              <w:jc w:val="center"/>
              <w:rPr>
                <w:rFonts w:ascii="Times" w:hAnsi="Times"/>
                <w:sz w:val="18"/>
                <w:szCs w:val="18"/>
              </w:rPr>
            </w:pPr>
          </w:p>
        </w:tc>
        <w:tc>
          <w:tcPr>
            <w:tcW w:w="434" w:type="pct"/>
            <w:vMerge/>
            <w:vAlign w:val="center"/>
          </w:tcPr>
          <w:p w:rsidR="00D1067E" w:rsidRPr="00B6607C" w:rsidRDefault="00D1067E">
            <w:pPr>
              <w:keepNext/>
              <w:spacing w:after="0"/>
              <w:jc w:val="center"/>
              <w:rPr>
                <w:rFonts w:ascii="Times" w:hAnsi="Times"/>
                <w:sz w:val="18"/>
                <w:szCs w:val="18"/>
              </w:rPr>
            </w:pPr>
          </w:p>
        </w:tc>
        <w:tc>
          <w:tcPr>
            <w:tcW w:w="523" w:type="pct"/>
            <w:vAlign w:val="center"/>
          </w:tcPr>
          <w:p w:rsidR="00D1067E" w:rsidRPr="00213AF2" w:rsidRDefault="00D1067E">
            <w:pPr>
              <w:keepNext/>
              <w:spacing w:after="0"/>
              <w:jc w:val="left"/>
              <w:rPr>
                <w:rFonts w:ascii="Times" w:hAnsi="Times"/>
                <w:sz w:val="18"/>
              </w:rPr>
            </w:pPr>
            <w:r>
              <w:rPr>
                <w:rFonts w:ascii="Times" w:hAnsi="Times"/>
                <w:sz w:val="18"/>
              </w:rPr>
              <w:t>2016</w:t>
            </w:r>
          </w:p>
        </w:tc>
        <w:tc>
          <w:tcPr>
            <w:tcW w:w="696" w:type="pct"/>
            <w:vAlign w:val="center"/>
          </w:tcPr>
          <w:p w:rsidR="00D1067E" w:rsidRPr="00B6607C" w:rsidRDefault="00D1067E">
            <w:pPr>
              <w:keepNext/>
              <w:spacing w:after="0"/>
              <w:jc w:val="center"/>
              <w:rPr>
                <w:rFonts w:ascii="Times" w:hAnsi="Times"/>
                <w:sz w:val="18"/>
                <w:szCs w:val="18"/>
              </w:rPr>
            </w:pPr>
            <w:r>
              <w:rPr>
                <w:rFonts w:ascii="Times" w:hAnsi="Times"/>
                <w:sz w:val="18"/>
                <w:szCs w:val="18"/>
              </w:rPr>
              <w:t>[30-40]</w:t>
            </w:r>
            <w:r w:rsidRPr="002543F2">
              <w:rPr>
                <w:rFonts w:ascii="Times" w:hAnsi="Times"/>
                <w:sz w:val="18"/>
                <w:szCs w:val="18"/>
              </w:rPr>
              <w:t>%</w:t>
            </w:r>
            <w:r>
              <w:rPr>
                <w:rFonts w:ascii="Times" w:hAnsi="Times"/>
                <w:sz w:val="18"/>
                <w:szCs w:val="18"/>
              </w:rPr>
              <w:t xml:space="preserve"> </w:t>
            </w:r>
            <w:r w:rsidRPr="002543F2">
              <w:rPr>
                <w:rFonts w:ascii="Times" w:hAnsi="Times"/>
                <w:sz w:val="18"/>
                <w:szCs w:val="18"/>
              </w:rPr>
              <w:t>/</w:t>
            </w:r>
            <w:r>
              <w:rPr>
                <w:rFonts w:ascii="Times" w:hAnsi="Times"/>
                <w:sz w:val="18"/>
                <w:szCs w:val="18"/>
              </w:rPr>
              <w:t>[40-50]</w:t>
            </w:r>
            <w:r w:rsidRPr="002543F2">
              <w:rPr>
                <w:rFonts w:ascii="Times" w:hAnsi="Times"/>
                <w:sz w:val="18"/>
                <w:szCs w:val="18"/>
              </w:rPr>
              <w:t>%</w:t>
            </w:r>
          </w:p>
        </w:tc>
        <w:tc>
          <w:tcPr>
            <w:tcW w:w="609" w:type="pct"/>
            <w:vAlign w:val="center"/>
          </w:tcPr>
          <w:p w:rsidR="00D1067E" w:rsidRPr="00B6607C" w:rsidRDefault="00D1067E">
            <w:pPr>
              <w:keepNext/>
              <w:spacing w:after="0"/>
              <w:jc w:val="center"/>
              <w:rPr>
                <w:rFonts w:ascii="Times" w:hAnsi="Times"/>
                <w:sz w:val="18"/>
                <w:szCs w:val="18"/>
              </w:rPr>
            </w:pPr>
            <w:r>
              <w:rPr>
                <w:rFonts w:ascii="Times" w:hAnsi="Times"/>
                <w:sz w:val="18"/>
                <w:szCs w:val="18"/>
              </w:rPr>
              <w:t>[20-30]% /[20-30]%</w:t>
            </w:r>
          </w:p>
        </w:tc>
        <w:tc>
          <w:tcPr>
            <w:tcW w:w="696" w:type="pct"/>
            <w:vAlign w:val="center"/>
          </w:tcPr>
          <w:p w:rsidR="00D1067E" w:rsidRPr="00B6607C" w:rsidRDefault="00D1067E" w:rsidP="00D1067E">
            <w:pPr>
              <w:keepNext/>
              <w:spacing w:after="0"/>
              <w:jc w:val="center"/>
              <w:rPr>
                <w:rFonts w:ascii="Times" w:hAnsi="Times"/>
                <w:sz w:val="18"/>
                <w:szCs w:val="18"/>
              </w:rPr>
            </w:pPr>
            <w:r>
              <w:rPr>
                <w:rFonts w:ascii="Times" w:hAnsi="Times"/>
                <w:sz w:val="18"/>
                <w:szCs w:val="18"/>
              </w:rPr>
              <w:t>[50-60]% /[60-70]%</w:t>
            </w:r>
          </w:p>
        </w:tc>
        <w:tc>
          <w:tcPr>
            <w:tcW w:w="738" w:type="pct"/>
            <w:vAlign w:val="center"/>
          </w:tcPr>
          <w:p w:rsidR="00D1067E" w:rsidRPr="00B6607C" w:rsidRDefault="00D1067E">
            <w:pPr>
              <w:keepNext/>
              <w:spacing w:after="0"/>
              <w:jc w:val="center"/>
              <w:rPr>
                <w:rFonts w:ascii="Times" w:hAnsi="Times"/>
                <w:sz w:val="18"/>
                <w:szCs w:val="18"/>
              </w:rPr>
            </w:pPr>
            <w:r>
              <w:rPr>
                <w:rFonts w:ascii="Times" w:hAnsi="Times"/>
                <w:sz w:val="18"/>
                <w:szCs w:val="18"/>
              </w:rPr>
              <w:t>At least 4</w:t>
            </w:r>
          </w:p>
        </w:tc>
      </w:tr>
      <w:tr w:rsidR="00D60600" w:rsidRPr="00AD3737" w:rsidTr="00087AE2">
        <w:trPr>
          <w:trHeight w:val="345"/>
        </w:trPr>
        <w:tc>
          <w:tcPr>
            <w:tcW w:w="608" w:type="pct"/>
            <w:vMerge/>
            <w:vAlign w:val="center"/>
          </w:tcPr>
          <w:p w:rsidR="00D60600" w:rsidRPr="00420413" w:rsidRDefault="00D60600">
            <w:pPr>
              <w:keepNext/>
              <w:spacing w:after="0"/>
              <w:jc w:val="center"/>
              <w:rPr>
                <w:rFonts w:ascii="Times" w:hAnsi="Times"/>
                <w:i/>
                <w:sz w:val="18"/>
                <w:szCs w:val="18"/>
              </w:rPr>
            </w:pPr>
          </w:p>
        </w:tc>
        <w:tc>
          <w:tcPr>
            <w:tcW w:w="696" w:type="pct"/>
            <w:vMerge/>
            <w:vAlign w:val="center"/>
          </w:tcPr>
          <w:p w:rsidR="00D60600" w:rsidRPr="00B6607C" w:rsidRDefault="00D60600">
            <w:pPr>
              <w:keepNext/>
              <w:spacing w:after="0"/>
              <w:jc w:val="center"/>
              <w:rPr>
                <w:rFonts w:ascii="Times" w:hAnsi="Times"/>
                <w:sz w:val="18"/>
                <w:szCs w:val="18"/>
              </w:rPr>
            </w:pPr>
          </w:p>
        </w:tc>
        <w:tc>
          <w:tcPr>
            <w:tcW w:w="434" w:type="pct"/>
            <w:vMerge/>
            <w:vAlign w:val="center"/>
          </w:tcPr>
          <w:p w:rsidR="00D60600" w:rsidRPr="00B6607C" w:rsidRDefault="00D60600">
            <w:pPr>
              <w:keepNext/>
              <w:spacing w:after="0"/>
              <w:jc w:val="center"/>
              <w:rPr>
                <w:rFonts w:ascii="Times" w:hAnsi="Times"/>
                <w:sz w:val="18"/>
                <w:szCs w:val="18"/>
              </w:rPr>
            </w:pPr>
          </w:p>
        </w:tc>
        <w:tc>
          <w:tcPr>
            <w:tcW w:w="523" w:type="pct"/>
            <w:vAlign w:val="center"/>
          </w:tcPr>
          <w:p w:rsidR="00D60600" w:rsidRPr="00213AF2" w:rsidRDefault="00D60600">
            <w:pPr>
              <w:keepNext/>
              <w:spacing w:after="0"/>
              <w:jc w:val="left"/>
              <w:rPr>
                <w:rFonts w:ascii="Times" w:hAnsi="Times"/>
                <w:sz w:val="18"/>
              </w:rPr>
            </w:pPr>
            <w:r>
              <w:rPr>
                <w:rFonts w:ascii="Times" w:hAnsi="Times"/>
                <w:sz w:val="18"/>
              </w:rPr>
              <w:t>2015</w:t>
            </w:r>
          </w:p>
        </w:tc>
        <w:tc>
          <w:tcPr>
            <w:tcW w:w="696" w:type="pct"/>
            <w:vAlign w:val="center"/>
          </w:tcPr>
          <w:p w:rsidR="00D60600" w:rsidRPr="00B6607C" w:rsidRDefault="00D1067E" w:rsidP="00D1067E">
            <w:pPr>
              <w:keepNext/>
              <w:spacing w:after="0"/>
              <w:jc w:val="center"/>
              <w:rPr>
                <w:rFonts w:ascii="Times" w:hAnsi="Times"/>
                <w:sz w:val="18"/>
                <w:szCs w:val="18"/>
              </w:rPr>
            </w:pPr>
            <w:r>
              <w:rPr>
                <w:rFonts w:ascii="Times" w:hAnsi="Times"/>
                <w:sz w:val="18"/>
                <w:szCs w:val="18"/>
              </w:rPr>
              <w:t>[20-30]</w:t>
            </w:r>
            <w:r w:rsidR="00D60600">
              <w:rPr>
                <w:rFonts w:ascii="Times" w:hAnsi="Times"/>
                <w:sz w:val="18"/>
                <w:szCs w:val="18"/>
              </w:rPr>
              <w:t>%</w:t>
            </w:r>
            <w:r>
              <w:rPr>
                <w:rFonts w:ascii="Times" w:hAnsi="Times"/>
                <w:sz w:val="18"/>
                <w:szCs w:val="18"/>
              </w:rPr>
              <w:t xml:space="preserve"> </w:t>
            </w:r>
            <w:r w:rsidR="00D60600">
              <w:rPr>
                <w:rFonts w:ascii="Times" w:hAnsi="Times"/>
                <w:sz w:val="18"/>
                <w:szCs w:val="18"/>
              </w:rPr>
              <w:t>/</w:t>
            </w:r>
            <w:r>
              <w:rPr>
                <w:rFonts w:ascii="Times" w:hAnsi="Times"/>
                <w:sz w:val="18"/>
                <w:szCs w:val="18"/>
              </w:rPr>
              <w:t>[30-40]</w:t>
            </w:r>
            <w:r w:rsidR="00D60600">
              <w:rPr>
                <w:rFonts w:ascii="Times" w:hAnsi="Times"/>
                <w:sz w:val="18"/>
                <w:szCs w:val="18"/>
              </w:rPr>
              <w:t>%</w:t>
            </w:r>
          </w:p>
        </w:tc>
        <w:tc>
          <w:tcPr>
            <w:tcW w:w="609" w:type="pct"/>
            <w:vAlign w:val="center"/>
          </w:tcPr>
          <w:p w:rsidR="00D60600" w:rsidRPr="00B6607C" w:rsidRDefault="00D1067E" w:rsidP="00D1067E">
            <w:pPr>
              <w:keepNext/>
              <w:spacing w:after="0"/>
              <w:jc w:val="center"/>
              <w:rPr>
                <w:rFonts w:ascii="Times" w:hAnsi="Times"/>
                <w:sz w:val="18"/>
                <w:szCs w:val="18"/>
              </w:rPr>
            </w:pPr>
            <w:r>
              <w:rPr>
                <w:rFonts w:ascii="Times" w:hAnsi="Times"/>
                <w:sz w:val="18"/>
                <w:szCs w:val="18"/>
              </w:rPr>
              <w:t>[</w:t>
            </w:r>
            <w:r w:rsidR="00D60600">
              <w:rPr>
                <w:rFonts w:ascii="Times" w:hAnsi="Times"/>
                <w:sz w:val="18"/>
                <w:szCs w:val="18"/>
              </w:rPr>
              <w:t>20</w:t>
            </w:r>
            <w:r>
              <w:rPr>
                <w:rFonts w:ascii="Times" w:hAnsi="Times"/>
                <w:sz w:val="18"/>
                <w:szCs w:val="18"/>
              </w:rPr>
              <w:t>-30]</w:t>
            </w:r>
            <w:r w:rsidR="00D60600">
              <w:rPr>
                <w:rFonts w:ascii="Times" w:hAnsi="Times"/>
                <w:sz w:val="18"/>
                <w:szCs w:val="18"/>
              </w:rPr>
              <w:t>%</w:t>
            </w:r>
            <w:r>
              <w:rPr>
                <w:rFonts w:ascii="Times" w:hAnsi="Times"/>
                <w:sz w:val="18"/>
                <w:szCs w:val="18"/>
              </w:rPr>
              <w:t xml:space="preserve"> </w:t>
            </w:r>
            <w:r w:rsidR="00D60600">
              <w:rPr>
                <w:rFonts w:ascii="Times" w:hAnsi="Times"/>
                <w:sz w:val="18"/>
                <w:szCs w:val="18"/>
              </w:rPr>
              <w:t>/</w:t>
            </w:r>
            <w:r>
              <w:rPr>
                <w:rFonts w:ascii="Times" w:hAnsi="Times"/>
                <w:sz w:val="18"/>
                <w:szCs w:val="18"/>
              </w:rPr>
              <w:t>[10-20]</w:t>
            </w:r>
            <w:r w:rsidR="00D60600">
              <w:rPr>
                <w:rFonts w:ascii="Times" w:hAnsi="Times"/>
                <w:sz w:val="18"/>
                <w:szCs w:val="18"/>
              </w:rPr>
              <w:t>%</w:t>
            </w:r>
          </w:p>
        </w:tc>
        <w:tc>
          <w:tcPr>
            <w:tcW w:w="696" w:type="pct"/>
            <w:vAlign w:val="center"/>
          </w:tcPr>
          <w:p w:rsidR="00D60600" w:rsidRPr="00B6607C" w:rsidRDefault="00D1067E" w:rsidP="00D1067E">
            <w:pPr>
              <w:keepNext/>
              <w:spacing w:after="0"/>
              <w:jc w:val="center"/>
              <w:rPr>
                <w:rFonts w:ascii="Times" w:hAnsi="Times"/>
                <w:sz w:val="18"/>
                <w:szCs w:val="18"/>
              </w:rPr>
            </w:pPr>
            <w:r>
              <w:rPr>
                <w:rFonts w:ascii="Times" w:hAnsi="Times"/>
                <w:sz w:val="18"/>
                <w:szCs w:val="18"/>
              </w:rPr>
              <w:t>[40-50]</w:t>
            </w:r>
            <w:r w:rsidR="00D60600">
              <w:rPr>
                <w:rFonts w:ascii="Times" w:hAnsi="Times"/>
                <w:sz w:val="18"/>
                <w:szCs w:val="18"/>
              </w:rPr>
              <w:t>%</w:t>
            </w:r>
            <w:r>
              <w:rPr>
                <w:rFonts w:ascii="Times" w:hAnsi="Times"/>
                <w:sz w:val="18"/>
                <w:szCs w:val="18"/>
              </w:rPr>
              <w:t xml:space="preserve"> </w:t>
            </w:r>
            <w:r w:rsidR="00D60600">
              <w:rPr>
                <w:rFonts w:ascii="Times" w:hAnsi="Times"/>
                <w:sz w:val="18"/>
                <w:szCs w:val="18"/>
              </w:rPr>
              <w:t>/</w:t>
            </w:r>
            <w:r>
              <w:rPr>
                <w:rFonts w:ascii="Times" w:hAnsi="Times"/>
                <w:sz w:val="18"/>
                <w:szCs w:val="18"/>
              </w:rPr>
              <w:t>[50-60]</w:t>
            </w:r>
            <w:r w:rsidR="00D60600">
              <w:rPr>
                <w:rFonts w:ascii="Times" w:hAnsi="Times"/>
                <w:sz w:val="18"/>
                <w:szCs w:val="18"/>
              </w:rPr>
              <w:t>%</w:t>
            </w:r>
          </w:p>
        </w:tc>
        <w:tc>
          <w:tcPr>
            <w:tcW w:w="738" w:type="pct"/>
            <w:vAlign w:val="center"/>
          </w:tcPr>
          <w:p w:rsidR="00D60600" w:rsidRPr="00B6607C" w:rsidRDefault="00D60600">
            <w:pPr>
              <w:keepNext/>
              <w:spacing w:after="0"/>
              <w:jc w:val="center"/>
              <w:rPr>
                <w:rFonts w:ascii="Times" w:hAnsi="Times"/>
                <w:sz w:val="18"/>
                <w:szCs w:val="18"/>
              </w:rPr>
            </w:pPr>
            <w:r>
              <w:rPr>
                <w:rFonts w:ascii="Times" w:hAnsi="Times"/>
                <w:sz w:val="18"/>
                <w:szCs w:val="18"/>
              </w:rPr>
              <w:t>At least 4</w:t>
            </w:r>
          </w:p>
        </w:tc>
      </w:tr>
    </w:tbl>
    <w:p w:rsidR="00D60600" w:rsidRDefault="00D60600" w:rsidP="0080226D">
      <w:pPr>
        <w:pStyle w:val="ListNumber"/>
        <w:numPr>
          <w:ilvl w:val="0"/>
          <w:numId w:val="0"/>
        </w:numPr>
        <w:spacing w:after="0"/>
        <w:ind w:left="709"/>
        <w:rPr>
          <w:rFonts w:eastAsia="Calibri"/>
        </w:rPr>
      </w:pPr>
    </w:p>
    <w:p w:rsidR="0080226D" w:rsidRDefault="0076503C" w:rsidP="0080226D">
      <w:pPr>
        <w:pStyle w:val="ListNumber"/>
      </w:pPr>
      <w:r>
        <w:t xml:space="preserve">In 2017, the </w:t>
      </w:r>
      <w:r w:rsidR="0080226D">
        <w:t xml:space="preserve">Parties' combined share </w:t>
      </w:r>
      <w:r w:rsidR="008940A4">
        <w:t>was</w:t>
      </w:r>
      <w:r w:rsidR="0080226D">
        <w:t xml:space="preserve"> </w:t>
      </w:r>
      <w:r w:rsidR="00FB6BB0">
        <w:t>[20-30]</w:t>
      </w:r>
      <w:r w:rsidR="0080226D">
        <w:t xml:space="preserve">% in value and </w:t>
      </w:r>
      <w:r w:rsidR="00FB6BB0">
        <w:t>[30-40]</w:t>
      </w:r>
      <w:r w:rsidR="0080226D">
        <w:t xml:space="preserve">% in volume at ATC 3 class level.  At the ATC 3 class level, the share increment that Teva contributes will be very limited (less than </w:t>
      </w:r>
      <w:r w:rsidR="00FB6BB0">
        <w:t>[0-5]</w:t>
      </w:r>
      <w:r w:rsidR="0080226D">
        <w:t xml:space="preserve">% in both value and volume).  </w:t>
      </w:r>
      <w:r w:rsidR="00C82FE8">
        <w:t xml:space="preserve">At the molecule level, the Parties' combine share is </w:t>
      </w:r>
      <w:r w:rsidR="00FB6BB0">
        <w:t>[70-80]</w:t>
      </w:r>
      <w:r w:rsidR="00C82FE8">
        <w:t xml:space="preserve">% in value and </w:t>
      </w:r>
      <w:r w:rsidR="00FB6BB0">
        <w:t>[70-80]</w:t>
      </w:r>
      <w:r w:rsidR="00C82FE8">
        <w:t xml:space="preserve">% in volume.  </w:t>
      </w:r>
    </w:p>
    <w:p w:rsidR="0080226D" w:rsidRPr="00CF51B4" w:rsidRDefault="0080226D" w:rsidP="0080226D">
      <w:pPr>
        <w:pStyle w:val="ListNumber"/>
        <w:rPr>
          <w:rFonts w:ascii="Times" w:hAnsi="Times"/>
          <w:szCs w:val="24"/>
        </w:rPr>
      </w:pPr>
      <w:r>
        <w:t xml:space="preserve">Post-Transaction, the combined entity will continue to face competition by several </w:t>
      </w:r>
      <w:r w:rsidRPr="00CF51B4">
        <w:rPr>
          <w:rFonts w:ascii="Times" w:hAnsi="Times"/>
          <w:szCs w:val="24"/>
        </w:rPr>
        <w:t xml:space="preserve">players.  There are at least </w:t>
      </w:r>
      <w:r w:rsidR="00C1482B" w:rsidRPr="00CF51B4">
        <w:rPr>
          <w:rFonts w:ascii="Times" w:hAnsi="Times"/>
          <w:szCs w:val="24"/>
        </w:rPr>
        <w:t xml:space="preserve">2 </w:t>
      </w:r>
      <w:r w:rsidRPr="00CF51B4">
        <w:rPr>
          <w:rFonts w:ascii="Times" w:hAnsi="Times"/>
          <w:szCs w:val="24"/>
        </w:rPr>
        <w:t xml:space="preserve">players who offer </w:t>
      </w:r>
      <w:r w:rsidRPr="00CF51B4">
        <w:rPr>
          <w:rFonts w:ascii="Times" w:hAnsi="Times"/>
          <w:i/>
          <w:szCs w:val="24"/>
        </w:rPr>
        <w:t>beclometasone</w:t>
      </w:r>
      <w:r w:rsidRPr="00CF51B4">
        <w:rPr>
          <w:rFonts w:ascii="Times" w:hAnsi="Times"/>
          <w:szCs w:val="24"/>
        </w:rPr>
        <w:t xml:space="preserve">-based topical nasal products in Germany and who have </w:t>
      </w:r>
      <w:r w:rsidR="00286427" w:rsidRPr="00CF51B4">
        <w:rPr>
          <w:rFonts w:ascii="Times" w:hAnsi="Times"/>
          <w:szCs w:val="24"/>
        </w:rPr>
        <w:t xml:space="preserve">market </w:t>
      </w:r>
      <w:r w:rsidRPr="00CF51B4">
        <w:rPr>
          <w:rFonts w:ascii="Times" w:hAnsi="Times"/>
          <w:szCs w:val="24"/>
        </w:rPr>
        <w:t>share</w:t>
      </w:r>
      <w:r w:rsidR="00286427" w:rsidRPr="00CF51B4">
        <w:rPr>
          <w:rFonts w:ascii="Times" w:hAnsi="Times"/>
          <w:szCs w:val="24"/>
        </w:rPr>
        <w:t>s</w:t>
      </w:r>
      <w:r w:rsidRPr="00CF51B4">
        <w:rPr>
          <w:rFonts w:ascii="Times" w:hAnsi="Times"/>
          <w:szCs w:val="24"/>
        </w:rPr>
        <w:t xml:space="preserve"> of </w:t>
      </w:r>
      <w:r w:rsidR="00FB6BB0">
        <w:rPr>
          <w:rFonts w:ascii="Times" w:hAnsi="Times"/>
          <w:szCs w:val="24"/>
        </w:rPr>
        <w:t>[5-10]</w:t>
      </w:r>
      <w:r w:rsidRPr="00CF51B4">
        <w:rPr>
          <w:rFonts w:ascii="Times" w:hAnsi="Times"/>
          <w:szCs w:val="24"/>
        </w:rPr>
        <w:t xml:space="preserve">% or </w:t>
      </w:r>
      <w:r w:rsidRPr="00CF51B4">
        <w:rPr>
          <w:rFonts w:ascii="Times" w:hAnsi="Times"/>
          <w:szCs w:val="24"/>
        </w:rPr>
        <w:lastRenderedPageBreak/>
        <w:t xml:space="preserve">higher in </w:t>
      </w:r>
      <w:r w:rsidR="00C1482B" w:rsidRPr="00CF51B4">
        <w:rPr>
          <w:rFonts w:ascii="Times" w:hAnsi="Times"/>
          <w:szCs w:val="24"/>
        </w:rPr>
        <w:t xml:space="preserve">both </w:t>
      </w:r>
      <w:r w:rsidRPr="00CF51B4">
        <w:rPr>
          <w:rFonts w:ascii="Times" w:hAnsi="Times"/>
          <w:szCs w:val="24"/>
        </w:rPr>
        <w:t xml:space="preserve">value </w:t>
      </w:r>
      <w:r w:rsidR="00C1482B" w:rsidRPr="00CF51B4">
        <w:rPr>
          <w:rFonts w:ascii="Times" w:hAnsi="Times"/>
          <w:szCs w:val="24"/>
        </w:rPr>
        <w:t>and</w:t>
      </w:r>
      <w:r w:rsidRPr="00CF51B4">
        <w:rPr>
          <w:rFonts w:ascii="Times" w:hAnsi="Times"/>
          <w:szCs w:val="24"/>
        </w:rPr>
        <w:t xml:space="preserve"> volume.  These are Chiesi</w:t>
      </w:r>
      <w:r w:rsidR="00C82FE8" w:rsidRPr="00CF51B4">
        <w:rPr>
          <w:rStyle w:val="FootnoteReference"/>
          <w:rFonts w:ascii="Times" w:hAnsi="Times"/>
          <w:sz w:val="24"/>
          <w:szCs w:val="24"/>
          <w:vertAlign w:val="superscript"/>
        </w:rPr>
        <w:footnoteReference w:id="65"/>
      </w:r>
      <w:r w:rsidR="00C1482B" w:rsidRPr="00CF51B4">
        <w:rPr>
          <w:rFonts w:ascii="Times" w:hAnsi="Times"/>
          <w:szCs w:val="24"/>
          <w:vertAlign w:val="superscript"/>
        </w:rPr>
        <w:t xml:space="preserve"> </w:t>
      </w:r>
      <w:r w:rsidR="00C1482B" w:rsidRPr="00CF51B4">
        <w:rPr>
          <w:rFonts w:ascii="Times" w:hAnsi="Times"/>
          <w:szCs w:val="24"/>
        </w:rPr>
        <w:t xml:space="preserve">and </w:t>
      </w:r>
      <w:r w:rsidRPr="00CF51B4">
        <w:rPr>
          <w:rFonts w:ascii="Times" w:hAnsi="Times"/>
          <w:szCs w:val="24"/>
        </w:rPr>
        <w:t>Dermapharm</w:t>
      </w:r>
      <w:r w:rsidR="00C1482B" w:rsidRPr="00CF51B4">
        <w:rPr>
          <w:rFonts w:ascii="Times" w:hAnsi="Times"/>
          <w:szCs w:val="24"/>
        </w:rPr>
        <w:t>.</w:t>
      </w:r>
      <w:r w:rsidR="00C82FE8" w:rsidRPr="00CF51B4">
        <w:rPr>
          <w:rStyle w:val="FootnoteReference"/>
          <w:rFonts w:ascii="Times" w:hAnsi="Times"/>
          <w:sz w:val="24"/>
          <w:szCs w:val="24"/>
          <w:vertAlign w:val="superscript"/>
        </w:rPr>
        <w:footnoteReference w:id="66"/>
      </w:r>
      <w:r w:rsidR="00C82FE8" w:rsidRPr="00CF51B4">
        <w:rPr>
          <w:rFonts w:ascii="Times" w:hAnsi="Times"/>
          <w:szCs w:val="24"/>
          <w:vertAlign w:val="superscript"/>
        </w:rPr>
        <w:t xml:space="preserve"> </w:t>
      </w:r>
      <w:r w:rsidRPr="00CF51B4">
        <w:rPr>
          <w:rFonts w:ascii="Times" w:hAnsi="Times"/>
          <w:szCs w:val="24"/>
        </w:rPr>
        <w:t>Orion</w:t>
      </w:r>
      <w:r w:rsidR="00C1482B" w:rsidRPr="00CF51B4">
        <w:rPr>
          <w:rFonts w:ascii="Times" w:hAnsi="Times"/>
          <w:szCs w:val="24"/>
        </w:rPr>
        <w:t xml:space="preserve"> holds </w:t>
      </w:r>
      <w:r w:rsidR="00FB6BB0">
        <w:rPr>
          <w:rFonts w:ascii="Times" w:hAnsi="Times"/>
          <w:szCs w:val="24"/>
        </w:rPr>
        <w:t>[5-10]</w:t>
      </w:r>
      <w:r w:rsidR="00C1482B" w:rsidRPr="00CF51B4">
        <w:rPr>
          <w:rFonts w:ascii="Times" w:hAnsi="Times"/>
          <w:szCs w:val="24"/>
        </w:rPr>
        <w:t xml:space="preserve">% in value and </w:t>
      </w:r>
      <w:r w:rsidR="00FB6BB0">
        <w:rPr>
          <w:rFonts w:ascii="Times" w:hAnsi="Times"/>
          <w:szCs w:val="24"/>
        </w:rPr>
        <w:t>[0-5]</w:t>
      </w:r>
      <w:r w:rsidR="00C1482B" w:rsidRPr="00CF51B4">
        <w:rPr>
          <w:rFonts w:ascii="Times" w:hAnsi="Times"/>
          <w:szCs w:val="24"/>
        </w:rPr>
        <w:t>% in volume at molecule level.</w:t>
      </w:r>
      <w:r w:rsidR="00C82FE8" w:rsidRPr="00CF51B4">
        <w:rPr>
          <w:rStyle w:val="FootnoteReference"/>
          <w:rFonts w:ascii="Times" w:hAnsi="Times"/>
          <w:sz w:val="24"/>
          <w:szCs w:val="24"/>
          <w:vertAlign w:val="superscript"/>
        </w:rPr>
        <w:footnoteReference w:id="67"/>
      </w:r>
      <w:r w:rsidRPr="00CF51B4">
        <w:rPr>
          <w:rFonts w:ascii="Times" w:hAnsi="Times"/>
          <w:szCs w:val="24"/>
          <w:vertAlign w:val="superscript"/>
        </w:rPr>
        <w:t xml:space="preserve"> </w:t>
      </w:r>
      <w:r w:rsidRPr="00CF51B4">
        <w:rPr>
          <w:rFonts w:ascii="Times" w:hAnsi="Times"/>
          <w:szCs w:val="24"/>
        </w:rPr>
        <w:t xml:space="preserve"> </w:t>
      </w:r>
    </w:p>
    <w:p w:rsidR="0080226D" w:rsidRDefault="0080226D" w:rsidP="0080226D">
      <w:pPr>
        <w:pStyle w:val="ListNumber"/>
      </w:pPr>
      <w:r w:rsidRPr="00CF51B4">
        <w:rPr>
          <w:rFonts w:ascii="Times" w:hAnsi="Times"/>
          <w:szCs w:val="24"/>
        </w:rPr>
        <w:t xml:space="preserve">All the respondents in the market investigation </w:t>
      </w:r>
      <w:r w:rsidR="001C18CB" w:rsidRPr="00CF51B4">
        <w:rPr>
          <w:rFonts w:ascii="Times" w:hAnsi="Times"/>
          <w:szCs w:val="24"/>
        </w:rPr>
        <w:t xml:space="preserve">indicated </w:t>
      </w:r>
      <w:r w:rsidRPr="00CF51B4">
        <w:rPr>
          <w:rFonts w:ascii="Times" w:hAnsi="Times"/>
          <w:szCs w:val="24"/>
        </w:rPr>
        <w:t xml:space="preserve">that the Parties' products do not compete closely (if at all).  None of them named PGT's product as the closest competitor for Teva's product or </w:t>
      </w:r>
      <w:r w:rsidRPr="00CF51B4">
        <w:rPr>
          <w:rFonts w:ascii="Times" w:hAnsi="Times"/>
          <w:i/>
          <w:szCs w:val="24"/>
        </w:rPr>
        <w:t>vice versa</w:t>
      </w:r>
      <w:r w:rsidRPr="00CF51B4">
        <w:rPr>
          <w:rFonts w:ascii="Times" w:hAnsi="Times"/>
          <w:szCs w:val="24"/>
        </w:rPr>
        <w:t>.  Rather, the majority of respondents identified Novartis' Mometason</w:t>
      </w:r>
      <w:r>
        <w:t xml:space="preserve"> Hexal as the closest competitor to the PGT's product</w:t>
      </w:r>
      <w:r w:rsidR="0086338E">
        <w:t xml:space="preserve"> because the two products have identical indications and their active ingredients belong to the same class of molecules</w:t>
      </w:r>
      <w:r w:rsidR="00AA0FD2">
        <w:t xml:space="preserve">. Respondents also identified two Rx products, </w:t>
      </w:r>
      <w:r>
        <w:t xml:space="preserve">Chiesi's </w:t>
      </w:r>
      <w:r w:rsidR="00AA0FD2">
        <w:t xml:space="preserve">Beclorhinol aquosum </w:t>
      </w:r>
      <w:r>
        <w:t>and Dermapharm's</w:t>
      </w:r>
      <w:r w:rsidR="00AA0FD2">
        <w:t xml:space="preserve"> Rhinivict nasal, as the</w:t>
      </w:r>
      <w:r>
        <w:t xml:space="preserve"> closest competitors to Teva's product</w:t>
      </w:r>
      <w:r w:rsidRPr="00AA0FD2">
        <w:t>.</w:t>
      </w:r>
      <w:r w:rsidRPr="00AA0FD2">
        <w:rPr>
          <w:rStyle w:val="FootnoteReference"/>
        </w:rPr>
        <w:footnoteReference w:id="68"/>
      </w:r>
      <w:r>
        <w:t xml:space="preserve"> The market investigation also suggested that Teva's </w:t>
      </w:r>
      <w:r w:rsidR="0076503C">
        <w:t xml:space="preserve">Rx product </w:t>
      </w:r>
      <w:r>
        <w:t xml:space="preserve">and PGT's </w:t>
      </w:r>
      <w:r w:rsidR="0076503C">
        <w:t>OTC drugs</w:t>
      </w:r>
      <w:r>
        <w:t xml:space="preserve"> are differentiated, in terms of pack design, brand and therapeutic indications.</w:t>
      </w:r>
      <w:r>
        <w:rPr>
          <w:rStyle w:val="FootnoteReference"/>
        </w:rPr>
        <w:footnoteReference w:id="69"/>
      </w:r>
      <w:r>
        <w:t xml:space="preserve">  </w:t>
      </w:r>
    </w:p>
    <w:p w:rsidR="0080226D" w:rsidRPr="00272357" w:rsidRDefault="00A72F2D" w:rsidP="0080226D">
      <w:pPr>
        <w:pStyle w:val="ListNumber"/>
      </w:pPr>
      <w:r w:rsidRPr="00A72F2D">
        <w:rPr>
          <w:szCs w:val="24"/>
        </w:rPr>
        <w:t xml:space="preserve">Finally, the market investigation did not reveal any </w:t>
      </w:r>
      <w:r w:rsidRPr="00A72F2D">
        <w:rPr>
          <w:rFonts w:eastAsia="Calibri"/>
          <w:szCs w:val="24"/>
        </w:rPr>
        <w:t>competition concerns in</w:t>
      </w:r>
      <w:r w:rsidRPr="00A72F2D" w:rsidDel="00A2241C">
        <w:rPr>
          <w:rFonts w:ascii="Times" w:eastAsia="Calibri" w:hAnsi="Times"/>
          <w:szCs w:val="24"/>
        </w:rPr>
        <w:t xml:space="preserve"> </w:t>
      </w:r>
      <w:r w:rsidRPr="00A72F2D">
        <w:rPr>
          <w:rFonts w:ascii="Times" w:eastAsia="Calibri" w:hAnsi="Times"/>
          <w:szCs w:val="24"/>
        </w:rPr>
        <w:t xml:space="preserve">relation to </w:t>
      </w:r>
      <w:r>
        <w:rPr>
          <w:rFonts w:ascii="Times" w:eastAsia="Calibri" w:hAnsi="Times"/>
          <w:szCs w:val="24"/>
        </w:rPr>
        <w:t>t</w:t>
      </w:r>
      <w:r w:rsidRPr="00A847CC">
        <w:rPr>
          <w:rFonts w:ascii="Times" w:hAnsi="Times"/>
          <w:szCs w:val="24"/>
        </w:rPr>
        <w:t>opical nasal preparations</w:t>
      </w:r>
      <w:r w:rsidRPr="00A847CC" w:rsidDel="00A72F2D">
        <w:rPr>
          <w:szCs w:val="24"/>
        </w:rPr>
        <w:t xml:space="preserve"> </w:t>
      </w:r>
      <w:r w:rsidRPr="00A847CC">
        <w:rPr>
          <w:szCs w:val="24"/>
        </w:rPr>
        <w:t>in Germany</w:t>
      </w:r>
      <w:r w:rsidR="0080226D">
        <w:t>.</w:t>
      </w:r>
      <w:r w:rsidR="0080226D">
        <w:rPr>
          <w:rStyle w:val="FootnoteReference"/>
        </w:rPr>
        <w:footnoteReference w:id="70"/>
      </w:r>
      <w:r w:rsidR="0080226D">
        <w:t xml:space="preserve"> </w:t>
      </w:r>
    </w:p>
    <w:p w:rsidR="0080226D" w:rsidRPr="00272357" w:rsidRDefault="00814F0F" w:rsidP="0080226D">
      <w:pPr>
        <w:pStyle w:val="ListNumber"/>
      </w:pPr>
      <w:r w:rsidRPr="00546F00">
        <w:rPr>
          <w:rFonts w:ascii="Times" w:hAnsi="Times"/>
          <w:szCs w:val="24"/>
        </w:rPr>
        <w:t xml:space="preserve">In view of the above, the Commission concludes that </w:t>
      </w:r>
      <w:r>
        <w:rPr>
          <w:rFonts w:ascii="Times" w:hAnsi="Times"/>
          <w:szCs w:val="24"/>
        </w:rPr>
        <w:t xml:space="preserve">the Transaction does not raise serious doubts as to its compatibility with the internal market regarding </w:t>
      </w:r>
      <w:r w:rsidR="0080226D" w:rsidRPr="00BB7684">
        <w:rPr>
          <w:i/>
        </w:rPr>
        <w:t>beclometasone</w:t>
      </w:r>
      <w:r w:rsidR="0080226D">
        <w:t>-based topical nasal preparations in Germany</w:t>
      </w:r>
      <w:r w:rsidR="0080226D" w:rsidRPr="00904C4C">
        <w:t>.</w:t>
      </w:r>
    </w:p>
    <w:p w:rsidR="003B0B1F" w:rsidRPr="001B2085" w:rsidRDefault="003B0B1F" w:rsidP="003B0B1F">
      <w:pPr>
        <w:pStyle w:val="Heading3"/>
        <w:tabs>
          <w:tab w:val="clear" w:pos="1920"/>
          <w:tab w:val="num" w:pos="709"/>
        </w:tabs>
        <w:ind w:left="709" w:hanging="709"/>
      </w:pPr>
      <w:bookmarkStart w:id="221" w:name="_Toc517710464"/>
      <w:bookmarkStart w:id="222" w:name="_Toc517812940"/>
      <w:bookmarkStart w:id="223" w:name="_Toc517444579"/>
      <w:bookmarkStart w:id="224" w:name="_Ref517683796"/>
      <w:r w:rsidRPr="003B43D2">
        <w:t>Fluticasone</w:t>
      </w:r>
      <w:r w:rsidRPr="001B2085">
        <w:t>-based topical nasal preparations in Sweden</w:t>
      </w:r>
      <w:bookmarkEnd w:id="221"/>
      <w:bookmarkEnd w:id="222"/>
    </w:p>
    <w:p w:rsidR="003B0B1F" w:rsidRPr="001B2085" w:rsidRDefault="003B0B1F" w:rsidP="003B0B1F">
      <w:pPr>
        <w:pStyle w:val="Heading4"/>
      </w:pPr>
      <w:bookmarkStart w:id="225" w:name="_Toc517710465"/>
      <w:bookmarkStart w:id="226" w:name="_Toc517812941"/>
      <w:r w:rsidRPr="001B2085">
        <w:t>Market definition</w:t>
      </w:r>
      <w:bookmarkEnd w:id="225"/>
      <w:bookmarkEnd w:id="226"/>
    </w:p>
    <w:p w:rsidR="003B0B1F" w:rsidRPr="006614E4" w:rsidRDefault="00197CC2" w:rsidP="003B0B1F">
      <w:pPr>
        <w:pStyle w:val="ListNumber"/>
      </w:pPr>
      <w:r>
        <w:t>See</w:t>
      </w:r>
      <w:r w:rsidR="003B0B1F">
        <w:t xml:space="preserve"> paragraphs </w:t>
      </w:r>
      <w:r w:rsidR="003B0B1F">
        <w:fldChar w:fldCharType="begin"/>
      </w:r>
      <w:r w:rsidR="003B0B1F">
        <w:instrText xml:space="preserve"> REF _Ref517709472 \r \h </w:instrText>
      </w:r>
      <w:r w:rsidR="003B0B1F">
        <w:fldChar w:fldCharType="separate"/>
      </w:r>
      <w:r w:rsidR="00FE3ACD">
        <w:t>(121)</w:t>
      </w:r>
      <w:r w:rsidR="003B0B1F">
        <w:fldChar w:fldCharType="end"/>
      </w:r>
      <w:r w:rsidR="003B0B1F">
        <w:t xml:space="preserve"> to </w:t>
      </w:r>
      <w:r w:rsidR="003B0B1F">
        <w:fldChar w:fldCharType="begin"/>
      </w:r>
      <w:r w:rsidR="003B0B1F">
        <w:instrText xml:space="preserve"> REF _Ref517709475 \r \h </w:instrText>
      </w:r>
      <w:r w:rsidR="003B0B1F">
        <w:fldChar w:fldCharType="separate"/>
      </w:r>
      <w:r w:rsidR="00FE3ACD">
        <w:t>(123)</w:t>
      </w:r>
      <w:r w:rsidR="003B0B1F">
        <w:fldChar w:fldCharType="end"/>
      </w:r>
      <w:r w:rsidR="003B0B1F">
        <w:t xml:space="preserve"> </w:t>
      </w:r>
      <w:r>
        <w:t xml:space="preserve">above regarding </w:t>
      </w:r>
      <w:r w:rsidR="003B0B1F">
        <w:t>market definition for topical nasal preparations.</w:t>
      </w:r>
    </w:p>
    <w:p w:rsidR="003B0B1F" w:rsidRPr="001436EE" w:rsidRDefault="003B0B1F" w:rsidP="003B0B1F">
      <w:pPr>
        <w:pStyle w:val="ListNumber"/>
      </w:pPr>
      <w:r w:rsidRPr="006614E4">
        <w:t xml:space="preserve">In this case, the market investigation provided indications </w:t>
      </w:r>
      <w:r w:rsidR="00206E70">
        <w:t>that a market comprising only</w:t>
      </w:r>
      <w:r w:rsidRPr="006614E4">
        <w:t xml:space="preserve"> </w:t>
      </w:r>
      <w:r w:rsidRPr="006614E4">
        <w:rPr>
          <w:i/>
        </w:rPr>
        <w:t>fluticasone</w:t>
      </w:r>
      <w:r w:rsidRPr="006614E4">
        <w:t>-products</w:t>
      </w:r>
      <w:r w:rsidR="00206E70">
        <w:t xml:space="preserve"> would not be appropriate</w:t>
      </w:r>
      <w:r w:rsidRPr="006614E4">
        <w:t xml:space="preserve">.  Competitors identified several molecules as being substitutable to fluticasone for the management of nasal symptoms, such as </w:t>
      </w:r>
      <w:r w:rsidRPr="006614E4">
        <w:rPr>
          <w:i/>
        </w:rPr>
        <w:t xml:space="preserve">mometasone, budesonide, triamcinolonacetonid, levocabastine, salmeterol, </w:t>
      </w:r>
      <w:r w:rsidRPr="00904F5E">
        <w:t>and</w:t>
      </w:r>
      <w:r w:rsidRPr="006614E4">
        <w:rPr>
          <w:i/>
        </w:rPr>
        <w:t xml:space="preserve"> xylometazoline</w:t>
      </w:r>
      <w:r w:rsidRPr="006614E4">
        <w:t>.</w:t>
      </w:r>
      <w:r w:rsidRPr="006614E4">
        <w:rPr>
          <w:rStyle w:val="FootnoteReference"/>
        </w:rPr>
        <w:footnoteReference w:id="71"/>
      </w:r>
      <w:r w:rsidRPr="006614E4">
        <w:t xml:space="preserve">  </w:t>
      </w:r>
      <w:r w:rsidRPr="001436EE">
        <w:t xml:space="preserve">Customers suggested that there is no specific advantage in a patient using </w:t>
      </w:r>
      <w:r w:rsidRPr="001436EE">
        <w:rPr>
          <w:i/>
        </w:rPr>
        <w:t>fluticasone</w:t>
      </w:r>
      <w:r w:rsidRPr="001436EE">
        <w:t>-based products as opposed to other topical nasal drugs.</w:t>
      </w:r>
      <w:r w:rsidRPr="001436EE">
        <w:rPr>
          <w:rStyle w:val="FootnoteReference"/>
        </w:rPr>
        <w:footnoteReference w:id="72"/>
      </w:r>
      <w:r w:rsidRPr="001436EE">
        <w:t xml:space="preserve"> </w:t>
      </w:r>
    </w:p>
    <w:p w:rsidR="003B0B1F" w:rsidRPr="006614E4" w:rsidRDefault="003B0B1F" w:rsidP="003B0B1F">
      <w:pPr>
        <w:pStyle w:val="ListNumber"/>
      </w:pPr>
      <w:r w:rsidRPr="006614E4">
        <w:t>In any event, the exact market definition can be left open for the purposes of the present case.  No serious doubts arise under any plausible alternative market definition (namely, at ATC3 or ATC 4 or molecule level).</w:t>
      </w:r>
    </w:p>
    <w:p w:rsidR="003B0B1F" w:rsidRPr="006614E4" w:rsidRDefault="003B0B1F" w:rsidP="003B0B1F">
      <w:pPr>
        <w:pStyle w:val="Heading4"/>
      </w:pPr>
      <w:bookmarkStart w:id="227" w:name="_Toc517710466"/>
      <w:bookmarkStart w:id="228" w:name="_Toc517812942"/>
      <w:r w:rsidRPr="006614E4">
        <w:lastRenderedPageBreak/>
        <w:t xml:space="preserve">Parties' </w:t>
      </w:r>
      <w:r>
        <w:t>p</w:t>
      </w:r>
      <w:r w:rsidRPr="006614E4">
        <w:t>roducts</w:t>
      </w:r>
      <w:bookmarkEnd w:id="227"/>
      <w:bookmarkEnd w:id="228"/>
    </w:p>
    <w:p w:rsidR="003B0B1F" w:rsidRPr="00A16C79" w:rsidRDefault="003B0B1F" w:rsidP="003B0B1F">
      <w:pPr>
        <w:pStyle w:val="ListNumber"/>
        <w:keepNext/>
      </w:pPr>
      <w:r w:rsidRPr="00A16C79">
        <w:t xml:space="preserve">In Sweden, both Parties offer </w:t>
      </w:r>
      <w:r w:rsidRPr="00545C3A">
        <w:rPr>
          <w:i/>
        </w:rPr>
        <w:t>fluticasone</w:t>
      </w:r>
      <w:r w:rsidRPr="00A16C79">
        <w:t>-based topical nasal products.  Both products have the same brand name (Flutikason Teva).  Teva's product</w:t>
      </w:r>
      <w:r w:rsidR="00512C06">
        <w:t xml:space="preserve"> is sold in packages of 120 single drug doses a</w:t>
      </w:r>
      <w:r w:rsidRPr="00A16C79">
        <w:t>nd is a prescription (Rx) drug</w:t>
      </w:r>
      <w:r w:rsidR="00512C06">
        <w:t xml:space="preserve">.  </w:t>
      </w:r>
      <w:r w:rsidRPr="00A16C79">
        <w:t xml:space="preserve">PGT's product contains </w:t>
      </w:r>
      <w:r w:rsidR="00512C06">
        <w:t xml:space="preserve">is available in packages of </w:t>
      </w:r>
      <w:r w:rsidRPr="00A16C79">
        <w:t xml:space="preserve">60 </w:t>
      </w:r>
      <w:r w:rsidR="00512C06">
        <w:t xml:space="preserve">single </w:t>
      </w:r>
      <w:r w:rsidRPr="00A16C79">
        <w:t xml:space="preserve">drug doses and is sold OTC. </w:t>
      </w:r>
    </w:p>
    <w:p w:rsidR="003B0B1F" w:rsidRDefault="003B0B1F" w:rsidP="003B0B1F">
      <w:pPr>
        <w:pStyle w:val="Heading4"/>
        <w:rPr>
          <w:szCs w:val="24"/>
        </w:rPr>
      </w:pPr>
      <w:bookmarkStart w:id="229" w:name="_Toc517710467"/>
      <w:bookmarkStart w:id="230" w:name="_Toc517812943"/>
      <w:r>
        <w:rPr>
          <w:szCs w:val="24"/>
        </w:rPr>
        <w:t>Competition Assessment</w:t>
      </w:r>
      <w:bookmarkEnd w:id="229"/>
      <w:bookmarkEnd w:id="230"/>
    </w:p>
    <w:p w:rsidR="003B0B1F" w:rsidRDefault="003B0B1F" w:rsidP="003B0B1F">
      <w:pPr>
        <w:pStyle w:val="ListNumber"/>
        <w:keepNext/>
      </w:pPr>
      <w:r>
        <w:t xml:space="preserve">At </w:t>
      </w:r>
      <w:r w:rsidDel="003245F1">
        <w:t xml:space="preserve">ATC 3 level (R1A – topical nasal preparations) and </w:t>
      </w:r>
      <w:r>
        <w:t xml:space="preserve">ATC4 level (R1A1 </w:t>
      </w:r>
      <w:r w:rsidR="008579E0">
        <w:t>–</w:t>
      </w:r>
      <w:r w:rsidRPr="000C4231">
        <w:rPr>
          <w:rFonts w:ascii="Times" w:hAnsi="Times"/>
          <w:szCs w:val="24"/>
        </w:rPr>
        <w:t xml:space="preserve"> </w:t>
      </w:r>
      <w:r w:rsidRPr="004130E4">
        <w:rPr>
          <w:rFonts w:ascii="Times" w:hAnsi="Times"/>
          <w:szCs w:val="24"/>
        </w:rPr>
        <w:t>nasal corticosteroids without anti-infective</w:t>
      </w:r>
      <w:r w:rsidRPr="00BD27EB">
        <w:rPr>
          <w:rFonts w:ascii="Times" w:hAnsi="Times"/>
          <w:szCs w:val="24"/>
        </w:rPr>
        <w:t>s</w:t>
      </w:r>
      <w:r w:rsidRPr="004C17CF">
        <w:rPr>
          <w:rFonts w:ascii="Times" w:hAnsi="Times"/>
          <w:szCs w:val="24"/>
        </w:rPr>
        <w:t>)</w:t>
      </w:r>
      <w:r w:rsidRPr="002D7FBB">
        <w:t xml:space="preserve">, </w:t>
      </w:r>
      <w:r>
        <w:t xml:space="preserve">the Transaction does not give rise to an affected market.  </w:t>
      </w:r>
      <w:r w:rsidRPr="004130E4">
        <w:rPr>
          <w:rFonts w:ascii="Times" w:hAnsi="Times"/>
          <w:szCs w:val="24"/>
        </w:rPr>
        <w:t>At the molecule level</w:t>
      </w:r>
      <w:r w:rsidR="003245F1">
        <w:rPr>
          <w:rFonts w:ascii="Times" w:hAnsi="Times"/>
          <w:szCs w:val="24"/>
        </w:rPr>
        <w:t xml:space="preserve"> (</w:t>
      </w:r>
      <w:r w:rsidR="003245F1" w:rsidRPr="004F4BE3">
        <w:rPr>
          <w:rFonts w:ascii="Times" w:hAnsi="Times"/>
          <w:i/>
        </w:rPr>
        <w:t>fluticasone</w:t>
      </w:r>
      <w:r w:rsidR="003245F1">
        <w:rPr>
          <w:rFonts w:ascii="Times" w:hAnsi="Times"/>
          <w:szCs w:val="24"/>
        </w:rPr>
        <w:t>)</w:t>
      </w:r>
      <w:r w:rsidRPr="004130E4">
        <w:rPr>
          <w:rFonts w:ascii="Times" w:hAnsi="Times"/>
          <w:szCs w:val="24"/>
        </w:rPr>
        <w:t xml:space="preserve">, the Transaction gives rise to </w:t>
      </w:r>
      <w:r w:rsidRPr="004130E4" w:rsidDel="003245F1">
        <w:rPr>
          <w:rFonts w:ascii="Times" w:hAnsi="Times"/>
          <w:szCs w:val="24"/>
        </w:rPr>
        <w:t xml:space="preserve">a </w:t>
      </w:r>
      <w:r w:rsidRPr="004130E4">
        <w:rPr>
          <w:rFonts w:ascii="Times" w:hAnsi="Times"/>
          <w:szCs w:val="24"/>
        </w:rPr>
        <w:t>Group 1 market</w:t>
      </w:r>
      <w:r w:rsidR="003245F1">
        <w:rPr>
          <w:rFonts w:ascii="Times" w:hAnsi="Times"/>
          <w:szCs w:val="24"/>
        </w:rPr>
        <w:t xml:space="preserve"> (based on volume)</w:t>
      </w:r>
      <w:r w:rsidRPr="004130E4">
        <w:rPr>
          <w:rFonts w:ascii="Times" w:hAnsi="Times"/>
          <w:szCs w:val="24"/>
        </w:rPr>
        <w:t xml:space="preserve">.  </w:t>
      </w:r>
    </w:p>
    <w:p w:rsidR="003B0B1F" w:rsidRDefault="003B0B1F" w:rsidP="003B0B1F">
      <w:pPr>
        <w:pStyle w:val="ListNumber"/>
      </w:pPr>
      <w:r w:rsidRPr="00782257">
        <w:t xml:space="preserve">The Table below presents the Parties' market shares for </w:t>
      </w:r>
      <w:r w:rsidRPr="00545C3A">
        <w:rPr>
          <w:i/>
        </w:rPr>
        <w:t>fluticasone</w:t>
      </w:r>
      <w:r>
        <w:t>-based topical nasal products</w:t>
      </w:r>
      <w:r w:rsidRPr="00782257">
        <w:t xml:space="preserve"> in </w:t>
      </w:r>
      <w:r w:rsidR="00B91E12">
        <w:t>2015-</w:t>
      </w:r>
      <w:r w:rsidRPr="00782257">
        <w:t>2017:</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6"/>
        <w:gridCol w:w="994"/>
        <w:gridCol w:w="1136"/>
        <w:gridCol w:w="1204"/>
      </w:tblGrid>
      <w:tr w:rsidR="00516C6E" w:rsidRPr="00AD3737" w:rsidTr="00516C6E">
        <w:trPr>
          <w:tblHeader/>
        </w:trPr>
        <w:tc>
          <w:tcPr>
            <w:tcW w:w="608" w:type="pct"/>
            <w:vMerge w:val="restart"/>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OTC3</w:t>
            </w:r>
          </w:p>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ATC3</w:t>
            </w:r>
          </w:p>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ATC4</w:t>
            </w:r>
          </w:p>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516C6E" w:rsidRPr="00B6607C" w:rsidRDefault="00516C6E" w:rsidP="00516C6E">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516C6E" w:rsidRDefault="00516C6E" w:rsidP="00516C6E">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516C6E" w:rsidRPr="00AD3737" w:rsidTr="00516C6E">
        <w:trPr>
          <w:tblHeader/>
        </w:trPr>
        <w:tc>
          <w:tcPr>
            <w:tcW w:w="608" w:type="pct"/>
            <w:vMerge/>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p>
        </w:tc>
        <w:tc>
          <w:tcPr>
            <w:tcW w:w="696" w:type="pct"/>
            <w:vMerge/>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p>
        </w:tc>
        <w:tc>
          <w:tcPr>
            <w:tcW w:w="434" w:type="pct"/>
            <w:vMerge/>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p>
        </w:tc>
        <w:tc>
          <w:tcPr>
            <w:tcW w:w="523" w:type="pct"/>
            <w:vMerge/>
            <w:shd w:val="clear" w:color="auto" w:fill="D9D9D9" w:themeFill="background1" w:themeFillShade="D9"/>
          </w:tcPr>
          <w:p w:rsidR="00516C6E" w:rsidRPr="00B6607C" w:rsidRDefault="00516C6E" w:rsidP="00516C6E">
            <w:pPr>
              <w:keepNext/>
              <w:snapToGrid w:val="0"/>
              <w:spacing w:after="0"/>
              <w:jc w:val="center"/>
              <w:rPr>
                <w:rFonts w:ascii="Times" w:hAnsi="Times"/>
                <w:b/>
                <w:sz w:val="18"/>
                <w:szCs w:val="18"/>
              </w:rPr>
            </w:pPr>
          </w:p>
        </w:tc>
        <w:tc>
          <w:tcPr>
            <w:tcW w:w="696" w:type="pct"/>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Teva</w:t>
            </w:r>
          </w:p>
        </w:tc>
        <w:tc>
          <w:tcPr>
            <w:tcW w:w="609" w:type="pct"/>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p>
        </w:tc>
      </w:tr>
      <w:tr w:rsidR="00FB6BB0" w:rsidRPr="00AD3737" w:rsidTr="00516C6E">
        <w:trPr>
          <w:trHeight w:val="345"/>
        </w:trPr>
        <w:tc>
          <w:tcPr>
            <w:tcW w:w="608" w:type="pct"/>
            <w:vMerge w:val="restart"/>
            <w:vAlign w:val="center"/>
          </w:tcPr>
          <w:p w:rsidR="00FB6BB0" w:rsidRPr="00420413" w:rsidRDefault="00FB6BB0" w:rsidP="00516C6E">
            <w:pPr>
              <w:keepNext/>
              <w:spacing w:after="0"/>
              <w:jc w:val="center"/>
              <w:rPr>
                <w:rFonts w:ascii="Times" w:hAnsi="Times"/>
                <w:i/>
                <w:sz w:val="18"/>
                <w:szCs w:val="18"/>
              </w:rPr>
            </w:pPr>
            <w:r w:rsidRPr="00545C3A">
              <w:rPr>
                <w:rFonts w:ascii="Times" w:hAnsi="Times"/>
                <w:i/>
                <w:sz w:val="18"/>
                <w:szCs w:val="20"/>
              </w:rPr>
              <w:t>Fluticasone</w:t>
            </w:r>
          </w:p>
        </w:tc>
        <w:tc>
          <w:tcPr>
            <w:tcW w:w="696" w:type="pct"/>
            <w:vMerge w:val="restart"/>
            <w:vAlign w:val="center"/>
          </w:tcPr>
          <w:p w:rsidR="00FB6BB0" w:rsidRPr="00B6607C" w:rsidRDefault="00FB6BB0" w:rsidP="00516C6E">
            <w:pPr>
              <w:keepNext/>
              <w:spacing w:after="0"/>
              <w:jc w:val="center"/>
              <w:rPr>
                <w:rFonts w:ascii="Times" w:hAnsi="Times"/>
                <w:sz w:val="18"/>
                <w:szCs w:val="18"/>
              </w:rPr>
            </w:pPr>
            <w:r w:rsidRPr="00545C3A">
              <w:rPr>
                <w:rFonts w:ascii="Times" w:hAnsi="Times"/>
                <w:i/>
                <w:sz w:val="18"/>
                <w:szCs w:val="20"/>
              </w:rPr>
              <w:t>Fluticasone</w:t>
            </w:r>
            <w:r>
              <w:rPr>
                <w:rFonts w:ascii="Times" w:hAnsi="Times"/>
                <w:sz w:val="18"/>
                <w:szCs w:val="18"/>
              </w:rPr>
              <w:t>-based topical nasal preparations (Rx and OTC)</w:t>
            </w:r>
          </w:p>
        </w:tc>
        <w:tc>
          <w:tcPr>
            <w:tcW w:w="434" w:type="pct"/>
            <w:vMerge w:val="restart"/>
            <w:vAlign w:val="center"/>
          </w:tcPr>
          <w:p w:rsidR="00FB6BB0" w:rsidRPr="00B6607C" w:rsidRDefault="00FB6BB0" w:rsidP="00516C6E">
            <w:pPr>
              <w:keepNext/>
              <w:spacing w:after="0"/>
              <w:jc w:val="center"/>
              <w:rPr>
                <w:rFonts w:ascii="Times" w:hAnsi="Times"/>
                <w:sz w:val="18"/>
                <w:szCs w:val="18"/>
              </w:rPr>
            </w:pPr>
            <w:r>
              <w:rPr>
                <w:rFonts w:ascii="Times" w:hAnsi="Times"/>
                <w:sz w:val="18"/>
                <w:szCs w:val="18"/>
              </w:rPr>
              <w:t>Group 1</w:t>
            </w:r>
          </w:p>
        </w:tc>
        <w:tc>
          <w:tcPr>
            <w:tcW w:w="523" w:type="pct"/>
            <w:vAlign w:val="center"/>
          </w:tcPr>
          <w:p w:rsidR="00FB6BB0" w:rsidRPr="00213AF2" w:rsidRDefault="00FB6BB0" w:rsidP="00516C6E">
            <w:pPr>
              <w:keepNext/>
              <w:spacing w:after="0"/>
              <w:jc w:val="left"/>
              <w:rPr>
                <w:rFonts w:ascii="Times" w:hAnsi="Times"/>
                <w:sz w:val="18"/>
              </w:rPr>
            </w:pPr>
            <w:r>
              <w:rPr>
                <w:rFonts w:ascii="Times" w:hAnsi="Times"/>
                <w:sz w:val="18"/>
              </w:rPr>
              <w:t>2017</w:t>
            </w:r>
          </w:p>
        </w:tc>
        <w:tc>
          <w:tcPr>
            <w:tcW w:w="696" w:type="pct"/>
            <w:vAlign w:val="center"/>
          </w:tcPr>
          <w:p w:rsidR="00FB6BB0" w:rsidRDefault="00FB6BB0" w:rsidP="00516C6E">
            <w:pPr>
              <w:keepNext/>
              <w:spacing w:after="0"/>
              <w:contextualSpacing/>
              <w:jc w:val="center"/>
              <w:rPr>
                <w:rFonts w:ascii="Times" w:hAnsi="Times"/>
                <w:sz w:val="18"/>
                <w:szCs w:val="18"/>
              </w:rPr>
            </w:pPr>
            <w:r>
              <w:rPr>
                <w:rFonts w:ascii="Times" w:hAnsi="Times"/>
                <w:sz w:val="18"/>
                <w:szCs w:val="18"/>
              </w:rPr>
              <w:t>[10-20]%/</w:t>
            </w:r>
          </w:p>
          <w:p w:rsidR="00FB6BB0" w:rsidRPr="00B6607C" w:rsidRDefault="00FB6BB0" w:rsidP="00516C6E">
            <w:pPr>
              <w:keepNext/>
              <w:spacing w:after="0"/>
              <w:jc w:val="center"/>
              <w:rPr>
                <w:rFonts w:ascii="Times" w:hAnsi="Times"/>
                <w:sz w:val="18"/>
                <w:szCs w:val="18"/>
              </w:rPr>
            </w:pPr>
            <w:r>
              <w:rPr>
                <w:rFonts w:ascii="Times" w:hAnsi="Times"/>
                <w:sz w:val="18"/>
                <w:szCs w:val="18"/>
              </w:rPr>
              <w:t>[30-40]%</w:t>
            </w:r>
          </w:p>
        </w:tc>
        <w:tc>
          <w:tcPr>
            <w:tcW w:w="609" w:type="pct"/>
            <w:vAlign w:val="center"/>
          </w:tcPr>
          <w:p w:rsidR="00FB6BB0" w:rsidRDefault="00FB6BB0" w:rsidP="00FB6BB0">
            <w:pPr>
              <w:keepNext/>
              <w:spacing w:after="0"/>
              <w:contextualSpacing/>
              <w:jc w:val="center"/>
              <w:rPr>
                <w:rFonts w:ascii="Times" w:hAnsi="Times"/>
                <w:sz w:val="18"/>
                <w:szCs w:val="18"/>
              </w:rPr>
            </w:pPr>
            <w:r>
              <w:rPr>
                <w:rFonts w:ascii="Times" w:hAnsi="Times"/>
                <w:sz w:val="18"/>
                <w:szCs w:val="18"/>
              </w:rPr>
              <w:t>[10-20]%/</w:t>
            </w:r>
          </w:p>
          <w:p w:rsidR="00FB6BB0" w:rsidRPr="00B6607C" w:rsidRDefault="00FB6BB0" w:rsidP="00FB6BB0">
            <w:pPr>
              <w:keepNext/>
              <w:spacing w:after="0"/>
              <w:jc w:val="center"/>
              <w:rPr>
                <w:rFonts w:ascii="Times" w:hAnsi="Times"/>
                <w:sz w:val="18"/>
                <w:szCs w:val="18"/>
              </w:rPr>
            </w:pPr>
            <w:r>
              <w:rPr>
                <w:rFonts w:ascii="Times" w:hAnsi="Times"/>
                <w:sz w:val="18"/>
                <w:szCs w:val="18"/>
              </w:rPr>
              <w:t>[30-40]%</w:t>
            </w:r>
          </w:p>
        </w:tc>
        <w:tc>
          <w:tcPr>
            <w:tcW w:w="696" w:type="pct"/>
            <w:vAlign w:val="center"/>
          </w:tcPr>
          <w:p w:rsidR="00FB6BB0" w:rsidRPr="00B6607C" w:rsidRDefault="00FB6BB0" w:rsidP="00FB6BB0">
            <w:pPr>
              <w:keepNext/>
              <w:spacing w:after="0"/>
              <w:jc w:val="center"/>
              <w:rPr>
                <w:rFonts w:ascii="Times" w:hAnsi="Times"/>
                <w:sz w:val="18"/>
                <w:szCs w:val="18"/>
              </w:rPr>
            </w:pPr>
            <w:r>
              <w:rPr>
                <w:rFonts w:ascii="Times" w:hAnsi="Times"/>
                <w:sz w:val="18"/>
                <w:szCs w:val="18"/>
              </w:rPr>
              <w:t>[30-40]% /[60-70]%</w:t>
            </w:r>
          </w:p>
        </w:tc>
        <w:tc>
          <w:tcPr>
            <w:tcW w:w="738" w:type="pct"/>
            <w:vAlign w:val="center"/>
          </w:tcPr>
          <w:p w:rsidR="00FB6BB0" w:rsidRPr="00B6607C" w:rsidRDefault="00FB6BB0" w:rsidP="00516C6E">
            <w:pPr>
              <w:keepNext/>
              <w:spacing w:after="0"/>
              <w:jc w:val="center"/>
              <w:rPr>
                <w:rFonts w:ascii="Times" w:hAnsi="Times"/>
                <w:sz w:val="18"/>
                <w:szCs w:val="18"/>
              </w:rPr>
            </w:pPr>
            <w:r>
              <w:rPr>
                <w:rFonts w:ascii="Times" w:hAnsi="Times"/>
                <w:sz w:val="18"/>
                <w:szCs w:val="18"/>
              </w:rPr>
              <w:t>At least 3</w:t>
            </w:r>
          </w:p>
        </w:tc>
      </w:tr>
      <w:tr w:rsidR="00FB6BB0" w:rsidRPr="00AD3737" w:rsidTr="00516C6E">
        <w:trPr>
          <w:trHeight w:val="345"/>
        </w:trPr>
        <w:tc>
          <w:tcPr>
            <w:tcW w:w="608" w:type="pct"/>
            <w:vMerge/>
            <w:vAlign w:val="center"/>
          </w:tcPr>
          <w:p w:rsidR="00FB6BB0" w:rsidRPr="00420413" w:rsidRDefault="00FB6BB0" w:rsidP="00516C6E">
            <w:pPr>
              <w:keepNext/>
              <w:spacing w:after="0"/>
              <w:jc w:val="center"/>
              <w:rPr>
                <w:rFonts w:ascii="Times" w:hAnsi="Times"/>
                <w:i/>
                <w:sz w:val="18"/>
                <w:szCs w:val="18"/>
              </w:rPr>
            </w:pPr>
          </w:p>
        </w:tc>
        <w:tc>
          <w:tcPr>
            <w:tcW w:w="696" w:type="pct"/>
            <w:vMerge/>
            <w:vAlign w:val="center"/>
          </w:tcPr>
          <w:p w:rsidR="00FB6BB0" w:rsidRPr="00B6607C" w:rsidRDefault="00FB6BB0" w:rsidP="00516C6E">
            <w:pPr>
              <w:keepNext/>
              <w:spacing w:after="0"/>
              <w:jc w:val="center"/>
              <w:rPr>
                <w:rFonts w:ascii="Times" w:hAnsi="Times"/>
                <w:sz w:val="18"/>
                <w:szCs w:val="18"/>
              </w:rPr>
            </w:pPr>
          </w:p>
        </w:tc>
        <w:tc>
          <w:tcPr>
            <w:tcW w:w="434" w:type="pct"/>
            <w:vMerge/>
            <w:vAlign w:val="center"/>
          </w:tcPr>
          <w:p w:rsidR="00FB6BB0" w:rsidRPr="00B6607C" w:rsidRDefault="00FB6BB0" w:rsidP="00516C6E">
            <w:pPr>
              <w:keepNext/>
              <w:spacing w:after="0"/>
              <w:jc w:val="center"/>
              <w:rPr>
                <w:rFonts w:ascii="Times" w:hAnsi="Times"/>
                <w:sz w:val="18"/>
                <w:szCs w:val="18"/>
              </w:rPr>
            </w:pPr>
          </w:p>
        </w:tc>
        <w:tc>
          <w:tcPr>
            <w:tcW w:w="523" w:type="pct"/>
            <w:vAlign w:val="center"/>
          </w:tcPr>
          <w:p w:rsidR="00FB6BB0" w:rsidRPr="00213AF2" w:rsidRDefault="00FB6BB0" w:rsidP="00516C6E">
            <w:pPr>
              <w:keepNext/>
              <w:spacing w:after="0"/>
              <w:jc w:val="left"/>
              <w:rPr>
                <w:rFonts w:ascii="Times" w:hAnsi="Times"/>
                <w:sz w:val="18"/>
              </w:rPr>
            </w:pPr>
            <w:r>
              <w:rPr>
                <w:rFonts w:ascii="Times" w:hAnsi="Times"/>
                <w:sz w:val="18"/>
              </w:rPr>
              <w:t>2016</w:t>
            </w:r>
          </w:p>
        </w:tc>
        <w:tc>
          <w:tcPr>
            <w:tcW w:w="696" w:type="pct"/>
            <w:vAlign w:val="center"/>
          </w:tcPr>
          <w:p w:rsidR="00FB6BB0" w:rsidRPr="00B6607C" w:rsidRDefault="00FB6BB0" w:rsidP="00FB6BB0">
            <w:pPr>
              <w:keepNext/>
              <w:spacing w:after="0"/>
              <w:jc w:val="center"/>
              <w:rPr>
                <w:rFonts w:ascii="Times" w:hAnsi="Times"/>
                <w:sz w:val="18"/>
                <w:szCs w:val="18"/>
              </w:rPr>
            </w:pPr>
            <w:r>
              <w:rPr>
                <w:rFonts w:ascii="Times" w:hAnsi="Times"/>
                <w:sz w:val="18"/>
                <w:szCs w:val="18"/>
              </w:rPr>
              <w:t>[10-20]% /[20-30]%</w:t>
            </w:r>
          </w:p>
        </w:tc>
        <w:tc>
          <w:tcPr>
            <w:tcW w:w="609" w:type="pct"/>
            <w:vAlign w:val="center"/>
          </w:tcPr>
          <w:p w:rsidR="00FB6BB0" w:rsidRPr="00B6607C" w:rsidRDefault="00FB6BB0" w:rsidP="00FB6BB0">
            <w:pPr>
              <w:keepNext/>
              <w:spacing w:after="0"/>
              <w:jc w:val="center"/>
              <w:rPr>
                <w:rFonts w:ascii="Times" w:hAnsi="Times"/>
                <w:sz w:val="18"/>
                <w:szCs w:val="18"/>
              </w:rPr>
            </w:pPr>
            <w:r>
              <w:rPr>
                <w:rFonts w:ascii="Times" w:hAnsi="Times"/>
                <w:sz w:val="18"/>
                <w:szCs w:val="18"/>
              </w:rPr>
              <w:t>[10-20]% /[20-30]%</w:t>
            </w:r>
          </w:p>
        </w:tc>
        <w:tc>
          <w:tcPr>
            <w:tcW w:w="696" w:type="pct"/>
            <w:vAlign w:val="center"/>
          </w:tcPr>
          <w:p w:rsidR="00FB6BB0" w:rsidRPr="00B6607C" w:rsidRDefault="00FB6BB0" w:rsidP="00FB6BB0">
            <w:pPr>
              <w:keepNext/>
              <w:spacing w:after="0"/>
              <w:jc w:val="center"/>
              <w:rPr>
                <w:rFonts w:ascii="Times" w:hAnsi="Times"/>
                <w:sz w:val="18"/>
                <w:szCs w:val="18"/>
              </w:rPr>
            </w:pPr>
            <w:r>
              <w:rPr>
                <w:rFonts w:ascii="Times" w:hAnsi="Times"/>
                <w:sz w:val="18"/>
                <w:szCs w:val="18"/>
              </w:rPr>
              <w:t>[20-30]% /[40-50]%</w:t>
            </w:r>
          </w:p>
        </w:tc>
        <w:tc>
          <w:tcPr>
            <w:tcW w:w="738" w:type="pct"/>
            <w:vAlign w:val="center"/>
          </w:tcPr>
          <w:p w:rsidR="00FB6BB0" w:rsidRPr="00B6607C" w:rsidRDefault="00FB6BB0" w:rsidP="00516C6E">
            <w:pPr>
              <w:keepNext/>
              <w:spacing w:after="0"/>
              <w:jc w:val="center"/>
              <w:rPr>
                <w:rFonts w:ascii="Times" w:hAnsi="Times"/>
                <w:sz w:val="18"/>
                <w:szCs w:val="18"/>
              </w:rPr>
            </w:pPr>
            <w:r>
              <w:rPr>
                <w:rFonts w:ascii="Times" w:hAnsi="Times"/>
                <w:sz w:val="18"/>
                <w:szCs w:val="18"/>
              </w:rPr>
              <w:t>At least 3</w:t>
            </w:r>
          </w:p>
        </w:tc>
      </w:tr>
      <w:tr w:rsidR="00FB6BB0" w:rsidRPr="00AD3737" w:rsidTr="00516C6E">
        <w:trPr>
          <w:trHeight w:val="345"/>
        </w:trPr>
        <w:tc>
          <w:tcPr>
            <w:tcW w:w="608" w:type="pct"/>
            <w:vMerge/>
            <w:vAlign w:val="center"/>
          </w:tcPr>
          <w:p w:rsidR="00FB6BB0" w:rsidRPr="00420413" w:rsidRDefault="00FB6BB0" w:rsidP="00516C6E">
            <w:pPr>
              <w:keepNext/>
              <w:spacing w:after="0"/>
              <w:jc w:val="center"/>
              <w:rPr>
                <w:rFonts w:ascii="Times" w:hAnsi="Times"/>
                <w:i/>
                <w:sz w:val="18"/>
                <w:szCs w:val="18"/>
              </w:rPr>
            </w:pPr>
          </w:p>
        </w:tc>
        <w:tc>
          <w:tcPr>
            <w:tcW w:w="696" w:type="pct"/>
            <w:vMerge/>
            <w:vAlign w:val="center"/>
          </w:tcPr>
          <w:p w:rsidR="00FB6BB0" w:rsidRPr="00B6607C" w:rsidRDefault="00FB6BB0" w:rsidP="00516C6E">
            <w:pPr>
              <w:keepNext/>
              <w:spacing w:after="0"/>
              <w:jc w:val="center"/>
              <w:rPr>
                <w:rFonts w:ascii="Times" w:hAnsi="Times"/>
                <w:sz w:val="18"/>
                <w:szCs w:val="18"/>
              </w:rPr>
            </w:pPr>
          </w:p>
        </w:tc>
        <w:tc>
          <w:tcPr>
            <w:tcW w:w="434" w:type="pct"/>
            <w:vMerge/>
            <w:vAlign w:val="center"/>
          </w:tcPr>
          <w:p w:rsidR="00FB6BB0" w:rsidRPr="00B6607C" w:rsidRDefault="00FB6BB0" w:rsidP="00516C6E">
            <w:pPr>
              <w:keepNext/>
              <w:spacing w:after="0"/>
              <w:jc w:val="center"/>
              <w:rPr>
                <w:rFonts w:ascii="Times" w:hAnsi="Times"/>
                <w:sz w:val="18"/>
                <w:szCs w:val="18"/>
              </w:rPr>
            </w:pPr>
          </w:p>
        </w:tc>
        <w:tc>
          <w:tcPr>
            <w:tcW w:w="523" w:type="pct"/>
            <w:vAlign w:val="center"/>
          </w:tcPr>
          <w:p w:rsidR="00FB6BB0" w:rsidRPr="00213AF2" w:rsidRDefault="00FB6BB0" w:rsidP="00516C6E">
            <w:pPr>
              <w:keepNext/>
              <w:spacing w:after="0"/>
              <w:jc w:val="left"/>
              <w:rPr>
                <w:rFonts w:ascii="Times" w:hAnsi="Times"/>
                <w:sz w:val="18"/>
              </w:rPr>
            </w:pPr>
            <w:r>
              <w:rPr>
                <w:rFonts w:ascii="Times" w:hAnsi="Times"/>
                <w:sz w:val="18"/>
              </w:rPr>
              <w:t>2015</w:t>
            </w:r>
          </w:p>
        </w:tc>
        <w:tc>
          <w:tcPr>
            <w:tcW w:w="696" w:type="pct"/>
            <w:vAlign w:val="center"/>
          </w:tcPr>
          <w:p w:rsidR="00FB6BB0" w:rsidRPr="00B6607C" w:rsidRDefault="00FB6BB0" w:rsidP="00FB6BB0">
            <w:pPr>
              <w:keepNext/>
              <w:spacing w:after="0"/>
              <w:jc w:val="center"/>
              <w:rPr>
                <w:rFonts w:ascii="Times" w:hAnsi="Times"/>
                <w:sz w:val="18"/>
                <w:szCs w:val="18"/>
              </w:rPr>
            </w:pPr>
            <w:r>
              <w:rPr>
                <w:rFonts w:ascii="Times" w:hAnsi="Times"/>
                <w:sz w:val="18"/>
                <w:szCs w:val="18"/>
              </w:rPr>
              <w:t>[10-20]% /[20-30]%</w:t>
            </w:r>
          </w:p>
        </w:tc>
        <w:tc>
          <w:tcPr>
            <w:tcW w:w="609" w:type="pct"/>
            <w:vAlign w:val="center"/>
          </w:tcPr>
          <w:p w:rsidR="00FB6BB0" w:rsidRPr="00B6607C" w:rsidRDefault="00FB6BB0" w:rsidP="00FB6BB0">
            <w:pPr>
              <w:keepNext/>
              <w:spacing w:after="0"/>
              <w:jc w:val="center"/>
              <w:rPr>
                <w:rFonts w:ascii="Times" w:hAnsi="Times"/>
                <w:sz w:val="18"/>
                <w:szCs w:val="18"/>
              </w:rPr>
            </w:pPr>
            <w:r>
              <w:rPr>
                <w:rFonts w:ascii="Times" w:hAnsi="Times"/>
                <w:sz w:val="18"/>
                <w:szCs w:val="18"/>
              </w:rPr>
              <w:t>[10-20]% /[20-30]%</w:t>
            </w:r>
          </w:p>
        </w:tc>
        <w:tc>
          <w:tcPr>
            <w:tcW w:w="696" w:type="pct"/>
            <w:vAlign w:val="center"/>
          </w:tcPr>
          <w:p w:rsidR="00FB6BB0" w:rsidRPr="00B6607C" w:rsidRDefault="00FB6BB0" w:rsidP="00FB6BB0">
            <w:pPr>
              <w:keepNext/>
              <w:spacing w:after="0"/>
              <w:jc w:val="center"/>
              <w:rPr>
                <w:rFonts w:ascii="Times" w:hAnsi="Times"/>
                <w:sz w:val="18"/>
                <w:szCs w:val="18"/>
              </w:rPr>
            </w:pPr>
            <w:r>
              <w:rPr>
                <w:rFonts w:ascii="Times" w:hAnsi="Times"/>
                <w:sz w:val="18"/>
                <w:szCs w:val="18"/>
              </w:rPr>
              <w:t>[20-30]% /[40-50]%</w:t>
            </w:r>
          </w:p>
        </w:tc>
        <w:tc>
          <w:tcPr>
            <w:tcW w:w="738" w:type="pct"/>
            <w:vAlign w:val="center"/>
          </w:tcPr>
          <w:p w:rsidR="00FB6BB0" w:rsidRPr="00B6607C" w:rsidRDefault="00FB6BB0" w:rsidP="00516C6E">
            <w:pPr>
              <w:keepNext/>
              <w:spacing w:after="0"/>
              <w:jc w:val="center"/>
              <w:rPr>
                <w:rFonts w:ascii="Times" w:hAnsi="Times"/>
                <w:sz w:val="18"/>
                <w:szCs w:val="18"/>
              </w:rPr>
            </w:pPr>
            <w:r>
              <w:rPr>
                <w:rFonts w:ascii="Times" w:hAnsi="Times"/>
                <w:sz w:val="18"/>
                <w:szCs w:val="18"/>
              </w:rPr>
              <w:t>At least 3</w:t>
            </w:r>
          </w:p>
        </w:tc>
      </w:tr>
    </w:tbl>
    <w:p w:rsidR="00DB4E07" w:rsidRDefault="00DB4E07" w:rsidP="003B0B1F">
      <w:pPr>
        <w:pStyle w:val="ListNumber"/>
        <w:numPr>
          <w:ilvl w:val="0"/>
          <w:numId w:val="0"/>
        </w:numPr>
        <w:spacing w:after="0"/>
        <w:ind w:left="709"/>
      </w:pPr>
    </w:p>
    <w:p w:rsidR="003B0B1F" w:rsidRDefault="00B91E12" w:rsidP="003B0B1F">
      <w:pPr>
        <w:pStyle w:val="ListNumber"/>
      </w:pPr>
      <w:r>
        <w:t>T</w:t>
      </w:r>
      <w:r w:rsidR="003B0B1F">
        <w:t xml:space="preserve">he Parties' combined market share is </w:t>
      </w:r>
      <w:r w:rsidR="00FB6BB0">
        <w:t>[30-40]</w:t>
      </w:r>
      <w:r w:rsidR="003B0B1F">
        <w:t xml:space="preserve">% in value and </w:t>
      </w:r>
      <w:r w:rsidR="00FB6BB0">
        <w:t>[60-70]</w:t>
      </w:r>
      <w:r w:rsidR="003B0B1F">
        <w:t>% in volume</w:t>
      </w:r>
      <w:r w:rsidR="003245F1">
        <w:t xml:space="preserve"> </w:t>
      </w:r>
      <w:r w:rsidR="003B0B1F">
        <w:t xml:space="preserve">in 2017. Post-Transaction, at least 3 competitors with a market share </w:t>
      </w:r>
      <w:r w:rsidR="00C1482B">
        <w:t xml:space="preserve">of </w:t>
      </w:r>
      <w:r w:rsidR="003B0B1F">
        <w:t>5%</w:t>
      </w:r>
      <w:r w:rsidR="00C1482B">
        <w:t xml:space="preserve"> or more</w:t>
      </w:r>
      <w:r w:rsidR="003B0B1F">
        <w:t xml:space="preserve"> in both value and volume will remain, including GlaxoSmithKline (</w:t>
      </w:r>
      <w:r w:rsidR="00FB6BB0">
        <w:t>[40-50]</w:t>
      </w:r>
      <w:r w:rsidR="003B0B1F">
        <w:t xml:space="preserve">% in value and </w:t>
      </w:r>
      <w:r w:rsidR="00FB6BB0">
        <w:t>[10-20]</w:t>
      </w:r>
      <w:r w:rsidR="003B0B1F">
        <w:t>% in volume); Orifarm (</w:t>
      </w:r>
      <w:r w:rsidR="00FB6BB0">
        <w:t>[</w:t>
      </w:r>
      <w:r w:rsidR="003B0B1F">
        <w:t>20</w:t>
      </w:r>
      <w:r w:rsidR="00FB6BB0">
        <w:t>-30]</w:t>
      </w:r>
      <w:r w:rsidR="003B0B1F">
        <w:t xml:space="preserve">% in value and </w:t>
      </w:r>
      <w:r w:rsidR="00FB6BB0">
        <w:t>[10-20]</w:t>
      </w:r>
      <w:r w:rsidR="003B0B1F">
        <w:t>% in volume)</w:t>
      </w:r>
      <w:r w:rsidR="00C1482B">
        <w:t xml:space="preserve">; and </w:t>
      </w:r>
      <w:r w:rsidR="00991140">
        <w:t>2Care</w:t>
      </w:r>
      <w:r w:rsidR="00C1482B">
        <w:t>4 (</w:t>
      </w:r>
      <w:r w:rsidR="00FB6BB0">
        <w:t>[5-10]</w:t>
      </w:r>
      <w:r w:rsidR="00C1482B">
        <w:t xml:space="preserve">% in value and </w:t>
      </w:r>
      <w:r w:rsidR="00FB6BB0">
        <w:t>[</w:t>
      </w:r>
      <w:r w:rsidR="00C1482B">
        <w:t>10</w:t>
      </w:r>
      <w:r w:rsidR="00FB6BB0">
        <w:t>-20]</w:t>
      </w:r>
      <w:r w:rsidR="00C1482B">
        <w:t xml:space="preserve">% in volume).  </w:t>
      </w:r>
    </w:p>
    <w:p w:rsidR="003B0B1F" w:rsidRDefault="003B0B1F" w:rsidP="003B0B1F">
      <w:pPr>
        <w:pStyle w:val="ListNumber"/>
      </w:pPr>
      <w:r w:rsidRPr="00D24474">
        <w:t xml:space="preserve">The market investigation </w:t>
      </w:r>
      <w:r w:rsidR="00AC7450">
        <w:t>indicated</w:t>
      </w:r>
      <w:r>
        <w:t xml:space="preserve"> that the Parties' products do not compete closely (if at all) because Teva's product is a prescription drug and PGT's product is sold OTC.</w:t>
      </w:r>
      <w:r>
        <w:rPr>
          <w:rStyle w:val="FootnoteReference"/>
        </w:rPr>
        <w:footnoteReference w:id="73"/>
      </w:r>
      <w:r>
        <w:t xml:space="preserve">  None of the respondents identified Teva's product as the closest competitor of PGT's product or </w:t>
      </w:r>
      <w:r w:rsidRPr="00FF560C">
        <w:rPr>
          <w:i/>
        </w:rPr>
        <w:t>vice versa</w:t>
      </w:r>
      <w:r>
        <w:t>.  The vast majority of competitors that participated in the market investigation indicated that Teva and PGT products do not compete in terms of pricing.</w:t>
      </w:r>
      <w:r>
        <w:rPr>
          <w:rStyle w:val="FootnoteReference"/>
        </w:rPr>
        <w:footnoteReference w:id="74"/>
      </w:r>
      <w:r>
        <w:t xml:space="preserve"> This </w:t>
      </w:r>
      <w:r w:rsidR="00592F2B">
        <w:t>seems to be in line with</w:t>
      </w:r>
      <w:r>
        <w:t xml:space="preserve"> the average </w:t>
      </w:r>
      <w:r w:rsidR="00592F2B">
        <w:t xml:space="preserve">proces </w:t>
      </w:r>
      <w:r>
        <w:t xml:space="preserve">of the Parties' Products: SEK 0.5-0.8 per dose for Teva's prescription product and SEC 1.3 per dose for PGT's OTC product.  </w:t>
      </w:r>
    </w:p>
    <w:p w:rsidR="003B0B1F" w:rsidRPr="00D24474" w:rsidRDefault="00A72F2D" w:rsidP="003B0B1F">
      <w:pPr>
        <w:pStyle w:val="ListNumber"/>
      </w:pPr>
      <w:r w:rsidRPr="00A72F2D">
        <w:rPr>
          <w:szCs w:val="24"/>
        </w:rPr>
        <w:t xml:space="preserve">Finally, the market investigation did not reveal any </w:t>
      </w:r>
      <w:r w:rsidRPr="00A72F2D">
        <w:rPr>
          <w:rFonts w:eastAsia="Calibri"/>
          <w:szCs w:val="24"/>
        </w:rPr>
        <w:t>competition concerns in</w:t>
      </w:r>
      <w:r w:rsidRPr="00A72F2D" w:rsidDel="00A2241C">
        <w:rPr>
          <w:rFonts w:ascii="Times" w:eastAsia="Calibri" w:hAnsi="Times"/>
          <w:szCs w:val="24"/>
        </w:rPr>
        <w:t xml:space="preserve"> </w:t>
      </w:r>
      <w:r w:rsidRPr="00A72F2D">
        <w:rPr>
          <w:rFonts w:ascii="Times" w:eastAsia="Calibri" w:hAnsi="Times"/>
          <w:szCs w:val="24"/>
        </w:rPr>
        <w:t>relation to t</w:t>
      </w:r>
      <w:r w:rsidRPr="00A72F2D">
        <w:rPr>
          <w:rFonts w:ascii="Times" w:hAnsi="Times"/>
          <w:szCs w:val="24"/>
        </w:rPr>
        <w:t>opical nasal preparations</w:t>
      </w:r>
      <w:r w:rsidRPr="00A72F2D" w:rsidDel="00A72F2D">
        <w:rPr>
          <w:szCs w:val="24"/>
        </w:rPr>
        <w:t xml:space="preserve"> </w:t>
      </w:r>
      <w:r w:rsidRPr="00A72F2D">
        <w:rPr>
          <w:szCs w:val="24"/>
        </w:rPr>
        <w:t>in Sweden</w:t>
      </w:r>
      <w:r w:rsidR="003B0B1F">
        <w:t>.</w:t>
      </w:r>
      <w:r w:rsidR="003B0B1F">
        <w:rPr>
          <w:rStyle w:val="FootnoteReference"/>
        </w:rPr>
        <w:footnoteReference w:id="75"/>
      </w:r>
      <w:r w:rsidR="003B0B1F">
        <w:t xml:space="preserve"> </w:t>
      </w:r>
    </w:p>
    <w:p w:rsidR="003B0B1F" w:rsidRPr="006F61CB" w:rsidRDefault="00814F0F" w:rsidP="003B0B1F">
      <w:pPr>
        <w:pStyle w:val="ListNumber"/>
      </w:pPr>
      <w:r w:rsidRPr="00546F00">
        <w:rPr>
          <w:rFonts w:ascii="Times" w:hAnsi="Times"/>
          <w:szCs w:val="24"/>
        </w:rPr>
        <w:t xml:space="preserve">In view of the above, the Commission concludes that </w:t>
      </w:r>
      <w:r>
        <w:rPr>
          <w:rFonts w:ascii="Times" w:hAnsi="Times"/>
          <w:szCs w:val="24"/>
        </w:rPr>
        <w:t xml:space="preserve">the Transaction does not raise serious doubts as to its compatibility with the internal market regarding </w:t>
      </w:r>
      <w:r w:rsidR="003B0B1F">
        <w:t>topical nasal products in Sweden.</w:t>
      </w:r>
    </w:p>
    <w:p w:rsidR="0080226D" w:rsidRPr="002975B2" w:rsidRDefault="0080226D" w:rsidP="00420413">
      <w:pPr>
        <w:pStyle w:val="Heading3"/>
        <w:tabs>
          <w:tab w:val="clear" w:pos="1920"/>
          <w:tab w:val="num" w:pos="709"/>
        </w:tabs>
        <w:ind w:left="709" w:hanging="709"/>
      </w:pPr>
      <w:bookmarkStart w:id="231" w:name="_Toc517710297"/>
      <w:bookmarkStart w:id="232" w:name="_Toc517710468"/>
      <w:bookmarkStart w:id="233" w:name="_Toc517711050"/>
      <w:bookmarkStart w:id="234" w:name="_Toc517714145"/>
      <w:bookmarkStart w:id="235" w:name="_Toc517710469"/>
      <w:bookmarkStart w:id="236" w:name="_Ref517790476"/>
      <w:bookmarkStart w:id="237" w:name="_Ref517790488"/>
      <w:bookmarkStart w:id="238" w:name="_Ref517790492"/>
      <w:bookmarkStart w:id="239" w:name="_Toc517812944"/>
      <w:bookmarkEnd w:id="231"/>
      <w:bookmarkEnd w:id="232"/>
      <w:bookmarkEnd w:id="233"/>
      <w:bookmarkEnd w:id="234"/>
      <w:r w:rsidRPr="00024E5C">
        <w:lastRenderedPageBreak/>
        <w:t>Clotrimazole</w:t>
      </w:r>
      <w:r>
        <w:t>-</w:t>
      </w:r>
      <w:r w:rsidR="00103C9B">
        <w:t>b</w:t>
      </w:r>
      <w:r w:rsidR="00103C9B" w:rsidRPr="001436EE">
        <w:t xml:space="preserve">ased </w:t>
      </w:r>
      <w:r w:rsidRPr="001436EE">
        <w:t>d</w:t>
      </w:r>
      <w:r w:rsidRPr="002975B2">
        <w:t>ermatological antifungal products in Croatia</w:t>
      </w:r>
      <w:bookmarkEnd w:id="223"/>
      <w:bookmarkEnd w:id="224"/>
      <w:bookmarkEnd w:id="235"/>
      <w:bookmarkEnd w:id="236"/>
      <w:bookmarkEnd w:id="237"/>
      <w:bookmarkEnd w:id="238"/>
      <w:bookmarkEnd w:id="239"/>
    </w:p>
    <w:p w:rsidR="0080226D" w:rsidRDefault="0080226D" w:rsidP="00420413">
      <w:pPr>
        <w:pStyle w:val="Heading4"/>
      </w:pPr>
      <w:bookmarkStart w:id="240" w:name="_Toc517710470"/>
      <w:bookmarkStart w:id="241" w:name="_Toc517812945"/>
      <w:r w:rsidRPr="006F61CB">
        <w:t>Market definition</w:t>
      </w:r>
      <w:bookmarkEnd w:id="240"/>
      <w:bookmarkEnd w:id="241"/>
    </w:p>
    <w:p w:rsidR="0080226D" w:rsidRPr="00546F00" w:rsidRDefault="0080226D" w:rsidP="00420413">
      <w:pPr>
        <w:pStyle w:val="ListNumber"/>
        <w:keepNext/>
        <w:rPr>
          <w:rFonts w:ascii="Times" w:hAnsi="Times"/>
          <w:szCs w:val="24"/>
        </w:rPr>
      </w:pPr>
      <w:r>
        <w:rPr>
          <w:rFonts w:eastAsia="Calibri"/>
          <w:lang w:val="en-US"/>
        </w:rPr>
        <w:t>Dermatological antifungals</w:t>
      </w:r>
      <w:r w:rsidRPr="008F3F1C">
        <w:rPr>
          <w:rFonts w:eastAsia="Calibri"/>
          <w:lang w:val="en-US"/>
        </w:rPr>
        <w:t xml:space="preserve"> are categorized in ATC 3 class </w:t>
      </w:r>
      <w:r>
        <w:rPr>
          <w:rFonts w:eastAsia="Calibri"/>
          <w:lang w:val="en-US"/>
        </w:rPr>
        <w:t>D1A</w:t>
      </w:r>
      <w:r w:rsidR="00657DAB">
        <w:rPr>
          <w:rFonts w:eastAsia="Calibri"/>
          <w:lang w:val="en-US"/>
        </w:rPr>
        <w:t xml:space="preserve"> (antifungals, dermatological)</w:t>
      </w:r>
      <w:r w:rsidRPr="008F3F1C">
        <w:rPr>
          <w:rFonts w:eastAsia="Calibri"/>
          <w:lang w:val="en-US"/>
        </w:rPr>
        <w:t xml:space="preserve">.  </w:t>
      </w:r>
      <w:r>
        <w:rPr>
          <w:rFonts w:ascii="Times" w:eastAsia="Calibri" w:hAnsi="Times"/>
          <w:szCs w:val="24"/>
          <w:lang w:val="en-US"/>
        </w:rPr>
        <w:t xml:space="preserve">This ATC 3 class includes products that are mainly used for the treatment of skin infections caused by fungus.  </w:t>
      </w:r>
    </w:p>
    <w:p w:rsidR="0080226D" w:rsidRPr="005F0289" w:rsidRDefault="0080226D" w:rsidP="0080226D">
      <w:pPr>
        <w:pStyle w:val="ListNumber"/>
        <w:rPr>
          <w:rFonts w:ascii="Times" w:hAnsi="Times"/>
        </w:rPr>
      </w:pPr>
      <w:r w:rsidRPr="00701E08">
        <w:rPr>
          <w:rFonts w:ascii="Times" w:eastAsia="Calibri" w:hAnsi="Times"/>
          <w:szCs w:val="24"/>
          <w:lang w:val="en-US"/>
        </w:rPr>
        <w:t xml:space="preserve">In previous </w:t>
      </w:r>
      <w:r>
        <w:rPr>
          <w:rFonts w:ascii="Times" w:eastAsia="Calibri" w:hAnsi="Times"/>
          <w:szCs w:val="24"/>
          <w:lang w:val="en-US"/>
        </w:rPr>
        <w:t>decisions</w:t>
      </w:r>
      <w:r w:rsidRPr="00701E08">
        <w:rPr>
          <w:rFonts w:ascii="Times" w:eastAsia="Calibri" w:hAnsi="Times"/>
          <w:szCs w:val="24"/>
          <w:lang w:val="en-US"/>
        </w:rPr>
        <w:t>, the Commission</w:t>
      </w:r>
      <w:r>
        <w:rPr>
          <w:rFonts w:ascii="Times" w:eastAsia="Calibri" w:hAnsi="Times"/>
          <w:szCs w:val="24"/>
          <w:lang w:val="en-US"/>
        </w:rPr>
        <w:t xml:space="preserve"> has considered that the market for dermatological antifungals </w:t>
      </w:r>
      <w:r>
        <w:t>should be defined at the ATC 3 level of D1A</w:t>
      </w:r>
      <w:r>
        <w:rPr>
          <w:rFonts w:ascii="Times" w:eastAsia="Calibri" w:hAnsi="Times"/>
          <w:szCs w:val="24"/>
          <w:lang w:val="en-US"/>
        </w:rPr>
        <w:t>.</w:t>
      </w:r>
      <w:r>
        <w:rPr>
          <w:rStyle w:val="FootnoteReference"/>
          <w:rFonts w:eastAsia="Calibri"/>
          <w:szCs w:val="24"/>
          <w:lang w:val="en-US"/>
        </w:rPr>
        <w:footnoteReference w:id="76"/>
      </w:r>
      <w:r>
        <w:rPr>
          <w:rFonts w:ascii="Times" w:eastAsia="Calibri" w:hAnsi="Times"/>
          <w:szCs w:val="24"/>
          <w:lang w:val="en-US"/>
        </w:rPr>
        <w:t xml:space="preserve">  T</w:t>
      </w:r>
      <w:r w:rsidRPr="00701DB6">
        <w:rPr>
          <w:rFonts w:ascii="Times" w:eastAsia="Calibri" w:hAnsi="Times"/>
          <w:szCs w:val="24"/>
          <w:lang w:val="en-US"/>
        </w:rPr>
        <w:t xml:space="preserve">he Commission examined the relevant product market </w:t>
      </w:r>
      <w:r>
        <w:rPr>
          <w:rFonts w:ascii="Times" w:eastAsia="Calibri" w:hAnsi="Times"/>
          <w:szCs w:val="24"/>
          <w:lang w:val="en-US"/>
        </w:rPr>
        <w:t xml:space="preserve">also </w:t>
      </w:r>
      <w:r w:rsidRPr="00701DB6">
        <w:rPr>
          <w:rFonts w:ascii="Times" w:eastAsia="Calibri" w:hAnsi="Times"/>
          <w:szCs w:val="24"/>
          <w:lang w:val="en-US"/>
        </w:rPr>
        <w:t xml:space="preserve">at the ATC4 level </w:t>
      </w:r>
      <w:r>
        <w:rPr>
          <w:rFonts w:ascii="Times" w:eastAsia="Calibri" w:hAnsi="Times"/>
          <w:szCs w:val="24"/>
          <w:lang w:val="en-US"/>
        </w:rPr>
        <w:t xml:space="preserve">(D1A1, namely topical dermatological antifungals) </w:t>
      </w:r>
      <w:r w:rsidRPr="00701DB6">
        <w:rPr>
          <w:rFonts w:ascii="Times" w:eastAsia="Calibri" w:hAnsi="Times"/>
          <w:szCs w:val="24"/>
          <w:lang w:val="en-US"/>
        </w:rPr>
        <w:t>but finally left the market definition open.</w:t>
      </w:r>
      <w:r>
        <w:rPr>
          <w:rStyle w:val="FootnoteReference"/>
          <w:rFonts w:eastAsia="Calibri"/>
          <w:szCs w:val="24"/>
          <w:lang w:val="en-US"/>
        </w:rPr>
        <w:footnoteReference w:id="77"/>
      </w:r>
    </w:p>
    <w:p w:rsidR="001C18CB" w:rsidRPr="00CF47FF" w:rsidRDefault="0080226D" w:rsidP="0080226D">
      <w:pPr>
        <w:pStyle w:val="ListNumber"/>
        <w:rPr>
          <w:rFonts w:ascii="Times" w:hAnsi="Times"/>
          <w:szCs w:val="24"/>
        </w:rPr>
      </w:pPr>
      <w:r>
        <w:rPr>
          <w:rFonts w:ascii="Times" w:eastAsia="Calibri" w:hAnsi="Times"/>
          <w:szCs w:val="24"/>
          <w:lang w:val="en-US"/>
        </w:rPr>
        <w:t xml:space="preserve">The Notifying Party submits that OTC and Rx </w:t>
      </w:r>
      <w:r>
        <w:rPr>
          <w:rFonts w:eastAsia="Calibri"/>
          <w:lang w:val="en-US"/>
        </w:rPr>
        <w:t>dermatological antifungals</w:t>
      </w:r>
      <w:r w:rsidRPr="008F3F1C">
        <w:rPr>
          <w:rFonts w:eastAsia="Calibri"/>
          <w:lang w:val="en-US"/>
        </w:rPr>
        <w:t xml:space="preserve"> </w:t>
      </w:r>
      <w:r>
        <w:rPr>
          <w:rFonts w:ascii="Times" w:eastAsia="Calibri" w:hAnsi="Times"/>
          <w:szCs w:val="24"/>
          <w:lang w:val="en-US"/>
        </w:rPr>
        <w:t xml:space="preserve">products </w:t>
      </w:r>
      <w:r w:rsidR="00947A31">
        <w:t>are not in the same market</w:t>
      </w:r>
      <w:r>
        <w:rPr>
          <w:rFonts w:ascii="Times" w:eastAsia="Calibri" w:hAnsi="Times"/>
          <w:szCs w:val="24"/>
          <w:lang w:val="en-US"/>
        </w:rPr>
        <w:t>. The Notifying Party submits</w:t>
      </w:r>
      <w:r w:rsidRPr="001448D5">
        <w:rPr>
          <w:rFonts w:ascii="Times" w:eastAsia="Calibri" w:hAnsi="Times"/>
          <w:szCs w:val="24"/>
          <w:lang w:val="en-US"/>
        </w:rPr>
        <w:t xml:space="preserve"> that the average retail price for OTC products is significantly higher than the average price of Rx products in this ATC3 category</w:t>
      </w:r>
      <w:r>
        <w:rPr>
          <w:rFonts w:ascii="Times" w:eastAsia="Calibri" w:hAnsi="Times"/>
          <w:szCs w:val="24"/>
          <w:lang w:val="en-US"/>
        </w:rPr>
        <w:t>,</w:t>
      </w:r>
      <w:r w:rsidRPr="001448D5">
        <w:t xml:space="preserve"> </w:t>
      </w:r>
      <w:r>
        <w:t>respectively EUR 2.71 versus EUR 1.15</w:t>
      </w:r>
      <w:r w:rsidRPr="001448D5">
        <w:rPr>
          <w:rFonts w:ascii="Times" w:eastAsia="Calibri" w:hAnsi="Times"/>
          <w:szCs w:val="24"/>
          <w:lang w:val="en-US"/>
        </w:rPr>
        <w:t xml:space="preserve">. </w:t>
      </w:r>
    </w:p>
    <w:p w:rsidR="0080226D" w:rsidRPr="001448D5" w:rsidRDefault="0080226D" w:rsidP="0080226D">
      <w:pPr>
        <w:pStyle w:val="ListNumber"/>
        <w:rPr>
          <w:rFonts w:ascii="Times" w:hAnsi="Times"/>
          <w:szCs w:val="24"/>
        </w:rPr>
      </w:pPr>
      <w:r w:rsidRPr="001448D5">
        <w:rPr>
          <w:rFonts w:ascii="Times" w:eastAsia="Calibri" w:hAnsi="Times"/>
          <w:szCs w:val="24"/>
          <w:lang w:val="en-US"/>
        </w:rPr>
        <w:t xml:space="preserve">The Notifying Party however adds </w:t>
      </w:r>
      <w:r>
        <w:rPr>
          <w:rFonts w:ascii="Times" w:eastAsia="Calibri" w:hAnsi="Times"/>
          <w:szCs w:val="24"/>
          <w:lang w:val="en-US"/>
        </w:rPr>
        <w:t>that should the market comprise</w:t>
      </w:r>
      <w:r w:rsidRPr="001448D5">
        <w:rPr>
          <w:rFonts w:ascii="Times" w:eastAsia="Calibri" w:hAnsi="Times"/>
          <w:szCs w:val="24"/>
          <w:lang w:val="en-US"/>
        </w:rPr>
        <w:t xml:space="preserve"> both OTC and Rx products, it is in any event broader than the molecule.</w:t>
      </w:r>
    </w:p>
    <w:p w:rsidR="0080226D" w:rsidRPr="00453FB2" w:rsidRDefault="0080226D" w:rsidP="0080226D">
      <w:pPr>
        <w:pStyle w:val="ListNumber"/>
        <w:rPr>
          <w:rFonts w:ascii="Times" w:hAnsi="Times"/>
          <w:szCs w:val="24"/>
        </w:rPr>
      </w:pPr>
      <w:r w:rsidRPr="00482C68">
        <w:rPr>
          <w:rFonts w:ascii="Times" w:eastAsia="Calibri" w:hAnsi="Times"/>
          <w:szCs w:val="24"/>
          <w:lang w:val="en-US"/>
        </w:rPr>
        <w:t xml:space="preserve">The market investigation provided indications that </w:t>
      </w:r>
      <w:r w:rsidR="001C18CB">
        <w:rPr>
          <w:rFonts w:ascii="Times" w:eastAsia="Calibri" w:hAnsi="Times"/>
          <w:szCs w:val="24"/>
          <w:lang w:val="en-US"/>
        </w:rPr>
        <w:t>the market</w:t>
      </w:r>
      <w:r w:rsidRPr="00482C68">
        <w:rPr>
          <w:rFonts w:ascii="Times" w:eastAsia="Calibri" w:hAnsi="Times"/>
          <w:szCs w:val="24"/>
          <w:lang w:val="en-US"/>
        </w:rPr>
        <w:t xml:space="preserve"> would be broader than the molecule. Market respondents</w:t>
      </w:r>
      <w:r>
        <w:rPr>
          <w:rFonts w:ascii="Times" w:eastAsia="Calibri" w:hAnsi="Times"/>
          <w:szCs w:val="24"/>
          <w:lang w:val="en-US"/>
        </w:rPr>
        <w:t xml:space="preserve"> quoted a number of molecules competing with </w:t>
      </w:r>
      <w:r w:rsidRPr="00453FB2">
        <w:rPr>
          <w:rFonts w:ascii="Times" w:eastAsia="Calibri" w:hAnsi="Times"/>
          <w:i/>
          <w:szCs w:val="24"/>
          <w:lang w:val="en-US"/>
        </w:rPr>
        <w:t>clotrimazole</w:t>
      </w:r>
      <w:r>
        <w:rPr>
          <w:rFonts w:ascii="Times" w:eastAsia="Calibri" w:hAnsi="Times"/>
          <w:szCs w:val="24"/>
          <w:lang w:val="en-US"/>
        </w:rPr>
        <w:t xml:space="preserve">-based products, including </w:t>
      </w:r>
      <w:r w:rsidRPr="00453FB2">
        <w:rPr>
          <w:rFonts w:ascii="Times" w:eastAsia="Calibri" w:hAnsi="Times"/>
          <w:i/>
          <w:szCs w:val="24"/>
          <w:lang w:val="en-US"/>
        </w:rPr>
        <w:t>miconazole</w:t>
      </w:r>
      <w:r>
        <w:rPr>
          <w:rFonts w:ascii="Times" w:eastAsia="Calibri" w:hAnsi="Times"/>
          <w:szCs w:val="24"/>
          <w:lang w:val="en-US"/>
        </w:rPr>
        <w:t xml:space="preserve">, </w:t>
      </w:r>
      <w:r w:rsidRPr="00453FB2">
        <w:rPr>
          <w:rFonts w:ascii="Times" w:eastAsia="Calibri" w:hAnsi="Times"/>
          <w:i/>
          <w:szCs w:val="24"/>
          <w:lang w:val="en-US"/>
        </w:rPr>
        <w:t>terbinafine</w:t>
      </w:r>
      <w:r>
        <w:rPr>
          <w:rFonts w:ascii="Times" w:eastAsia="Calibri" w:hAnsi="Times"/>
          <w:szCs w:val="24"/>
          <w:lang w:val="en-US"/>
        </w:rPr>
        <w:t xml:space="preserve"> and </w:t>
      </w:r>
      <w:r w:rsidRPr="00453FB2">
        <w:rPr>
          <w:rFonts w:ascii="Times" w:eastAsia="Calibri" w:hAnsi="Times"/>
          <w:i/>
          <w:szCs w:val="24"/>
          <w:lang w:val="en-US"/>
        </w:rPr>
        <w:t>naftifin</w:t>
      </w:r>
      <w:r>
        <w:rPr>
          <w:rFonts w:ascii="Times" w:eastAsia="Calibri" w:hAnsi="Times"/>
          <w:szCs w:val="24"/>
          <w:lang w:val="en-US"/>
        </w:rPr>
        <w:t>.</w:t>
      </w:r>
      <w:r w:rsidRPr="00453FB2">
        <w:rPr>
          <w:rFonts w:ascii="Calibri" w:eastAsia="Calibri" w:hAnsi="Calibri"/>
          <w:b/>
          <w:sz w:val="20"/>
          <w:vertAlign w:val="superscript"/>
          <w:lang w:val="en-US"/>
        </w:rPr>
        <w:footnoteReference w:id="78"/>
      </w:r>
      <w:r w:rsidRPr="00453FB2">
        <w:rPr>
          <w:rFonts w:ascii="Times" w:eastAsia="Calibri" w:hAnsi="Times"/>
          <w:szCs w:val="24"/>
          <w:lang w:val="en-US"/>
        </w:rPr>
        <w:t xml:space="preserve"> </w:t>
      </w:r>
      <w:r>
        <w:rPr>
          <w:rFonts w:ascii="Times" w:eastAsia="Calibri" w:hAnsi="Times"/>
          <w:szCs w:val="24"/>
          <w:lang w:val="en-US"/>
        </w:rPr>
        <w:t xml:space="preserve">Pharmacies also mentioned that </w:t>
      </w:r>
      <w:r>
        <w:rPr>
          <w:rFonts w:ascii="Times" w:hAnsi="Times"/>
          <w:szCs w:val="24"/>
        </w:rPr>
        <w:t>if</w:t>
      </w:r>
      <w:r w:rsidRPr="00453FB2">
        <w:rPr>
          <w:rFonts w:ascii="Times" w:hAnsi="Times"/>
          <w:szCs w:val="24"/>
        </w:rPr>
        <w:t xml:space="preserve"> approached by a customer asking for advice regarding treatment of infections caused by dermatophytes, yeast, and molds</w:t>
      </w:r>
      <w:r>
        <w:rPr>
          <w:rFonts w:ascii="Times" w:hAnsi="Times"/>
          <w:szCs w:val="24"/>
        </w:rPr>
        <w:t>,</w:t>
      </w:r>
      <w:r>
        <w:rPr>
          <w:rFonts w:ascii="Times" w:eastAsia="Calibri" w:hAnsi="Times"/>
          <w:szCs w:val="24"/>
          <w:lang w:val="en-US"/>
        </w:rPr>
        <w:t xml:space="preserve"> they would recommend substitutable products based on different molecules, such as </w:t>
      </w:r>
      <w:r w:rsidRPr="00453FB2">
        <w:rPr>
          <w:rFonts w:ascii="Times" w:eastAsia="Calibri" w:hAnsi="Times"/>
          <w:i/>
          <w:szCs w:val="24"/>
          <w:lang w:val="en-US"/>
        </w:rPr>
        <w:t>clotrimazole</w:t>
      </w:r>
      <w:r>
        <w:rPr>
          <w:rFonts w:ascii="Times" w:eastAsia="Calibri" w:hAnsi="Times"/>
          <w:szCs w:val="24"/>
          <w:lang w:val="en-US"/>
        </w:rPr>
        <w:t xml:space="preserve">, </w:t>
      </w:r>
      <w:r w:rsidRPr="00453FB2">
        <w:rPr>
          <w:rFonts w:ascii="Times" w:eastAsia="Calibri" w:hAnsi="Times"/>
          <w:i/>
          <w:szCs w:val="24"/>
          <w:lang w:val="en-US"/>
        </w:rPr>
        <w:t>miconazole</w:t>
      </w:r>
      <w:r>
        <w:rPr>
          <w:rFonts w:ascii="Times" w:eastAsia="Calibri" w:hAnsi="Times"/>
          <w:szCs w:val="24"/>
          <w:lang w:val="en-US"/>
        </w:rPr>
        <w:t xml:space="preserve"> or </w:t>
      </w:r>
      <w:r w:rsidRPr="00453FB2">
        <w:rPr>
          <w:rFonts w:ascii="Times" w:eastAsia="Calibri" w:hAnsi="Times"/>
          <w:i/>
          <w:szCs w:val="24"/>
          <w:lang w:val="en-US"/>
        </w:rPr>
        <w:t>naftifin</w:t>
      </w:r>
      <w:r>
        <w:rPr>
          <w:rFonts w:ascii="Times" w:eastAsia="Calibri" w:hAnsi="Times"/>
          <w:szCs w:val="24"/>
          <w:lang w:val="en-US"/>
        </w:rPr>
        <w:t>.</w:t>
      </w:r>
      <w:r>
        <w:rPr>
          <w:rStyle w:val="FootnoteReference"/>
          <w:rFonts w:eastAsia="Calibri"/>
          <w:szCs w:val="24"/>
          <w:lang w:val="en-US"/>
        </w:rPr>
        <w:footnoteReference w:id="79"/>
      </w:r>
    </w:p>
    <w:p w:rsidR="0080226D" w:rsidRPr="00242F29" w:rsidRDefault="0080226D" w:rsidP="0080226D">
      <w:pPr>
        <w:pStyle w:val="ListNumber"/>
      </w:pPr>
      <w:r w:rsidRPr="00AC4CB2">
        <w:t>In any event, for the purposes of the present case, the exact market definition can be left open, as</w:t>
      </w:r>
      <w:r>
        <w:t xml:space="preserve"> </w:t>
      </w:r>
      <w:r w:rsidRPr="00AC4CB2">
        <w:t>no serious doubts arise under any plausible alternative market definition</w:t>
      </w:r>
      <w:r>
        <w:t xml:space="preserve"> (ATC 3 or ATC 4 class or mo</w:t>
      </w:r>
      <w:r w:rsidR="00243245">
        <w:t>lecule</w:t>
      </w:r>
      <w:r>
        <w:t>)</w:t>
      </w:r>
      <w:r w:rsidRPr="00AC4CB2">
        <w:t>.</w:t>
      </w:r>
    </w:p>
    <w:p w:rsidR="0080226D" w:rsidRDefault="0080226D" w:rsidP="00E50CAD">
      <w:pPr>
        <w:pStyle w:val="Heading4"/>
      </w:pPr>
      <w:bookmarkStart w:id="242" w:name="_Toc517710471"/>
      <w:bookmarkStart w:id="243" w:name="_Toc517812946"/>
      <w:r>
        <w:lastRenderedPageBreak/>
        <w:t>Parties' Products</w:t>
      </w:r>
      <w:bookmarkEnd w:id="242"/>
      <w:bookmarkEnd w:id="243"/>
    </w:p>
    <w:p w:rsidR="0080226D" w:rsidRPr="00344386" w:rsidRDefault="0080226D" w:rsidP="00E50CAD">
      <w:pPr>
        <w:pStyle w:val="ListNumber"/>
        <w:keepNext/>
      </w:pPr>
      <w:r>
        <w:t xml:space="preserve">In Croatia, </w:t>
      </w:r>
      <w:r w:rsidRPr="00344386">
        <w:t xml:space="preserve">Teva supplies a prescription (Rx) product Klotrimazole Pliva, in the </w:t>
      </w:r>
      <w:r>
        <w:t>topical form</w:t>
      </w:r>
      <w:r w:rsidRPr="00344386">
        <w:t xml:space="preserve">. </w:t>
      </w:r>
      <w:r>
        <w:t>PGT supplies two OTC products under the brand Plymicol, one in topical form and the other one in vaginal/intra uterine form.</w:t>
      </w:r>
      <w:r w:rsidR="00482C68">
        <w:t xml:space="preserve"> Both are </w:t>
      </w:r>
      <w:r w:rsidR="00482C68" w:rsidRPr="00453FB2">
        <w:rPr>
          <w:rFonts w:ascii="Times" w:eastAsia="Calibri" w:hAnsi="Times"/>
          <w:i/>
          <w:szCs w:val="24"/>
          <w:lang w:val="en-US"/>
        </w:rPr>
        <w:t>clotrimazole</w:t>
      </w:r>
      <w:r w:rsidR="00482C68">
        <w:rPr>
          <w:rFonts w:ascii="Times" w:eastAsia="Calibri" w:hAnsi="Times"/>
          <w:szCs w:val="24"/>
          <w:lang w:val="en-US"/>
        </w:rPr>
        <w:t>-based products.</w:t>
      </w:r>
    </w:p>
    <w:p w:rsidR="0080226D" w:rsidRDefault="0080226D" w:rsidP="00904F5E">
      <w:pPr>
        <w:pStyle w:val="Heading4"/>
        <w:rPr>
          <w:szCs w:val="24"/>
        </w:rPr>
      </w:pPr>
      <w:bookmarkStart w:id="244" w:name="_Toc517710472"/>
      <w:bookmarkStart w:id="245" w:name="_Toc517812947"/>
      <w:r>
        <w:rPr>
          <w:szCs w:val="24"/>
        </w:rPr>
        <w:t>Competition Assessment</w:t>
      </w:r>
      <w:bookmarkEnd w:id="244"/>
      <w:bookmarkEnd w:id="245"/>
    </w:p>
    <w:p w:rsidR="0080226D" w:rsidRPr="00453FB2" w:rsidRDefault="0080226D" w:rsidP="00904F5E">
      <w:pPr>
        <w:pStyle w:val="ListNumber"/>
        <w:keepNext/>
        <w:rPr>
          <w:rFonts w:ascii="Calibri" w:eastAsia="Calibri" w:hAnsi="Calibri"/>
          <w:sz w:val="20"/>
          <w:lang w:val="en-US"/>
        </w:rPr>
      </w:pPr>
      <w:r w:rsidRPr="00453FB2">
        <w:rPr>
          <w:rFonts w:eastAsia="Calibri"/>
          <w:lang w:val="en-US"/>
        </w:rPr>
        <w:t>At both ATC 3 level (D1A Antifungal dermatological)</w:t>
      </w:r>
      <w:r>
        <w:rPr>
          <w:rFonts w:eastAsia="Calibri"/>
          <w:lang w:val="en-US"/>
        </w:rPr>
        <w:t>,</w:t>
      </w:r>
      <w:r w:rsidRPr="00453FB2">
        <w:rPr>
          <w:rFonts w:eastAsia="Calibri"/>
          <w:lang w:val="en-US"/>
        </w:rPr>
        <w:t xml:space="preserve"> ATC4 level (D1A1 Topical antifungal dermatological)</w:t>
      </w:r>
      <w:r>
        <w:rPr>
          <w:rFonts w:eastAsia="Calibri"/>
          <w:lang w:val="en-US"/>
        </w:rPr>
        <w:t xml:space="preserve"> and molecule (</w:t>
      </w:r>
      <w:r w:rsidRPr="00811DE4">
        <w:rPr>
          <w:rFonts w:eastAsia="Calibri"/>
          <w:i/>
          <w:lang w:val="en-US"/>
        </w:rPr>
        <w:t>clotrimazole</w:t>
      </w:r>
      <w:r>
        <w:rPr>
          <w:rFonts w:eastAsia="Calibri"/>
          <w:lang w:val="en-US"/>
        </w:rPr>
        <w:t>)</w:t>
      </w:r>
      <w:r w:rsidRPr="00453FB2">
        <w:rPr>
          <w:rFonts w:eastAsia="Calibri"/>
          <w:lang w:val="en-US"/>
        </w:rPr>
        <w:t xml:space="preserve">, the Transaction gives rise to a Group 1 market.  </w:t>
      </w:r>
    </w:p>
    <w:p w:rsidR="0080226D" w:rsidRDefault="0080226D" w:rsidP="0080226D">
      <w:pPr>
        <w:pStyle w:val="ListNumber"/>
      </w:pPr>
      <w:r>
        <w:t xml:space="preserve">The table below presents the Parties' market shares for dermatological antifungal products in </w:t>
      </w:r>
      <w:r w:rsidR="00B91E12">
        <w:t>2015-</w:t>
      </w:r>
      <w:r>
        <w:t>2017.</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6"/>
        <w:gridCol w:w="994"/>
        <w:gridCol w:w="1136"/>
        <w:gridCol w:w="1204"/>
      </w:tblGrid>
      <w:tr w:rsidR="00516C6E" w:rsidRPr="00AD3737" w:rsidTr="00516C6E">
        <w:trPr>
          <w:tblHeader/>
        </w:trPr>
        <w:tc>
          <w:tcPr>
            <w:tcW w:w="608" w:type="pct"/>
            <w:vMerge w:val="restart"/>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OTC3</w:t>
            </w:r>
          </w:p>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ATC3</w:t>
            </w:r>
          </w:p>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ATC4</w:t>
            </w:r>
          </w:p>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516C6E" w:rsidRPr="00B6607C" w:rsidRDefault="00516C6E" w:rsidP="00516C6E">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516C6E" w:rsidRDefault="00516C6E" w:rsidP="00516C6E">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516C6E" w:rsidRPr="00AD3737" w:rsidTr="004C6514">
        <w:trPr>
          <w:tblHeader/>
        </w:trPr>
        <w:tc>
          <w:tcPr>
            <w:tcW w:w="608" w:type="pct"/>
            <w:vMerge/>
            <w:tcBorders>
              <w:bottom w:val="single" w:sz="4" w:space="0" w:color="auto"/>
            </w:tcBorders>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p>
        </w:tc>
        <w:tc>
          <w:tcPr>
            <w:tcW w:w="696" w:type="pct"/>
            <w:vMerge/>
            <w:tcBorders>
              <w:bottom w:val="single" w:sz="4" w:space="0" w:color="auto"/>
            </w:tcBorders>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p>
        </w:tc>
        <w:tc>
          <w:tcPr>
            <w:tcW w:w="434" w:type="pct"/>
            <w:vMerge/>
            <w:tcBorders>
              <w:bottom w:val="single" w:sz="4" w:space="0" w:color="auto"/>
            </w:tcBorders>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p>
        </w:tc>
        <w:tc>
          <w:tcPr>
            <w:tcW w:w="523" w:type="pct"/>
            <w:vMerge/>
            <w:tcBorders>
              <w:bottom w:val="single" w:sz="4" w:space="0" w:color="auto"/>
            </w:tcBorders>
            <w:shd w:val="clear" w:color="auto" w:fill="D9D9D9" w:themeFill="background1" w:themeFillShade="D9"/>
          </w:tcPr>
          <w:p w:rsidR="00516C6E" w:rsidRPr="00B6607C" w:rsidRDefault="00516C6E" w:rsidP="00516C6E">
            <w:pPr>
              <w:keepNext/>
              <w:snapToGrid w:val="0"/>
              <w:spacing w:after="0"/>
              <w:jc w:val="center"/>
              <w:rPr>
                <w:rFonts w:ascii="Times" w:hAnsi="Times"/>
                <w:b/>
                <w:sz w:val="18"/>
                <w:szCs w:val="18"/>
              </w:rPr>
            </w:pPr>
          </w:p>
        </w:tc>
        <w:tc>
          <w:tcPr>
            <w:tcW w:w="696" w:type="pct"/>
            <w:tcBorders>
              <w:bottom w:val="single" w:sz="4" w:space="0" w:color="auto"/>
            </w:tcBorders>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Teva</w:t>
            </w:r>
          </w:p>
        </w:tc>
        <w:tc>
          <w:tcPr>
            <w:tcW w:w="609" w:type="pct"/>
            <w:tcBorders>
              <w:bottom w:val="single" w:sz="4" w:space="0" w:color="auto"/>
            </w:tcBorders>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tcBorders>
              <w:bottom w:val="single" w:sz="4" w:space="0" w:color="auto"/>
            </w:tcBorders>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tcBorders>
              <w:bottom w:val="single" w:sz="4" w:space="0" w:color="auto"/>
            </w:tcBorders>
            <w:shd w:val="clear" w:color="auto" w:fill="D9D9D9" w:themeFill="background1" w:themeFillShade="D9"/>
            <w:vAlign w:val="center"/>
          </w:tcPr>
          <w:p w:rsidR="00516C6E" w:rsidRPr="00B6607C" w:rsidRDefault="00516C6E" w:rsidP="00516C6E">
            <w:pPr>
              <w:keepNext/>
              <w:snapToGrid w:val="0"/>
              <w:spacing w:after="0"/>
              <w:jc w:val="center"/>
              <w:rPr>
                <w:rFonts w:ascii="Times" w:hAnsi="Times"/>
                <w:b/>
                <w:sz w:val="18"/>
                <w:szCs w:val="18"/>
              </w:rPr>
            </w:pPr>
          </w:p>
        </w:tc>
      </w:tr>
      <w:tr w:rsidR="00D71052" w:rsidRPr="00AD3737" w:rsidTr="00516C6E">
        <w:trPr>
          <w:trHeight w:val="345"/>
        </w:trPr>
        <w:tc>
          <w:tcPr>
            <w:tcW w:w="608" w:type="pct"/>
            <w:vMerge w:val="restart"/>
            <w:vAlign w:val="center"/>
          </w:tcPr>
          <w:p w:rsidR="00D71052" w:rsidRPr="00420413" w:rsidRDefault="00D71052" w:rsidP="00516C6E">
            <w:pPr>
              <w:keepNext/>
              <w:spacing w:after="0"/>
              <w:jc w:val="center"/>
              <w:rPr>
                <w:rFonts w:ascii="Times" w:hAnsi="Times"/>
                <w:i/>
                <w:sz w:val="18"/>
                <w:szCs w:val="18"/>
              </w:rPr>
            </w:pPr>
            <w:r>
              <w:rPr>
                <w:rFonts w:ascii="Times" w:hAnsi="Times"/>
                <w:sz w:val="18"/>
                <w:szCs w:val="18"/>
              </w:rPr>
              <w:t>D1A</w:t>
            </w:r>
          </w:p>
        </w:tc>
        <w:tc>
          <w:tcPr>
            <w:tcW w:w="696" w:type="pct"/>
            <w:vMerge w:val="restart"/>
            <w:vAlign w:val="center"/>
          </w:tcPr>
          <w:p w:rsidR="00D71052" w:rsidRPr="00516C6E" w:rsidRDefault="00D71052" w:rsidP="00516C6E">
            <w:pPr>
              <w:keepNext/>
              <w:spacing w:after="0"/>
              <w:jc w:val="center"/>
              <w:rPr>
                <w:rFonts w:ascii="Times" w:hAnsi="Times"/>
                <w:sz w:val="18"/>
                <w:szCs w:val="18"/>
                <w:lang w:val="pt-PT"/>
              </w:rPr>
            </w:pPr>
            <w:r w:rsidRPr="00516C6E">
              <w:rPr>
                <w:rFonts w:ascii="Times" w:hAnsi="Times"/>
                <w:sz w:val="18"/>
                <w:szCs w:val="18"/>
                <w:lang w:val="pt-PT"/>
              </w:rPr>
              <w:t>Antifungal dermatological</w:t>
            </w:r>
          </w:p>
        </w:tc>
        <w:tc>
          <w:tcPr>
            <w:tcW w:w="434" w:type="pct"/>
            <w:vMerge w:val="restart"/>
            <w:vAlign w:val="center"/>
          </w:tcPr>
          <w:p w:rsidR="00D71052" w:rsidRPr="00B6607C" w:rsidRDefault="00D71052" w:rsidP="00516C6E">
            <w:pPr>
              <w:keepNext/>
              <w:spacing w:after="0"/>
              <w:jc w:val="center"/>
              <w:rPr>
                <w:rFonts w:ascii="Times" w:hAnsi="Times"/>
                <w:sz w:val="18"/>
                <w:szCs w:val="18"/>
              </w:rPr>
            </w:pPr>
            <w:r>
              <w:rPr>
                <w:rFonts w:ascii="Times" w:hAnsi="Times"/>
                <w:sz w:val="18"/>
                <w:szCs w:val="18"/>
              </w:rPr>
              <w:t>Group 1</w:t>
            </w:r>
          </w:p>
        </w:tc>
        <w:tc>
          <w:tcPr>
            <w:tcW w:w="523" w:type="pct"/>
            <w:vAlign w:val="center"/>
          </w:tcPr>
          <w:p w:rsidR="00D71052" w:rsidRPr="00213AF2" w:rsidRDefault="00D71052" w:rsidP="00516C6E">
            <w:pPr>
              <w:keepNext/>
              <w:spacing w:after="0"/>
              <w:jc w:val="left"/>
              <w:rPr>
                <w:rFonts w:ascii="Times" w:hAnsi="Times"/>
                <w:sz w:val="18"/>
              </w:rPr>
            </w:pPr>
            <w:r>
              <w:rPr>
                <w:rFonts w:ascii="Times" w:hAnsi="Times"/>
                <w:sz w:val="18"/>
              </w:rPr>
              <w:t>2017</w:t>
            </w:r>
          </w:p>
        </w:tc>
        <w:tc>
          <w:tcPr>
            <w:tcW w:w="696" w:type="pct"/>
            <w:vAlign w:val="center"/>
          </w:tcPr>
          <w:p w:rsidR="00D71052" w:rsidRDefault="00D71052" w:rsidP="00FB6BB0">
            <w:pPr>
              <w:keepNext/>
              <w:spacing w:after="0"/>
              <w:jc w:val="center"/>
              <w:rPr>
                <w:rFonts w:ascii="Times" w:hAnsi="Times"/>
                <w:sz w:val="18"/>
                <w:szCs w:val="18"/>
              </w:rPr>
            </w:pPr>
            <w:r>
              <w:rPr>
                <w:rFonts w:ascii="Times" w:hAnsi="Times"/>
                <w:sz w:val="18"/>
                <w:szCs w:val="18"/>
              </w:rPr>
              <w:t>[10-20]%</w:t>
            </w:r>
          </w:p>
          <w:p w:rsidR="00D71052" w:rsidRPr="00B6607C" w:rsidRDefault="00D71052" w:rsidP="00FB6BB0">
            <w:pPr>
              <w:keepNext/>
              <w:spacing w:after="0"/>
              <w:jc w:val="center"/>
              <w:rPr>
                <w:rFonts w:ascii="Times" w:hAnsi="Times"/>
                <w:sz w:val="18"/>
                <w:szCs w:val="18"/>
              </w:rPr>
            </w:pPr>
            <w:r>
              <w:rPr>
                <w:rFonts w:ascii="Times" w:hAnsi="Times"/>
                <w:sz w:val="18"/>
                <w:szCs w:val="18"/>
              </w:rPr>
              <w:t>/[20-30]%</w:t>
            </w:r>
          </w:p>
        </w:tc>
        <w:tc>
          <w:tcPr>
            <w:tcW w:w="609" w:type="pct"/>
            <w:vAlign w:val="center"/>
          </w:tcPr>
          <w:p w:rsidR="00D71052" w:rsidRPr="00B6607C" w:rsidRDefault="00D71052" w:rsidP="00FB6BB0">
            <w:pPr>
              <w:keepNext/>
              <w:spacing w:after="0"/>
              <w:jc w:val="center"/>
              <w:rPr>
                <w:rFonts w:ascii="Times" w:hAnsi="Times"/>
                <w:sz w:val="18"/>
                <w:szCs w:val="18"/>
              </w:rPr>
            </w:pPr>
            <w:r>
              <w:rPr>
                <w:rFonts w:ascii="Times" w:hAnsi="Times"/>
                <w:sz w:val="18"/>
                <w:szCs w:val="18"/>
              </w:rPr>
              <w:t>[10-20]% /[10-20]%</w:t>
            </w:r>
          </w:p>
        </w:tc>
        <w:tc>
          <w:tcPr>
            <w:tcW w:w="696" w:type="pct"/>
            <w:vAlign w:val="center"/>
          </w:tcPr>
          <w:p w:rsidR="00D71052" w:rsidRDefault="00D71052" w:rsidP="003B687A">
            <w:pPr>
              <w:keepNext/>
              <w:spacing w:after="0"/>
              <w:jc w:val="center"/>
              <w:rPr>
                <w:rFonts w:ascii="Times" w:hAnsi="Times"/>
                <w:sz w:val="18"/>
                <w:szCs w:val="18"/>
              </w:rPr>
            </w:pPr>
            <w:r>
              <w:rPr>
                <w:rFonts w:ascii="Times" w:hAnsi="Times"/>
                <w:sz w:val="18"/>
                <w:szCs w:val="18"/>
              </w:rPr>
              <w:t>[20-30]% /[30-40]%</w:t>
            </w:r>
          </w:p>
        </w:tc>
        <w:tc>
          <w:tcPr>
            <w:tcW w:w="738" w:type="pct"/>
            <w:vAlign w:val="center"/>
          </w:tcPr>
          <w:p w:rsidR="00D71052" w:rsidRPr="00B6607C" w:rsidRDefault="00D71052" w:rsidP="00516C6E">
            <w:pPr>
              <w:keepNext/>
              <w:spacing w:after="0"/>
              <w:jc w:val="center"/>
              <w:rPr>
                <w:rFonts w:ascii="Times" w:hAnsi="Times"/>
                <w:sz w:val="18"/>
                <w:szCs w:val="18"/>
              </w:rPr>
            </w:pPr>
            <w:r w:rsidRPr="00A847CC">
              <w:rPr>
                <w:rFonts w:ascii="Times" w:hAnsi="Times"/>
                <w:sz w:val="18"/>
                <w:szCs w:val="18"/>
              </w:rPr>
              <w:t>At least 3</w:t>
            </w:r>
          </w:p>
        </w:tc>
      </w:tr>
      <w:tr w:rsidR="00D71052" w:rsidRPr="00AD3737" w:rsidTr="00516C6E">
        <w:trPr>
          <w:trHeight w:val="345"/>
        </w:trPr>
        <w:tc>
          <w:tcPr>
            <w:tcW w:w="608" w:type="pct"/>
            <w:vMerge/>
            <w:vAlign w:val="center"/>
          </w:tcPr>
          <w:p w:rsidR="00D71052" w:rsidRPr="00420413" w:rsidRDefault="00D71052" w:rsidP="00516C6E">
            <w:pPr>
              <w:keepNext/>
              <w:spacing w:after="0"/>
              <w:jc w:val="center"/>
              <w:rPr>
                <w:rFonts w:ascii="Times" w:hAnsi="Times"/>
                <w:i/>
                <w:sz w:val="18"/>
                <w:szCs w:val="18"/>
              </w:rPr>
            </w:pPr>
          </w:p>
        </w:tc>
        <w:tc>
          <w:tcPr>
            <w:tcW w:w="696" w:type="pct"/>
            <w:vMerge/>
            <w:vAlign w:val="center"/>
          </w:tcPr>
          <w:p w:rsidR="00D71052" w:rsidRPr="00B6607C" w:rsidRDefault="00D71052" w:rsidP="00516C6E">
            <w:pPr>
              <w:keepNext/>
              <w:spacing w:after="0"/>
              <w:jc w:val="center"/>
              <w:rPr>
                <w:rFonts w:ascii="Times" w:hAnsi="Times"/>
                <w:sz w:val="18"/>
                <w:szCs w:val="18"/>
              </w:rPr>
            </w:pPr>
          </w:p>
        </w:tc>
        <w:tc>
          <w:tcPr>
            <w:tcW w:w="434" w:type="pct"/>
            <w:vMerge/>
            <w:vAlign w:val="center"/>
          </w:tcPr>
          <w:p w:rsidR="00D71052" w:rsidRPr="00B6607C" w:rsidRDefault="00D71052" w:rsidP="00516C6E">
            <w:pPr>
              <w:keepNext/>
              <w:spacing w:after="0"/>
              <w:jc w:val="center"/>
              <w:rPr>
                <w:rFonts w:ascii="Times" w:hAnsi="Times"/>
                <w:sz w:val="18"/>
                <w:szCs w:val="18"/>
              </w:rPr>
            </w:pPr>
          </w:p>
        </w:tc>
        <w:tc>
          <w:tcPr>
            <w:tcW w:w="523" w:type="pct"/>
            <w:vAlign w:val="center"/>
          </w:tcPr>
          <w:p w:rsidR="00D71052" w:rsidRPr="00213AF2" w:rsidRDefault="00D71052" w:rsidP="00516C6E">
            <w:pPr>
              <w:keepNext/>
              <w:spacing w:after="0"/>
              <w:jc w:val="left"/>
              <w:rPr>
                <w:rFonts w:ascii="Times" w:hAnsi="Times"/>
                <w:sz w:val="18"/>
              </w:rPr>
            </w:pPr>
            <w:r>
              <w:rPr>
                <w:rFonts w:ascii="Times" w:hAnsi="Times"/>
                <w:sz w:val="18"/>
              </w:rPr>
              <w:t>2016</w:t>
            </w:r>
          </w:p>
        </w:tc>
        <w:tc>
          <w:tcPr>
            <w:tcW w:w="696" w:type="pct"/>
            <w:vAlign w:val="center"/>
          </w:tcPr>
          <w:p w:rsidR="00D71052" w:rsidRDefault="00D71052" w:rsidP="00FB6BB0">
            <w:pPr>
              <w:keepNext/>
              <w:spacing w:after="0"/>
              <w:jc w:val="center"/>
              <w:rPr>
                <w:rFonts w:ascii="Times" w:hAnsi="Times"/>
                <w:sz w:val="18"/>
                <w:szCs w:val="18"/>
              </w:rPr>
            </w:pPr>
            <w:r>
              <w:rPr>
                <w:rFonts w:ascii="Times" w:hAnsi="Times"/>
                <w:sz w:val="18"/>
                <w:szCs w:val="18"/>
              </w:rPr>
              <w:t>[10-20]%</w:t>
            </w:r>
          </w:p>
          <w:p w:rsidR="00D71052" w:rsidRPr="00B6607C" w:rsidRDefault="00D71052" w:rsidP="00FB6BB0">
            <w:pPr>
              <w:keepNext/>
              <w:spacing w:after="0"/>
              <w:jc w:val="center"/>
              <w:rPr>
                <w:rFonts w:ascii="Times" w:hAnsi="Times"/>
                <w:sz w:val="18"/>
                <w:szCs w:val="18"/>
              </w:rPr>
            </w:pPr>
            <w:r>
              <w:rPr>
                <w:rFonts w:ascii="Times" w:hAnsi="Times"/>
                <w:sz w:val="18"/>
                <w:szCs w:val="18"/>
              </w:rPr>
              <w:t>/[30-40]%</w:t>
            </w:r>
          </w:p>
        </w:tc>
        <w:tc>
          <w:tcPr>
            <w:tcW w:w="609" w:type="pct"/>
            <w:vAlign w:val="center"/>
          </w:tcPr>
          <w:p w:rsidR="00D71052" w:rsidRPr="00B6607C" w:rsidRDefault="00D71052" w:rsidP="00D71052">
            <w:pPr>
              <w:keepNext/>
              <w:spacing w:after="0"/>
              <w:jc w:val="center"/>
              <w:rPr>
                <w:rFonts w:ascii="Times" w:hAnsi="Times"/>
                <w:sz w:val="18"/>
                <w:szCs w:val="18"/>
              </w:rPr>
            </w:pPr>
            <w:r>
              <w:rPr>
                <w:rFonts w:ascii="Times" w:hAnsi="Times"/>
                <w:sz w:val="18"/>
                <w:szCs w:val="18"/>
              </w:rPr>
              <w:t>[5-10]% /[5-10]%</w:t>
            </w:r>
          </w:p>
        </w:tc>
        <w:tc>
          <w:tcPr>
            <w:tcW w:w="696" w:type="pct"/>
            <w:vAlign w:val="center"/>
          </w:tcPr>
          <w:p w:rsidR="00D71052" w:rsidRDefault="00D71052" w:rsidP="003B687A">
            <w:pPr>
              <w:keepNext/>
              <w:spacing w:after="0"/>
              <w:jc w:val="center"/>
              <w:rPr>
                <w:rFonts w:ascii="Times" w:hAnsi="Times"/>
                <w:sz w:val="18"/>
                <w:szCs w:val="18"/>
              </w:rPr>
            </w:pPr>
            <w:r>
              <w:rPr>
                <w:rFonts w:ascii="Times" w:hAnsi="Times"/>
                <w:sz w:val="18"/>
                <w:szCs w:val="18"/>
              </w:rPr>
              <w:t>[20-30]% /[30-40]%</w:t>
            </w:r>
          </w:p>
        </w:tc>
        <w:tc>
          <w:tcPr>
            <w:tcW w:w="738" w:type="pct"/>
            <w:vAlign w:val="center"/>
          </w:tcPr>
          <w:p w:rsidR="00D71052" w:rsidRPr="00B6607C" w:rsidRDefault="00D71052" w:rsidP="00516C6E">
            <w:pPr>
              <w:keepNext/>
              <w:spacing w:after="0"/>
              <w:jc w:val="center"/>
              <w:rPr>
                <w:rFonts w:ascii="Times" w:hAnsi="Times"/>
                <w:sz w:val="18"/>
                <w:szCs w:val="18"/>
              </w:rPr>
            </w:pPr>
            <w:r>
              <w:rPr>
                <w:rFonts w:ascii="Times" w:hAnsi="Times"/>
                <w:sz w:val="18"/>
                <w:szCs w:val="18"/>
              </w:rPr>
              <w:t>At least 5</w:t>
            </w:r>
          </w:p>
        </w:tc>
      </w:tr>
      <w:tr w:rsidR="00FB6BB0" w:rsidRPr="00AD3737" w:rsidTr="004C6514">
        <w:trPr>
          <w:trHeight w:val="345"/>
        </w:trPr>
        <w:tc>
          <w:tcPr>
            <w:tcW w:w="608" w:type="pct"/>
            <w:vMerge/>
            <w:tcBorders>
              <w:bottom w:val="single" w:sz="12" w:space="0" w:color="auto"/>
            </w:tcBorders>
            <w:vAlign w:val="center"/>
          </w:tcPr>
          <w:p w:rsidR="00FB6BB0" w:rsidRPr="00420413" w:rsidRDefault="00FB6BB0" w:rsidP="00516C6E">
            <w:pPr>
              <w:keepNext/>
              <w:spacing w:after="0"/>
              <w:jc w:val="center"/>
              <w:rPr>
                <w:rFonts w:ascii="Times" w:hAnsi="Times"/>
                <w:i/>
                <w:sz w:val="18"/>
                <w:szCs w:val="18"/>
              </w:rPr>
            </w:pPr>
          </w:p>
        </w:tc>
        <w:tc>
          <w:tcPr>
            <w:tcW w:w="696" w:type="pct"/>
            <w:vMerge/>
            <w:tcBorders>
              <w:bottom w:val="single" w:sz="12" w:space="0" w:color="auto"/>
            </w:tcBorders>
            <w:vAlign w:val="center"/>
          </w:tcPr>
          <w:p w:rsidR="00FB6BB0" w:rsidRPr="00B6607C" w:rsidRDefault="00FB6BB0" w:rsidP="00516C6E">
            <w:pPr>
              <w:keepNext/>
              <w:spacing w:after="0"/>
              <w:jc w:val="center"/>
              <w:rPr>
                <w:rFonts w:ascii="Times" w:hAnsi="Times"/>
                <w:sz w:val="18"/>
                <w:szCs w:val="18"/>
              </w:rPr>
            </w:pPr>
          </w:p>
        </w:tc>
        <w:tc>
          <w:tcPr>
            <w:tcW w:w="434" w:type="pct"/>
            <w:vMerge/>
            <w:tcBorders>
              <w:bottom w:val="single" w:sz="12" w:space="0" w:color="auto"/>
            </w:tcBorders>
            <w:vAlign w:val="center"/>
          </w:tcPr>
          <w:p w:rsidR="00FB6BB0" w:rsidRPr="00B6607C" w:rsidRDefault="00FB6BB0" w:rsidP="00516C6E">
            <w:pPr>
              <w:keepNext/>
              <w:spacing w:after="0"/>
              <w:jc w:val="center"/>
              <w:rPr>
                <w:rFonts w:ascii="Times" w:hAnsi="Times"/>
                <w:sz w:val="18"/>
                <w:szCs w:val="18"/>
              </w:rPr>
            </w:pPr>
          </w:p>
        </w:tc>
        <w:tc>
          <w:tcPr>
            <w:tcW w:w="523" w:type="pct"/>
            <w:tcBorders>
              <w:bottom w:val="single" w:sz="12" w:space="0" w:color="auto"/>
            </w:tcBorders>
            <w:vAlign w:val="center"/>
          </w:tcPr>
          <w:p w:rsidR="00FB6BB0" w:rsidRPr="00213AF2" w:rsidRDefault="00FB6BB0" w:rsidP="00516C6E">
            <w:pPr>
              <w:keepNext/>
              <w:spacing w:after="0"/>
              <w:jc w:val="left"/>
              <w:rPr>
                <w:rFonts w:ascii="Times" w:hAnsi="Times"/>
                <w:sz w:val="18"/>
              </w:rPr>
            </w:pPr>
            <w:r>
              <w:rPr>
                <w:rFonts w:ascii="Times" w:hAnsi="Times"/>
                <w:sz w:val="18"/>
              </w:rPr>
              <w:t>2015</w:t>
            </w:r>
          </w:p>
        </w:tc>
        <w:tc>
          <w:tcPr>
            <w:tcW w:w="696" w:type="pct"/>
            <w:tcBorders>
              <w:bottom w:val="single" w:sz="12" w:space="0" w:color="auto"/>
            </w:tcBorders>
            <w:vAlign w:val="center"/>
          </w:tcPr>
          <w:p w:rsidR="00FB6BB0" w:rsidRDefault="00FB6BB0" w:rsidP="00FB6BB0">
            <w:pPr>
              <w:keepNext/>
              <w:spacing w:after="0"/>
              <w:jc w:val="center"/>
              <w:rPr>
                <w:rFonts w:ascii="Times" w:hAnsi="Times"/>
                <w:sz w:val="18"/>
                <w:szCs w:val="18"/>
              </w:rPr>
            </w:pPr>
            <w:r>
              <w:rPr>
                <w:rFonts w:ascii="Times" w:hAnsi="Times"/>
                <w:sz w:val="18"/>
                <w:szCs w:val="18"/>
              </w:rPr>
              <w:t>[10-20]%</w:t>
            </w:r>
          </w:p>
          <w:p w:rsidR="00FB6BB0" w:rsidRPr="00B6607C" w:rsidRDefault="00FB6BB0" w:rsidP="00FB6BB0">
            <w:pPr>
              <w:keepNext/>
              <w:spacing w:after="0"/>
              <w:jc w:val="center"/>
              <w:rPr>
                <w:rFonts w:ascii="Times" w:hAnsi="Times"/>
                <w:sz w:val="18"/>
                <w:szCs w:val="18"/>
              </w:rPr>
            </w:pPr>
            <w:r>
              <w:rPr>
                <w:rFonts w:ascii="Times" w:hAnsi="Times"/>
                <w:sz w:val="18"/>
                <w:szCs w:val="18"/>
              </w:rPr>
              <w:t>/[30-40]%</w:t>
            </w:r>
          </w:p>
        </w:tc>
        <w:tc>
          <w:tcPr>
            <w:tcW w:w="609" w:type="pct"/>
            <w:tcBorders>
              <w:bottom w:val="single" w:sz="12" w:space="0" w:color="auto"/>
            </w:tcBorders>
            <w:vAlign w:val="center"/>
          </w:tcPr>
          <w:p w:rsidR="00FB6BB0" w:rsidRPr="00B6607C" w:rsidRDefault="00D71052" w:rsidP="00516C6E">
            <w:pPr>
              <w:keepNext/>
              <w:spacing w:after="0"/>
              <w:jc w:val="center"/>
              <w:rPr>
                <w:rFonts w:ascii="Times" w:hAnsi="Times"/>
                <w:sz w:val="18"/>
                <w:szCs w:val="18"/>
              </w:rPr>
            </w:pPr>
            <w:r>
              <w:rPr>
                <w:rFonts w:ascii="Times" w:hAnsi="Times"/>
                <w:sz w:val="18"/>
                <w:szCs w:val="18"/>
              </w:rPr>
              <w:t>[</w:t>
            </w:r>
            <w:r w:rsidR="00FB6BB0">
              <w:rPr>
                <w:rFonts w:ascii="Times" w:hAnsi="Times"/>
                <w:sz w:val="18"/>
                <w:szCs w:val="18"/>
              </w:rPr>
              <w:t>0</w:t>
            </w:r>
            <w:r>
              <w:rPr>
                <w:rFonts w:ascii="Times" w:hAnsi="Times"/>
                <w:sz w:val="18"/>
                <w:szCs w:val="18"/>
              </w:rPr>
              <w:t>-5]</w:t>
            </w:r>
            <w:r w:rsidR="00FB6BB0">
              <w:rPr>
                <w:rFonts w:ascii="Times" w:hAnsi="Times"/>
                <w:sz w:val="18"/>
                <w:szCs w:val="18"/>
              </w:rPr>
              <w:t>%</w:t>
            </w:r>
            <w:r>
              <w:rPr>
                <w:rFonts w:ascii="Times" w:hAnsi="Times"/>
                <w:sz w:val="18"/>
                <w:szCs w:val="18"/>
              </w:rPr>
              <w:t xml:space="preserve"> </w:t>
            </w:r>
            <w:r w:rsidR="00FB6BB0">
              <w:rPr>
                <w:rFonts w:ascii="Times" w:hAnsi="Times"/>
                <w:sz w:val="18"/>
                <w:szCs w:val="18"/>
              </w:rPr>
              <w:t>/</w:t>
            </w:r>
            <w:r>
              <w:rPr>
                <w:rFonts w:ascii="Times" w:hAnsi="Times"/>
                <w:sz w:val="18"/>
                <w:szCs w:val="18"/>
              </w:rPr>
              <w:t>[</w:t>
            </w:r>
            <w:r w:rsidR="00FB6BB0">
              <w:rPr>
                <w:rFonts w:ascii="Times" w:hAnsi="Times"/>
                <w:sz w:val="18"/>
                <w:szCs w:val="18"/>
              </w:rPr>
              <w:t>0</w:t>
            </w:r>
            <w:r>
              <w:rPr>
                <w:rFonts w:ascii="Times" w:hAnsi="Times"/>
                <w:sz w:val="18"/>
                <w:szCs w:val="18"/>
              </w:rPr>
              <w:t>-5]</w:t>
            </w:r>
            <w:r w:rsidR="00FB6BB0">
              <w:rPr>
                <w:rFonts w:ascii="Times" w:hAnsi="Times"/>
                <w:sz w:val="18"/>
                <w:szCs w:val="18"/>
              </w:rPr>
              <w:t>%</w:t>
            </w:r>
          </w:p>
        </w:tc>
        <w:tc>
          <w:tcPr>
            <w:tcW w:w="696" w:type="pct"/>
            <w:tcBorders>
              <w:bottom w:val="single" w:sz="12" w:space="0" w:color="auto"/>
            </w:tcBorders>
            <w:vAlign w:val="center"/>
          </w:tcPr>
          <w:p w:rsidR="00FB6BB0" w:rsidRDefault="00FB6BB0" w:rsidP="00FB6BB0">
            <w:pPr>
              <w:keepNext/>
              <w:spacing w:after="0"/>
              <w:jc w:val="center"/>
              <w:rPr>
                <w:rFonts w:ascii="Times" w:hAnsi="Times"/>
                <w:sz w:val="18"/>
                <w:szCs w:val="18"/>
              </w:rPr>
            </w:pPr>
            <w:r>
              <w:rPr>
                <w:rFonts w:ascii="Times" w:hAnsi="Times"/>
                <w:sz w:val="18"/>
                <w:szCs w:val="18"/>
              </w:rPr>
              <w:t>[10-20]%</w:t>
            </w:r>
          </w:p>
          <w:p w:rsidR="00FB6BB0" w:rsidRPr="00B6607C" w:rsidRDefault="00FB6BB0" w:rsidP="00FB6BB0">
            <w:pPr>
              <w:keepNext/>
              <w:spacing w:after="0"/>
              <w:jc w:val="center"/>
              <w:rPr>
                <w:rFonts w:ascii="Times" w:hAnsi="Times"/>
                <w:sz w:val="18"/>
                <w:szCs w:val="18"/>
              </w:rPr>
            </w:pPr>
            <w:r>
              <w:rPr>
                <w:rFonts w:ascii="Times" w:hAnsi="Times"/>
                <w:sz w:val="18"/>
                <w:szCs w:val="18"/>
              </w:rPr>
              <w:t>/[30-40]%</w:t>
            </w:r>
          </w:p>
        </w:tc>
        <w:tc>
          <w:tcPr>
            <w:tcW w:w="738" w:type="pct"/>
            <w:tcBorders>
              <w:bottom w:val="single" w:sz="12" w:space="0" w:color="auto"/>
            </w:tcBorders>
            <w:vAlign w:val="center"/>
          </w:tcPr>
          <w:p w:rsidR="00FB6BB0" w:rsidRPr="00B6607C" w:rsidRDefault="00FB6BB0" w:rsidP="00E97873">
            <w:pPr>
              <w:keepNext/>
              <w:spacing w:after="0"/>
              <w:jc w:val="center"/>
              <w:rPr>
                <w:rFonts w:ascii="Times" w:hAnsi="Times"/>
                <w:sz w:val="18"/>
                <w:szCs w:val="18"/>
              </w:rPr>
            </w:pPr>
            <w:r w:rsidRPr="00A847CC">
              <w:rPr>
                <w:rFonts w:ascii="Times" w:hAnsi="Times"/>
                <w:sz w:val="18"/>
                <w:szCs w:val="18"/>
              </w:rPr>
              <w:t xml:space="preserve">At least </w:t>
            </w:r>
            <w:r>
              <w:rPr>
                <w:rFonts w:ascii="Times" w:hAnsi="Times"/>
                <w:sz w:val="18"/>
                <w:szCs w:val="18"/>
              </w:rPr>
              <w:t>5</w:t>
            </w:r>
          </w:p>
        </w:tc>
      </w:tr>
      <w:tr w:rsidR="00D71052" w:rsidRPr="00516C6E" w:rsidTr="004C6514">
        <w:trPr>
          <w:trHeight w:val="345"/>
        </w:trPr>
        <w:tc>
          <w:tcPr>
            <w:tcW w:w="608" w:type="pct"/>
            <w:vMerge w:val="restart"/>
            <w:tcBorders>
              <w:top w:val="single" w:sz="12" w:space="0" w:color="auto"/>
            </w:tcBorders>
            <w:vAlign w:val="center"/>
          </w:tcPr>
          <w:p w:rsidR="00D71052" w:rsidRPr="00420413" w:rsidRDefault="00D71052" w:rsidP="00516C6E">
            <w:pPr>
              <w:keepNext/>
              <w:spacing w:after="0"/>
              <w:jc w:val="center"/>
              <w:rPr>
                <w:rFonts w:ascii="Times" w:hAnsi="Times"/>
                <w:i/>
                <w:sz w:val="18"/>
                <w:szCs w:val="18"/>
              </w:rPr>
            </w:pPr>
            <w:r>
              <w:rPr>
                <w:rFonts w:ascii="Times" w:hAnsi="Times"/>
                <w:sz w:val="18"/>
                <w:szCs w:val="18"/>
              </w:rPr>
              <w:t>D1A1</w:t>
            </w:r>
          </w:p>
        </w:tc>
        <w:tc>
          <w:tcPr>
            <w:tcW w:w="696" w:type="pct"/>
            <w:vMerge w:val="restart"/>
            <w:tcBorders>
              <w:top w:val="single" w:sz="12" w:space="0" w:color="auto"/>
            </w:tcBorders>
            <w:vAlign w:val="center"/>
          </w:tcPr>
          <w:p w:rsidR="00D71052" w:rsidRPr="00516C6E" w:rsidRDefault="00D71052" w:rsidP="00516C6E">
            <w:pPr>
              <w:keepNext/>
              <w:spacing w:after="0"/>
              <w:jc w:val="center"/>
              <w:rPr>
                <w:rFonts w:ascii="Times" w:hAnsi="Times"/>
                <w:sz w:val="18"/>
                <w:szCs w:val="18"/>
                <w:lang w:val="pt-PT"/>
              </w:rPr>
            </w:pPr>
            <w:r w:rsidRPr="00516C6E">
              <w:rPr>
                <w:rFonts w:ascii="Times" w:hAnsi="Times"/>
                <w:sz w:val="18"/>
                <w:szCs w:val="18"/>
                <w:lang w:val="pt-PT"/>
              </w:rPr>
              <w:t>Topical antifungal dermatological</w:t>
            </w:r>
          </w:p>
        </w:tc>
        <w:tc>
          <w:tcPr>
            <w:tcW w:w="434" w:type="pct"/>
            <w:vMerge w:val="restart"/>
            <w:tcBorders>
              <w:top w:val="single" w:sz="12" w:space="0" w:color="auto"/>
            </w:tcBorders>
            <w:vAlign w:val="center"/>
          </w:tcPr>
          <w:p w:rsidR="00D71052" w:rsidRPr="00516C6E" w:rsidRDefault="00D71052" w:rsidP="00516C6E">
            <w:pPr>
              <w:keepNext/>
              <w:spacing w:after="0"/>
              <w:jc w:val="center"/>
              <w:rPr>
                <w:rFonts w:ascii="Times" w:hAnsi="Times"/>
                <w:sz w:val="18"/>
                <w:szCs w:val="18"/>
                <w:lang w:val="pt-PT"/>
              </w:rPr>
            </w:pPr>
            <w:r>
              <w:rPr>
                <w:rFonts w:ascii="Times" w:hAnsi="Times"/>
                <w:sz w:val="18"/>
                <w:szCs w:val="18"/>
              </w:rPr>
              <w:t>Group 1</w:t>
            </w:r>
          </w:p>
        </w:tc>
        <w:tc>
          <w:tcPr>
            <w:tcW w:w="523" w:type="pct"/>
            <w:tcBorders>
              <w:top w:val="single" w:sz="12" w:space="0" w:color="auto"/>
            </w:tcBorders>
            <w:vAlign w:val="center"/>
          </w:tcPr>
          <w:p w:rsidR="00D71052" w:rsidRPr="00516C6E" w:rsidRDefault="00D71052" w:rsidP="00516C6E">
            <w:pPr>
              <w:keepNext/>
              <w:spacing w:after="0"/>
              <w:jc w:val="left"/>
              <w:rPr>
                <w:rFonts w:ascii="Times" w:hAnsi="Times"/>
                <w:sz w:val="18"/>
                <w:lang w:val="pt-PT"/>
              </w:rPr>
            </w:pPr>
            <w:r>
              <w:rPr>
                <w:rFonts w:ascii="Times" w:hAnsi="Times"/>
                <w:sz w:val="18"/>
              </w:rPr>
              <w:t>2017</w:t>
            </w:r>
          </w:p>
        </w:tc>
        <w:tc>
          <w:tcPr>
            <w:tcW w:w="696" w:type="pct"/>
            <w:tcBorders>
              <w:top w:val="single" w:sz="12" w:space="0" w:color="auto"/>
            </w:tcBorders>
            <w:vAlign w:val="center"/>
          </w:tcPr>
          <w:p w:rsidR="00D71052" w:rsidRDefault="00D71052" w:rsidP="00FB6BB0">
            <w:pPr>
              <w:keepNext/>
              <w:spacing w:after="0"/>
              <w:jc w:val="center"/>
              <w:rPr>
                <w:rFonts w:ascii="Times" w:hAnsi="Times"/>
                <w:sz w:val="18"/>
                <w:szCs w:val="18"/>
              </w:rPr>
            </w:pPr>
            <w:r>
              <w:rPr>
                <w:rFonts w:ascii="Times" w:hAnsi="Times"/>
                <w:sz w:val="18"/>
                <w:szCs w:val="18"/>
              </w:rPr>
              <w:t>[10-20]%</w:t>
            </w:r>
          </w:p>
          <w:p w:rsidR="00D71052" w:rsidRPr="00B6607C" w:rsidRDefault="00D71052" w:rsidP="00FB6BB0">
            <w:pPr>
              <w:keepNext/>
              <w:spacing w:after="0"/>
              <w:jc w:val="center"/>
              <w:rPr>
                <w:rFonts w:ascii="Times" w:hAnsi="Times"/>
                <w:sz w:val="18"/>
                <w:szCs w:val="18"/>
              </w:rPr>
            </w:pPr>
            <w:r>
              <w:rPr>
                <w:rFonts w:ascii="Times" w:hAnsi="Times"/>
                <w:sz w:val="18"/>
                <w:szCs w:val="18"/>
              </w:rPr>
              <w:t>/[20-30]%</w:t>
            </w:r>
          </w:p>
        </w:tc>
        <w:tc>
          <w:tcPr>
            <w:tcW w:w="609" w:type="pct"/>
            <w:tcBorders>
              <w:top w:val="single" w:sz="12" w:space="0" w:color="auto"/>
            </w:tcBorders>
            <w:vAlign w:val="center"/>
          </w:tcPr>
          <w:p w:rsidR="00D71052" w:rsidRPr="00B6607C" w:rsidRDefault="00D71052" w:rsidP="003B687A">
            <w:pPr>
              <w:keepNext/>
              <w:spacing w:after="0"/>
              <w:jc w:val="center"/>
              <w:rPr>
                <w:rFonts w:ascii="Times" w:hAnsi="Times"/>
                <w:sz w:val="18"/>
                <w:szCs w:val="18"/>
              </w:rPr>
            </w:pPr>
            <w:r>
              <w:rPr>
                <w:rFonts w:ascii="Times" w:hAnsi="Times"/>
                <w:sz w:val="18"/>
                <w:szCs w:val="18"/>
              </w:rPr>
              <w:t>[10-20]% /[10-20]%</w:t>
            </w:r>
          </w:p>
        </w:tc>
        <w:tc>
          <w:tcPr>
            <w:tcW w:w="696" w:type="pct"/>
            <w:tcBorders>
              <w:top w:val="single" w:sz="12" w:space="0" w:color="auto"/>
            </w:tcBorders>
            <w:vAlign w:val="center"/>
          </w:tcPr>
          <w:p w:rsidR="00D71052" w:rsidRPr="00516C6E" w:rsidRDefault="00D71052" w:rsidP="00516C6E">
            <w:pPr>
              <w:keepNext/>
              <w:spacing w:after="0"/>
              <w:jc w:val="center"/>
              <w:rPr>
                <w:rFonts w:ascii="Times" w:hAnsi="Times"/>
                <w:sz w:val="18"/>
                <w:szCs w:val="18"/>
                <w:lang w:val="pt-PT"/>
              </w:rPr>
            </w:pPr>
            <w:r>
              <w:rPr>
                <w:rFonts w:ascii="Times" w:hAnsi="Times"/>
                <w:sz w:val="18"/>
                <w:szCs w:val="18"/>
              </w:rPr>
              <w:t>[30-40]% /[40-50]%</w:t>
            </w:r>
          </w:p>
        </w:tc>
        <w:tc>
          <w:tcPr>
            <w:tcW w:w="738" w:type="pct"/>
            <w:tcBorders>
              <w:top w:val="single" w:sz="12" w:space="0" w:color="auto"/>
            </w:tcBorders>
            <w:vAlign w:val="center"/>
          </w:tcPr>
          <w:p w:rsidR="00D71052" w:rsidRPr="00516C6E" w:rsidRDefault="00D71052" w:rsidP="00516C6E">
            <w:pPr>
              <w:keepNext/>
              <w:spacing w:after="0"/>
              <w:jc w:val="center"/>
              <w:rPr>
                <w:rFonts w:ascii="Times" w:hAnsi="Times"/>
                <w:sz w:val="18"/>
                <w:szCs w:val="18"/>
                <w:lang w:val="pt-PT"/>
              </w:rPr>
            </w:pPr>
            <w:r w:rsidRPr="00A847CC">
              <w:rPr>
                <w:rFonts w:ascii="Times" w:hAnsi="Times"/>
                <w:sz w:val="18"/>
                <w:szCs w:val="18"/>
              </w:rPr>
              <w:t>At least 4</w:t>
            </w:r>
          </w:p>
        </w:tc>
      </w:tr>
      <w:tr w:rsidR="00D71052" w:rsidRPr="00516C6E" w:rsidTr="00516C6E">
        <w:trPr>
          <w:trHeight w:val="345"/>
        </w:trPr>
        <w:tc>
          <w:tcPr>
            <w:tcW w:w="608" w:type="pct"/>
            <w:vMerge/>
            <w:vAlign w:val="center"/>
          </w:tcPr>
          <w:p w:rsidR="00D71052" w:rsidRPr="00516C6E" w:rsidRDefault="00D71052" w:rsidP="00516C6E">
            <w:pPr>
              <w:keepNext/>
              <w:spacing w:after="0"/>
              <w:jc w:val="center"/>
              <w:rPr>
                <w:rFonts w:ascii="Times" w:hAnsi="Times"/>
                <w:i/>
                <w:sz w:val="18"/>
                <w:szCs w:val="18"/>
                <w:lang w:val="pt-PT"/>
              </w:rPr>
            </w:pPr>
          </w:p>
        </w:tc>
        <w:tc>
          <w:tcPr>
            <w:tcW w:w="696" w:type="pct"/>
            <w:vMerge/>
            <w:vAlign w:val="center"/>
          </w:tcPr>
          <w:p w:rsidR="00D71052" w:rsidRPr="00516C6E" w:rsidRDefault="00D71052" w:rsidP="00516C6E">
            <w:pPr>
              <w:keepNext/>
              <w:spacing w:after="0"/>
              <w:jc w:val="center"/>
              <w:rPr>
                <w:rFonts w:ascii="Times" w:hAnsi="Times"/>
                <w:sz w:val="18"/>
                <w:szCs w:val="18"/>
                <w:lang w:val="pt-PT"/>
              </w:rPr>
            </w:pPr>
          </w:p>
        </w:tc>
        <w:tc>
          <w:tcPr>
            <w:tcW w:w="434" w:type="pct"/>
            <w:vMerge/>
            <w:vAlign w:val="center"/>
          </w:tcPr>
          <w:p w:rsidR="00D71052" w:rsidRPr="00516C6E" w:rsidRDefault="00D71052" w:rsidP="00516C6E">
            <w:pPr>
              <w:keepNext/>
              <w:spacing w:after="0"/>
              <w:jc w:val="center"/>
              <w:rPr>
                <w:rFonts w:ascii="Times" w:hAnsi="Times"/>
                <w:sz w:val="18"/>
                <w:szCs w:val="18"/>
                <w:lang w:val="pt-PT"/>
              </w:rPr>
            </w:pPr>
          </w:p>
        </w:tc>
        <w:tc>
          <w:tcPr>
            <w:tcW w:w="523" w:type="pct"/>
            <w:vAlign w:val="center"/>
          </w:tcPr>
          <w:p w:rsidR="00D71052" w:rsidRPr="00516C6E" w:rsidRDefault="00D71052" w:rsidP="00516C6E">
            <w:pPr>
              <w:keepNext/>
              <w:spacing w:after="0"/>
              <w:jc w:val="left"/>
              <w:rPr>
                <w:rFonts w:ascii="Times" w:hAnsi="Times"/>
                <w:sz w:val="18"/>
                <w:lang w:val="pt-PT"/>
              </w:rPr>
            </w:pPr>
            <w:r>
              <w:rPr>
                <w:rFonts w:ascii="Times" w:hAnsi="Times"/>
                <w:sz w:val="18"/>
              </w:rPr>
              <w:t>2016</w:t>
            </w:r>
          </w:p>
        </w:tc>
        <w:tc>
          <w:tcPr>
            <w:tcW w:w="696" w:type="pct"/>
            <w:vAlign w:val="center"/>
          </w:tcPr>
          <w:p w:rsidR="00D71052" w:rsidRDefault="00D71052" w:rsidP="00FB6BB0">
            <w:pPr>
              <w:keepNext/>
              <w:spacing w:after="0"/>
              <w:jc w:val="center"/>
              <w:rPr>
                <w:rFonts w:ascii="Times" w:hAnsi="Times"/>
                <w:sz w:val="18"/>
                <w:szCs w:val="18"/>
              </w:rPr>
            </w:pPr>
            <w:r>
              <w:rPr>
                <w:rFonts w:ascii="Times" w:hAnsi="Times"/>
                <w:sz w:val="18"/>
                <w:szCs w:val="18"/>
              </w:rPr>
              <w:t>[10-20]%</w:t>
            </w:r>
          </w:p>
          <w:p w:rsidR="00D71052" w:rsidRPr="00B6607C" w:rsidRDefault="00D71052" w:rsidP="00FB6BB0">
            <w:pPr>
              <w:keepNext/>
              <w:spacing w:after="0"/>
              <w:jc w:val="center"/>
              <w:rPr>
                <w:rFonts w:ascii="Times" w:hAnsi="Times"/>
                <w:sz w:val="18"/>
                <w:szCs w:val="18"/>
              </w:rPr>
            </w:pPr>
            <w:r>
              <w:rPr>
                <w:rFonts w:ascii="Times" w:hAnsi="Times"/>
                <w:sz w:val="18"/>
                <w:szCs w:val="18"/>
              </w:rPr>
              <w:t>/[30-40]%</w:t>
            </w:r>
          </w:p>
        </w:tc>
        <w:tc>
          <w:tcPr>
            <w:tcW w:w="609" w:type="pct"/>
            <w:vAlign w:val="center"/>
          </w:tcPr>
          <w:p w:rsidR="00D71052" w:rsidRPr="00B6607C" w:rsidRDefault="00D71052" w:rsidP="003B687A">
            <w:pPr>
              <w:keepNext/>
              <w:spacing w:after="0"/>
              <w:jc w:val="center"/>
              <w:rPr>
                <w:rFonts w:ascii="Times" w:hAnsi="Times"/>
                <w:sz w:val="18"/>
                <w:szCs w:val="18"/>
              </w:rPr>
            </w:pPr>
            <w:r>
              <w:rPr>
                <w:rFonts w:ascii="Times" w:hAnsi="Times"/>
                <w:sz w:val="18"/>
                <w:szCs w:val="18"/>
              </w:rPr>
              <w:t>[5-10]% /[5-10]%</w:t>
            </w:r>
          </w:p>
        </w:tc>
        <w:tc>
          <w:tcPr>
            <w:tcW w:w="696" w:type="pct"/>
            <w:vAlign w:val="center"/>
          </w:tcPr>
          <w:p w:rsidR="00D71052" w:rsidRPr="00516C6E" w:rsidRDefault="00D71052" w:rsidP="00D71052">
            <w:pPr>
              <w:keepNext/>
              <w:spacing w:after="0"/>
              <w:jc w:val="center"/>
              <w:rPr>
                <w:rFonts w:ascii="Times" w:hAnsi="Times"/>
                <w:sz w:val="18"/>
                <w:szCs w:val="18"/>
                <w:lang w:val="pt-PT"/>
              </w:rPr>
            </w:pPr>
            <w:r>
              <w:rPr>
                <w:rFonts w:ascii="Times" w:hAnsi="Times"/>
                <w:sz w:val="18"/>
                <w:szCs w:val="18"/>
                <w:lang w:val="pt-PT"/>
              </w:rPr>
              <w:t>[20-30]% /[40-50]%</w:t>
            </w:r>
          </w:p>
        </w:tc>
        <w:tc>
          <w:tcPr>
            <w:tcW w:w="738" w:type="pct"/>
            <w:vAlign w:val="center"/>
          </w:tcPr>
          <w:p w:rsidR="00D71052" w:rsidRPr="00516C6E" w:rsidRDefault="00D71052" w:rsidP="00516C6E">
            <w:pPr>
              <w:keepNext/>
              <w:spacing w:after="0"/>
              <w:jc w:val="center"/>
              <w:rPr>
                <w:rFonts w:ascii="Times" w:hAnsi="Times"/>
                <w:sz w:val="18"/>
                <w:szCs w:val="18"/>
                <w:lang w:val="pt-PT"/>
              </w:rPr>
            </w:pPr>
            <w:r w:rsidRPr="00A847CC">
              <w:rPr>
                <w:rFonts w:ascii="Times" w:hAnsi="Times"/>
                <w:sz w:val="18"/>
                <w:szCs w:val="18"/>
              </w:rPr>
              <w:t xml:space="preserve">At least </w:t>
            </w:r>
            <w:r>
              <w:rPr>
                <w:rFonts w:ascii="Times" w:hAnsi="Times"/>
                <w:sz w:val="18"/>
                <w:szCs w:val="18"/>
              </w:rPr>
              <w:t>5</w:t>
            </w:r>
          </w:p>
        </w:tc>
      </w:tr>
      <w:tr w:rsidR="00D71052" w:rsidRPr="00516C6E" w:rsidTr="004C6514">
        <w:trPr>
          <w:trHeight w:val="345"/>
        </w:trPr>
        <w:tc>
          <w:tcPr>
            <w:tcW w:w="608" w:type="pct"/>
            <w:vMerge/>
            <w:tcBorders>
              <w:bottom w:val="single" w:sz="12" w:space="0" w:color="auto"/>
            </w:tcBorders>
            <w:vAlign w:val="center"/>
          </w:tcPr>
          <w:p w:rsidR="00D71052" w:rsidRPr="00516C6E" w:rsidRDefault="00D71052" w:rsidP="00516C6E">
            <w:pPr>
              <w:keepNext/>
              <w:spacing w:after="0"/>
              <w:jc w:val="center"/>
              <w:rPr>
                <w:rFonts w:ascii="Times" w:hAnsi="Times"/>
                <w:i/>
                <w:sz w:val="18"/>
                <w:szCs w:val="18"/>
                <w:lang w:val="pt-PT"/>
              </w:rPr>
            </w:pPr>
          </w:p>
        </w:tc>
        <w:tc>
          <w:tcPr>
            <w:tcW w:w="696" w:type="pct"/>
            <w:vMerge/>
            <w:tcBorders>
              <w:bottom w:val="single" w:sz="12" w:space="0" w:color="auto"/>
            </w:tcBorders>
            <w:vAlign w:val="center"/>
          </w:tcPr>
          <w:p w:rsidR="00D71052" w:rsidRPr="00516C6E" w:rsidRDefault="00D71052" w:rsidP="00516C6E">
            <w:pPr>
              <w:keepNext/>
              <w:spacing w:after="0"/>
              <w:jc w:val="center"/>
              <w:rPr>
                <w:rFonts w:ascii="Times" w:hAnsi="Times"/>
                <w:sz w:val="18"/>
                <w:szCs w:val="18"/>
                <w:lang w:val="pt-PT"/>
              </w:rPr>
            </w:pPr>
          </w:p>
        </w:tc>
        <w:tc>
          <w:tcPr>
            <w:tcW w:w="434" w:type="pct"/>
            <w:vMerge/>
            <w:tcBorders>
              <w:bottom w:val="single" w:sz="12" w:space="0" w:color="auto"/>
            </w:tcBorders>
            <w:vAlign w:val="center"/>
          </w:tcPr>
          <w:p w:rsidR="00D71052" w:rsidRPr="00516C6E" w:rsidRDefault="00D71052" w:rsidP="00516C6E">
            <w:pPr>
              <w:keepNext/>
              <w:spacing w:after="0"/>
              <w:jc w:val="center"/>
              <w:rPr>
                <w:rFonts w:ascii="Times" w:hAnsi="Times"/>
                <w:sz w:val="18"/>
                <w:szCs w:val="18"/>
                <w:lang w:val="pt-PT"/>
              </w:rPr>
            </w:pPr>
          </w:p>
        </w:tc>
        <w:tc>
          <w:tcPr>
            <w:tcW w:w="523" w:type="pct"/>
            <w:tcBorders>
              <w:bottom w:val="single" w:sz="12" w:space="0" w:color="auto"/>
            </w:tcBorders>
            <w:vAlign w:val="center"/>
          </w:tcPr>
          <w:p w:rsidR="00D71052" w:rsidRPr="00516C6E" w:rsidRDefault="00D71052" w:rsidP="00516C6E">
            <w:pPr>
              <w:keepNext/>
              <w:spacing w:after="0"/>
              <w:jc w:val="left"/>
              <w:rPr>
                <w:rFonts w:ascii="Times" w:hAnsi="Times"/>
                <w:sz w:val="18"/>
                <w:lang w:val="pt-PT"/>
              </w:rPr>
            </w:pPr>
            <w:r>
              <w:rPr>
                <w:rFonts w:ascii="Times" w:hAnsi="Times"/>
                <w:sz w:val="18"/>
              </w:rPr>
              <w:t>2015</w:t>
            </w:r>
          </w:p>
        </w:tc>
        <w:tc>
          <w:tcPr>
            <w:tcW w:w="696" w:type="pct"/>
            <w:tcBorders>
              <w:bottom w:val="single" w:sz="12" w:space="0" w:color="auto"/>
            </w:tcBorders>
            <w:vAlign w:val="center"/>
          </w:tcPr>
          <w:p w:rsidR="00D71052" w:rsidRDefault="00D71052" w:rsidP="00FB6BB0">
            <w:pPr>
              <w:keepNext/>
              <w:spacing w:after="0"/>
              <w:jc w:val="center"/>
              <w:rPr>
                <w:rFonts w:ascii="Times" w:hAnsi="Times"/>
                <w:sz w:val="18"/>
                <w:szCs w:val="18"/>
              </w:rPr>
            </w:pPr>
            <w:r>
              <w:rPr>
                <w:rFonts w:ascii="Times" w:hAnsi="Times"/>
                <w:sz w:val="18"/>
                <w:szCs w:val="18"/>
              </w:rPr>
              <w:t>[10-20]%</w:t>
            </w:r>
          </w:p>
          <w:p w:rsidR="00D71052" w:rsidRPr="00B6607C" w:rsidRDefault="00D71052" w:rsidP="00FB6BB0">
            <w:pPr>
              <w:keepNext/>
              <w:spacing w:after="0"/>
              <w:jc w:val="center"/>
              <w:rPr>
                <w:rFonts w:ascii="Times" w:hAnsi="Times"/>
                <w:sz w:val="18"/>
                <w:szCs w:val="18"/>
              </w:rPr>
            </w:pPr>
            <w:r>
              <w:rPr>
                <w:rFonts w:ascii="Times" w:hAnsi="Times"/>
                <w:sz w:val="18"/>
                <w:szCs w:val="18"/>
              </w:rPr>
              <w:t>/[30-40]%</w:t>
            </w:r>
          </w:p>
        </w:tc>
        <w:tc>
          <w:tcPr>
            <w:tcW w:w="609" w:type="pct"/>
            <w:tcBorders>
              <w:bottom w:val="single" w:sz="12" w:space="0" w:color="auto"/>
            </w:tcBorders>
            <w:vAlign w:val="center"/>
          </w:tcPr>
          <w:p w:rsidR="00D71052" w:rsidRPr="00B6607C" w:rsidRDefault="00D71052" w:rsidP="003B687A">
            <w:pPr>
              <w:keepNext/>
              <w:spacing w:after="0"/>
              <w:jc w:val="center"/>
              <w:rPr>
                <w:rFonts w:ascii="Times" w:hAnsi="Times"/>
                <w:sz w:val="18"/>
                <w:szCs w:val="18"/>
              </w:rPr>
            </w:pPr>
            <w:r>
              <w:rPr>
                <w:rFonts w:ascii="Times" w:hAnsi="Times"/>
                <w:sz w:val="18"/>
                <w:szCs w:val="18"/>
              </w:rPr>
              <w:t>[0-5]% /[0-5]%</w:t>
            </w:r>
          </w:p>
        </w:tc>
        <w:tc>
          <w:tcPr>
            <w:tcW w:w="696" w:type="pct"/>
            <w:tcBorders>
              <w:bottom w:val="single" w:sz="12" w:space="0" w:color="auto"/>
            </w:tcBorders>
            <w:vAlign w:val="center"/>
          </w:tcPr>
          <w:p w:rsidR="00D71052" w:rsidRDefault="00D71052" w:rsidP="00FB6BB0">
            <w:pPr>
              <w:keepNext/>
              <w:spacing w:after="0"/>
              <w:jc w:val="center"/>
              <w:rPr>
                <w:rFonts w:ascii="Times" w:hAnsi="Times"/>
                <w:sz w:val="18"/>
                <w:szCs w:val="18"/>
              </w:rPr>
            </w:pPr>
            <w:r>
              <w:rPr>
                <w:rFonts w:ascii="Times" w:hAnsi="Times"/>
                <w:sz w:val="18"/>
                <w:szCs w:val="18"/>
              </w:rPr>
              <w:t>[10-20]%</w:t>
            </w:r>
          </w:p>
          <w:p w:rsidR="00D71052" w:rsidRPr="00B6607C" w:rsidRDefault="00D71052" w:rsidP="00FB6BB0">
            <w:pPr>
              <w:keepNext/>
              <w:spacing w:after="0"/>
              <w:jc w:val="center"/>
              <w:rPr>
                <w:rFonts w:ascii="Times" w:hAnsi="Times"/>
                <w:sz w:val="18"/>
                <w:szCs w:val="18"/>
              </w:rPr>
            </w:pPr>
            <w:r>
              <w:rPr>
                <w:rFonts w:ascii="Times" w:hAnsi="Times"/>
                <w:sz w:val="18"/>
                <w:szCs w:val="18"/>
              </w:rPr>
              <w:t>/[30-40]%</w:t>
            </w:r>
          </w:p>
        </w:tc>
        <w:tc>
          <w:tcPr>
            <w:tcW w:w="738" w:type="pct"/>
            <w:tcBorders>
              <w:bottom w:val="single" w:sz="12" w:space="0" w:color="auto"/>
            </w:tcBorders>
            <w:vAlign w:val="center"/>
          </w:tcPr>
          <w:p w:rsidR="00D71052" w:rsidRPr="00516C6E" w:rsidRDefault="00D71052" w:rsidP="00516C6E">
            <w:pPr>
              <w:keepNext/>
              <w:spacing w:after="0"/>
              <w:jc w:val="center"/>
              <w:rPr>
                <w:rFonts w:ascii="Times" w:hAnsi="Times"/>
                <w:sz w:val="18"/>
                <w:szCs w:val="18"/>
                <w:lang w:val="pt-PT"/>
              </w:rPr>
            </w:pPr>
            <w:r w:rsidRPr="00A847CC">
              <w:rPr>
                <w:rFonts w:ascii="Times" w:hAnsi="Times"/>
                <w:sz w:val="18"/>
                <w:szCs w:val="18"/>
              </w:rPr>
              <w:t xml:space="preserve">At least </w:t>
            </w:r>
            <w:r>
              <w:rPr>
                <w:rFonts w:ascii="Times" w:hAnsi="Times"/>
                <w:sz w:val="18"/>
                <w:szCs w:val="18"/>
              </w:rPr>
              <w:t>5</w:t>
            </w:r>
          </w:p>
        </w:tc>
      </w:tr>
      <w:tr w:rsidR="00516C6E" w:rsidRPr="00AD3737" w:rsidTr="004C6514">
        <w:trPr>
          <w:trHeight w:val="345"/>
        </w:trPr>
        <w:tc>
          <w:tcPr>
            <w:tcW w:w="608" w:type="pct"/>
            <w:vMerge w:val="restart"/>
            <w:tcBorders>
              <w:top w:val="single" w:sz="12" w:space="0" w:color="auto"/>
            </w:tcBorders>
            <w:vAlign w:val="center"/>
          </w:tcPr>
          <w:p w:rsidR="00516C6E" w:rsidRPr="00516C6E" w:rsidRDefault="00516C6E" w:rsidP="00516C6E">
            <w:pPr>
              <w:keepNext/>
              <w:spacing w:after="0"/>
              <w:jc w:val="center"/>
              <w:rPr>
                <w:rFonts w:ascii="Times" w:hAnsi="Times"/>
                <w:i/>
                <w:sz w:val="18"/>
                <w:szCs w:val="18"/>
              </w:rPr>
            </w:pPr>
            <w:r w:rsidRPr="00516C6E">
              <w:rPr>
                <w:rFonts w:ascii="Times" w:hAnsi="Times"/>
                <w:i/>
                <w:sz w:val="18"/>
                <w:szCs w:val="18"/>
              </w:rPr>
              <w:t>Clotrimazole</w:t>
            </w:r>
          </w:p>
        </w:tc>
        <w:tc>
          <w:tcPr>
            <w:tcW w:w="696" w:type="pct"/>
            <w:vMerge w:val="restart"/>
            <w:tcBorders>
              <w:top w:val="single" w:sz="12" w:space="0" w:color="auto"/>
            </w:tcBorders>
            <w:vAlign w:val="center"/>
          </w:tcPr>
          <w:p w:rsidR="00516C6E" w:rsidRPr="00B6607C" w:rsidRDefault="00516C6E" w:rsidP="00516C6E">
            <w:pPr>
              <w:keepNext/>
              <w:spacing w:after="0"/>
              <w:jc w:val="center"/>
              <w:rPr>
                <w:rFonts w:ascii="Times" w:hAnsi="Times"/>
                <w:sz w:val="18"/>
                <w:szCs w:val="18"/>
              </w:rPr>
            </w:pPr>
            <w:r w:rsidRPr="004F4BE3">
              <w:rPr>
                <w:rFonts w:ascii="Times" w:hAnsi="Times"/>
                <w:i/>
                <w:sz w:val="18"/>
              </w:rPr>
              <w:t xml:space="preserve">Clotrimazole </w:t>
            </w:r>
            <w:r>
              <w:rPr>
                <w:rFonts w:ascii="Times" w:hAnsi="Times"/>
                <w:sz w:val="18"/>
                <w:szCs w:val="18"/>
              </w:rPr>
              <w:t>based topical antifungal dermatological</w:t>
            </w:r>
          </w:p>
        </w:tc>
        <w:tc>
          <w:tcPr>
            <w:tcW w:w="434" w:type="pct"/>
            <w:vMerge w:val="restart"/>
            <w:tcBorders>
              <w:top w:val="single" w:sz="12" w:space="0" w:color="auto"/>
            </w:tcBorders>
            <w:vAlign w:val="center"/>
          </w:tcPr>
          <w:p w:rsidR="00516C6E" w:rsidRPr="00B6607C" w:rsidRDefault="00516C6E" w:rsidP="00516C6E">
            <w:pPr>
              <w:keepNext/>
              <w:spacing w:after="0"/>
              <w:jc w:val="center"/>
              <w:rPr>
                <w:rFonts w:ascii="Times" w:hAnsi="Times"/>
                <w:sz w:val="18"/>
                <w:szCs w:val="18"/>
              </w:rPr>
            </w:pPr>
            <w:r>
              <w:rPr>
                <w:rFonts w:ascii="Times" w:hAnsi="Times"/>
                <w:sz w:val="18"/>
                <w:szCs w:val="18"/>
              </w:rPr>
              <w:t>Group 1</w:t>
            </w:r>
          </w:p>
        </w:tc>
        <w:tc>
          <w:tcPr>
            <w:tcW w:w="523" w:type="pct"/>
            <w:tcBorders>
              <w:top w:val="single" w:sz="12" w:space="0" w:color="auto"/>
            </w:tcBorders>
            <w:vAlign w:val="center"/>
          </w:tcPr>
          <w:p w:rsidR="00516C6E" w:rsidRDefault="00516C6E" w:rsidP="00516C6E">
            <w:pPr>
              <w:keepNext/>
              <w:spacing w:after="0"/>
              <w:jc w:val="left"/>
              <w:rPr>
                <w:rFonts w:ascii="Times" w:hAnsi="Times"/>
                <w:sz w:val="18"/>
              </w:rPr>
            </w:pPr>
            <w:r>
              <w:rPr>
                <w:rFonts w:ascii="Times" w:hAnsi="Times"/>
                <w:sz w:val="18"/>
              </w:rPr>
              <w:t>2017</w:t>
            </w:r>
          </w:p>
        </w:tc>
        <w:tc>
          <w:tcPr>
            <w:tcW w:w="696" w:type="pct"/>
            <w:tcBorders>
              <w:top w:val="single" w:sz="12" w:space="0" w:color="auto"/>
            </w:tcBorders>
            <w:vAlign w:val="center"/>
          </w:tcPr>
          <w:p w:rsidR="00516C6E" w:rsidRDefault="00FB6BB0" w:rsidP="00FB6BB0">
            <w:pPr>
              <w:keepNext/>
              <w:spacing w:after="0"/>
              <w:jc w:val="center"/>
              <w:rPr>
                <w:rFonts w:ascii="Times" w:hAnsi="Times"/>
                <w:sz w:val="18"/>
                <w:szCs w:val="18"/>
              </w:rPr>
            </w:pPr>
            <w:r>
              <w:rPr>
                <w:rFonts w:ascii="Times" w:hAnsi="Times"/>
                <w:sz w:val="18"/>
                <w:szCs w:val="18"/>
              </w:rPr>
              <w:t>[20-30]</w:t>
            </w:r>
            <w:r w:rsidR="00516C6E">
              <w:rPr>
                <w:rFonts w:ascii="Times" w:hAnsi="Times"/>
                <w:sz w:val="18"/>
                <w:szCs w:val="18"/>
              </w:rPr>
              <w:t>%</w:t>
            </w:r>
            <w:r>
              <w:rPr>
                <w:rFonts w:ascii="Times" w:hAnsi="Times"/>
                <w:sz w:val="18"/>
                <w:szCs w:val="18"/>
              </w:rPr>
              <w:t xml:space="preserve"> </w:t>
            </w:r>
            <w:r w:rsidR="00516C6E">
              <w:rPr>
                <w:rFonts w:ascii="Times" w:hAnsi="Times"/>
                <w:sz w:val="18"/>
                <w:szCs w:val="18"/>
              </w:rPr>
              <w:t>/</w:t>
            </w:r>
            <w:r>
              <w:rPr>
                <w:rFonts w:ascii="Times" w:hAnsi="Times"/>
                <w:sz w:val="18"/>
                <w:szCs w:val="18"/>
              </w:rPr>
              <w:t>[30-40]</w:t>
            </w:r>
            <w:r w:rsidR="00516C6E">
              <w:rPr>
                <w:rFonts w:ascii="Times" w:hAnsi="Times"/>
                <w:sz w:val="18"/>
                <w:szCs w:val="18"/>
              </w:rPr>
              <w:t>%</w:t>
            </w:r>
          </w:p>
        </w:tc>
        <w:tc>
          <w:tcPr>
            <w:tcW w:w="609" w:type="pct"/>
            <w:tcBorders>
              <w:top w:val="single" w:sz="12" w:space="0" w:color="auto"/>
            </w:tcBorders>
            <w:vAlign w:val="center"/>
          </w:tcPr>
          <w:p w:rsidR="00516C6E" w:rsidRDefault="00D71052" w:rsidP="00D71052">
            <w:pPr>
              <w:keepNext/>
              <w:spacing w:after="0"/>
              <w:jc w:val="center"/>
              <w:rPr>
                <w:rFonts w:ascii="Times" w:hAnsi="Times"/>
                <w:sz w:val="18"/>
                <w:szCs w:val="18"/>
              </w:rPr>
            </w:pPr>
            <w:r>
              <w:rPr>
                <w:rFonts w:ascii="Times" w:hAnsi="Times"/>
                <w:sz w:val="18"/>
                <w:szCs w:val="18"/>
              </w:rPr>
              <w:t>[20-30]</w:t>
            </w:r>
            <w:r w:rsidR="00516C6E">
              <w:rPr>
                <w:rFonts w:ascii="Times" w:hAnsi="Times"/>
                <w:sz w:val="18"/>
                <w:szCs w:val="18"/>
              </w:rPr>
              <w:t>%</w:t>
            </w:r>
            <w:r>
              <w:rPr>
                <w:rFonts w:ascii="Times" w:hAnsi="Times"/>
                <w:sz w:val="18"/>
                <w:szCs w:val="18"/>
              </w:rPr>
              <w:t xml:space="preserve"> </w:t>
            </w:r>
            <w:r w:rsidR="00516C6E">
              <w:rPr>
                <w:rFonts w:ascii="Times" w:hAnsi="Times"/>
                <w:sz w:val="18"/>
                <w:szCs w:val="18"/>
              </w:rPr>
              <w:t>/</w:t>
            </w:r>
            <w:r>
              <w:rPr>
                <w:rFonts w:ascii="Times" w:hAnsi="Times"/>
                <w:sz w:val="18"/>
                <w:szCs w:val="18"/>
              </w:rPr>
              <w:t>[20-30]</w:t>
            </w:r>
            <w:r w:rsidR="00516C6E">
              <w:rPr>
                <w:rFonts w:ascii="Times" w:hAnsi="Times"/>
                <w:sz w:val="18"/>
                <w:szCs w:val="18"/>
              </w:rPr>
              <w:t>%</w:t>
            </w:r>
          </w:p>
        </w:tc>
        <w:tc>
          <w:tcPr>
            <w:tcW w:w="696" w:type="pct"/>
            <w:tcBorders>
              <w:top w:val="single" w:sz="12" w:space="0" w:color="auto"/>
            </w:tcBorders>
            <w:vAlign w:val="center"/>
          </w:tcPr>
          <w:p w:rsidR="00516C6E" w:rsidRDefault="00D71052" w:rsidP="00D71052">
            <w:pPr>
              <w:keepNext/>
              <w:spacing w:after="0"/>
              <w:jc w:val="center"/>
              <w:rPr>
                <w:rFonts w:ascii="Times" w:hAnsi="Times"/>
                <w:sz w:val="18"/>
                <w:szCs w:val="18"/>
              </w:rPr>
            </w:pPr>
            <w:r>
              <w:rPr>
                <w:rFonts w:ascii="Times" w:hAnsi="Times"/>
                <w:sz w:val="18"/>
                <w:szCs w:val="18"/>
              </w:rPr>
              <w:t>[50-60]</w:t>
            </w:r>
            <w:r w:rsidR="00516C6E">
              <w:rPr>
                <w:rFonts w:ascii="Times" w:hAnsi="Times"/>
                <w:sz w:val="18"/>
                <w:szCs w:val="18"/>
              </w:rPr>
              <w:t>%</w:t>
            </w:r>
            <w:r>
              <w:rPr>
                <w:rFonts w:ascii="Times" w:hAnsi="Times"/>
                <w:sz w:val="18"/>
                <w:szCs w:val="18"/>
              </w:rPr>
              <w:t xml:space="preserve"> </w:t>
            </w:r>
            <w:r w:rsidR="00516C6E">
              <w:rPr>
                <w:rFonts w:ascii="Times" w:hAnsi="Times"/>
                <w:sz w:val="18"/>
                <w:szCs w:val="18"/>
              </w:rPr>
              <w:t>/</w:t>
            </w:r>
            <w:r>
              <w:rPr>
                <w:rFonts w:ascii="Times" w:hAnsi="Times"/>
                <w:sz w:val="18"/>
                <w:szCs w:val="18"/>
              </w:rPr>
              <w:t>[60-70]</w:t>
            </w:r>
            <w:r w:rsidR="00516C6E">
              <w:rPr>
                <w:rFonts w:ascii="Times" w:hAnsi="Times"/>
                <w:sz w:val="18"/>
                <w:szCs w:val="18"/>
              </w:rPr>
              <w:t>%</w:t>
            </w:r>
          </w:p>
        </w:tc>
        <w:tc>
          <w:tcPr>
            <w:tcW w:w="738" w:type="pct"/>
            <w:tcBorders>
              <w:top w:val="single" w:sz="12" w:space="0" w:color="auto"/>
            </w:tcBorders>
            <w:vAlign w:val="center"/>
          </w:tcPr>
          <w:p w:rsidR="00516C6E" w:rsidRDefault="00516C6E" w:rsidP="00C1482B">
            <w:pPr>
              <w:keepNext/>
              <w:spacing w:after="0"/>
              <w:jc w:val="center"/>
              <w:rPr>
                <w:rFonts w:ascii="Times" w:hAnsi="Times"/>
                <w:sz w:val="18"/>
                <w:szCs w:val="18"/>
              </w:rPr>
            </w:pPr>
            <w:r w:rsidRPr="00811DE4">
              <w:rPr>
                <w:rFonts w:ascii="Times" w:hAnsi="Times"/>
                <w:sz w:val="18"/>
                <w:szCs w:val="18"/>
              </w:rPr>
              <w:t xml:space="preserve">At least </w:t>
            </w:r>
            <w:r w:rsidR="00C1482B">
              <w:rPr>
                <w:rFonts w:ascii="Times" w:hAnsi="Times"/>
                <w:sz w:val="18"/>
                <w:szCs w:val="18"/>
              </w:rPr>
              <w:t>1</w:t>
            </w:r>
          </w:p>
        </w:tc>
      </w:tr>
      <w:tr w:rsidR="00D71052" w:rsidRPr="00AD3737" w:rsidTr="00516C6E">
        <w:trPr>
          <w:trHeight w:val="345"/>
        </w:trPr>
        <w:tc>
          <w:tcPr>
            <w:tcW w:w="608" w:type="pct"/>
            <w:vMerge/>
            <w:vAlign w:val="center"/>
          </w:tcPr>
          <w:p w:rsidR="00D71052" w:rsidRPr="00420413" w:rsidRDefault="00D71052" w:rsidP="00516C6E">
            <w:pPr>
              <w:keepNext/>
              <w:spacing w:after="0"/>
              <w:jc w:val="center"/>
              <w:rPr>
                <w:rFonts w:ascii="Times" w:hAnsi="Times"/>
                <w:i/>
                <w:sz w:val="18"/>
                <w:szCs w:val="18"/>
              </w:rPr>
            </w:pPr>
          </w:p>
        </w:tc>
        <w:tc>
          <w:tcPr>
            <w:tcW w:w="696" w:type="pct"/>
            <w:vMerge/>
            <w:vAlign w:val="center"/>
          </w:tcPr>
          <w:p w:rsidR="00D71052" w:rsidRPr="00B6607C" w:rsidRDefault="00D71052" w:rsidP="00516C6E">
            <w:pPr>
              <w:keepNext/>
              <w:spacing w:after="0"/>
              <w:jc w:val="center"/>
              <w:rPr>
                <w:rFonts w:ascii="Times" w:hAnsi="Times"/>
                <w:sz w:val="18"/>
                <w:szCs w:val="18"/>
              </w:rPr>
            </w:pPr>
          </w:p>
        </w:tc>
        <w:tc>
          <w:tcPr>
            <w:tcW w:w="434" w:type="pct"/>
            <w:vMerge/>
            <w:vAlign w:val="center"/>
          </w:tcPr>
          <w:p w:rsidR="00D71052" w:rsidRPr="00B6607C" w:rsidRDefault="00D71052" w:rsidP="00516C6E">
            <w:pPr>
              <w:keepNext/>
              <w:spacing w:after="0"/>
              <w:jc w:val="center"/>
              <w:rPr>
                <w:rFonts w:ascii="Times" w:hAnsi="Times"/>
                <w:sz w:val="18"/>
                <w:szCs w:val="18"/>
              </w:rPr>
            </w:pPr>
          </w:p>
        </w:tc>
        <w:tc>
          <w:tcPr>
            <w:tcW w:w="523" w:type="pct"/>
            <w:vAlign w:val="center"/>
          </w:tcPr>
          <w:p w:rsidR="00D71052" w:rsidRDefault="00D71052" w:rsidP="00516C6E">
            <w:pPr>
              <w:keepNext/>
              <w:spacing w:after="0"/>
              <w:jc w:val="left"/>
              <w:rPr>
                <w:rFonts w:ascii="Times" w:hAnsi="Times"/>
                <w:sz w:val="18"/>
              </w:rPr>
            </w:pPr>
            <w:r>
              <w:rPr>
                <w:rFonts w:ascii="Times" w:hAnsi="Times"/>
                <w:sz w:val="18"/>
              </w:rPr>
              <w:t>2016</w:t>
            </w:r>
          </w:p>
        </w:tc>
        <w:tc>
          <w:tcPr>
            <w:tcW w:w="696" w:type="pct"/>
            <w:vAlign w:val="center"/>
          </w:tcPr>
          <w:p w:rsidR="00D71052" w:rsidRDefault="00D71052" w:rsidP="00516C6E">
            <w:pPr>
              <w:keepNext/>
              <w:spacing w:after="0"/>
              <w:jc w:val="center"/>
              <w:rPr>
                <w:rFonts w:ascii="Times" w:hAnsi="Times"/>
                <w:sz w:val="18"/>
                <w:szCs w:val="18"/>
              </w:rPr>
            </w:pPr>
            <w:r>
              <w:rPr>
                <w:rFonts w:ascii="Times" w:hAnsi="Times"/>
                <w:sz w:val="18"/>
                <w:szCs w:val="18"/>
              </w:rPr>
              <w:t>[20-30]% /[50-60]%</w:t>
            </w:r>
          </w:p>
        </w:tc>
        <w:tc>
          <w:tcPr>
            <w:tcW w:w="609" w:type="pct"/>
            <w:vAlign w:val="center"/>
          </w:tcPr>
          <w:p w:rsidR="00D71052" w:rsidRPr="00B6607C" w:rsidRDefault="00D71052" w:rsidP="003B687A">
            <w:pPr>
              <w:keepNext/>
              <w:spacing w:after="0"/>
              <w:jc w:val="center"/>
              <w:rPr>
                <w:rFonts w:ascii="Times" w:hAnsi="Times"/>
                <w:sz w:val="18"/>
                <w:szCs w:val="18"/>
              </w:rPr>
            </w:pPr>
            <w:r>
              <w:rPr>
                <w:rFonts w:ascii="Times" w:hAnsi="Times"/>
                <w:sz w:val="18"/>
                <w:szCs w:val="18"/>
              </w:rPr>
              <w:t>[10-20]% /[10-20]%</w:t>
            </w:r>
          </w:p>
        </w:tc>
        <w:tc>
          <w:tcPr>
            <w:tcW w:w="696" w:type="pct"/>
            <w:vAlign w:val="center"/>
          </w:tcPr>
          <w:p w:rsidR="00D71052" w:rsidRDefault="00D71052" w:rsidP="00D71052">
            <w:pPr>
              <w:keepNext/>
              <w:spacing w:after="0"/>
              <w:jc w:val="center"/>
              <w:rPr>
                <w:rFonts w:ascii="Times" w:hAnsi="Times"/>
                <w:sz w:val="18"/>
                <w:szCs w:val="18"/>
              </w:rPr>
            </w:pPr>
            <w:r>
              <w:rPr>
                <w:rFonts w:ascii="Times" w:hAnsi="Times"/>
                <w:sz w:val="18"/>
                <w:szCs w:val="18"/>
              </w:rPr>
              <w:t>[40-50]% /[60-70]%</w:t>
            </w:r>
          </w:p>
        </w:tc>
        <w:tc>
          <w:tcPr>
            <w:tcW w:w="738" w:type="pct"/>
            <w:vAlign w:val="center"/>
          </w:tcPr>
          <w:p w:rsidR="00D71052" w:rsidRDefault="00D71052" w:rsidP="00516C6E">
            <w:pPr>
              <w:keepNext/>
              <w:spacing w:after="0"/>
              <w:jc w:val="center"/>
              <w:rPr>
                <w:rFonts w:ascii="Times" w:hAnsi="Times"/>
                <w:sz w:val="18"/>
                <w:szCs w:val="18"/>
              </w:rPr>
            </w:pPr>
            <w:r w:rsidRPr="00811DE4">
              <w:rPr>
                <w:rFonts w:ascii="Times" w:hAnsi="Times"/>
                <w:sz w:val="18"/>
                <w:szCs w:val="18"/>
              </w:rPr>
              <w:t xml:space="preserve">At least </w:t>
            </w:r>
            <w:r>
              <w:rPr>
                <w:rFonts w:ascii="Times" w:hAnsi="Times"/>
                <w:sz w:val="18"/>
                <w:szCs w:val="18"/>
              </w:rPr>
              <w:t>1</w:t>
            </w:r>
          </w:p>
        </w:tc>
      </w:tr>
      <w:tr w:rsidR="00D71052" w:rsidRPr="00AD3737" w:rsidTr="00516C6E">
        <w:trPr>
          <w:trHeight w:val="345"/>
        </w:trPr>
        <w:tc>
          <w:tcPr>
            <w:tcW w:w="608" w:type="pct"/>
            <w:vMerge/>
            <w:vAlign w:val="center"/>
          </w:tcPr>
          <w:p w:rsidR="00D71052" w:rsidRPr="00420413" w:rsidRDefault="00D71052" w:rsidP="00516C6E">
            <w:pPr>
              <w:keepNext/>
              <w:spacing w:after="0"/>
              <w:jc w:val="center"/>
              <w:rPr>
                <w:rFonts w:ascii="Times" w:hAnsi="Times"/>
                <w:i/>
                <w:sz w:val="18"/>
                <w:szCs w:val="18"/>
              </w:rPr>
            </w:pPr>
          </w:p>
        </w:tc>
        <w:tc>
          <w:tcPr>
            <w:tcW w:w="696" w:type="pct"/>
            <w:vMerge/>
            <w:vAlign w:val="center"/>
          </w:tcPr>
          <w:p w:rsidR="00D71052" w:rsidRPr="00B6607C" w:rsidRDefault="00D71052" w:rsidP="00516C6E">
            <w:pPr>
              <w:keepNext/>
              <w:spacing w:after="0"/>
              <w:jc w:val="center"/>
              <w:rPr>
                <w:rFonts w:ascii="Times" w:hAnsi="Times"/>
                <w:sz w:val="18"/>
                <w:szCs w:val="18"/>
              </w:rPr>
            </w:pPr>
          </w:p>
        </w:tc>
        <w:tc>
          <w:tcPr>
            <w:tcW w:w="434" w:type="pct"/>
            <w:vMerge/>
            <w:vAlign w:val="center"/>
          </w:tcPr>
          <w:p w:rsidR="00D71052" w:rsidRPr="00B6607C" w:rsidRDefault="00D71052" w:rsidP="00516C6E">
            <w:pPr>
              <w:keepNext/>
              <w:spacing w:after="0"/>
              <w:jc w:val="center"/>
              <w:rPr>
                <w:rFonts w:ascii="Times" w:hAnsi="Times"/>
                <w:sz w:val="18"/>
                <w:szCs w:val="18"/>
              </w:rPr>
            </w:pPr>
          </w:p>
        </w:tc>
        <w:tc>
          <w:tcPr>
            <w:tcW w:w="523" w:type="pct"/>
            <w:vAlign w:val="center"/>
          </w:tcPr>
          <w:p w:rsidR="00D71052" w:rsidRDefault="00D71052" w:rsidP="00516C6E">
            <w:pPr>
              <w:keepNext/>
              <w:spacing w:after="0"/>
              <w:jc w:val="left"/>
              <w:rPr>
                <w:rFonts w:ascii="Times" w:hAnsi="Times"/>
                <w:sz w:val="18"/>
              </w:rPr>
            </w:pPr>
            <w:r>
              <w:rPr>
                <w:rFonts w:ascii="Times" w:hAnsi="Times"/>
                <w:sz w:val="18"/>
              </w:rPr>
              <w:t>2015</w:t>
            </w:r>
          </w:p>
        </w:tc>
        <w:tc>
          <w:tcPr>
            <w:tcW w:w="696" w:type="pct"/>
            <w:vAlign w:val="center"/>
          </w:tcPr>
          <w:p w:rsidR="00D71052" w:rsidRDefault="00D71052" w:rsidP="00FB6BB0">
            <w:pPr>
              <w:keepNext/>
              <w:spacing w:after="0"/>
              <w:jc w:val="center"/>
              <w:rPr>
                <w:rFonts w:ascii="Times" w:hAnsi="Times"/>
                <w:sz w:val="18"/>
                <w:szCs w:val="18"/>
              </w:rPr>
            </w:pPr>
            <w:r>
              <w:rPr>
                <w:rFonts w:ascii="Times" w:hAnsi="Times"/>
                <w:sz w:val="18"/>
                <w:szCs w:val="18"/>
              </w:rPr>
              <w:t>[30-40]% /[60-70]%</w:t>
            </w:r>
          </w:p>
        </w:tc>
        <w:tc>
          <w:tcPr>
            <w:tcW w:w="609" w:type="pct"/>
            <w:vAlign w:val="center"/>
          </w:tcPr>
          <w:p w:rsidR="00D71052" w:rsidRPr="00B6607C" w:rsidRDefault="00D71052" w:rsidP="003B687A">
            <w:pPr>
              <w:keepNext/>
              <w:spacing w:after="0"/>
              <w:jc w:val="center"/>
              <w:rPr>
                <w:rFonts w:ascii="Times" w:hAnsi="Times"/>
                <w:sz w:val="18"/>
                <w:szCs w:val="18"/>
              </w:rPr>
            </w:pPr>
            <w:r>
              <w:rPr>
                <w:rFonts w:ascii="Times" w:hAnsi="Times"/>
                <w:sz w:val="18"/>
                <w:szCs w:val="18"/>
              </w:rPr>
              <w:t>[0-5]% /[0-5]%</w:t>
            </w:r>
          </w:p>
        </w:tc>
        <w:tc>
          <w:tcPr>
            <w:tcW w:w="696" w:type="pct"/>
            <w:vAlign w:val="center"/>
          </w:tcPr>
          <w:p w:rsidR="00D71052" w:rsidRDefault="00D71052" w:rsidP="003B687A">
            <w:pPr>
              <w:keepNext/>
              <w:spacing w:after="0"/>
              <w:jc w:val="center"/>
              <w:rPr>
                <w:rFonts w:ascii="Times" w:hAnsi="Times"/>
                <w:sz w:val="18"/>
                <w:szCs w:val="18"/>
              </w:rPr>
            </w:pPr>
            <w:r>
              <w:rPr>
                <w:rFonts w:ascii="Times" w:hAnsi="Times"/>
                <w:sz w:val="18"/>
                <w:szCs w:val="18"/>
              </w:rPr>
              <w:t>[30-40]% /[60-70]%</w:t>
            </w:r>
          </w:p>
        </w:tc>
        <w:tc>
          <w:tcPr>
            <w:tcW w:w="738" w:type="pct"/>
            <w:vAlign w:val="center"/>
          </w:tcPr>
          <w:p w:rsidR="00D71052" w:rsidRDefault="00D71052" w:rsidP="00516C6E">
            <w:pPr>
              <w:keepNext/>
              <w:spacing w:after="0"/>
              <w:jc w:val="center"/>
              <w:rPr>
                <w:rFonts w:ascii="Times" w:hAnsi="Times"/>
                <w:sz w:val="18"/>
                <w:szCs w:val="18"/>
              </w:rPr>
            </w:pPr>
            <w:r w:rsidRPr="00811DE4">
              <w:rPr>
                <w:rFonts w:ascii="Times" w:hAnsi="Times"/>
                <w:sz w:val="18"/>
                <w:szCs w:val="18"/>
              </w:rPr>
              <w:t xml:space="preserve">At least </w:t>
            </w:r>
            <w:r>
              <w:rPr>
                <w:rFonts w:ascii="Times" w:hAnsi="Times"/>
                <w:sz w:val="18"/>
                <w:szCs w:val="18"/>
              </w:rPr>
              <w:t>1</w:t>
            </w:r>
          </w:p>
        </w:tc>
      </w:tr>
    </w:tbl>
    <w:p w:rsidR="00516C6E" w:rsidRDefault="00516C6E" w:rsidP="0080226D">
      <w:pPr>
        <w:pStyle w:val="Text4"/>
        <w:spacing w:after="0"/>
        <w:ind w:left="720"/>
        <w:rPr>
          <w:i/>
        </w:rPr>
      </w:pPr>
    </w:p>
    <w:p w:rsidR="0080226D" w:rsidRPr="00B946CB" w:rsidRDefault="00B91E12" w:rsidP="0080226D">
      <w:pPr>
        <w:pStyle w:val="ListNumber"/>
        <w:rPr>
          <w:rFonts w:ascii="Calibri" w:eastAsia="Calibri" w:hAnsi="Calibri"/>
          <w:sz w:val="20"/>
          <w:lang w:val="en-US"/>
        </w:rPr>
      </w:pPr>
      <w:r>
        <w:rPr>
          <w:rFonts w:eastAsia="Calibri"/>
          <w:lang w:val="en-US"/>
        </w:rPr>
        <w:t>In 2017, t</w:t>
      </w:r>
      <w:r w:rsidR="0080226D">
        <w:rPr>
          <w:rFonts w:eastAsia="Calibri"/>
          <w:lang w:val="en-US"/>
        </w:rPr>
        <w:t xml:space="preserve">he Parties' combined market share is </w:t>
      </w:r>
      <w:r w:rsidR="00D71052">
        <w:rPr>
          <w:rFonts w:eastAsia="Calibri"/>
          <w:lang w:val="en-US"/>
        </w:rPr>
        <w:t>[20-30]</w:t>
      </w:r>
      <w:r w:rsidR="0080226D">
        <w:rPr>
          <w:rFonts w:eastAsia="Calibri"/>
          <w:lang w:val="en-US"/>
        </w:rPr>
        <w:t xml:space="preserve">% in value and </w:t>
      </w:r>
      <w:r w:rsidR="00D71052">
        <w:rPr>
          <w:rFonts w:eastAsia="Calibri"/>
          <w:lang w:val="en-US"/>
        </w:rPr>
        <w:t>[30-40]</w:t>
      </w:r>
      <w:r w:rsidR="0080226D">
        <w:rPr>
          <w:rFonts w:eastAsia="Calibri"/>
          <w:lang w:val="en-US"/>
        </w:rPr>
        <w:t xml:space="preserve">% in volume at the ATC3 level, </w:t>
      </w:r>
      <w:r w:rsidR="00D71052">
        <w:rPr>
          <w:rFonts w:eastAsia="Calibri"/>
          <w:lang w:val="en-US"/>
        </w:rPr>
        <w:t>[</w:t>
      </w:r>
      <w:r w:rsidR="0080226D">
        <w:rPr>
          <w:rFonts w:eastAsia="Calibri"/>
          <w:lang w:val="en-US"/>
        </w:rPr>
        <w:t>30</w:t>
      </w:r>
      <w:r w:rsidR="00D71052">
        <w:rPr>
          <w:rFonts w:eastAsia="Calibri"/>
          <w:lang w:val="en-US"/>
        </w:rPr>
        <w:t>-40]</w:t>
      </w:r>
      <w:r w:rsidR="0080226D">
        <w:rPr>
          <w:rFonts w:eastAsia="Calibri"/>
          <w:lang w:val="en-US"/>
        </w:rPr>
        <w:t xml:space="preserve">% in value and </w:t>
      </w:r>
      <w:r w:rsidR="00D71052">
        <w:rPr>
          <w:rFonts w:eastAsia="Calibri"/>
          <w:lang w:val="en-US"/>
        </w:rPr>
        <w:t>[</w:t>
      </w:r>
      <w:r w:rsidR="0080226D">
        <w:rPr>
          <w:rFonts w:eastAsia="Calibri"/>
          <w:lang w:val="en-US"/>
        </w:rPr>
        <w:t>40</w:t>
      </w:r>
      <w:r w:rsidR="00D71052">
        <w:rPr>
          <w:rFonts w:eastAsia="Calibri"/>
          <w:lang w:val="en-US"/>
        </w:rPr>
        <w:t>-50]</w:t>
      </w:r>
      <w:r w:rsidR="0080226D">
        <w:rPr>
          <w:rFonts w:eastAsia="Calibri"/>
          <w:lang w:val="en-US"/>
        </w:rPr>
        <w:t xml:space="preserve">% in volume at ATC4 level and </w:t>
      </w:r>
      <w:r w:rsidR="00D71052">
        <w:rPr>
          <w:rFonts w:eastAsia="Calibri"/>
          <w:lang w:val="en-US"/>
        </w:rPr>
        <w:t>[50-60]</w:t>
      </w:r>
      <w:r w:rsidR="0080226D">
        <w:rPr>
          <w:rFonts w:eastAsia="Calibri"/>
          <w:lang w:val="en-US"/>
        </w:rPr>
        <w:t xml:space="preserve">% in value and </w:t>
      </w:r>
      <w:r w:rsidR="00D71052">
        <w:rPr>
          <w:rFonts w:eastAsia="Calibri"/>
          <w:lang w:val="en-US"/>
        </w:rPr>
        <w:t>[60-70]</w:t>
      </w:r>
      <w:r w:rsidR="0080226D">
        <w:rPr>
          <w:rFonts w:eastAsia="Calibri"/>
          <w:lang w:val="en-US"/>
        </w:rPr>
        <w:t>% in volume at molecule level.</w:t>
      </w:r>
    </w:p>
    <w:p w:rsidR="00FD575A" w:rsidRDefault="00FD575A" w:rsidP="00FD575A">
      <w:pPr>
        <w:pStyle w:val="ListNumber"/>
      </w:pPr>
      <w:r>
        <w:t xml:space="preserve">In addition, several competitors will remain on the market post-Transaction. In the narrowest segment </w:t>
      </w:r>
      <w:r w:rsidR="00C1482B">
        <w:t>(</w:t>
      </w:r>
      <w:r>
        <w:t>at molecule level</w:t>
      </w:r>
      <w:r w:rsidR="00C1482B">
        <w:t>)</w:t>
      </w:r>
      <w:r>
        <w:t>, these are Bayer (</w:t>
      </w:r>
      <w:r w:rsidR="00D71052">
        <w:t>[30-40]</w:t>
      </w:r>
      <w:r>
        <w:t>% in value</w:t>
      </w:r>
      <w:r w:rsidR="00C1482B">
        <w:t xml:space="preserve"> and </w:t>
      </w:r>
      <w:r w:rsidR="00D71052">
        <w:t>[30-40]</w:t>
      </w:r>
      <w:r w:rsidR="00C1482B">
        <w:t>% in volume</w:t>
      </w:r>
      <w:r>
        <w:t>) and Remedia (</w:t>
      </w:r>
      <w:r w:rsidR="00D71052">
        <w:t>[10-20]</w:t>
      </w:r>
      <w:r>
        <w:t>% in value</w:t>
      </w:r>
      <w:r w:rsidR="00C1482B">
        <w:t xml:space="preserve"> and </w:t>
      </w:r>
      <w:r w:rsidR="00D71052">
        <w:t>[0-5]</w:t>
      </w:r>
      <w:r w:rsidR="00C1482B">
        <w:t>% in volume</w:t>
      </w:r>
      <w:r>
        <w:t>).</w:t>
      </w:r>
    </w:p>
    <w:p w:rsidR="0080226D" w:rsidRDefault="0080226D" w:rsidP="0080226D">
      <w:pPr>
        <w:pStyle w:val="ListNumber"/>
      </w:pPr>
      <w:r>
        <w:t>The market investigation showed that although the Parties' products are identical in terms of composition and indications, they are distant competitors (if at all competing) because Teva's product is a prescription product while PGT's products are sold OTC.</w:t>
      </w:r>
      <w:r w:rsidRPr="00B946CB">
        <w:rPr>
          <w:rFonts w:ascii="Calibri" w:eastAsia="Calibri" w:hAnsi="Calibri"/>
          <w:sz w:val="20"/>
          <w:vertAlign w:val="superscript"/>
          <w:lang w:val="en-US"/>
        </w:rPr>
        <w:footnoteReference w:id="80"/>
      </w:r>
      <w:r>
        <w:t xml:space="preserve"> The market investigation showed that the products of Teva and PGT have differentiated pack designs.</w:t>
      </w:r>
      <w:r w:rsidRPr="00B946CB">
        <w:rPr>
          <w:rFonts w:ascii="Calibri" w:eastAsia="Calibri" w:hAnsi="Calibri"/>
          <w:sz w:val="20"/>
          <w:vertAlign w:val="superscript"/>
          <w:lang w:val="en-US"/>
        </w:rPr>
        <w:footnoteReference w:id="81"/>
      </w:r>
      <w:r>
        <w:t xml:space="preserve"> In addition, PGT OTC Plymicol would be </w:t>
      </w:r>
      <w:r>
        <w:lastRenderedPageBreak/>
        <w:t>a stronger brand that Teva Rx Klotrimazole.</w:t>
      </w:r>
      <w:r w:rsidRPr="00B946CB">
        <w:rPr>
          <w:rFonts w:ascii="Calibri" w:eastAsia="Calibri" w:hAnsi="Calibri"/>
          <w:sz w:val="20"/>
          <w:vertAlign w:val="superscript"/>
          <w:lang w:val="en-US"/>
        </w:rPr>
        <w:footnoteReference w:id="82"/>
      </w:r>
      <w:r>
        <w:t xml:space="preserve"> Market respondents also indicated that Teva and PGT products do not compete in terms of pricing.</w:t>
      </w:r>
      <w:r w:rsidRPr="00B946CB">
        <w:rPr>
          <w:rFonts w:ascii="Calibri" w:eastAsia="Calibri" w:hAnsi="Calibri"/>
          <w:sz w:val="20"/>
          <w:vertAlign w:val="superscript"/>
          <w:lang w:val="en-US"/>
        </w:rPr>
        <w:footnoteReference w:id="83"/>
      </w:r>
      <w:r>
        <w:t xml:space="preserve"> This has been confirmed by the average prices of OTC and Rx products provided by the Notifying Party, respectively EUR 2.71 versus EUR 1.15.</w:t>
      </w:r>
    </w:p>
    <w:p w:rsidR="0080226D" w:rsidRPr="00CF47FF" w:rsidRDefault="0080226D" w:rsidP="0080226D">
      <w:pPr>
        <w:pStyle w:val="ListNumber"/>
      </w:pPr>
      <w:r w:rsidRPr="001C18CB">
        <w:t xml:space="preserve">None of the respondents identified PGT's products as being the closest competitor of Teva's product (and </w:t>
      </w:r>
      <w:r w:rsidRPr="001C18CB">
        <w:rPr>
          <w:i/>
        </w:rPr>
        <w:t>vice versa</w:t>
      </w:r>
      <w:r w:rsidRPr="001C18CB">
        <w:t>).</w:t>
      </w:r>
      <w:r w:rsidRPr="001C18CB">
        <w:rPr>
          <w:rFonts w:ascii="Calibri" w:eastAsia="Calibri" w:hAnsi="Calibri"/>
          <w:sz w:val="20"/>
          <w:vertAlign w:val="superscript"/>
          <w:lang w:val="en-US"/>
        </w:rPr>
        <w:footnoteReference w:id="84"/>
      </w:r>
      <w:r w:rsidRPr="001C18CB">
        <w:rPr>
          <w:lang w:val="en-US"/>
        </w:rPr>
        <w:t xml:space="preserve"> Based on the replies to the market investigation, the closest substitute to PGT's Plimycol and Teva's Pliva appears to be Rojazol (Belupo), which is based on </w:t>
      </w:r>
      <w:r w:rsidRPr="00185FCC">
        <w:rPr>
          <w:i/>
          <w:lang w:val="en-US"/>
        </w:rPr>
        <w:t>miconazole</w:t>
      </w:r>
      <w:r w:rsidRPr="00CF47FF">
        <w:rPr>
          <w:lang w:val="en-US"/>
        </w:rPr>
        <w:t>, a different</w:t>
      </w:r>
      <w:r w:rsidRPr="00CF47FF">
        <w:rPr>
          <w:i/>
          <w:lang w:val="en-US"/>
        </w:rPr>
        <w:t xml:space="preserve"> </w:t>
      </w:r>
      <w:r w:rsidRPr="00CF47FF">
        <w:rPr>
          <w:lang w:val="en-US"/>
        </w:rPr>
        <w:t>molecule than the one included in the Parties' products (</w:t>
      </w:r>
      <w:r w:rsidRPr="00CF47FF">
        <w:rPr>
          <w:i/>
          <w:lang w:val="en-US"/>
        </w:rPr>
        <w:t>clotrimazole</w:t>
      </w:r>
      <w:r w:rsidRPr="00CF47FF">
        <w:rPr>
          <w:lang w:val="en-US"/>
        </w:rPr>
        <w:t>)</w:t>
      </w:r>
      <w:r w:rsidR="001916A6" w:rsidRPr="00CF47FF">
        <w:rPr>
          <w:lang w:val="en-US"/>
        </w:rPr>
        <w:t>, which further supports the view that products based on different molecules compete against each other</w:t>
      </w:r>
      <w:r w:rsidRPr="00CF47FF">
        <w:rPr>
          <w:lang w:val="en-US"/>
        </w:rPr>
        <w:t>.</w:t>
      </w:r>
    </w:p>
    <w:p w:rsidR="0080226D" w:rsidRPr="001C18CB" w:rsidRDefault="0080226D" w:rsidP="0080226D">
      <w:pPr>
        <w:pStyle w:val="ListNumber"/>
        <w:rPr>
          <w:rFonts w:eastAsia="Calibri"/>
          <w:lang w:val="en-US"/>
        </w:rPr>
      </w:pPr>
      <w:r w:rsidRPr="001C18CB">
        <w:rPr>
          <w:rFonts w:eastAsia="Calibri"/>
          <w:lang w:val="en-US"/>
        </w:rPr>
        <w:t>Finally, all the c</w:t>
      </w:r>
      <w:r w:rsidRPr="00185FCC">
        <w:rPr>
          <w:rFonts w:eastAsia="Calibri"/>
          <w:lang w:val="en-US"/>
        </w:rPr>
        <w:t>ustomers considered that a sufficient number of credible competing alternatives will remain post-Transaction. The vast majority of competitors also indicated that the Transaction will most probably have no impact on this market.</w:t>
      </w:r>
      <w:r>
        <w:rPr>
          <w:rStyle w:val="FootnoteReference"/>
          <w:rFonts w:eastAsia="Calibri"/>
          <w:lang w:val="en-US"/>
        </w:rPr>
        <w:footnoteReference w:id="85"/>
      </w:r>
    </w:p>
    <w:p w:rsidR="0080226D" w:rsidRPr="00546F00" w:rsidRDefault="00814F0F" w:rsidP="0080226D">
      <w:pPr>
        <w:pStyle w:val="ListNumber"/>
      </w:pPr>
      <w:r w:rsidRPr="00546F00">
        <w:rPr>
          <w:rFonts w:ascii="Times" w:hAnsi="Times"/>
          <w:szCs w:val="24"/>
        </w:rPr>
        <w:t xml:space="preserve">In view of the above, the Commission concludes that </w:t>
      </w:r>
      <w:r>
        <w:rPr>
          <w:rFonts w:ascii="Times" w:hAnsi="Times"/>
          <w:szCs w:val="24"/>
        </w:rPr>
        <w:t xml:space="preserve">the Transaction does not raise serious doubts as to its compatibility with the internal market regarding </w:t>
      </w:r>
      <w:r w:rsidR="0080226D">
        <w:t>antifungal dermatological products in Croatia</w:t>
      </w:r>
      <w:r w:rsidR="0080226D" w:rsidRPr="00546F00">
        <w:t>.</w:t>
      </w:r>
    </w:p>
    <w:p w:rsidR="0080226D" w:rsidRDefault="0080226D" w:rsidP="0080226D">
      <w:pPr>
        <w:pStyle w:val="Heading3"/>
        <w:tabs>
          <w:tab w:val="clear" w:pos="1920"/>
          <w:tab w:val="num" w:pos="709"/>
        </w:tabs>
        <w:ind w:left="709" w:hanging="709"/>
      </w:pPr>
      <w:bookmarkStart w:id="246" w:name="_Toc517710313"/>
      <w:bookmarkStart w:id="247" w:name="_Toc517710484"/>
      <w:bookmarkStart w:id="248" w:name="_Toc517711066"/>
      <w:bookmarkStart w:id="249" w:name="_Toc517714161"/>
      <w:bookmarkStart w:id="250" w:name="_Toc517710323"/>
      <w:bookmarkStart w:id="251" w:name="_Toc517710494"/>
      <w:bookmarkStart w:id="252" w:name="_Toc517711076"/>
      <w:bookmarkStart w:id="253" w:name="_Toc517714171"/>
      <w:bookmarkStart w:id="254" w:name="_Toc517710340"/>
      <w:bookmarkStart w:id="255" w:name="_Toc517710511"/>
      <w:bookmarkStart w:id="256" w:name="_Toc517711093"/>
      <w:bookmarkStart w:id="257" w:name="_Toc517714188"/>
      <w:bookmarkStart w:id="258" w:name="_Toc517710342"/>
      <w:bookmarkStart w:id="259" w:name="_Toc517710513"/>
      <w:bookmarkStart w:id="260" w:name="_Toc517711095"/>
      <w:bookmarkStart w:id="261" w:name="_Toc517714190"/>
      <w:bookmarkStart w:id="262" w:name="_Toc517710343"/>
      <w:bookmarkStart w:id="263" w:name="_Toc517710514"/>
      <w:bookmarkStart w:id="264" w:name="_Toc517711096"/>
      <w:bookmarkStart w:id="265" w:name="_Toc517714191"/>
      <w:bookmarkStart w:id="266" w:name="_Toc517444585"/>
      <w:bookmarkStart w:id="267" w:name="_Ref517683813"/>
      <w:bookmarkStart w:id="268" w:name="_Toc517710515"/>
      <w:bookmarkStart w:id="269" w:name="_Toc517812948"/>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t>Furazidin based urinary anti-infectives in Poland</w:t>
      </w:r>
      <w:bookmarkEnd w:id="266"/>
      <w:bookmarkEnd w:id="267"/>
      <w:bookmarkEnd w:id="268"/>
      <w:bookmarkEnd w:id="269"/>
    </w:p>
    <w:p w:rsidR="0080226D" w:rsidRDefault="0080226D" w:rsidP="0080226D">
      <w:pPr>
        <w:pStyle w:val="Heading4"/>
      </w:pPr>
      <w:bookmarkStart w:id="270" w:name="_Toc517710516"/>
      <w:bookmarkStart w:id="271" w:name="_Toc517812949"/>
      <w:r>
        <w:t>Market definition</w:t>
      </w:r>
      <w:bookmarkEnd w:id="270"/>
      <w:bookmarkEnd w:id="271"/>
    </w:p>
    <w:p w:rsidR="0080226D" w:rsidRDefault="0080226D" w:rsidP="0080226D">
      <w:pPr>
        <w:pStyle w:val="ListNumber"/>
      </w:pPr>
      <w:r>
        <w:t xml:space="preserve">Urinary anti-infectives are classified in the ATC3 class G4A (Urinary Anti-Infectives and Antiseptics). Urinary anti-infectives and antiseptics are used to prevent or treat urinary infections. The ATC3 class G4A is divided into </w:t>
      </w:r>
      <w:r w:rsidR="00FD575A">
        <w:t xml:space="preserve">three </w:t>
      </w:r>
      <w:r>
        <w:t>ATC4 classes</w:t>
      </w:r>
      <w:r w:rsidR="00FD575A">
        <w:t>: G4A1 (urinary antibacterials); G4A2 (urinary non-halogenated quinolones) and G4A9 (other urinary antiseptics).</w:t>
      </w:r>
    </w:p>
    <w:p w:rsidR="0080226D" w:rsidRDefault="0080226D" w:rsidP="0080226D">
      <w:pPr>
        <w:pStyle w:val="ListNumber"/>
      </w:pPr>
      <w:r>
        <w:t>In previous decisions, the Commission identified a market at ATC3 level (G4A)</w:t>
      </w:r>
      <w:r>
        <w:rPr>
          <w:rStyle w:val="FootnoteReference"/>
        </w:rPr>
        <w:footnoteReference w:id="86"/>
      </w:r>
      <w:r>
        <w:t xml:space="preserve"> and possibly including the ATC2 J1 (Systemic antibacterials).</w:t>
      </w:r>
      <w:r>
        <w:rPr>
          <w:rStyle w:val="FootnoteReference"/>
        </w:rPr>
        <w:footnoteReference w:id="87"/>
      </w:r>
      <w:r>
        <w:t xml:space="preserve"> The Commission </w:t>
      </w:r>
      <w:r w:rsidR="00FA15A6">
        <w:t xml:space="preserve">ultimately left the market definition open.  It </w:t>
      </w:r>
      <w:r>
        <w:t>did not make any consideration</w:t>
      </w:r>
      <w:r w:rsidR="00B33973">
        <w:t>s</w:t>
      </w:r>
      <w:r>
        <w:t xml:space="preserve"> on the ATC4 level or molecule level.</w:t>
      </w:r>
    </w:p>
    <w:p w:rsidR="0080226D" w:rsidRDefault="0080226D" w:rsidP="0080226D">
      <w:pPr>
        <w:pStyle w:val="ListNumber"/>
      </w:pPr>
      <w:bookmarkStart w:id="272" w:name="_Ref517875897"/>
      <w:r>
        <w:t xml:space="preserve">The Notifying Party submits that Rx and OTC urinary anti-infectives products </w:t>
      </w:r>
      <w:r w:rsidR="00947A31">
        <w:t>are not in the same market</w:t>
      </w:r>
      <w:r>
        <w:t xml:space="preserve">. OTC treatments would </w:t>
      </w:r>
      <w:r w:rsidR="00C31CA2">
        <w:t xml:space="preserve">generally </w:t>
      </w:r>
      <w:r>
        <w:t>be used to relieve symptoms, while Rx treatments address the bacterial infections. The Notifying Party adds that OTC and Rx products have significant prices difference</w:t>
      </w:r>
      <w:r w:rsidR="00B33973">
        <w:t>;</w:t>
      </w:r>
      <w:r>
        <w:t xml:space="preserve"> Teva's Rx product being sold at 3.35 PLN with a 50% reimbursement and PGT OTC product being sold at 10.55 PLN with no reimbursement.</w:t>
      </w:r>
      <w:bookmarkEnd w:id="272"/>
    </w:p>
    <w:p w:rsidR="0080226D" w:rsidRDefault="0080226D" w:rsidP="0080226D">
      <w:pPr>
        <w:pStyle w:val="ListNumber"/>
      </w:pPr>
      <w:r>
        <w:t>The Notifying Party adds that should R</w:t>
      </w:r>
      <w:r w:rsidR="00922352">
        <w:t>x</w:t>
      </w:r>
      <w:r>
        <w:t xml:space="preserve"> and OTC products be part of the same market, the relevant market should be defined at ATC3 level, G4A.</w:t>
      </w:r>
    </w:p>
    <w:p w:rsidR="0080226D" w:rsidRDefault="0080226D" w:rsidP="0080226D">
      <w:pPr>
        <w:pStyle w:val="ListNumber"/>
      </w:pPr>
      <w:r w:rsidRPr="00AC4CB2">
        <w:lastRenderedPageBreak/>
        <w:t>In any event, for the purposes of the present case, the exact market definition can be left open</w:t>
      </w:r>
      <w:r w:rsidR="00C31CA2">
        <w:t xml:space="preserve"> as n</w:t>
      </w:r>
      <w:r>
        <w:t xml:space="preserve">o serious </w:t>
      </w:r>
      <w:r w:rsidRPr="00AC4CB2">
        <w:t xml:space="preserve">doubts arise under </w:t>
      </w:r>
      <w:r w:rsidRPr="00E305BA">
        <w:t>any plausible alternative market definition (namely, at ATC3</w:t>
      </w:r>
      <w:r>
        <w:t>/ATC4</w:t>
      </w:r>
      <w:r w:rsidRPr="00E305BA">
        <w:t xml:space="preserve"> </w:t>
      </w:r>
      <w:r>
        <w:t>or molecule</w:t>
      </w:r>
      <w:r w:rsidRPr="00E305BA">
        <w:t xml:space="preserve">). </w:t>
      </w:r>
    </w:p>
    <w:p w:rsidR="0080226D" w:rsidRDefault="0080226D" w:rsidP="0080226D">
      <w:pPr>
        <w:pStyle w:val="Heading4"/>
      </w:pPr>
      <w:bookmarkStart w:id="273" w:name="_Toc517710517"/>
      <w:bookmarkStart w:id="274" w:name="_Toc517812950"/>
      <w:r>
        <w:t>Parties' products</w:t>
      </w:r>
      <w:bookmarkEnd w:id="273"/>
      <w:bookmarkEnd w:id="274"/>
    </w:p>
    <w:p w:rsidR="0080226D" w:rsidRDefault="0080226D" w:rsidP="0080226D">
      <w:pPr>
        <w:pStyle w:val="ListNumber"/>
      </w:pPr>
      <w:r>
        <w:t xml:space="preserve">In Poland, Teva supplies a </w:t>
      </w:r>
      <w:r w:rsidRPr="00C22CE6">
        <w:rPr>
          <w:i/>
        </w:rPr>
        <w:t>furazidin</w:t>
      </w:r>
      <w:r>
        <w:t xml:space="preserve"> based Rx product, Furaginum Teva (50 mg), for adults and children. PGT supplies a </w:t>
      </w:r>
      <w:r w:rsidRPr="00C22CE6">
        <w:rPr>
          <w:i/>
        </w:rPr>
        <w:t xml:space="preserve">furazidin </w:t>
      </w:r>
      <w:r>
        <w:t>based OTC product, Neofuragina (50 mg), for adults only.</w:t>
      </w:r>
    </w:p>
    <w:p w:rsidR="0080226D" w:rsidRDefault="0080226D" w:rsidP="0080226D">
      <w:pPr>
        <w:pStyle w:val="Heading4"/>
      </w:pPr>
      <w:bookmarkStart w:id="275" w:name="_Toc517710518"/>
      <w:bookmarkStart w:id="276" w:name="_Toc517812951"/>
      <w:r>
        <w:t>Competitive assessment</w:t>
      </w:r>
      <w:bookmarkEnd w:id="275"/>
      <w:bookmarkEnd w:id="276"/>
    </w:p>
    <w:p w:rsidR="0080226D" w:rsidRDefault="0080226D" w:rsidP="0080226D">
      <w:pPr>
        <w:pStyle w:val="ListNumber"/>
      </w:pPr>
      <w:r>
        <w:t xml:space="preserve">At the ATC 3 </w:t>
      </w:r>
      <w:r w:rsidR="00FD575A">
        <w:t>(G4A) and ATC4 (G4A9)</w:t>
      </w:r>
      <w:r>
        <w:t xml:space="preserve"> </w:t>
      </w:r>
      <w:r w:rsidR="00FD575A">
        <w:t xml:space="preserve">levels, </w:t>
      </w:r>
      <w:r>
        <w:t xml:space="preserve">the Transaction gives rise to a Group 3 market. </w:t>
      </w:r>
      <w:r w:rsidR="00103C9B">
        <w:t xml:space="preserve"> </w:t>
      </w:r>
      <w:r>
        <w:t>At molecule level, the Transaction gives rise to a Group 1 market (based on volume).</w:t>
      </w:r>
      <w:r w:rsidR="00103C9B" w:rsidDel="00103C9B">
        <w:rPr>
          <w:rStyle w:val="FootnoteReference"/>
        </w:rPr>
        <w:t xml:space="preserve"> </w:t>
      </w:r>
      <w:r w:rsidR="00103C9B">
        <w:t xml:space="preserve"> </w:t>
      </w:r>
    </w:p>
    <w:p w:rsidR="0080226D" w:rsidRDefault="0080226D" w:rsidP="00B91E12">
      <w:pPr>
        <w:pStyle w:val="ListNumber"/>
      </w:pPr>
      <w:r>
        <w:t xml:space="preserve">The table below presents the Parties' market shares for </w:t>
      </w:r>
      <w:r w:rsidRPr="00C22CE6">
        <w:rPr>
          <w:i/>
        </w:rPr>
        <w:t>furazidin</w:t>
      </w:r>
      <w:r>
        <w:t xml:space="preserve"> based anti-infectives in Poland in </w:t>
      </w:r>
      <w:r w:rsidR="00B91E12">
        <w:t>2015-</w:t>
      </w:r>
      <w:r>
        <w:t>2017</w:t>
      </w:r>
      <w:r w:rsidR="00B91E12">
        <w:t>:</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6"/>
        <w:gridCol w:w="994"/>
        <w:gridCol w:w="1136"/>
        <w:gridCol w:w="1204"/>
      </w:tblGrid>
      <w:tr w:rsidR="00E97873" w:rsidRPr="00AD3737" w:rsidTr="00E97873">
        <w:trPr>
          <w:tblHeader/>
        </w:trPr>
        <w:tc>
          <w:tcPr>
            <w:tcW w:w="608" w:type="pct"/>
            <w:vMerge w:val="restart"/>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r w:rsidRPr="00B6607C">
              <w:rPr>
                <w:rFonts w:ascii="Times" w:hAnsi="Times"/>
                <w:b/>
                <w:sz w:val="18"/>
                <w:szCs w:val="18"/>
              </w:rPr>
              <w:t>OTC3</w:t>
            </w:r>
          </w:p>
          <w:p w:rsidR="00E97873" w:rsidRPr="00B6607C" w:rsidRDefault="00E97873" w:rsidP="00E97873">
            <w:pPr>
              <w:keepNext/>
              <w:snapToGrid w:val="0"/>
              <w:spacing w:after="0"/>
              <w:jc w:val="center"/>
              <w:rPr>
                <w:rFonts w:ascii="Times" w:hAnsi="Times"/>
                <w:b/>
                <w:sz w:val="18"/>
                <w:szCs w:val="18"/>
              </w:rPr>
            </w:pPr>
            <w:r w:rsidRPr="00B6607C">
              <w:rPr>
                <w:rFonts w:ascii="Times" w:hAnsi="Times"/>
                <w:b/>
                <w:sz w:val="18"/>
                <w:szCs w:val="18"/>
              </w:rPr>
              <w:t>ATC3</w:t>
            </w:r>
          </w:p>
          <w:p w:rsidR="00E97873" w:rsidRPr="00B6607C" w:rsidRDefault="00E97873" w:rsidP="00E97873">
            <w:pPr>
              <w:keepNext/>
              <w:snapToGrid w:val="0"/>
              <w:spacing w:after="0"/>
              <w:jc w:val="center"/>
              <w:rPr>
                <w:rFonts w:ascii="Times" w:hAnsi="Times"/>
                <w:b/>
                <w:sz w:val="18"/>
                <w:szCs w:val="18"/>
              </w:rPr>
            </w:pPr>
            <w:r w:rsidRPr="00B6607C">
              <w:rPr>
                <w:rFonts w:ascii="Times" w:hAnsi="Times"/>
                <w:b/>
                <w:sz w:val="18"/>
                <w:szCs w:val="18"/>
              </w:rPr>
              <w:t>ATC4</w:t>
            </w:r>
          </w:p>
          <w:p w:rsidR="00E97873" w:rsidRPr="00B6607C" w:rsidRDefault="00E97873" w:rsidP="00E97873">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E97873" w:rsidRPr="00B6607C" w:rsidRDefault="00E97873" w:rsidP="00E97873">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E97873" w:rsidRDefault="00E97873" w:rsidP="00E97873">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E97873" w:rsidRPr="00AD3737" w:rsidTr="00E97873">
        <w:trPr>
          <w:tblHeader/>
        </w:trPr>
        <w:tc>
          <w:tcPr>
            <w:tcW w:w="608" w:type="pct"/>
            <w:vMerge/>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p>
        </w:tc>
        <w:tc>
          <w:tcPr>
            <w:tcW w:w="696" w:type="pct"/>
            <w:vMerge/>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p>
        </w:tc>
        <w:tc>
          <w:tcPr>
            <w:tcW w:w="434" w:type="pct"/>
            <w:vMerge/>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p>
        </w:tc>
        <w:tc>
          <w:tcPr>
            <w:tcW w:w="523" w:type="pct"/>
            <w:vMerge/>
            <w:shd w:val="clear" w:color="auto" w:fill="D9D9D9" w:themeFill="background1" w:themeFillShade="D9"/>
          </w:tcPr>
          <w:p w:rsidR="00E97873" w:rsidRPr="00B6607C" w:rsidRDefault="00E97873" w:rsidP="00E97873">
            <w:pPr>
              <w:keepNext/>
              <w:snapToGrid w:val="0"/>
              <w:spacing w:after="0"/>
              <w:jc w:val="center"/>
              <w:rPr>
                <w:rFonts w:ascii="Times" w:hAnsi="Times"/>
                <w:b/>
                <w:sz w:val="18"/>
                <w:szCs w:val="18"/>
              </w:rPr>
            </w:pPr>
          </w:p>
        </w:tc>
        <w:tc>
          <w:tcPr>
            <w:tcW w:w="696" w:type="pct"/>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r w:rsidRPr="00B6607C">
              <w:rPr>
                <w:rFonts w:ascii="Times" w:hAnsi="Times"/>
                <w:b/>
                <w:sz w:val="18"/>
                <w:szCs w:val="18"/>
              </w:rPr>
              <w:t>Teva</w:t>
            </w:r>
          </w:p>
        </w:tc>
        <w:tc>
          <w:tcPr>
            <w:tcW w:w="609" w:type="pct"/>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shd w:val="clear" w:color="auto" w:fill="D9D9D9" w:themeFill="background1" w:themeFillShade="D9"/>
            <w:vAlign w:val="center"/>
          </w:tcPr>
          <w:p w:rsidR="00E97873" w:rsidRPr="00B6607C" w:rsidRDefault="00E97873" w:rsidP="00E97873">
            <w:pPr>
              <w:keepNext/>
              <w:snapToGrid w:val="0"/>
              <w:spacing w:after="0"/>
              <w:jc w:val="center"/>
              <w:rPr>
                <w:rFonts w:ascii="Times" w:hAnsi="Times"/>
                <w:b/>
                <w:sz w:val="18"/>
                <w:szCs w:val="18"/>
              </w:rPr>
            </w:pPr>
          </w:p>
        </w:tc>
      </w:tr>
      <w:tr w:rsidR="00E97873" w:rsidRPr="00AD3737" w:rsidTr="00E97873">
        <w:trPr>
          <w:trHeight w:val="345"/>
        </w:trPr>
        <w:tc>
          <w:tcPr>
            <w:tcW w:w="608" w:type="pct"/>
            <w:vMerge w:val="restart"/>
            <w:vAlign w:val="center"/>
          </w:tcPr>
          <w:p w:rsidR="00E97873" w:rsidRPr="00420413" w:rsidRDefault="00E97873" w:rsidP="00E97873">
            <w:pPr>
              <w:keepNext/>
              <w:spacing w:after="0"/>
              <w:jc w:val="center"/>
              <w:rPr>
                <w:rFonts w:ascii="Times" w:hAnsi="Times"/>
                <w:i/>
                <w:sz w:val="18"/>
                <w:szCs w:val="18"/>
              </w:rPr>
            </w:pPr>
            <w:r w:rsidRPr="00420413">
              <w:rPr>
                <w:rFonts w:ascii="Times" w:hAnsi="Times"/>
                <w:i/>
                <w:sz w:val="18"/>
                <w:szCs w:val="18"/>
              </w:rPr>
              <w:t>Furazidin</w:t>
            </w:r>
          </w:p>
        </w:tc>
        <w:tc>
          <w:tcPr>
            <w:tcW w:w="696" w:type="pct"/>
            <w:vMerge w:val="restart"/>
            <w:vAlign w:val="center"/>
          </w:tcPr>
          <w:p w:rsidR="00E97873" w:rsidRPr="00E97873" w:rsidRDefault="00E97873" w:rsidP="00E97873">
            <w:pPr>
              <w:keepNext/>
              <w:spacing w:after="0"/>
              <w:jc w:val="center"/>
              <w:rPr>
                <w:rFonts w:ascii="Times" w:hAnsi="Times"/>
                <w:sz w:val="18"/>
                <w:szCs w:val="18"/>
                <w:lang w:val="en-GB"/>
              </w:rPr>
            </w:pPr>
            <w:r>
              <w:rPr>
                <w:rFonts w:ascii="Times" w:hAnsi="Times"/>
                <w:sz w:val="18"/>
                <w:szCs w:val="18"/>
              </w:rPr>
              <w:t>Furazidin-based Urinary Anti-Infectives and Antiseptics (Rx and OTC)</w:t>
            </w:r>
          </w:p>
        </w:tc>
        <w:tc>
          <w:tcPr>
            <w:tcW w:w="434" w:type="pct"/>
            <w:vMerge w:val="restart"/>
            <w:vAlign w:val="center"/>
          </w:tcPr>
          <w:p w:rsidR="00E97873" w:rsidRPr="00B6607C" w:rsidRDefault="00E97873" w:rsidP="00E97873">
            <w:pPr>
              <w:keepNext/>
              <w:spacing w:after="0"/>
              <w:jc w:val="center"/>
              <w:rPr>
                <w:rFonts w:ascii="Times" w:hAnsi="Times"/>
                <w:sz w:val="18"/>
                <w:szCs w:val="18"/>
              </w:rPr>
            </w:pPr>
            <w:r w:rsidRPr="00232DC4">
              <w:rPr>
                <w:rFonts w:ascii="Times" w:hAnsi="Times"/>
                <w:sz w:val="18"/>
                <w:szCs w:val="18"/>
              </w:rPr>
              <w:t>Group 1</w:t>
            </w:r>
          </w:p>
        </w:tc>
        <w:tc>
          <w:tcPr>
            <w:tcW w:w="523" w:type="pct"/>
            <w:vAlign w:val="center"/>
          </w:tcPr>
          <w:p w:rsidR="00E97873" w:rsidRPr="00213AF2" w:rsidRDefault="00E97873" w:rsidP="00E97873">
            <w:pPr>
              <w:keepNext/>
              <w:spacing w:after="0"/>
              <w:jc w:val="left"/>
              <w:rPr>
                <w:rFonts w:ascii="Times" w:hAnsi="Times"/>
                <w:sz w:val="18"/>
              </w:rPr>
            </w:pPr>
            <w:r>
              <w:rPr>
                <w:rFonts w:ascii="Times" w:hAnsi="Times"/>
                <w:sz w:val="18"/>
              </w:rPr>
              <w:t>2017</w:t>
            </w:r>
          </w:p>
        </w:tc>
        <w:tc>
          <w:tcPr>
            <w:tcW w:w="696" w:type="pct"/>
            <w:vAlign w:val="center"/>
          </w:tcPr>
          <w:p w:rsidR="00E97873" w:rsidRDefault="00D71052" w:rsidP="00E97873">
            <w:pPr>
              <w:keepNext/>
              <w:spacing w:after="0"/>
              <w:contextualSpacing/>
              <w:jc w:val="center"/>
              <w:rPr>
                <w:rFonts w:ascii="Times" w:hAnsi="Times"/>
                <w:sz w:val="18"/>
                <w:szCs w:val="18"/>
              </w:rPr>
            </w:pPr>
            <w:r>
              <w:rPr>
                <w:rFonts w:ascii="Times" w:hAnsi="Times"/>
                <w:sz w:val="18"/>
                <w:szCs w:val="18"/>
              </w:rPr>
              <w:t>[</w:t>
            </w:r>
            <w:r w:rsidR="00E97873" w:rsidRPr="00232DC4">
              <w:rPr>
                <w:rFonts w:ascii="Times" w:hAnsi="Times"/>
                <w:sz w:val="18"/>
                <w:szCs w:val="18"/>
              </w:rPr>
              <w:t>5</w:t>
            </w:r>
            <w:r>
              <w:rPr>
                <w:rFonts w:ascii="Times" w:hAnsi="Times"/>
                <w:sz w:val="18"/>
                <w:szCs w:val="18"/>
              </w:rPr>
              <w:t>-10]</w:t>
            </w:r>
            <w:r w:rsidR="00E97873" w:rsidRPr="00232DC4">
              <w:rPr>
                <w:rFonts w:ascii="Times" w:hAnsi="Times"/>
                <w:sz w:val="18"/>
                <w:szCs w:val="18"/>
              </w:rPr>
              <w:t>%/</w:t>
            </w:r>
          </w:p>
          <w:p w:rsidR="00E97873" w:rsidRPr="00B6607C" w:rsidRDefault="00D71052" w:rsidP="00D71052">
            <w:pPr>
              <w:keepNext/>
              <w:spacing w:after="0"/>
              <w:jc w:val="center"/>
              <w:rPr>
                <w:rFonts w:ascii="Times" w:hAnsi="Times"/>
                <w:sz w:val="18"/>
                <w:szCs w:val="18"/>
              </w:rPr>
            </w:pPr>
            <w:r>
              <w:rPr>
                <w:rFonts w:ascii="Times" w:hAnsi="Times"/>
                <w:sz w:val="18"/>
                <w:szCs w:val="18"/>
              </w:rPr>
              <w:t>[10-20]</w:t>
            </w:r>
            <w:r w:rsidR="00E97873" w:rsidRPr="00232DC4">
              <w:rPr>
                <w:rFonts w:ascii="Times" w:hAnsi="Times"/>
                <w:sz w:val="18"/>
                <w:szCs w:val="18"/>
              </w:rPr>
              <w:t>%</w:t>
            </w:r>
          </w:p>
        </w:tc>
        <w:tc>
          <w:tcPr>
            <w:tcW w:w="609" w:type="pct"/>
            <w:vAlign w:val="center"/>
          </w:tcPr>
          <w:p w:rsidR="00E97873" w:rsidRPr="00B6607C" w:rsidRDefault="00D71052" w:rsidP="00D71052">
            <w:pPr>
              <w:keepNext/>
              <w:spacing w:after="0"/>
              <w:jc w:val="center"/>
              <w:rPr>
                <w:rFonts w:ascii="Times" w:hAnsi="Times"/>
                <w:sz w:val="18"/>
                <w:szCs w:val="18"/>
              </w:rPr>
            </w:pPr>
            <w:r>
              <w:rPr>
                <w:rFonts w:ascii="Times" w:hAnsi="Times"/>
                <w:sz w:val="18"/>
                <w:szCs w:val="18"/>
              </w:rPr>
              <w:t>[20-30]</w:t>
            </w:r>
            <w:r w:rsidR="00E97873" w:rsidRPr="00232DC4">
              <w:rPr>
                <w:rFonts w:ascii="Times" w:hAnsi="Times"/>
                <w:sz w:val="18"/>
                <w:szCs w:val="18"/>
              </w:rPr>
              <w:t>%</w:t>
            </w:r>
            <w:r>
              <w:rPr>
                <w:rFonts w:ascii="Times" w:hAnsi="Times"/>
                <w:sz w:val="18"/>
                <w:szCs w:val="18"/>
              </w:rPr>
              <w:t xml:space="preserve"> </w:t>
            </w:r>
            <w:r w:rsidR="00E97873" w:rsidRPr="00232DC4">
              <w:rPr>
                <w:rFonts w:ascii="Times" w:hAnsi="Times"/>
                <w:sz w:val="18"/>
                <w:szCs w:val="18"/>
              </w:rPr>
              <w:t>/</w:t>
            </w:r>
            <w:r>
              <w:rPr>
                <w:rFonts w:ascii="Times" w:hAnsi="Times"/>
                <w:sz w:val="18"/>
                <w:szCs w:val="18"/>
              </w:rPr>
              <w:t>[20-30]</w:t>
            </w:r>
            <w:r w:rsidR="00E97873" w:rsidRPr="00232DC4">
              <w:rPr>
                <w:rFonts w:ascii="Times" w:hAnsi="Times"/>
                <w:sz w:val="18"/>
                <w:szCs w:val="18"/>
              </w:rPr>
              <w:t>%</w:t>
            </w:r>
          </w:p>
        </w:tc>
        <w:tc>
          <w:tcPr>
            <w:tcW w:w="696" w:type="pct"/>
            <w:vAlign w:val="center"/>
          </w:tcPr>
          <w:p w:rsidR="00E97873" w:rsidRPr="00B6607C" w:rsidRDefault="00D71052" w:rsidP="00D71052">
            <w:pPr>
              <w:keepNext/>
              <w:spacing w:after="0"/>
              <w:jc w:val="center"/>
              <w:rPr>
                <w:rFonts w:ascii="Times" w:hAnsi="Times"/>
                <w:sz w:val="18"/>
                <w:szCs w:val="18"/>
              </w:rPr>
            </w:pPr>
            <w:r>
              <w:rPr>
                <w:rFonts w:ascii="Times" w:hAnsi="Times"/>
                <w:sz w:val="18"/>
                <w:szCs w:val="18"/>
              </w:rPr>
              <w:t>[20-30]</w:t>
            </w:r>
            <w:r w:rsidR="00E97873" w:rsidRPr="00232DC4">
              <w:rPr>
                <w:rFonts w:ascii="Times" w:hAnsi="Times"/>
                <w:sz w:val="18"/>
                <w:szCs w:val="18"/>
              </w:rPr>
              <w:t>%</w:t>
            </w:r>
            <w:r>
              <w:rPr>
                <w:rFonts w:ascii="Times" w:hAnsi="Times"/>
                <w:sz w:val="18"/>
                <w:szCs w:val="18"/>
              </w:rPr>
              <w:t xml:space="preserve"> </w:t>
            </w:r>
            <w:r w:rsidR="00E97873" w:rsidRPr="00232DC4">
              <w:rPr>
                <w:rFonts w:ascii="Times" w:hAnsi="Times"/>
                <w:sz w:val="18"/>
                <w:szCs w:val="18"/>
              </w:rPr>
              <w:t>/</w:t>
            </w:r>
            <w:r>
              <w:rPr>
                <w:rFonts w:ascii="Times" w:hAnsi="Times"/>
                <w:sz w:val="18"/>
                <w:szCs w:val="18"/>
              </w:rPr>
              <w:t>[30-40]</w:t>
            </w:r>
            <w:r w:rsidR="00E97873" w:rsidRPr="00232DC4">
              <w:rPr>
                <w:rFonts w:ascii="Times" w:hAnsi="Times"/>
                <w:sz w:val="18"/>
                <w:szCs w:val="18"/>
              </w:rPr>
              <w:t>%</w:t>
            </w:r>
          </w:p>
        </w:tc>
        <w:tc>
          <w:tcPr>
            <w:tcW w:w="738" w:type="pct"/>
            <w:vAlign w:val="center"/>
          </w:tcPr>
          <w:p w:rsidR="00E97873" w:rsidRPr="00B6607C" w:rsidRDefault="00E97873" w:rsidP="00C1482B">
            <w:pPr>
              <w:keepNext/>
              <w:spacing w:after="0"/>
              <w:jc w:val="center"/>
              <w:rPr>
                <w:rFonts w:ascii="Times" w:hAnsi="Times"/>
                <w:sz w:val="18"/>
                <w:szCs w:val="18"/>
              </w:rPr>
            </w:pPr>
            <w:r w:rsidRPr="00232DC4">
              <w:rPr>
                <w:rFonts w:ascii="Times" w:hAnsi="Times"/>
                <w:sz w:val="18"/>
                <w:szCs w:val="18"/>
              </w:rPr>
              <w:t xml:space="preserve">At least </w:t>
            </w:r>
            <w:r w:rsidR="00C1482B">
              <w:rPr>
                <w:rFonts w:ascii="Times" w:hAnsi="Times"/>
                <w:sz w:val="18"/>
                <w:szCs w:val="18"/>
              </w:rPr>
              <w:t>2</w:t>
            </w:r>
          </w:p>
        </w:tc>
      </w:tr>
      <w:tr w:rsidR="00D71052" w:rsidRPr="00AD3737" w:rsidTr="00E97873">
        <w:trPr>
          <w:trHeight w:val="345"/>
        </w:trPr>
        <w:tc>
          <w:tcPr>
            <w:tcW w:w="608" w:type="pct"/>
            <w:vMerge/>
            <w:vAlign w:val="center"/>
          </w:tcPr>
          <w:p w:rsidR="00D71052" w:rsidRPr="00420413" w:rsidRDefault="00D71052" w:rsidP="00E97873">
            <w:pPr>
              <w:keepNext/>
              <w:spacing w:after="0"/>
              <w:jc w:val="center"/>
              <w:rPr>
                <w:rFonts w:ascii="Times" w:hAnsi="Times"/>
                <w:i/>
                <w:sz w:val="18"/>
                <w:szCs w:val="18"/>
              </w:rPr>
            </w:pPr>
          </w:p>
        </w:tc>
        <w:tc>
          <w:tcPr>
            <w:tcW w:w="696" w:type="pct"/>
            <w:vMerge/>
            <w:vAlign w:val="center"/>
          </w:tcPr>
          <w:p w:rsidR="00D71052" w:rsidRPr="00B6607C" w:rsidRDefault="00D71052" w:rsidP="00E97873">
            <w:pPr>
              <w:keepNext/>
              <w:spacing w:after="0"/>
              <w:jc w:val="center"/>
              <w:rPr>
                <w:rFonts w:ascii="Times" w:hAnsi="Times"/>
                <w:sz w:val="18"/>
                <w:szCs w:val="18"/>
              </w:rPr>
            </w:pPr>
          </w:p>
        </w:tc>
        <w:tc>
          <w:tcPr>
            <w:tcW w:w="434" w:type="pct"/>
            <w:vMerge/>
            <w:vAlign w:val="center"/>
          </w:tcPr>
          <w:p w:rsidR="00D71052" w:rsidRPr="00B6607C" w:rsidRDefault="00D71052" w:rsidP="00E97873">
            <w:pPr>
              <w:keepNext/>
              <w:spacing w:after="0"/>
              <w:jc w:val="center"/>
              <w:rPr>
                <w:rFonts w:ascii="Times" w:hAnsi="Times"/>
                <w:sz w:val="18"/>
                <w:szCs w:val="18"/>
              </w:rPr>
            </w:pPr>
          </w:p>
        </w:tc>
        <w:tc>
          <w:tcPr>
            <w:tcW w:w="523" w:type="pct"/>
            <w:vAlign w:val="center"/>
          </w:tcPr>
          <w:p w:rsidR="00D71052" w:rsidRPr="00213AF2" w:rsidRDefault="00D71052" w:rsidP="00E97873">
            <w:pPr>
              <w:keepNext/>
              <w:spacing w:after="0"/>
              <w:jc w:val="left"/>
              <w:rPr>
                <w:rFonts w:ascii="Times" w:hAnsi="Times"/>
                <w:sz w:val="18"/>
              </w:rPr>
            </w:pPr>
            <w:r>
              <w:rPr>
                <w:rFonts w:ascii="Times" w:hAnsi="Times"/>
                <w:sz w:val="18"/>
              </w:rPr>
              <w:t>2016</w:t>
            </w:r>
          </w:p>
        </w:tc>
        <w:tc>
          <w:tcPr>
            <w:tcW w:w="696" w:type="pct"/>
            <w:vAlign w:val="center"/>
          </w:tcPr>
          <w:p w:rsidR="00D71052" w:rsidRDefault="00D71052" w:rsidP="003B687A">
            <w:pPr>
              <w:keepNext/>
              <w:spacing w:after="0"/>
              <w:contextualSpacing/>
              <w:jc w:val="center"/>
              <w:rPr>
                <w:rFonts w:ascii="Times" w:hAnsi="Times"/>
                <w:sz w:val="18"/>
                <w:szCs w:val="18"/>
              </w:rPr>
            </w:pPr>
            <w:r>
              <w:rPr>
                <w:rFonts w:ascii="Times" w:hAnsi="Times"/>
                <w:sz w:val="18"/>
                <w:szCs w:val="18"/>
              </w:rPr>
              <w:t>[</w:t>
            </w:r>
            <w:r w:rsidRPr="00232DC4">
              <w:rPr>
                <w:rFonts w:ascii="Times" w:hAnsi="Times"/>
                <w:sz w:val="18"/>
                <w:szCs w:val="18"/>
              </w:rPr>
              <w:t>5</w:t>
            </w:r>
            <w:r>
              <w:rPr>
                <w:rFonts w:ascii="Times" w:hAnsi="Times"/>
                <w:sz w:val="18"/>
                <w:szCs w:val="18"/>
              </w:rPr>
              <w:t>-10]</w:t>
            </w:r>
            <w:r w:rsidRPr="00232DC4">
              <w:rPr>
                <w:rFonts w:ascii="Times" w:hAnsi="Times"/>
                <w:sz w:val="18"/>
                <w:szCs w:val="18"/>
              </w:rPr>
              <w:t>%/</w:t>
            </w:r>
          </w:p>
          <w:p w:rsidR="00D71052" w:rsidRPr="00B6607C" w:rsidRDefault="00D71052" w:rsidP="003B687A">
            <w:pPr>
              <w:keepNext/>
              <w:spacing w:after="0"/>
              <w:jc w:val="center"/>
              <w:rPr>
                <w:rFonts w:ascii="Times" w:hAnsi="Times"/>
                <w:sz w:val="18"/>
                <w:szCs w:val="18"/>
              </w:rPr>
            </w:pPr>
            <w:r>
              <w:rPr>
                <w:rFonts w:ascii="Times" w:hAnsi="Times"/>
                <w:sz w:val="18"/>
                <w:szCs w:val="18"/>
              </w:rPr>
              <w:t>[10-20]</w:t>
            </w:r>
            <w:r w:rsidRPr="00232DC4">
              <w:rPr>
                <w:rFonts w:ascii="Times" w:hAnsi="Times"/>
                <w:sz w:val="18"/>
                <w:szCs w:val="18"/>
              </w:rPr>
              <w:t>%</w:t>
            </w:r>
          </w:p>
        </w:tc>
        <w:tc>
          <w:tcPr>
            <w:tcW w:w="609" w:type="pct"/>
            <w:vAlign w:val="center"/>
          </w:tcPr>
          <w:p w:rsidR="00D71052" w:rsidRPr="00B6607C" w:rsidRDefault="00D71052" w:rsidP="003B687A">
            <w:pPr>
              <w:keepNext/>
              <w:spacing w:after="0"/>
              <w:jc w:val="center"/>
              <w:rPr>
                <w:rFonts w:ascii="Times" w:hAnsi="Times"/>
                <w:sz w:val="18"/>
                <w:szCs w:val="18"/>
              </w:rPr>
            </w:pPr>
            <w:r>
              <w:rPr>
                <w:rFonts w:ascii="Times" w:hAnsi="Times"/>
                <w:sz w:val="18"/>
                <w:szCs w:val="18"/>
              </w:rPr>
              <w:t>[20-30]</w:t>
            </w:r>
            <w:r w:rsidRPr="00232DC4">
              <w:rPr>
                <w:rFonts w:ascii="Times" w:hAnsi="Times"/>
                <w:sz w:val="18"/>
                <w:szCs w:val="18"/>
              </w:rPr>
              <w:t>%</w:t>
            </w:r>
            <w:r>
              <w:rPr>
                <w:rFonts w:ascii="Times" w:hAnsi="Times"/>
                <w:sz w:val="18"/>
                <w:szCs w:val="18"/>
              </w:rPr>
              <w:t xml:space="preserve"> </w:t>
            </w:r>
            <w:r w:rsidRPr="00232DC4">
              <w:rPr>
                <w:rFonts w:ascii="Times" w:hAnsi="Times"/>
                <w:sz w:val="18"/>
                <w:szCs w:val="18"/>
              </w:rPr>
              <w:t>/</w:t>
            </w:r>
            <w:r>
              <w:rPr>
                <w:rFonts w:ascii="Times" w:hAnsi="Times"/>
                <w:sz w:val="18"/>
                <w:szCs w:val="18"/>
              </w:rPr>
              <w:t>[20-30]</w:t>
            </w:r>
            <w:r w:rsidRPr="00232DC4">
              <w:rPr>
                <w:rFonts w:ascii="Times" w:hAnsi="Times"/>
                <w:sz w:val="18"/>
                <w:szCs w:val="18"/>
              </w:rPr>
              <w:t>%</w:t>
            </w:r>
          </w:p>
        </w:tc>
        <w:tc>
          <w:tcPr>
            <w:tcW w:w="696" w:type="pct"/>
            <w:vAlign w:val="center"/>
          </w:tcPr>
          <w:p w:rsidR="00D71052" w:rsidRPr="00B6607C" w:rsidRDefault="00D71052" w:rsidP="00E97873">
            <w:pPr>
              <w:keepNext/>
              <w:spacing w:after="0"/>
              <w:jc w:val="center"/>
              <w:rPr>
                <w:rFonts w:ascii="Times" w:hAnsi="Times"/>
                <w:sz w:val="18"/>
                <w:szCs w:val="18"/>
              </w:rPr>
            </w:pPr>
            <w:r>
              <w:rPr>
                <w:rFonts w:ascii="Times" w:hAnsi="Times"/>
                <w:sz w:val="18"/>
                <w:szCs w:val="18"/>
              </w:rPr>
              <w:t>[30-40]% /[40-50]%</w:t>
            </w:r>
          </w:p>
        </w:tc>
        <w:tc>
          <w:tcPr>
            <w:tcW w:w="738" w:type="pct"/>
            <w:vAlign w:val="center"/>
          </w:tcPr>
          <w:p w:rsidR="00D71052" w:rsidRPr="00B6607C" w:rsidRDefault="00D71052" w:rsidP="00E97873">
            <w:pPr>
              <w:keepNext/>
              <w:spacing w:after="0"/>
              <w:jc w:val="center"/>
              <w:rPr>
                <w:rFonts w:ascii="Times" w:hAnsi="Times"/>
                <w:sz w:val="18"/>
                <w:szCs w:val="18"/>
              </w:rPr>
            </w:pPr>
            <w:r>
              <w:rPr>
                <w:rFonts w:ascii="Times" w:hAnsi="Times"/>
                <w:sz w:val="18"/>
                <w:szCs w:val="18"/>
              </w:rPr>
              <w:t>At least 2</w:t>
            </w:r>
          </w:p>
        </w:tc>
      </w:tr>
      <w:tr w:rsidR="00D71052" w:rsidRPr="00AD3737" w:rsidTr="00E97873">
        <w:trPr>
          <w:trHeight w:val="345"/>
        </w:trPr>
        <w:tc>
          <w:tcPr>
            <w:tcW w:w="608" w:type="pct"/>
            <w:vMerge/>
            <w:vAlign w:val="center"/>
          </w:tcPr>
          <w:p w:rsidR="00D71052" w:rsidRPr="00420413" w:rsidRDefault="00D71052" w:rsidP="00E97873">
            <w:pPr>
              <w:keepNext/>
              <w:spacing w:after="0"/>
              <w:jc w:val="center"/>
              <w:rPr>
                <w:rFonts w:ascii="Times" w:hAnsi="Times"/>
                <w:i/>
                <w:sz w:val="18"/>
                <w:szCs w:val="18"/>
              </w:rPr>
            </w:pPr>
          </w:p>
        </w:tc>
        <w:tc>
          <w:tcPr>
            <w:tcW w:w="696" w:type="pct"/>
            <w:vMerge/>
            <w:vAlign w:val="center"/>
          </w:tcPr>
          <w:p w:rsidR="00D71052" w:rsidRPr="00B6607C" w:rsidRDefault="00D71052" w:rsidP="00E97873">
            <w:pPr>
              <w:keepNext/>
              <w:spacing w:after="0"/>
              <w:jc w:val="center"/>
              <w:rPr>
                <w:rFonts w:ascii="Times" w:hAnsi="Times"/>
                <w:sz w:val="18"/>
                <w:szCs w:val="18"/>
              </w:rPr>
            </w:pPr>
          </w:p>
        </w:tc>
        <w:tc>
          <w:tcPr>
            <w:tcW w:w="434" w:type="pct"/>
            <w:vMerge/>
            <w:vAlign w:val="center"/>
          </w:tcPr>
          <w:p w:rsidR="00D71052" w:rsidRPr="00B6607C" w:rsidRDefault="00D71052" w:rsidP="00E97873">
            <w:pPr>
              <w:keepNext/>
              <w:spacing w:after="0"/>
              <w:jc w:val="center"/>
              <w:rPr>
                <w:rFonts w:ascii="Times" w:hAnsi="Times"/>
                <w:sz w:val="18"/>
                <w:szCs w:val="18"/>
              </w:rPr>
            </w:pPr>
          </w:p>
        </w:tc>
        <w:tc>
          <w:tcPr>
            <w:tcW w:w="523" w:type="pct"/>
            <w:vAlign w:val="center"/>
          </w:tcPr>
          <w:p w:rsidR="00D71052" w:rsidRPr="00213AF2" w:rsidRDefault="00D71052" w:rsidP="00E97873">
            <w:pPr>
              <w:keepNext/>
              <w:spacing w:after="0"/>
              <w:jc w:val="left"/>
              <w:rPr>
                <w:rFonts w:ascii="Times" w:hAnsi="Times"/>
                <w:sz w:val="18"/>
              </w:rPr>
            </w:pPr>
            <w:r>
              <w:rPr>
                <w:rFonts w:ascii="Times" w:hAnsi="Times"/>
                <w:sz w:val="18"/>
              </w:rPr>
              <w:t>2015</w:t>
            </w:r>
          </w:p>
        </w:tc>
        <w:tc>
          <w:tcPr>
            <w:tcW w:w="696" w:type="pct"/>
            <w:vAlign w:val="center"/>
          </w:tcPr>
          <w:p w:rsidR="00D71052" w:rsidRPr="00B6607C" w:rsidRDefault="00D71052" w:rsidP="00D71052">
            <w:pPr>
              <w:keepNext/>
              <w:spacing w:after="0"/>
              <w:jc w:val="center"/>
              <w:rPr>
                <w:rFonts w:ascii="Times" w:hAnsi="Times"/>
                <w:sz w:val="18"/>
                <w:szCs w:val="18"/>
              </w:rPr>
            </w:pPr>
            <w:r>
              <w:rPr>
                <w:rFonts w:ascii="Times" w:hAnsi="Times"/>
                <w:sz w:val="18"/>
                <w:szCs w:val="18"/>
              </w:rPr>
              <w:t>[10-20]% /[20-30]%</w:t>
            </w:r>
          </w:p>
        </w:tc>
        <w:tc>
          <w:tcPr>
            <w:tcW w:w="609" w:type="pct"/>
            <w:vAlign w:val="center"/>
          </w:tcPr>
          <w:p w:rsidR="00D71052" w:rsidRPr="00B6607C" w:rsidRDefault="00D71052" w:rsidP="00D71052">
            <w:pPr>
              <w:keepNext/>
              <w:spacing w:after="0"/>
              <w:jc w:val="center"/>
              <w:rPr>
                <w:rFonts w:ascii="Times" w:hAnsi="Times"/>
                <w:sz w:val="18"/>
                <w:szCs w:val="18"/>
              </w:rPr>
            </w:pPr>
            <w:r>
              <w:rPr>
                <w:rFonts w:ascii="Times" w:hAnsi="Times"/>
                <w:sz w:val="18"/>
                <w:szCs w:val="18"/>
              </w:rPr>
              <w:t>[20-30]% /[10-20]%</w:t>
            </w:r>
          </w:p>
        </w:tc>
        <w:tc>
          <w:tcPr>
            <w:tcW w:w="696" w:type="pct"/>
            <w:vAlign w:val="center"/>
          </w:tcPr>
          <w:p w:rsidR="00D71052" w:rsidRPr="00B6607C" w:rsidRDefault="00D71052" w:rsidP="003B687A">
            <w:pPr>
              <w:keepNext/>
              <w:spacing w:after="0"/>
              <w:jc w:val="center"/>
              <w:rPr>
                <w:rFonts w:ascii="Times" w:hAnsi="Times"/>
                <w:sz w:val="18"/>
                <w:szCs w:val="18"/>
              </w:rPr>
            </w:pPr>
            <w:r>
              <w:rPr>
                <w:rFonts w:ascii="Times" w:hAnsi="Times"/>
                <w:sz w:val="18"/>
                <w:szCs w:val="18"/>
              </w:rPr>
              <w:t>[30-40]% /[40-50]%</w:t>
            </w:r>
          </w:p>
        </w:tc>
        <w:tc>
          <w:tcPr>
            <w:tcW w:w="738" w:type="pct"/>
            <w:vAlign w:val="center"/>
          </w:tcPr>
          <w:p w:rsidR="00D71052" w:rsidRPr="00B6607C" w:rsidRDefault="00D71052" w:rsidP="00E97873">
            <w:pPr>
              <w:keepNext/>
              <w:spacing w:after="0"/>
              <w:jc w:val="center"/>
              <w:rPr>
                <w:rFonts w:ascii="Times" w:hAnsi="Times"/>
                <w:sz w:val="18"/>
                <w:szCs w:val="18"/>
              </w:rPr>
            </w:pPr>
            <w:r>
              <w:rPr>
                <w:rFonts w:ascii="Times" w:hAnsi="Times"/>
                <w:sz w:val="18"/>
                <w:szCs w:val="18"/>
              </w:rPr>
              <w:t>At least 2</w:t>
            </w:r>
          </w:p>
        </w:tc>
      </w:tr>
    </w:tbl>
    <w:p w:rsidR="00E97873" w:rsidRDefault="00E97873" w:rsidP="0080226D">
      <w:pPr>
        <w:pStyle w:val="ListNumber"/>
        <w:numPr>
          <w:ilvl w:val="0"/>
          <w:numId w:val="0"/>
        </w:numPr>
        <w:spacing w:after="0"/>
        <w:ind w:left="709"/>
        <w:rPr>
          <w:rFonts w:eastAsia="Calibri"/>
        </w:rPr>
      </w:pPr>
    </w:p>
    <w:p w:rsidR="0080226D" w:rsidRDefault="0080226D" w:rsidP="0080226D">
      <w:pPr>
        <w:pStyle w:val="ListNumber"/>
      </w:pPr>
      <w:r>
        <w:t xml:space="preserve">The Parties' combined market share for </w:t>
      </w:r>
      <w:r w:rsidRPr="00C22CE6">
        <w:rPr>
          <w:i/>
        </w:rPr>
        <w:t>furazidin</w:t>
      </w:r>
      <w:r>
        <w:t xml:space="preserve"> based urinary anti-infectives is </w:t>
      </w:r>
      <w:r w:rsidR="00D71052">
        <w:t>[20-30]</w:t>
      </w:r>
      <w:r>
        <w:t xml:space="preserve">% in value and </w:t>
      </w:r>
      <w:r w:rsidR="00D71052">
        <w:t>[30-40]</w:t>
      </w:r>
      <w:r>
        <w:t xml:space="preserve">% in volume in 2017. Teva's market share has been decreasing over the last three years, from </w:t>
      </w:r>
      <w:r w:rsidR="00D71052">
        <w:t>[10-20]</w:t>
      </w:r>
      <w:r>
        <w:t xml:space="preserve">% in value in 2015 to </w:t>
      </w:r>
      <w:r w:rsidR="00D71052">
        <w:t>[</w:t>
      </w:r>
      <w:r>
        <w:t>5</w:t>
      </w:r>
      <w:r w:rsidR="00D71052">
        <w:t>-10]</w:t>
      </w:r>
      <w:r>
        <w:t>% in value in 2017.</w:t>
      </w:r>
    </w:p>
    <w:p w:rsidR="0080226D" w:rsidRPr="00A47FA2" w:rsidRDefault="0080226D" w:rsidP="0080226D">
      <w:pPr>
        <w:pStyle w:val="ListNumber"/>
      </w:pPr>
      <w:r>
        <w:t>Post-Transaction, several competitors will remain, including the leading player Adamed (</w:t>
      </w:r>
      <w:r w:rsidR="00D71052">
        <w:t>[</w:t>
      </w:r>
      <w:r>
        <w:t>50</w:t>
      </w:r>
      <w:r w:rsidR="00D71052">
        <w:t>-60]</w:t>
      </w:r>
      <w:r>
        <w:t>% in value</w:t>
      </w:r>
      <w:r w:rsidR="00C1482B">
        <w:t xml:space="preserve">, </w:t>
      </w:r>
      <w:r w:rsidR="00D71052">
        <w:t>[40-50]</w:t>
      </w:r>
      <w:r>
        <w:t>% in volume), Us Pharmacia (</w:t>
      </w:r>
      <w:r w:rsidR="00D71052">
        <w:t>[10-20]</w:t>
      </w:r>
      <w:r>
        <w:t xml:space="preserve">% in value, </w:t>
      </w:r>
      <w:r w:rsidR="00D71052">
        <w:t>[10-20]</w:t>
      </w:r>
      <w:r>
        <w:t>% in volume) and Aflofarm (</w:t>
      </w:r>
      <w:r w:rsidR="00D71052">
        <w:t>[5-10]</w:t>
      </w:r>
      <w:r>
        <w:t xml:space="preserve">% in value, </w:t>
      </w:r>
      <w:r w:rsidR="00D71052">
        <w:t>[0-5]</w:t>
      </w:r>
      <w:r>
        <w:t xml:space="preserve">% in volume). </w:t>
      </w:r>
      <w:r w:rsidR="00C1482B">
        <w:t xml:space="preserve"> </w:t>
      </w:r>
      <w:r>
        <w:t>Aflofarm has entered the market</w:t>
      </w:r>
      <w:r w:rsidR="00C1482B">
        <w:t xml:space="preserve"> recently</w:t>
      </w:r>
      <w:r>
        <w:t xml:space="preserve">, </w:t>
      </w:r>
      <w:r w:rsidR="00C1482B">
        <w:t xml:space="preserve">namely, </w:t>
      </w:r>
      <w:r w:rsidRPr="00A47FA2">
        <w:t>in 2016.</w:t>
      </w:r>
    </w:p>
    <w:p w:rsidR="0080226D" w:rsidRPr="00DA48C0" w:rsidRDefault="0080226D" w:rsidP="0080226D">
      <w:pPr>
        <w:pStyle w:val="ListNumber"/>
      </w:pPr>
      <w:r w:rsidRPr="00A47FA2">
        <w:t xml:space="preserve">In addition, the </w:t>
      </w:r>
      <w:r>
        <w:rPr>
          <w:rFonts w:eastAsia="Calibri"/>
        </w:rPr>
        <w:t xml:space="preserve">Parties' products </w:t>
      </w:r>
      <w:r w:rsidR="00185FCC">
        <w:rPr>
          <w:rFonts w:eastAsia="Calibri"/>
        </w:rPr>
        <w:t xml:space="preserve">do not seem to be </w:t>
      </w:r>
      <w:r w:rsidR="00482C68">
        <w:rPr>
          <w:rFonts w:eastAsia="Calibri"/>
        </w:rPr>
        <w:t xml:space="preserve">not close </w:t>
      </w:r>
      <w:r>
        <w:rPr>
          <w:rFonts w:eastAsia="Calibri"/>
        </w:rPr>
        <w:t>competitors. As indicated above, one is sold OTC and the other Rx, and they have differences in terms of indications</w:t>
      </w:r>
      <w:r>
        <w:rPr>
          <w:rStyle w:val="FootnoteReference"/>
          <w:rFonts w:eastAsia="Calibri"/>
        </w:rPr>
        <w:footnoteReference w:id="88"/>
      </w:r>
      <w:r>
        <w:rPr>
          <w:rFonts w:eastAsia="Calibri"/>
        </w:rPr>
        <w:t xml:space="preserve"> and prices. Also, Teva</w:t>
      </w:r>
      <w:r w:rsidR="00990D4B">
        <w:rPr>
          <w:rFonts w:eastAsia="Calibri"/>
        </w:rPr>
        <w:t>'s</w:t>
      </w:r>
      <w:r>
        <w:rPr>
          <w:rFonts w:eastAsia="Calibri"/>
        </w:rPr>
        <w:t xml:space="preserve"> Rx product can treat children</w:t>
      </w:r>
      <w:r w:rsidR="00C31CA2">
        <w:rPr>
          <w:rFonts w:eastAsia="Calibri"/>
        </w:rPr>
        <w:t xml:space="preserve"> which is not the case of PGT's OTC produc</w:t>
      </w:r>
      <w:r w:rsidR="00890EED">
        <w:rPr>
          <w:rFonts w:eastAsia="Calibri"/>
        </w:rPr>
        <w:t xml:space="preserve">t.  While both products are available in 50 mg oral solid formulations, PGT's product is sold in boxes of 5 tablets while Teva's drug is sold in boxes of 30 tabs.  This confirms that PGT's OTC product only aims at short-term symptom relief, while Teva's Rx product is meant to address the infection in the longer term. </w:t>
      </w:r>
    </w:p>
    <w:p w:rsidR="0080226D" w:rsidRPr="00A47FA2" w:rsidRDefault="00A47FA2" w:rsidP="0080226D">
      <w:pPr>
        <w:pStyle w:val="ListNumber"/>
      </w:pPr>
      <w:r w:rsidRPr="00194199">
        <w:rPr>
          <w:szCs w:val="24"/>
        </w:rPr>
        <w:lastRenderedPageBreak/>
        <w:t>Finally, the market investigation did not</w:t>
      </w:r>
      <w:r w:rsidRPr="00481977">
        <w:rPr>
          <w:szCs w:val="24"/>
        </w:rPr>
        <w:t xml:space="preserve"> reveal any </w:t>
      </w:r>
      <w:r w:rsidRPr="00A47FA2">
        <w:rPr>
          <w:rFonts w:eastAsia="Calibri"/>
          <w:szCs w:val="24"/>
        </w:rPr>
        <w:t>competition concerns in</w:t>
      </w:r>
      <w:r w:rsidRPr="00A47FA2" w:rsidDel="00A2241C">
        <w:rPr>
          <w:rFonts w:ascii="Times" w:eastAsia="Calibri" w:hAnsi="Times"/>
        </w:rPr>
        <w:t xml:space="preserve"> </w:t>
      </w:r>
      <w:r w:rsidRPr="00A47FA2">
        <w:rPr>
          <w:rFonts w:ascii="Times" w:eastAsia="Calibri" w:hAnsi="Times"/>
        </w:rPr>
        <w:t xml:space="preserve">relation to </w:t>
      </w:r>
      <w:r w:rsidR="0080226D" w:rsidRPr="00A47FA2">
        <w:rPr>
          <w:i/>
        </w:rPr>
        <w:t>furazidin</w:t>
      </w:r>
      <w:r w:rsidR="0080226D" w:rsidRPr="00A47FA2">
        <w:t xml:space="preserve">-based urinary anti-infectives in Poland. </w:t>
      </w:r>
      <w:r w:rsidR="0080226D" w:rsidRPr="00A47FA2">
        <w:rPr>
          <w:rFonts w:ascii="Times" w:eastAsia="Calibri" w:hAnsi="Times"/>
          <w:vertAlign w:val="superscript"/>
          <w:lang w:val="en-US"/>
        </w:rPr>
        <w:footnoteReference w:id="89"/>
      </w:r>
    </w:p>
    <w:p w:rsidR="0080226D" w:rsidRDefault="00814F0F" w:rsidP="0080226D">
      <w:pPr>
        <w:pStyle w:val="ListNumber"/>
      </w:pPr>
      <w:r w:rsidRPr="00A47FA2">
        <w:rPr>
          <w:rFonts w:ascii="Times" w:hAnsi="Times"/>
          <w:szCs w:val="24"/>
        </w:rPr>
        <w:t>In view of th</w:t>
      </w:r>
      <w:r w:rsidRPr="00546F00">
        <w:rPr>
          <w:rFonts w:ascii="Times" w:hAnsi="Times"/>
        </w:rPr>
        <w:t xml:space="preserve">e above, the Commission concludes that </w:t>
      </w:r>
      <w:r>
        <w:rPr>
          <w:rFonts w:ascii="Times" w:hAnsi="Times"/>
        </w:rPr>
        <w:t>the Transaction does not raise serious doubts as to its compatibility with the internal market regarding</w:t>
      </w:r>
      <w:r w:rsidR="0080226D">
        <w:t xml:space="preserve"> </w:t>
      </w:r>
      <w:r w:rsidR="0080226D" w:rsidRPr="0032473C">
        <w:rPr>
          <w:i/>
        </w:rPr>
        <w:t>furazidin</w:t>
      </w:r>
      <w:r w:rsidR="0080226D">
        <w:rPr>
          <w:i/>
        </w:rPr>
        <w:t>-</w:t>
      </w:r>
      <w:r w:rsidR="0080226D">
        <w:t>based urinary anti-infectives in Poland</w:t>
      </w:r>
      <w:r w:rsidR="0080226D" w:rsidRPr="00546F00">
        <w:t>.</w:t>
      </w:r>
    </w:p>
    <w:p w:rsidR="0080226D" w:rsidRDefault="0080226D" w:rsidP="0080226D">
      <w:pPr>
        <w:pStyle w:val="Heading3"/>
        <w:tabs>
          <w:tab w:val="clear" w:pos="1920"/>
          <w:tab w:val="num" w:pos="709"/>
        </w:tabs>
        <w:ind w:left="709" w:hanging="709"/>
      </w:pPr>
      <w:bookmarkStart w:id="277" w:name="_Toc517444587"/>
      <w:bookmarkStart w:id="278" w:name="_Ref517683821"/>
      <w:bookmarkStart w:id="279" w:name="_Toc517710519"/>
      <w:bookmarkStart w:id="280" w:name="_Toc517812952"/>
      <w:r w:rsidRPr="000F7E89">
        <w:t>Ibuprofen</w:t>
      </w:r>
      <w:r>
        <w:t>-based non-steroidal antirheumatics</w:t>
      </w:r>
      <w:r w:rsidRPr="000F7E89">
        <w:t xml:space="preserve"> in Luxembourg</w:t>
      </w:r>
      <w:bookmarkEnd w:id="277"/>
      <w:r>
        <w:t xml:space="preserve"> and the Netherlands</w:t>
      </w:r>
      <w:bookmarkEnd w:id="278"/>
      <w:bookmarkEnd w:id="279"/>
      <w:bookmarkEnd w:id="280"/>
    </w:p>
    <w:p w:rsidR="0080226D" w:rsidRDefault="0080226D" w:rsidP="0080226D">
      <w:pPr>
        <w:pStyle w:val="Heading4"/>
      </w:pPr>
      <w:bookmarkStart w:id="281" w:name="_Toc517710520"/>
      <w:bookmarkStart w:id="282" w:name="_Toc517812953"/>
      <w:r>
        <w:t>Market Definition</w:t>
      </w:r>
      <w:bookmarkEnd w:id="281"/>
      <w:bookmarkEnd w:id="282"/>
    </w:p>
    <w:p w:rsidR="0080226D" w:rsidRDefault="0080226D" w:rsidP="0080226D">
      <w:pPr>
        <w:pStyle w:val="ListNumber"/>
        <w:keepNext/>
      </w:pPr>
      <w:r>
        <w:t>Non-steroidal antirheumatics are categorized in ATC 3 class M1A</w:t>
      </w:r>
      <w:r w:rsidR="00657DAB">
        <w:t xml:space="preserve"> (anti-rheumatics, non-steroidal)</w:t>
      </w:r>
      <w:r>
        <w:t>. This ATC 3 class comprises drugs prescribed against various arthroarthritic diseases such as back pain, joint disorders, osteoarthrosis and arthropathies.</w:t>
      </w:r>
    </w:p>
    <w:p w:rsidR="0080226D" w:rsidRDefault="0080226D" w:rsidP="0080226D">
      <w:pPr>
        <w:pStyle w:val="ListNumber"/>
      </w:pPr>
      <w:r>
        <w:t xml:space="preserve">Ibuprofen is a non-steroidal anti-inflammatory drug derivative of propionic acid used for relieving pain and fever as well as reducing inflammation. Ibuprofen is classified in several ATC classes (e.g., M1A or N2B), depending on the indication of the specific ibuprofen-based product. Ibuprofen can be sold both as prescribed and OTC drug. </w:t>
      </w:r>
    </w:p>
    <w:p w:rsidR="0080226D" w:rsidRDefault="0080226D" w:rsidP="0080226D">
      <w:pPr>
        <w:pStyle w:val="ListNumber"/>
      </w:pPr>
      <w:r>
        <w:t>In previous decisions, the Commission considered that the market for non-steroidal antirheumatics could be defined at ATC 3 level (M1A)</w:t>
      </w:r>
      <w:r>
        <w:rPr>
          <w:rStyle w:val="FootnoteReference"/>
        </w:rPr>
        <w:footnoteReference w:id="90"/>
      </w:r>
      <w:r>
        <w:t xml:space="preserve"> or at ATC 4 level (e.g., M1A1 class which includes plain non-steroidal antirheumatics).</w:t>
      </w:r>
      <w:r>
        <w:rPr>
          <w:rStyle w:val="FootnoteReference"/>
        </w:rPr>
        <w:footnoteReference w:id="91"/>
      </w:r>
      <w:r>
        <w:t xml:space="preserve">  As regards ibuprofen-based products, </w:t>
      </w:r>
      <w:r w:rsidRPr="00957E62">
        <w:t xml:space="preserve">the Commission analysed </w:t>
      </w:r>
      <w:r>
        <w:t>them</w:t>
      </w:r>
      <w:r w:rsidRPr="00957E62">
        <w:t xml:space="preserve"> within the ATC</w:t>
      </w:r>
      <w:r>
        <w:t xml:space="preserve"> </w:t>
      </w:r>
      <w:r w:rsidRPr="00957E62">
        <w:t>3 class</w:t>
      </w:r>
      <w:r>
        <w:t>es</w:t>
      </w:r>
      <w:r w:rsidRPr="00957E62">
        <w:t xml:space="preserve"> M1A </w:t>
      </w:r>
      <w:r>
        <w:t xml:space="preserve">or </w:t>
      </w:r>
      <w:r w:rsidRPr="00957E62">
        <w:t>N2B.</w:t>
      </w:r>
      <w:r>
        <w:rPr>
          <w:rStyle w:val="FootnoteReference"/>
        </w:rPr>
        <w:footnoteReference w:id="92"/>
      </w:r>
      <w:r>
        <w:t xml:space="preserve">  More recently, in </w:t>
      </w:r>
      <w:r w:rsidRPr="00957E62">
        <w:rPr>
          <w:i/>
        </w:rPr>
        <w:t>Mylan/Perrigo,</w:t>
      </w:r>
      <w:r>
        <w:t xml:space="preserve"> the market investigation suggested that ibuprofen-based products could compete against each other, irrespective of the ATC 3 class in which they are classified, depending on their reimbursement status, dosage, and galenic form.</w:t>
      </w:r>
      <w:r>
        <w:rPr>
          <w:rStyle w:val="FootnoteReference"/>
        </w:rPr>
        <w:footnoteReference w:id="93"/>
      </w:r>
      <w:r>
        <w:t xml:space="preserve">  The relevant market definition was ultimately left open.</w:t>
      </w:r>
      <w:r w:rsidRPr="007A6DCE">
        <w:rPr>
          <w:rStyle w:val="FootnoteReference"/>
        </w:rPr>
        <w:t xml:space="preserve"> </w:t>
      </w:r>
      <w:r>
        <w:rPr>
          <w:rStyle w:val="FootnoteReference"/>
        </w:rPr>
        <w:footnoteReference w:id="94"/>
      </w:r>
      <w:r>
        <w:t xml:space="preserve"> </w:t>
      </w:r>
    </w:p>
    <w:p w:rsidR="0080226D" w:rsidRDefault="0080226D" w:rsidP="0080226D">
      <w:pPr>
        <w:pStyle w:val="ListNumber"/>
      </w:pPr>
      <w:r w:rsidRPr="007A6DCE">
        <w:t>As regards the distinct</w:t>
      </w:r>
      <w:r>
        <w:t xml:space="preserve">ion between Rx and OTC ibuprofen products, the Commission noted in </w:t>
      </w:r>
      <w:r w:rsidRPr="00B75301">
        <w:rPr>
          <w:i/>
        </w:rPr>
        <w:t>Mylan/Perrigo</w:t>
      </w:r>
      <w:r>
        <w:t xml:space="preserve"> that "</w:t>
      </w:r>
      <w:r w:rsidRPr="002911BA">
        <w:rPr>
          <w:i/>
        </w:rPr>
        <w:t>it cannot be excluded that OTC ibuprofen and Rx ibuprofen exert some sort of competitive pressure on each other</w:t>
      </w:r>
      <w:r>
        <w:t>".</w:t>
      </w:r>
      <w:r>
        <w:rPr>
          <w:rStyle w:val="FootnoteReference"/>
        </w:rPr>
        <w:footnoteReference w:id="95"/>
      </w:r>
      <w:r>
        <w:t xml:space="preserve"> </w:t>
      </w:r>
    </w:p>
    <w:p w:rsidR="00657DAB" w:rsidRDefault="00657DAB" w:rsidP="0080226D">
      <w:pPr>
        <w:pStyle w:val="ListNumber"/>
      </w:pPr>
      <w:r>
        <w:t>The Notifying Party submits that the indications for Rx and OTC products for ibuprofen are different. The OTC indication is typically limited to short term (less than one week) treatment of mild to moderate pain with single dose</w:t>
      </w:r>
      <w:r w:rsidR="00232EF4">
        <w:t>s</w:t>
      </w:r>
      <w:r>
        <w:t xml:space="preserve"> of maximum 400 mg. The Rx indication usually also includes long-term and high dose</w:t>
      </w:r>
      <w:r w:rsidR="00232EF4">
        <w:t xml:space="preserve"> </w:t>
      </w:r>
      <w:r>
        <w:t>rheumatic treatment (inflammatory joint disorders, degenerative joint disorders etc.) and traumatology.</w:t>
      </w:r>
    </w:p>
    <w:p w:rsidR="00657DAB" w:rsidRDefault="00657DAB" w:rsidP="0080226D">
      <w:pPr>
        <w:pStyle w:val="ListNumber"/>
      </w:pPr>
      <w:r>
        <w:lastRenderedPageBreak/>
        <w:t>The Notifying Party adds that should Rx and OTC be considered to be part of the same relevant market, the latter should be defined at ATC3 level.</w:t>
      </w:r>
    </w:p>
    <w:p w:rsidR="0080226D" w:rsidRPr="007A6DCE" w:rsidRDefault="0080226D" w:rsidP="0080226D">
      <w:pPr>
        <w:pStyle w:val="ListNumber"/>
      </w:pPr>
      <w:r w:rsidRPr="00AC4CB2">
        <w:t>In any event, for the purposes of the present case, the exact market definition can be left open</w:t>
      </w:r>
      <w:r w:rsidR="00C31CA2">
        <w:t xml:space="preserve"> as n</w:t>
      </w:r>
      <w:r>
        <w:t xml:space="preserve">o serious </w:t>
      </w:r>
      <w:r w:rsidRPr="00AC4CB2">
        <w:t>doubts arise under any plausible alternative market definition</w:t>
      </w:r>
      <w:r>
        <w:t xml:space="preserve"> (namely, at ATC3 or ATC4 or molecule level (within M1A or across ATC 3 classes)).</w:t>
      </w:r>
    </w:p>
    <w:p w:rsidR="0080226D" w:rsidRDefault="0080226D" w:rsidP="00904F5E">
      <w:pPr>
        <w:pStyle w:val="Heading4"/>
        <w:rPr>
          <w:rFonts w:eastAsia="Calibri"/>
        </w:rPr>
      </w:pPr>
      <w:bookmarkStart w:id="283" w:name="_Toc517710521"/>
      <w:bookmarkStart w:id="284" w:name="_Toc517812954"/>
      <w:r w:rsidRPr="0076154C">
        <w:t>Parties'</w:t>
      </w:r>
      <w:r w:rsidR="004C6514">
        <w:rPr>
          <w:rFonts w:eastAsia="Calibri"/>
        </w:rPr>
        <w:t xml:space="preserve"> p</w:t>
      </w:r>
      <w:r>
        <w:rPr>
          <w:rFonts w:eastAsia="Calibri"/>
        </w:rPr>
        <w:t>roducts</w:t>
      </w:r>
      <w:bookmarkEnd w:id="283"/>
      <w:bookmarkEnd w:id="284"/>
    </w:p>
    <w:p w:rsidR="0080226D" w:rsidRPr="00824496" w:rsidRDefault="0080226D" w:rsidP="00904F5E">
      <w:pPr>
        <w:pStyle w:val="ListNumber"/>
        <w:keepNext/>
        <w:numPr>
          <w:ilvl w:val="0"/>
          <w:numId w:val="0"/>
        </w:numPr>
        <w:ind w:left="709"/>
        <w:rPr>
          <w:rFonts w:eastAsia="Calibri"/>
          <w:i/>
        </w:rPr>
      </w:pPr>
      <w:r w:rsidRPr="00824496">
        <w:rPr>
          <w:rFonts w:eastAsia="Calibri"/>
          <w:i/>
        </w:rPr>
        <w:t>Luxembourg</w:t>
      </w:r>
    </w:p>
    <w:p w:rsidR="0080226D" w:rsidRPr="003D43D2" w:rsidRDefault="0080226D" w:rsidP="00904F5E">
      <w:pPr>
        <w:pStyle w:val="ListNumber"/>
        <w:keepNext/>
        <w:rPr>
          <w:rFonts w:eastAsia="Calibri"/>
        </w:rPr>
      </w:pPr>
      <w:r>
        <w:t xml:space="preserve">In Luxembourg, both Parties offer </w:t>
      </w:r>
      <w:r w:rsidRPr="00420413">
        <w:rPr>
          <w:i/>
        </w:rPr>
        <w:t>ibuprofen</w:t>
      </w:r>
      <w:r>
        <w:t xml:space="preserve">-based products </w:t>
      </w:r>
      <w:r w:rsidR="008F3F00">
        <w:t xml:space="preserve">under </w:t>
      </w:r>
      <w:r>
        <w:t xml:space="preserve">the same brand name.  Teva offers IBU-Ratiopharm which is available in 400 mg, 600mg, and 800mg oral solid formulations and is indicated for adults and children above 15 years old.  Teva's product is available only on prescription.  PGT supplies IBU-Ratiopharm which is available in 200 mg and 400 mg oral solid formulations and a 20mg/ml liquid formulation. PGT's oral solid product is indicated for adults, children </w:t>
      </w:r>
      <w:r w:rsidRPr="00DF28D0">
        <w:t>and babies above 6 months old</w:t>
      </w:r>
      <w:r w:rsidR="00DF28D0" w:rsidRPr="00A847CC">
        <w:t xml:space="preserve">. </w:t>
      </w:r>
      <w:r w:rsidRPr="00DF28D0">
        <w:t>PGT's oral liquid product is indicated for babies above 6 months old and children below 12 years</w:t>
      </w:r>
      <w:r>
        <w:t xml:space="preserve"> old.  PGT's products are sold OTC.  </w:t>
      </w:r>
    </w:p>
    <w:p w:rsidR="0080226D" w:rsidRPr="00824496" w:rsidRDefault="0080226D" w:rsidP="0080226D">
      <w:pPr>
        <w:pStyle w:val="ListNumber"/>
        <w:numPr>
          <w:ilvl w:val="0"/>
          <w:numId w:val="0"/>
        </w:numPr>
        <w:ind w:left="709"/>
        <w:rPr>
          <w:rFonts w:eastAsia="Calibri"/>
          <w:i/>
        </w:rPr>
      </w:pPr>
      <w:r w:rsidRPr="00824496">
        <w:rPr>
          <w:rFonts w:eastAsia="Calibri"/>
          <w:i/>
        </w:rPr>
        <w:t>Netherlands</w:t>
      </w:r>
    </w:p>
    <w:p w:rsidR="0080226D" w:rsidRPr="003D43D2" w:rsidRDefault="0080226D" w:rsidP="0080226D">
      <w:pPr>
        <w:pStyle w:val="ListNumber"/>
        <w:rPr>
          <w:rFonts w:eastAsia="Calibri"/>
        </w:rPr>
      </w:pPr>
      <w:r>
        <w:t xml:space="preserve">In the Netherlands, both Parties offer </w:t>
      </w:r>
      <w:r w:rsidRPr="00420413">
        <w:rPr>
          <w:i/>
        </w:rPr>
        <w:t>ibuprofen</w:t>
      </w:r>
      <w:r>
        <w:t>-based products with the same brand name.  Teva offers Ibuprofen - PCH which is available in oral solid form (400 mg and 600 mg doses); oral liquid form (600 mg dose per sachet); and as a suppository (500 mg dose).  Teva's Ibuprofen - PCH is available only on prescription.</w:t>
      </w:r>
      <w:r>
        <w:rPr>
          <w:rStyle w:val="FootnoteReference"/>
        </w:rPr>
        <w:footnoteReference w:id="96"/>
      </w:r>
      <w:r>
        <w:t xml:space="preserve">  PGT supplies Ibuprofen - PCH which is available only in oral solid form (in 200 mg and 400 mg doses).  PGT's product is sold OTC.  </w:t>
      </w:r>
    </w:p>
    <w:p w:rsidR="0080226D" w:rsidRDefault="0080226D" w:rsidP="00420413">
      <w:pPr>
        <w:pStyle w:val="Heading4"/>
        <w:rPr>
          <w:rFonts w:eastAsia="Calibri"/>
        </w:rPr>
      </w:pPr>
      <w:bookmarkStart w:id="285" w:name="_Toc517710522"/>
      <w:bookmarkStart w:id="286" w:name="_Toc517812955"/>
      <w:r w:rsidRPr="0076154C">
        <w:t>Competition</w:t>
      </w:r>
      <w:r>
        <w:rPr>
          <w:rFonts w:eastAsia="Calibri"/>
        </w:rPr>
        <w:t xml:space="preserve"> Assessment</w:t>
      </w:r>
      <w:bookmarkEnd w:id="285"/>
      <w:bookmarkEnd w:id="286"/>
    </w:p>
    <w:p w:rsidR="0080226D" w:rsidRPr="00824496" w:rsidRDefault="0080226D" w:rsidP="00420413">
      <w:pPr>
        <w:pStyle w:val="ListNumber"/>
        <w:keepNext/>
        <w:numPr>
          <w:ilvl w:val="0"/>
          <w:numId w:val="0"/>
        </w:numPr>
        <w:ind w:left="709"/>
        <w:rPr>
          <w:i/>
        </w:rPr>
      </w:pPr>
      <w:r w:rsidRPr="00824496">
        <w:rPr>
          <w:i/>
        </w:rPr>
        <w:t>Luxembourg</w:t>
      </w:r>
    </w:p>
    <w:p w:rsidR="0080226D" w:rsidRDefault="0080226D" w:rsidP="00420413">
      <w:pPr>
        <w:pStyle w:val="ListNumber"/>
        <w:keepNext/>
      </w:pPr>
      <w:r>
        <w:t xml:space="preserve">At the ATC3 level (M1A), the Transaction gives rise to a Group 3 market. At the molecule level across ATC 3 classes, the Transaction gives rise to a Group 3 market. The Transaction gives rise to a Group 1 market </w:t>
      </w:r>
      <w:r w:rsidR="00811ADF">
        <w:t xml:space="preserve">at the ATC4 level (M1A1) and </w:t>
      </w:r>
      <w:r>
        <w:t xml:space="preserve">in </w:t>
      </w:r>
      <w:r w:rsidRPr="00420413">
        <w:rPr>
          <w:i/>
        </w:rPr>
        <w:t>ibuprofen</w:t>
      </w:r>
      <w:r>
        <w:t>-based products in</w:t>
      </w:r>
      <w:r w:rsidR="00811ADF">
        <w:t xml:space="preserve"> the</w:t>
      </w:r>
      <w:r>
        <w:t xml:space="preserve"> ATC 3 class M1A.  </w:t>
      </w:r>
    </w:p>
    <w:p w:rsidR="0080226D" w:rsidRDefault="0080226D" w:rsidP="0080226D">
      <w:pPr>
        <w:pStyle w:val="ListNumber"/>
      </w:pPr>
      <w:r>
        <w:t xml:space="preserve">The table below presents the Parties' market shares for non-steroidal antirheumatics </w:t>
      </w:r>
      <w:r w:rsidR="00811ADF">
        <w:t xml:space="preserve">at ATC4 and molecule levels </w:t>
      </w:r>
      <w:r>
        <w:t>in Luxembourg</w:t>
      </w:r>
      <w:r w:rsidR="00B91E12">
        <w:t xml:space="preserve"> in 2015-2017: </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1"/>
        <w:gridCol w:w="999"/>
        <w:gridCol w:w="1136"/>
        <w:gridCol w:w="1204"/>
      </w:tblGrid>
      <w:tr w:rsidR="00D40242" w:rsidRPr="00AD3737" w:rsidTr="0076503C">
        <w:trPr>
          <w:tblHeader/>
        </w:trPr>
        <w:tc>
          <w:tcPr>
            <w:tcW w:w="608" w:type="pct"/>
            <w:vMerge w:val="restar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lastRenderedPageBreak/>
              <w:t>OTC3</w:t>
            </w:r>
          </w:p>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ATC3</w:t>
            </w:r>
          </w:p>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ATC4</w:t>
            </w:r>
          </w:p>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D40242" w:rsidRPr="00B6607C" w:rsidRDefault="00D40242" w:rsidP="0076503C">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D40242" w:rsidRDefault="00D40242" w:rsidP="0076503C">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D40242" w:rsidRPr="00AD3737" w:rsidTr="004C6514">
        <w:trPr>
          <w:tblHeader/>
        </w:trPr>
        <w:tc>
          <w:tcPr>
            <w:tcW w:w="608" w:type="pct"/>
            <w:vMerge/>
            <w:tcBorders>
              <w:bottom w:val="single" w:sz="2"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c>
          <w:tcPr>
            <w:tcW w:w="696" w:type="pct"/>
            <w:vMerge/>
            <w:tcBorders>
              <w:bottom w:val="single" w:sz="2"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c>
          <w:tcPr>
            <w:tcW w:w="434" w:type="pct"/>
            <w:vMerge/>
            <w:tcBorders>
              <w:bottom w:val="single" w:sz="2"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c>
          <w:tcPr>
            <w:tcW w:w="523" w:type="pct"/>
            <w:vMerge/>
            <w:tcBorders>
              <w:bottom w:val="single" w:sz="2" w:space="0" w:color="auto"/>
            </w:tcBorders>
            <w:shd w:val="clear" w:color="auto" w:fill="D9D9D9" w:themeFill="background1" w:themeFillShade="D9"/>
          </w:tcPr>
          <w:p w:rsidR="00D40242" w:rsidRPr="00B6607C" w:rsidRDefault="00D40242" w:rsidP="0076503C">
            <w:pPr>
              <w:keepNext/>
              <w:snapToGrid w:val="0"/>
              <w:spacing w:after="0"/>
              <w:jc w:val="center"/>
              <w:rPr>
                <w:rFonts w:ascii="Times" w:hAnsi="Times"/>
                <w:b/>
                <w:sz w:val="18"/>
                <w:szCs w:val="18"/>
              </w:rPr>
            </w:pPr>
          </w:p>
        </w:tc>
        <w:tc>
          <w:tcPr>
            <w:tcW w:w="693" w:type="pct"/>
            <w:tcBorders>
              <w:bottom w:val="single" w:sz="2"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Teva</w:t>
            </w:r>
          </w:p>
        </w:tc>
        <w:tc>
          <w:tcPr>
            <w:tcW w:w="612" w:type="pct"/>
            <w:tcBorders>
              <w:bottom w:val="single" w:sz="2"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tcBorders>
              <w:bottom w:val="single" w:sz="2"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tcBorders>
              <w:bottom w:val="single" w:sz="2"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r>
      <w:tr w:rsidR="00D40242" w:rsidRPr="00AD3737" w:rsidTr="004C6514">
        <w:trPr>
          <w:trHeight w:val="345"/>
        </w:trPr>
        <w:tc>
          <w:tcPr>
            <w:tcW w:w="608" w:type="pct"/>
            <w:vMerge w:val="restart"/>
            <w:tcBorders>
              <w:top w:val="single" w:sz="2" w:space="0" w:color="auto"/>
              <w:left w:val="single" w:sz="2" w:space="0" w:color="auto"/>
              <w:bottom w:val="single" w:sz="2" w:space="0" w:color="auto"/>
              <w:right w:val="single" w:sz="2" w:space="0" w:color="auto"/>
            </w:tcBorders>
            <w:vAlign w:val="center"/>
          </w:tcPr>
          <w:p w:rsidR="00D40242" w:rsidRPr="00420413" w:rsidRDefault="00D40242" w:rsidP="0076503C">
            <w:pPr>
              <w:keepNext/>
              <w:spacing w:after="0"/>
              <w:jc w:val="center"/>
              <w:rPr>
                <w:rFonts w:ascii="Times" w:hAnsi="Times"/>
                <w:i/>
                <w:sz w:val="18"/>
                <w:szCs w:val="18"/>
              </w:rPr>
            </w:pPr>
            <w:r w:rsidRPr="004F4BE3">
              <w:rPr>
                <w:rFonts w:ascii="Times New Roman" w:hAnsi="Times New Roman"/>
                <w:sz w:val="18"/>
              </w:rPr>
              <w:t>M1A1</w:t>
            </w:r>
          </w:p>
        </w:tc>
        <w:tc>
          <w:tcPr>
            <w:tcW w:w="696" w:type="pct"/>
            <w:vMerge w:val="restart"/>
            <w:tcBorders>
              <w:top w:val="single" w:sz="2" w:space="0" w:color="auto"/>
              <w:left w:val="single" w:sz="2" w:space="0" w:color="auto"/>
              <w:bottom w:val="single" w:sz="2" w:space="0" w:color="auto"/>
              <w:right w:val="single" w:sz="2" w:space="0" w:color="auto"/>
            </w:tcBorders>
          </w:tcPr>
          <w:p w:rsidR="00D40242" w:rsidRPr="00E97873" w:rsidRDefault="00D40242" w:rsidP="0076503C">
            <w:pPr>
              <w:keepNext/>
              <w:spacing w:after="0"/>
              <w:jc w:val="center"/>
              <w:rPr>
                <w:rFonts w:ascii="Times" w:hAnsi="Times"/>
                <w:sz w:val="18"/>
                <w:szCs w:val="18"/>
                <w:lang w:val="en-GB"/>
              </w:rPr>
            </w:pPr>
            <w:r w:rsidRPr="00A847CC">
              <w:rPr>
                <w:rFonts w:ascii="Times New Roman" w:hAnsi="Times New Roman"/>
                <w:sz w:val="18"/>
                <w:szCs w:val="18"/>
              </w:rPr>
              <w:t>Plain non-steroidal antirheumatics</w:t>
            </w:r>
          </w:p>
        </w:tc>
        <w:tc>
          <w:tcPr>
            <w:tcW w:w="434" w:type="pct"/>
            <w:vMerge w:val="restart"/>
            <w:tcBorders>
              <w:top w:val="single" w:sz="2" w:space="0" w:color="auto"/>
              <w:left w:val="single" w:sz="2" w:space="0" w:color="auto"/>
              <w:bottom w:val="single" w:sz="2" w:space="0" w:color="auto"/>
              <w:right w:val="single" w:sz="2" w:space="0" w:color="auto"/>
            </w:tcBorders>
            <w:vAlign w:val="center"/>
          </w:tcPr>
          <w:p w:rsidR="00D40242" w:rsidRPr="00B6607C" w:rsidRDefault="00D40242" w:rsidP="0076503C">
            <w:pPr>
              <w:keepNext/>
              <w:spacing w:after="0"/>
              <w:jc w:val="center"/>
              <w:rPr>
                <w:rFonts w:ascii="Times" w:hAnsi="Times"/>
                <w:sz w:val="18"/>
                <w:szCs w:val="18"/>
              </w:rPr>
            </w:pPr>
            <w:r>
              <w:rPr>
                <w:rFonts w:ascii="Times" w:hAnsi="Times"/>
                <w:sz w:val="18"/>
              </w:rPr>
              <w:t>Group 1</w:t>
            </w:r>
          </w:p>
        </w:tc>
        <w:tc>
          <w:tcPr>
            <w:tcW w:w="523" w:type="pct"/>
            <w:tcBorders>
              <w:top w:val="single" w:sz="2" w:space="0" w:color="auto"/>
              <w:left w:val="single" w:sz="2" w:space="0" w:color="auto"/>
              <w:bottom w:val="single" w:sz="2" w:space="0" w:color="auto"/>
              <w:right w:val="single" w:sz="2" w:space="0" w:color="auto"/>
            </w:tcBorders>
            <w:vAlign w:val="center"/>
          </w:tcPr>
          <w:p w:rsidR="00D40242" w:rsidRPr="00213AF2" w:rsidRDefault="00D40242" w:rsidP="0076503C">
            <w:pPr>
              <w:keepNext/>
              <w:spacing w:after="0"/>
              <w:jc w:val="left"/>
              <w:rPr>
                <w:rFonts w:ascii="Times" w:hAnsi="Times"/>
                <w:sz w:val="18"/>
              </w:rPr>
            </w:pPr>
            <w:r>
              <w:rPr>
                <w:rFonts w:ascii="Times" w:hAnsi="Times"/>
                <w:sz w:val="18"/>
              </w:rPr>
              <w:t>2017</w:t>
            </w:r>
          </w:p>
        </w:tc>
        <w:tc>
          <w:tcPr>
            <w:tcW w:w="693" w:type="pct"/>
            <w:tcBorders>
              <w:top w:val="single" w:sz="2" w:space="0" w:color="auto"/>
              <w:left w:val="single" w:sz="2" w:space="0" w:color="auto"/>
              <w:bottom w:val="single" w:sz="2" w:space="0" w:color="auto"/>
              <w:right w:val="single" w:sz="2" w:space="0" w:color="auto"/>
            </w:tcBorders>
            <w:vAlign w:val="center"/>
          </w:tcPr>
          <w:p w:rsidR="00D40242" w:rsidRPr="00B6607C" w:rsidRDefault="00D71052" w:rsidP="00D71052">
            <w:pPr>
              <w:keepNext/>
              <w:spacing w:after="0"/>
              <w:jc w:val="center"/>
              <w:rPr>
                <w:rFonts w:ascii="Times" w:hAnsi="Times"/>
                <w:sz w:val="18"/>
                <w:szCs w:val="18"/>
              </w:rPr>
            </w:pPr>
            <w:r>
              <w:rPr>
                <w:rFonts w:ascii="Times" w:hAnsi="Times"/>
                <w:sz w:val="18"/>
              </w:rPr>
              <w:t>[10-20]</w:t>
            </w:r>
            <w:r w:rsidR="00D40242">
              <w:rPr>
                <w:rFonts w:ascii="Times" w:hAnsi="Times"/>
                <w:sz w:val="18"/>
              </w:rPr>
              <w:t>%</w:t>
            </w:r>
            <w:r>
              <w:rPr>
                <w:rFonts w:ascii="Times" w:hAnsi="Times"/>
                <w:sz w:val="18"/>
              </w:rPr>
              <w:t xml:space="preserve"> </w:t>
            </w:r>
            <w:r w:rsidR="00D40242">
              <w:rPr>
                <w:rFonts w:ascii="Times" w:hAnsi="Times"/>
                <w:sz w:val="18"/>
              </w:rPr>
              <w:t>/</w:t>
            </w:r>
            <w:r>
              <w:rPr>
                <w:rFonts w:ascii="Times" w:hAnsi="Times"/>
                <w:sz w:val="18"/>
              </w:rPr>
              <w:t>[10-20]</w:t>
            </w:r>
            <w:r w:rsidR="00D40242">
              <w:rPr>
                <w:rFonts w:ascii="Times" w:hAnsi="Times"/>
                <w:sz w:val="18"/>
              </w:rPr>
              <w:t>%</w:t>
            </w:r>
          </w:p>
        </w:tc>
        <w:tc>
          <w:tcPr>
            <w:tcW w:w="612" w:type="pct"/>
            <w:tcBorders>
              <w:top w:val="single" w:sz="2" w:space="0" w:color="auto"/>
              <w:left w:val="single" w:sz="2" w:space="0" w:color="auto"/>
              <w:bottom w:val="single" w:sz="2" w:space="0" w:color="auto"/>
              <w:right w:val="single" w:sz="2" w:space="0" w:color="auto"/>
            </w:tcBorders>
            <w:vAlign w:val="center"/>
          </w:tcPr>
          <w:p w:rsidR="00D40242" w:rsidRPr="00B6607C" w:rsidRDefault="00D71052" w:rsidP="00D71052">
            <w:pPr>
              <w:keepNext/>
              <w:spacing w:after="0"/>
              <w:jc w:val="center"/>
              <w:rPr>
                <w:rFonts w:ascii="Times" w:hAnsi="Times"/>
                <w:sz w:val="18"/>
                <w:szCs w:val="18"/>
              </w:rPr>
            </w:pPr>
            <w:r>
              <w:rPr>
                <w:rFonts w:ascii="Times" w:hAnsi="Times"/>
                <w:sz w:val="18"/>
              </w:rPr>
              <w:t>[5-10]</w:t>
            </w:r>
            <w:r w:rsidR="00D40242">
              <w:rPr>
                <w:rFonts w:ascii="Times" w:hAnsi="Times"/>
                <w:sz w:val="18"/>
              </w:rPr>
              <w:t>%</w:t>
            </w:r>
            <w:r>
              <w:rPr>
                <w:rFonts w:ascii="Times" w:hAnsi="Times"/>
                <w:sz w:val="18"/>
              </w:rPr>
              <w:t xml:space="preserve"> </w:t>
            </w:r>
            <w:r w:rsidR="00D40242">
              <w:rPr>
                <w:rFonts w:ascii="Times" w:hAnsi="Times"/>
                <w:sz w:val="18"/>
              </w:rPr>
              <w:t>/</w:t>
            </w:r>
            <w:r>
              <w:rPr>
                <w:rFonts w:ascii="Times" w:hAnsi="Times"/>
                <w:sz w:val="18"/>
              </w:rPr>
              <w:t>[10-20]</w:t>
            </w:r>
            <w:r w:rsidR="00D40242">
              <w:rPr>
                <w:rFonts w:ascii="Times" w:hAnsi="Times"/>
                <w:sz w:val="18"/>
              </w:rPr>
              <w:t>%</w:t>
            </w:r>
          </w:p>
        </w:tc>
        <w:tc>
          <w:tcPr>
            <w:tcW w:w="696" w:type="pct"/>
            <w:tcBorders>
              <w:top w:val="single" w:sz="2" w:space="0" w:color="auto"/>
              <w:left w:val="single" w:sz="2" w:space="0" w:color="auto"/>
              <w:bottom w:val="single" w:sz="2" w:space="0" w:color="auto"/>
              <w:right w:val="single" w:sz="2" w:space="0" w:color="auto"/>
            </w:tcBorders>
            <w:vAlign w:val="center"/>
          </w:tcPr>
          <w:p w:rsidR="00D40242" w:rsidRPr="00B6607C" w:rsidRDefault="00D71052" w:rsidP="00D71052">
            <w:pPr>
              <w:keepNext/>
              <w:spacing w:after="0"/>
              <w:jc w:val="center"/>
              <w:rPr>
                <w:rFonts w:ascii="Times" w:hAnsi="Times"/>
                <w:sz w:val="18"/>
                <w:szCs w:val="18"/>
              </w:rPr>
            </w:pPr>
            <w:r>
              <w:rPr>
                <w:rFonts w:ascii="Times" w:hAnsi="Times"/>
                <w:sz w:val="18"/>
              </w:rPr>
              <w:t>[10-20]</w:t>
            </w:r>
            <w:r w:rsidR="00D40242">
              <w:rPr>
                <w:rFonts w:ascii="Times" w:hAnsi="Times"/>
                <w:sz w:val="18"/>
              </w:rPr>
              <w:t>%</w:t>
            </w:r>
            <w:r>
              <w:rPr>
                <w:rFonts w:ascii="Times" w:hAnsi="Times"/>
                <w:sz w:val="18"/>
              </w:rPr>
              <w:t xml:space="preserve"> </w:t>
            </w:r>
            <w:r w:rsidR="00D40242">
              <w:rPr>
                <w:rFonts w:ascii="Times" w:hAnsi="Times"/>
                <w:sz w:val="18"/>
              </w:rPr>
              <w:t>/</w:t>
            </w:r>
            <w:r>
              <w:rPr>
                <w:rFonts w:ascii="Times" w:hAnsi="Times"/>
                <w:sz w:val="18"/>
              </w:rPr>
              <w:t>[30-40]</w:t>
            </w:r>
            <w:r w:rsidR="00D40242">
              <w:rPr>
                <w:rFonts w:ascii="Times" w:hAnsi="Times"/>
                <w:sz w:val="18"/>
              </w:rPr>
              <w:t>%</w:t>
            </w:r>
          </w:p>
        </w:tc>
        <w:tc>
          <w:tcPr>
            <w:tcW w:w="738" w:type="pct"/>
            <w:tcBorders>
              <w:top w:val="single" w:sz="2" w:space="0" w:color="auto"/>
              <w:left w:val="single" w:sz="2" w:space="0" w:color="auto"/>
              <w:bottom w:val="single" w:sz="2" w:space="0" w:color="auto"/>
              <w:right w:val="single" w:sz="2" w:space="0" w:color="auto"/>
            </w:tcBorders>
            <w:vAlign w:val="center"/>
          </w:tcPr>
          <w:p w:rsidR="00D40242" w:rsidRPr="00B6607C" w:rsidRDefault="00D40242" w:rsidP="0076503C">
            <w:pPr>
              <w:keepNext/>
              <w:spacing w:after="0"/>
              <w:jc w:val="center"/>
              <w:rPr>
                <w:rFonts w:ascii="Times" w:hAnsi="Times"/>
                <w:sz w:val="18"/>
                <w:szCs w:val="18"/>
              </w:rPr>
            </w:pPr>
            <w:r>
              <w:rPr>
                <w:rFonts w:ascii="Times" w:hAnsi="Times"/>
                <w:sz w:val="18"/>
              </w:rPr>
              <w:t>At least 4</w:t>
            </w:r>
          </w:p>
        </w:tc>
      </w:tr>
      <w:tr w:rsidR="00D71052" w:rsidRPr="00AD3737" w:rsidTr="004C6514">
        <w:trPr>
          <w:trHeight w:val="345"/>
        </w:trPr>
        <w:tc>
          <w:tcPr>
            <w:tcW w:w="608" w:type="pct"/>
            <w:vMerge/>
            <w:tcBorders>
              <w:top w:val="single" w:sz="2" w:space="0" w:color="auto"/>
              <w:left w:val="single" w:sz="2" w:space="0" w:color="auto"/>
              <w:bottom w:val="single" w:sz="2" w:space="0" w:color="auto"/>
              <w:right w:val="single" w:sz="2" w:space="0" w:color="auto"/>
            </w:tcBorders>
            <w:vAlign w:val="center"/>
          </w:tcPr>
          <w:p w:rsidR="00D71052" w:rsidRPr="00420413" w:rsidRDefault="00D71052" w:rsidP="0076503C">
            <w:pPr>
              <w:keepNext/>
              <w:spacing w:after="0"/>
              <w:jc w:val="center"/>
              <w:rPr>
                <w:rFonts w:ascii="Times" w:hAnsi="Times"/>
                <w:i/>
                <w:sz w:val="18"/>
                <w:szCs w:val="18"/>
              </w:rPr>
            </w:pPr>
          </w:p>
        </w:tc>
        <w:tc>
          <w:tcPr>
            <w:tcW w:w="696" w:type="pct"/>
            <w:vMerge/>
            <w:tcBorders>
              <w:top w:val="single" w:sz="2" w:space="0" w:color="auto"/>
              <w:left w:val="single" w:sz="2" w:space="0" w:color="auto"/>
              <w:bottom w:val="single" w:sz="2" w:space="0" w:color="auto"/>
              <w:right w:val="single" w:sz="2" w:space="0" w:color="auto"/>
            </w:tcBorders>
            <w:vAlign w:val="center"/>
          </w:tcPr>
          <w:p w:rsidR="00D71052" w:rsidRPr="00B6607C" w:rsidRDefault="00D71052" w:rsidP="0076503C">
            <w:pPr>
              <w:keepNext/>
              <w:spacing w:after="0"/>
              <w:jc w:val="center"/>
              <w:rPr>
                <w:rFonts w:ascii="Times" w:hAnsi="Times"/>
                <w:sz w:val="18"/>
                <w:szCs w:val="18"/>
              </w:rPr>
            </w:pPr>
          </w:p>
        </w:tc>
        <w:tc>
          <w:tcPr>
            <w:tcW w:w="434" w:type="pct"/>
            <w:vMerge/>
            <w:tcBorders>
              <w:top w:val="single" w:sz="2" w:space="0" w:color="auto"/>
              <w:left w:val="single" w:sz="2" w:space="0" w:color="auto"/>
              <w:bottom w:val="single" w:sz="2" w:space="0" w:color="auto"/>
              <w:right w:val="single" w:sz="2" w:space="0" w:color="auto"/>
            </w:tcBorders>
            <w:vAlign w:val="center"/>
          </w:tcPr>
          <w:p w:rsidR="00D71052" w:rsidRPr="00B6607C" w:rsidRDefault="00D71052" w:rsidP="0076503C">
            <w:pPr>
              <w:keepNext/>
              <w:spacing w:after="0"/>
              <w:jc w:val="center"/>
              <w:rPr>
                <w:rFonts w:ascii="Times" w:hAnsi="Time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rsidR="00D71052" w:rsidRPr="00213AF2" w:rsidRDefault="00D71052" w:rsidP="0076503C">
            <w:pPr>
              <w:keepNext/>
              <w:spacing w:after="0"/>
              <w:jc w:val="left"/>
              <w:rPr>
                <w:rFonts w:ascii="Times" w:hAnsi="Times"/>
                <w:sz w:val="18"/>
              </w:rPr>
            </w:pPr>
            <w:r>
              <w:rPr>
                <w:rFonts w:ascii="Times" w:hAnsi="Times"/>
                <w:sz w:val="18"/>
              </w:rPr>
              <w:t>2016</w:t>
            </w:r>
          </w:p>
        </w:tc>
        <w:tc>
          <w:tcPr>
            <w:tcW w:w="693" w:type="pct"/>
            <w:tcBorders>
              <w:top w:val="single" w:sz="2" w:space="0" w:color="auto"/>
              <w:left w:val="single" w:sz="2" w:space="0" w:color="auto"/>
              <w:bottom w:val="single" w:sz="2" w:space="0" w:color="auto"/>
              <w:right w:val="single" w:sz="2" w:space="0" w:color="auto"/>
            </w:tcBorders>
            <w:vAlign w:val="center"/>
          </w:tcPr>
          <w:p w:rsidR="00D71052" w:rsidRPr="00B6607C" w:rsidRDefault="00D71052" w:rsidP="003B687A">
            <w:pPr>
              <w:keepNext/>
              <w:spacing w:after="0"/>
              <w:jc w:val="center"/>
              <w:rPr>
                <w:rFonts w:ascii="Times" w:hAnsi="Times"/>
                <w:sz w:val="18"/>
                <w:szCs w:val="18"/>
              </w:rPr>
            </w:pPr>
            <w:r>
              <w:rPr>
                <w:rFonts w:ascii="Times" w:hAnsi="Times"/>
                <w:sz w:val="18"/>
              </w:rPr>
              <w:t>[10-20]% /[10-20]%</w:t>
            </w:r>
          </w:p>
        </w:tc>
        <w:tc>
          <w:tcPr>
            <w:tcW w:w="612" w:type="pct"/>
            <w:tcBorders>
              <w:top w:val="single" w:sz="2" w:space="0" w:color="auto"/>
              <w:left w:val="single" w:sz="2" w:space="0" w:color="auto"/>
              <w:bottom w:val="single" w:sz="2" w:space="0" w:color="auto"/>
              <w:right w:val="single" w:sz="2" w:space="0" w:color="auto"/>
            </w:tcBorders>
            <w:vAlign w:val="center"/>
          </w:tcPr>
          <w:p w:rsidR="00D71052" w:rsidRPr="00B6607C" w:rsidRDefault="00D71052" w:rsidP="003B687A">
            <w:pPr>
              <w:keepNext/>
              <w:spacing w:after="0"/>
              <w:jc w:val="center"/>
              <w:rPr>
                <w:rFonts w:ascii="Times" w:hAnsi="Times"/>
                <w:sz w:val="18"/>
                <w:szCs w:val="18"/>
              </w:rPr>
            </w:pPr>
            <w:r>
              <w:rPr>
                <w:rFonts w:ascii="Times" w:hAnsi="Times"/>
                <w:sz w:val="18"/>
              </w:rPr>
              <w:t>[5-10]% /[10-20]%</w:t>
            </w:r>
          </w:p>
        </w:tc>
        <w:tc>
          <w:tcPr>
            <w:tcW w:w="696" w:type="pct"/>
            <w:tcBorders>
              <w:top w:val="single" w:sz="2" w:space="0" w:color="auto"/>
              <w:left w:val="single" w:sz="2" w:space="0" w:color="auto"/>
              <w:bottom w:val="single" w:sz="2" w:space="0" w:color="auto"/>
              <w:right w:val="single" w:sz="2" w:space="0" w:color="auto"/>
            </w:tcBorders>
            <w:vAlign w:val="center"/>
          </w:tcPr>
          <w:p w:rsidR="00D71052" w:rsidRPr="00B6607C" w:rsidRDefault="00D71052" w:rsidP="003B687A">
            <w:pPr>
              <w:keepNext/>
              <w:spacing w:after="0"/>
              <w:jc w:val="center"/>
              <w:rPr>
                <w:rFonts w:ascii="Times" w:hAnsi="Times"/>
                <w:sz w:val="18"/>
                <w:szCs w:val="18"/>
              </w:rPr>
            </w:pPr>
            <w:r>
              <w:rPr>
                <w:rFonts w:ascii="Times" w:hAnsi="Times"/>
                <w:sz w:val="18"/>
              </w:rPr>
              <w:t>[10-20]% /[30-40]%</w:t>
            </w:r>
          </w:p>
        </w:tc>
        <w:tc>
          <w:tcPr>
            <w:tcW w:w="738" w:type="pct"/>
            <w:tcBorders>
              <w:top w:val="single" w:sz="2" w:space="0" w:color="auto"/>
              <w:left w:val="single" w:sz="2" w:space="0" w:color="auto"/>
              <w:bottom w:val="single" w:sz="2" w:space="0" w:color="auto"/>
              <w:right w:val="single" w:sz="2" w:space="0" w:color="auto"/>
            </w:tcBorders>
            <w:vAlign w:val="center"/>
          </w:tcPr>
          <w:p w:rsidR="00D71052" w:rsidRPr="00B6607C" w:rsidRDefault="00D71052" w:rsidP="0076503C">
            <w:pPr>
              <w:keepNext/>
              <w:spacing w:after="0"/>
              <w:jc w:val="center"/>
              <w:rPr>
                <w:rFonts w:ascii="Times" w:hAnsi="Times"/>
                <w:sz w:val="18"/>
                <w:szCs w:val="18"/>
              </w:rPr>
            </w:pPr>
            <w:r>
              <w:rPr>
                <w:rFonts w:ascii="Times" w:hAnsi="Times"/>
                <w:sz w:val="18"/>
                <w:szCs w:val="18"/>
              </w:rPr>
              <w:t>At least 5</w:t>
            </w:r>
          </w:p>
        </w:tc>
      </w:tr>
      <w:tr w:rsidR="00D71052" w:rsidRPr="00AD3737" w:rsidTr="004C6514">
        <w:trPr>
          <w:trHeight w:val="345"/>
        </w:trPr>
        <w:tc>
          <w:tcPr>
            <w:tcW w:w="608" w:type="pct"/>
            <w:vMerge/>
            <w:tcBorders>
              <w:top w:val="single" w:sz="2" w:space="0" w:color="auto"/>
              <w:left w:val="single" w:sz="2" w:space="0" w:color="auto"/>
              <w:bottom w:val="single" w:sz="12" w:space="0" w:color="auto"/>
              <w:right w:val="single" w:sz="2" w:space="0" w:color="auto"/>
            </w:tcBorders>
            <w:vAlign w:val="center"/>
          </w:tcPr>
          <w:p w:rsidR="00D71052" w:rsidRPr="00420413" w:rsidRDefault="00D71052" w:rsidP="0076503C">
            <w:pPr>
              <w:keepNext/>
              <w:spacing w:after="0"/>
              <w:jc w:val="center"/>
              <w:rPr>
                <w:rFonts w:ascii="Times" w:hAnsi="Times"/>
                <w:i/>
                <w:sz w:val="18"/>
                <w:szCs w:val="18"/>
              </w:rPr>
            </w:pPr>
          </w:p>
        </w:tc>
        <w:tc>
          <w:tcPr>
            <w:tcW w:w="696" w:type="pct"/>
            <w:vMerge/>
            <w:tcBorders>
              <w:top w:val="single" w:sz="2" w:space="0" w:color="auto"/>
              <w:left w:val="single" w:sz="2" w:space="0" w:color="auto"/>
              <w:bottom w:val="single" w:sz="12" w:space="0" w:color="auto"/>
              <w:right w:val="single" w:sz="2" w:space="0" w:color="auto"/>
            </w:tcBorders>
            <w:vAlign w:val="center"/>
          </w:tcPr>
          <w:p w:rsidR="00D71052" w:rsidRPr="00B6607C" w:rsidRDefault="00D71052" w:rsidP="0076503C">
            <w:pPr>
              <w:keepNext/>
              <w:spacing w:after="0"/>
              <w:jc w:val="center"/>
              <w:rPr>
                <w:rFonts w:ascii="Times" w:hAnsi="Times"/>
                <w:sz w:val="18"/>
                <w:szCs w:val="18"/>
              </w:rPr>
            </w:pPr>
          </w:p>
        </w:tc>
        <w:tc>
          <w:tcPr>
            <w:tcW w:w="434" w:type="pct"/>
            <w:vMerge/>
            <w:tcBorders>
              <w:top w:val="single" w:sz="2" w:space="0" w:color="auto"/>
              <w:left w:val="single" w:sz="2" w:space="0" w:color="auto"/>
              <w:bottom w:val="single" w:sz="12" w:space="0" w:color="auto"/>
              <w:right w:val="single" w:sz="2" w:space="0" w:color="auto"/>
            </w:tcBorders>
            <w:vAlign w:val="center"/>
          </w:tcPr>
          <w:p w:rsidR="00D71052" w:rsidRPr="00B6607C" w:rsidRDefault="00D71052" w:rsidP="0076503C">
            <w:pPr>
              <w:keepNext/>
              <w:spacing w:after="0"/>
              <w:jc w:val="center"/>
              <w:rPr>
                <w:rFonts w:ascii="Times" w:hAnsi="Times"/>
                <w:sz w:val="18"/>
                <w:szCs w:val="18"/>
              </w:rPr>
            </w:pPr>
          </w:p>
        </w:tc>
        <w:tc>
          <w:tcPr>
            <w:tcW w:w="523" w:type="pct"/>
            <w:tcBorders>
              <w:top w:val="single" w:sz="2" w:space="0" w:color="auto"/>
              <w:left w:val="single" w:sz="2" w:space="0" w:color="auto"/>
              <w:bottom w:val="single" w:sz="12" w:space="0" w:color="auto"/>
              <w:right w:val="single" w:sz="2" w:space="0" w:color="auto"/>
            </w:tcBorders>
            <w:vAlign w:val="center"/>
          </w:tcPr>
          <w:p w:rsidR="00D71052" w:rsidRPr="00213AF2" w:rsidRDefault="00D71052" w:rsidP="0076503C">
            <w:pPr>
              <w:keepNext/>
              <w:spacing w:after="0"/>
              <w:jc w:val="left"/>
              <w:rPr>
                <w:rFonts w:ascii="Times" w:hAnsi="Times"/>
                <w:sz w:val="18"/>
              </w:rPr>
            </w:pPr>
            <w:r>
              <w:rPr>
                <w:rFonts w:ascii="Times" w:hAnsi="Times"/>
                <w:sz w:val="18"/>
              </w:rPr>
              <w:t>2015</w:t>
            </w:r>
          </w:p>
        </w:tc>
        <w:tc>
          <w:tcPr>
            <w:tcW w:w="693" w:type="pct"/>
            <w:tcBorders>
              <w:top w:val="single" w:sz="2" w:space="0" w:color="auto"/>
              <w:left w:val="single" w:sz="2" w:space="0" w:color="auto"/>
              <w:bottom w:val="single" w:sz="12" w:space="0" w:color="auto"/>
              <w:right w:val="single" w:sz="2" w:space="0" w:color="auto"/>
            </w:tcBorders>
            <w:vAlign w:val="center"/>
          </w:tcPr>
          <w:p w:rsidR="00D71052" w:rsidRPr="00B6607C" w:rsidRDefault="00D71052" w:rsidP="003B687A">
            <w:pPr>
              <w:keepNext/>
              <w:spacing w:after="0"/>
              <w:jc w:val="center"/>
              <w:rPr>
                <w:rFonts w:ascii="Times" w:hAnsi="Times"/>
                <w:sz w:val="18"/>
                <w:szCs w:val="18"/>
              </w:rPr>
            </w:pPr>
            <w:r>
              <w:rPr>
                <w:rFonts w:ascii="Times" w:hAnsi="Times"/>
                <w:sz w:val="18"/>
              </w:rPr>
              <w:t>[10-20]% /[10-20]%</w:t>
            </w:r>
          </w:p>
        </w:tc>
        <w:tc>
          <w:tcPr>
            <w:tcW w:w="612" w:type="pct"/>
            <w:tcBorders>
              <w:top w:val="single" w:sz="2" w:space="0" w:color="auto"/>
              <w:left w:val="single" w:sz="2" w:space="0" w:color="auto"/>
              <w:bottom w:val="single" w:sz="12" w:space="0" w:color="auto"/>
              <w:right w:val="single" w:sz="2" w:space="0" w:color="auto"/>
            </w:tcBorders>
            <w:vAlign w:val="center"/>
          </w:tcPr>
          <w:p w:rsidR="00D71052" w:rsidRPr="00B6607C" w:rsidRDefault="00D71052" w:rsidP="003B687A">
            <w:pPr>
              <w:keepNext/>
              <w:spacing w:after="0"/>
              <w:jc w:val="center"/>
              <w:rPr>
                <w:rFonts w:ascii="Times" w:hAnsi="Times"/>
                <w:sz w:val="18"/>
                <w:szCs w:val="18"/>
              </w:rPr>
            </w:pPr>
            <w:r>
              <w:rPr>
                <w:rFonts w:ascii="Times" w:hAnsi="Times"/>
                <w:sz w:val="18"/>
              </w:rPr>
              <w:t>[5-10]% /[10-20]%</w:t>
            </w:r>
          </w:p>
        </w:tc>
        <w:tc>
          <w:tcPr>
            <w:tcW w:w="696" w:type="pct"/>
            <w:tcBorders>
              <w:top w:val="single" w:sz="2" w:space="0" w:color="auto"/>
              <w:left w:val="single" w:sz="2" w:space="0" w:color="auto"/>
              <w:bottom w:val="single" w:sz="12" w:space="0" w:color="auto"/>
              <w:right w:val="single" w:sz="2" w:space="0" w:color="auto"/>
            </w:tcBorders>
            <w:vAlign w:val="center"/>
          </w:tcPr>
          <w:p w:rsidR="00D71052" w:rsidRPr="00B6607C" w:rsidRDefault="00D71052" w:rsidP="003B687A">
            <w:pPr>
              <w:keepNext/>
              <w:spacing w:after="0"/>
              <w:jc w:val="center"/>
              <w:rPr>
                <w:rFonts w:ascii="Times" w:hAnsi="Times"/>
                <w:sz w:val="18"/>
                <w:szCs w:val="18"/>
              </w:rPr>
            </w:pPr>
            <w:r>
              <w:rPr>
                <w:rFonts w:ascii="Times" w:hAnsi="Times"/>
                <w:sz w:val="18"/>
              </w:rPr>
              <w:t>[10-20]% /[30-40]%</w:t>
            </w:r>
          </w:p>
        </w:tc>
        <w:tc>
          <w:tcPr>
            <w:tcW w:w="738" w:type="pct"/>
            <w:tcBorders>
              <w:top w:val="single" w:sz="2" w:space="0" w:color="auto"/>
              <w:left w:val="single" w:sz="2" w:space="0" w:color="auto"/>
              <w:bottom w:val="single" w:sz="12" w:space="0" w:color="auto"/>
              <w:right w:val="single" w:sz="2" w:space="0" w:color="auto"/>
            </w:tcBorders>
            <w:vAlign w:val="center"/>
          </w:tcPr>
          <w:p w:rsidR="00D71052" w:rsidRPr="00B6607C" w:rsidRDefault="00D71052" w:rsidP="0076503C">
            <w:pPr>
              <w:keepNext/>
              <w:spacing w:after="0"/>
              <w:jc w:val="center"/>
              <w:rPr>
                <w:rFonts w:ascii="Times" w:hAnsi="Times"/>
                <w:sz w:val="18"/>
                <w:szCs w:val="18"/>
              </w:rPr>
            </w:pPr>
            <w:r>
              <w:rPr>
                <w:rFonts w:ascii="Times" w:hAnsi="Times"/>
                <w:sz w:val="18"/>
                <w:szCs w:val="18"/>
              </w:rPr>
              <w:t>At least 5</w:t>
            </w:r>
          </w:p>
        </w:tc>
      </w:tr>
      <w:tr w:rsidR="00D71052" w:rsidRPr="00AD3737" w:rsidTr="004C6514">
        <w:trPr>
          <w:trHeight w:val="345"/>
        </w:trPr>
        <w:tc>
          <w:tcPr>
            <w:tcW w:w="608" w:type="pct"/>
            <w:vMerge w:val="restart"/>
            <w:tcBorders>
              <w:top w:val="single" w:sz="12" w:space="0" w:color="auto"/>
            </w:tcBorders>
            <w:vAlign w:val="center"/>
          </w:tcPr>
          <w:p w:rsidR="00D71052" w:rsidRPr="00420413" w:rsidRDefault="00D71052" w:rsidP="0076503C">
            <w:pPr>
              <w:keepNext/>
              <w:spacing w:after="0"/>
              <w:jc w:val="center"/>
              <w:rPr>
                <w:rFonts w:ascii="Times" w:hAnsi="Times"/>
                <w:i/>
                <w:sz w:val="18"/>
                <w:szCs w:val="18"/>
              </w:rPr>
            </w:pPr>
            <w:r w:rsidRPr="004F4BE3">
              <w:rPr>
                <w:rFonts w:ascii="Times" w:hAnsi="Times"/>
                <w:i/>
                <w:sz w:val="18"/>
              </w:rPr>
              <w:t>Ibuprofen</w:t>
            </w:r>
          </w:p>
        </w:tc>
        <w:tc>
          <w:tcPr>
            <w:tcW w:w="696" w:type="pct"/>
            <w:vMerge w:val="restart"/>
            <w:tcBorders>
              <w:top w:val="single" w:sz="12" w:space="0" w:color="auto"/>
            </w:tcBorders>
          </w:tcPr>
          <w:p w:rsidR="00D71052" w:rsidRPr="00B6607C" w:rsidRDefault="00D71052" w:rsidP="0076503C">
            <w:pPr>
              <w:keepNext/>
              <w:spacing w:after="0"/>
              <w:jc w:val="center"/>
              <w:rPr>
                <w:rFonts w:ascii="Times" w:hAnsi="Times"/>
                <w:sz w:val="18"/>
                <w:szCs w:val="18"/>
              </w:rPr>
            </w:pPr>
            <w:r w:rsidRPr="004F4BE3">
              <w:rPr>
                <w:rFonts w:ascii="Times" w:hAnsi="Times"/>
                <w:i/>
                <w:sz w:val="18"/>
              </w:rPr>
              <w:t>Ibuprofen</w:t>
            </w:r>
            <w:r w:rsidRPr="0096223A">
              <w:rPr>
                <w:rFonts w:ascii="Times" w:hAnsi="Times"/>
                <w:sz w:val="18"/>
                <w:lang w:val="en-GB"/>
              </w:rPr>
              <w:t xml:space="preserve">-based non-steroidal </w:t>
            </w:r>
            <w:r w:rsidRPr="001436EE">
              <w:rPr>
                <w:rFonts w:ascii="Times" w:hAnsi="Times"/>
                <w:sz w:val="18"/>
                <w:lang w:val="en-GB"/>
              </w:rPr>
              <w:t>antirheumatics</w:t>
            </w:r>
            <w:r w:rsidRPr="001436EE">
              <w:rPr>
                <w:rFonts w:ascii="Times" w:hAnsi="Times"/>
                <w:sz w:val="18"/>
              </w:rPr>
              <w:t xml:space="preserve"> in ATC 3 class M1A</w:t>
            </w:r>
          </w:p>
        </w:tc>
        <w:tc>
          <w:tcPr>
            <w:tcW w:w="434" w:type="pct"/>
            <w:vMerge w:val="restart"/>
            <w:tcBorders>
              <w:top w:val="single" w:sz="12" w:space="0" w:color="auto"/>
            </w:tcBorders>
            <w:vAlign w:val="center"/>
          </w:tcPr>
          <w:p w:rsidR="00D71052" w:rsidRPr="00B6607C" w:rsidRDefault="00D71052" w:rsidP="0076503C">
            <w:pPr>
              <w:keepNext/>
              <w:spacing w:after="0"/>
              <w:jc w:val="center"/>
              <w:rPr>
                <w:rFonts w:ascii="Times" w:hAnsi="Times"/>
                <w:sz w:val="18"/>
                <w:szCs w:val="18"/>
              </w:rPr>
            </w:pPr>
            <w:r w:rsidRPr="000E6CA6">
              <w:rPr>
                <w:rFonts w:ascii="Times" w:hAnsi="Times"/>
                <w:sz w:val="18"/>
              </w:rPr>
              <w:t>Group 1</w:t>
            </w:r>
          </w:p>
        </w:tc>
        <w:tc>
          <w:tcPr>
            <w:tcW w:w="523" w:type="pct"/>
            <w:tcBorders>
              <w:top w:val="single" w:sz="12" w:space="0" w:color="auto"/>
            </w:tcBorders>
            <w:vAlign w:val="center"/>
          </w:tcPr>
          <w:p w:rsidR="00D71052" w:rsidRPr="00213AF2" w:rsidRDefault="00D71052" w:rsidP="0076503C">
            <w:pPr>
              <w:keepNext/>
              <w:spacing w:after="0"/>
              <w:jc w:val="left"/>
              <w:rPr>
                <w:rFonts w:ascii="Times" w:hAnsi="Times"/>
                <w:sz w:val="18"/>
              </w:rPr>
            </w:pPr>
            <w:r>
              <w:rPr>
                <w:rFonts w:ascii="Times" w:hAnsi="Times"/>
                <w:sz w:val="18"/>
              </w:rPr>
              <w:t>2017</w:t>
            </w:r>
          </w:p>
        </w:tc>
        <w:tc>
          <w:tcPr>
            <w:tcW w:w="693" w:type="pct"/>
            <w:tcBorders>
              <w:top w:val="single" w:sz="12" w:space="0" w:color="auto"/>
            </w:tcBorders>
            <w:vAlign w:val="center"/>
          </w:tcPr>
          <w:p w:rsidR="00D71052" w:rsidRPr="00B6607C" w:rsidRDefault="00D71052" w:rsidP="00D71052">
            <w:pPr>
              <w:keepNext/>
              <w:spacing w:after="0"/>
              <w:jc w:val="center"/>
              <w:rPr>
                <w:rFonts w:ascii="Times" w:hAnsi="Times"/>
                <w:sz w:val="18"/>
                <w:szCs w:val="18"/>
              </w:rPr>
            </w:pPr>
            <w:r>
              <w:rPr>
                <w:rFonts w:ascii="Times" w:hAnsi="Times"/>
                <w:sz w:val="18"/>
              </w:rPr>
              <w:t>[20-30]</w:t>
            </w:r>
            <w:r w:rsidRPr="00617BB4">
              <w:rPr>
                <w:rFonts w:ascii="Times" w:hAnsi="Times"/>
                <w:sz w:val="18"/>
              </w:rPr>
              <w:t>%</w:t>
            </w:r>
            <w:r>
              <w:rPr>
                <w:rFonts w:ascii="Times" w:hAnsi="Times"/>
                <w:sz w:val="18"/>
              </w:rPr>
              <w:t xml:space="preserve"> </w:t>
            </w:r>
            <w:r w:rsidRPr="00617BB4">
              <w:rPr>
                <w:rFonts w:ascii="Times" w:hAnsi="Times"/>
                <w:sz w:val="18"/>
              </w:rPr>
              <w:t>/</w:t>
            </w:r>
            <w:r>
              <w:rPr>
                <w:rFonts w:ascii="Times" w:hAnsi="Times"/>
                <w:sz w:val="18"/>
              </w:rPr>
              <w:t>[20-30]</w:t>
            </w:r>
            <w:r w:rsidRPr="00617BB4">
              <w:rPr>
                <w:rFonts w:ascii="Times" w:hAnsi="Times"/>
                <w:sz w:val="18"/>
              </w:rPr>
              <w:t>%</w:t>
            </w:r>
          </w:p>
        </w:tc>
        <w:tc>
          <w:tcPr>
            <w:tcW w:w="612" w:type="pct"/>
            <w:tcBorders>
              <w:top w:val="single" w:sz="12" w:space="0" w:color="auto"/>
            </w:tcBorders>
            <w:vAlign w:val="center"/>
          </w:tcPr>
          <w:p w:rsidR="00D71052" w:rsidRPr="00B6607C" w:rsidRDefault="00D71052" w:rsidP="003B687A">
            <w:pPr>
              <w:keepNext/>
              <w:spacing w:after="0"/>
              <w:jc w:val="center"/>
              <w:rPr>
                <w:rFonts w:ascii="Times" w:hAnsi="Times"/>
                <w:sz w:val="18"/>
                <w:szCs w:val="18"/>
              </w:rPr>
            </w:pPr>
            <w:r>
              <w:rPr>
                <w:rFonts w:ascii="Times" w:hAnsi="Times"/>
                <w:sz w:val="18"/>
              </w:rPr>
              <w:t>[20-30]</w:t>
            </w:r>
            <w:r w:rsidRPr="00617BB4">
              <w:rPr>
                <w:rFonts w:ascii="Times" w:hAnsi="Times"/>
                <w:sz w:val="18"/>
              </w:rPr>
              <w:t>%</w:t>
            </w:r>
            <w:r>
              <w:rPr>
                <w:rFonts w:ascii="Times" w:hAnsi="Times"/>
                <w:sz w:val="18"/>
              </w:rPr>
              <w:t xml:space="preserve"> </w:t>
            </w:r>
            <w:r w:rsidRPr="00617BB4">
              <w:rPr>
                <w:rFonts w:ascii="Times" w:hAnsi="Times"/>
                <w:sz w:val="18"/>
              </w:rPr>
              <w:t>/</w:t>
            </w:r>
            <w:r>
              <w:rPr>
                <w:rFonts w:ascii="Times" w:hAnsi="Times"/>
                <w:sz w:val="18"/>
              </w:rPr>
              <w:t>[20-30]</w:t>
            </w:r>
            <w:r w:rsidRPr="00617BB4">
              <w:rPr>
                <w:rFonts w:ascii="Times" w:hAnsi="Times"/>
                <w:sz w:val="18"/>
              </w:rPr>
              <w:t>%</w:t>
            </w:r>
          </w:p>
        </w:tc>
        <w:tc>
          <w:tcPr>
            <w:tcW w:w="696" w:type="pct"/>
            <w:tcBorders>
              <w:top w:val="single" w:sz="12" w:space="0" w:color="auto"/>
            </w:tcBorders>
            <w:vAlign w:val="center"/>
          </w:tcPr>
          <w:p w:rsidR="00D71052" w:rsidRPr="00B6607C" w:rsidRDefault="00D71052" w:rsidP="00D71052">
            <w:pPr>
              <w:keepNext/>
              <w:spacing w:after="0"/>
              <w:jc w:val="center"/>
              <w:rPr>
                <w:rFonts w:ascii="Times" w:hAnsi="Times"/>
                <w:sz w:val="18"/>
                <w:szCs w:val="18"/>
              </w:rPr>
            </w:pPr>
            <w:r>
              <w:rPr>
                <w:rFonts w:ascii="Times" w:hAnsi="Times"/>
                <w:sz w:val="18"/>
              </w:rPr>
              <w:t>[40-50]</w:t>
            </w:r>
            <w:r w:rsidRPr="00617BB4">
              <w:rPr>
                <w:rFonts w:ascii="Times" w:hAnsi="Times"/>
                <w:sz w:val="18"/>
              </w:rPr>
              <w:t>%</w:t>
            </w:r>
            <w:r>
              <w:rPr>
                <w:rFonts w:ascii="Times" w:hAnsi="Times"/>
                <w:sz w:val="18"/>
              </w:rPr>
              <w:t xml:space="preserve"> </w:t>
            </w:r>
            <w:r w:rsidRPr="00617BB4">
              <w:rPr>
                <w:rFonts w:ascii="Times" w:hAnsi="Times"/>
                <w:sz w:val="18"/>
              </w:rPr>
              <w:t>/</w:t>
            </w:r>
            <w:r>
              <w:rPr>
                <w:rFonts w:ascii="Times" w:hAnsi="Times"/>
                <w:sz w:val="18"/>
              </w:rPr>
              <w:t>[50-60]</w:t>
            </w:r>
            <w:r w:rsidRPr="00617BB4">
              <w:rPr>
                <w:rFonts w:ascii="Times" w:hAnsi="Times"/>
                <w:sz w:val="18"/>
              </w:rPr>
              <w:t>%</w:t>
            </w:r>
          </w:p>
        </w:tc>
        <w:tc>
          <w:tcPr>
            <w:tcW w:w="738" w:type="pct"/>
            <w:tcBorders>
              <w:top w:val="single" w:sz="12" w:space="0" w:color="auto"/>
            </w:tcBorders>
            <w:vAlign w:val="center"/>
          </w:tcPr>
          <w:p w:rsidR="00D71052" w:rsidRPr="00B6607C" w:rsidRDefault="00D71052" w:rsidP="0076503C">
            <w:pPr>
              <w:keepNext/>
              <w:spacing w:after="0"/>
              <w:jc w:val="center"/>
              <w:rPr>
                <w:rFonts w:ascii="Times" w:hAnsi="Times"/>
                <w:sz w:val="18"/>
                <w:szCs w:val="18"/>
              </w:rPr>
            </w:pPr>
            <w:r>
              <w:rPr>
                <w:rFonts w:ascii="Times" w:hAnsi="Times"/>
                <w:sz w:val="18"/>
                <w:szCs w:val="18"/>
              </w:rPr>
              <w:t>At least 3</w:t>
            </w:r>
          </w:p>
        </w:tc>
      </w:tr>
      <w:tr w:rsidR="00D71052" w:rsidRPr="00AD3737" w:rsidTr="00D40242">
        <w:trPr>
          <w:trHeight w:val="345"/>
        </w:trPr>
        <w:tc>
          <w:tcPr>
            <w:tcW w:w="608" w:type="pct"/>
            <w:vMerge/>
            <w:vAlign w:val="center"/>
          </w:tcPr>
          <w:p w:rsidR="00D71052" w:rsidRPr="00420413" w:rsidRDefault="00D71052" w:rsidP="0076503C">
            <w:pPr>
              <w:keepNext/>
              <w:spacing w:after="0"/>
              <w:jc w:val="center"/>
              <w:rPr>
                <w:rFonts w:ascii="Times" w:hAnsi="Times"/>
                <w:i/>
                <w:sz w:val="18"/>
                <w:szCs w:val="18"/>
              </w:rPr>
            </w:pPr>
          </w:p>
        </w:tc>
        <w:tc>
          <w:tcPr>
            <w:tcW w:w="696" w:type="pct"/>
            <w:vMerge/>
            <w:vAlign w:val="center"/>
          </w:tcPr>
          <w:p w:rsidR="00D71052" w:rsidRPr="00B6607C" w:rsidRDefault="00D71052" w:rsidP="0076503C">
            <w:pPr>
              <w:keepNext/>
              <w:spacing w:after="0"/>
              <w:jc w:val="center"/>
              <w:rPr>
                <w:rFonts w:ascii="Times" w:hAnsi="Times"/>
                <w:sz w:val="18"/>
                <w:szCs w:val="18"/>
              </w:rPr>
            </w:pPr>
          </w:p>
        </w:tc>
        <w:tc>
          <w:tcPr>
            <w:tcW w:w="434" w:type="pct"/>
            <w:vMerge/>
            <w:vAlign w:val="center"/>
          </w:tcPr>
          <w:p w:rsidR="00D71052" w:rsidRPr="00B6607C" w:rsidRDefault="00D71052" w:rsidP="0076503C">
            <w:pPr>
              <w:keepNext/>
              <w:spacing w:after="0"/>
              <w:jc w:val="center"/>
              <w:rPr>
                <w:rFonts w:ascii="Times" w:hAnsi="Times"/>
                <w:sz w:val="18"/>
                <w:szCs w:val="18"/>
              </w:rPr>
            </w:pPr>
          </w:p>
        </w:tc>
        <w:tc>
          <w:tcPr>
            <w:tcW w:w="523" w:type="pct"/>
            <w:vAlign w:val="center"/>
          </w:tcPr>
          <w:p w:rsidR="00D71052" w:rsidRPr="00213AF2" w:rsidRDefault="00D71052" w:rsidP="0076503C">
            <w:pPr>
              <w:keepNext/>
              <w:spacing w:after="0"/>
              <w:jc w:val="left"/>
              <w:rPr>
                <w:rFonts w:ascii="Times" w:hAnsi="Times"/>
                <w:sz w:val="18"/>
              </w:rPr>
            </w:pPr>
            <w:r>
              <w:rPr>
                <w:rFonts w:ascii="Times" w:hAnsi="Times"/>
                <w:sz w:val="18"/>
              </w:rPr>
              <w:t>2016</w:t>
            </w:r>
          </w:p>
        </w:tc>
        <w:tc>
          <w:tcPr>
            <w:tcW w:w="693" w:type="pct"/>
            <w:vAlign w:val="center"/>
          </w:tcPr>
          <w:p w:rsidR="00D71052" w:rsidRPr="00B6607C" w:rsidRDefault="00D71052" w:rsidP="003B687A">
            <w:pPr>
              <w:keepNext/>
              <w:spacing w:after="0"/>
              <w:jc w:val="center"/>
              <w:rPr>
                <w:rFonts w:ascii="Times" w:hAnsi="Times"/>
                <w:sz w:val="18"/>
                <w:szCs w:val="18"/>
              </w:rPr>
            </w:pPr>
            <w:r>
              <w:rPr>
                <w:rFonts w:ascii="Times" w:hAnsi="Times"/>
                <w:sz w:val="18"/>
              </w:rPr>
              <w:t>[20-30]</w:t>
            </w:r>
            <w:r w:rsidRPr="00617BB4">
              <w:rPr>
                <w:rFonts w:ascii="Times" w:hAnsi="Times"/>
                <w:sz w:val="18"/>
              </w:rPr>
              <w:t>%</w:t>
            </w:r>
            <w:r>
              <w:rPr>
                <w:rFonts w:ascii="Times" w:hAnsi="Times"/>
                <w:sz w:val="18"/>
              </w:rPr>
              <w:t xml:space="preserve"> </w:t>
            </w:r>
            <w:r w:rsidRPr="00617BB4">
              <w:rPr>
                <w:rFonts w:ascii="Times" w:hAnsi="Times"/>
                <w:sz w:val="18"/>
              </w:rPr>
              <w:t>/</w:t>
            </w:r>
            <w:r>
              <w:rPr>
                <w:rFonts w:ascii="Times" w:hAnsi="Times"/>
                <w:sz w:val="18"/>
              </w:rPr>
              <w:t>[20-30]</w:t>
            </w:r>
            <w:r w:rsidRPr="00617BB4">
              <w:rPr>
                <w:rFonts w:ascii="Times" w:hAnsi="Times"/>
                <w:sz w:val="18"/>
              </w:rPr>
              <w:t>%</w:t>
            </w:r>
          </w:p>
        </w:tc>
        <w:tc>
          <w:tcPr>
            <w:tcW w:w="612" w:type="pct"/>
            <w:vAlign w:val="center"/>
          </w:tcPr>
          <w:p w:rsidR="00D71052" w:rsidRPr="00B6607C" w:rsidRDefault="00D71052" w:rsidP="00D71052">
            <w:pPr>
              <w:keepNext/>
              <w:spacing w:after="0"/>
              <w:jc w:val="center"/>
              <w:rPr>
                <w:rFonts w:ascii="Times" w:hAnsi="Times"/>
                <w:sz w:val="18"/>
                <w:szCs w:val="18"/>
              </w:rPr>
            </w:pPr>
            <w:r>
              <w:rPr>
                <w:rFonts w:ascii="Times" w:hAnsi="Times"/>
                <w:sz w:val="18"/>
                <w:szCs w:val="18"/>
              </w:rPr>
              <w:t>[10-20]% /[20-30]%</w:t>
            </w:r>
          </w:p>
        </w:tc>
        <w:tc>
          <w:tcPr>
            <w:tcW w:w="696" w:type="pct"/>
            <w:vAlign w:val="center"/>
          </w:tcPr>
          <w:p w:rsidR="00D71052" w:rsidRPr="00B6607C" w:rsidRDefault="00D71052" w:rsidP="00D71052">
            <w:pPr>
              <w:keepNext/>
              <w:spacing w:after="0"/>
              <w:jc w:val="center"/>
              <w:rPr>
                <w:rFonts w:ascii="Times" w:hAnsi="Times"/>
                <w:sz w:val="18"/>
                <w:szCs w:val="18"/>
              </w:rPr>
            </w:pPr>
            <w:r>
              <w:rPr>
                <w:rFonts w:ascii="Times" w:hAnsi="Times"/>
                <w:sz w:val="18"/>
                <w:szCs w:val="18"/>
              </w:rPr>
              <w:t>[40-50]% /[40-50]%</w:t>
            </w:r>
          </w:p>
        </w:tc>
        <w:tc>
          <w:tcPr>
            <w:tcW w:w="738" w:type="pct"/>
            <w:vAlign w:val="center"/>
          </w:tcPr>
          <w:p w:rsidR="00D71052" w:rsidRPr="00B6607C" w:rsidRDefault="00D71052" w:rsidP="0076503C">
            <w:pPr>
              <w:keepNext/>
              <w:spacing w:after="0"/>
              <w:jc w:val="center"/>
              <w:rPr>
                <w:rFonts w:ascii="Times" w:hAnsi="Times"/>
                <w:sz w:val="18"/>
                <w:szCs w:val="18"/>
              </w:rPr>
            </w:pPr>
            <w:r>
              <w:rPr>
                <w:rFonts w:ascii="Times" w:hAnsi="Times"/>
                <w:sz w:val="18"/>
                <w:szCs w:val="18"/>
              </w:rPr>
              <w:t>At least 3</w:t>
            </w:r>
          </w:p>
        </w:tc>
      </w:tr>
      <w:tr w:rsidR="00D71052" w:rsidRPr="00AD3737" w:rsidTr="00D40242">
        <w:trPr>
          <w:trHeight w:val="345"/>
        </w:trPr>
        <w:tc>
          <w:tcPr>
            <w:tcW w:w="608" w:type="pct"/>
            <w:vMerge/>
            <w:vAlign w:val="center"/>
          </w:tcPr>
          <w:p w:rsidR="00D71052" w:rsidRPr="00420413" w:rsidRDefault="00D71052" w:rsidP="0076503C">
            <w:pPr>
              <w:keepNext/>
              <w:spacing w:after="0"/>
              <w:jc w:val="center"/>
              <w:rPr>
                <w:rFonts w:ascii="Times" w:hAnsi="Times"/>
                <w:i/>
                <w:sz w:val="18"/>
                <w:szCs w:val="18"/>
              </w:rPr>
            </w:pPr>
          </w:p>
        </w:tc>
        <w:tc>
          <w:tcPr>
            <w:tcW w:w="696" w:type="pct"/>
            <w:vMerge/>
            <w:vAlign w:val="center"/>
          </w:tcPr>
          <w:p w:rsidR="00D71052" w:rsidRPr="00B6607C" w:rsidRDefault="00D71052" w:rsidP="0076503C">
            <w:pPr>
              <w:keepNext/>
              <w:spacing w:after="0"/>
              <w:jc w:val="center"/>
              <w:rPr>
                <w:rFonts w:ascii="Times" w:hAnsi="Times"/>
                <w:sz w:val="18"/>
                <w:szCs w:val="18"/>
              </w:rPr>
            </w:pPr>
          </w:p>
        </w:tc>
        <w:tc>
          <w:tcPr>
            <w:tcW w:w="434" w:type="pct"/>
            <w:vMerge/>
            <w:vAlign w:val="center"/>
          </w:tcPr>
          <w:p w:rsidR="00D71052" w:rsidRPr="00B6607C" w:rsidRDefault="00D71052" w:rsidP="0076503C">
            <w:pPr>
              <w:keepNext/>
              <w:spacing w:after="0"/>
              <w:jc w:val="center"/>
              <w:rPr>
                <w:rFonts w:ascii="Times" w:hAnsi="Times"/>
                <w:sz w:val="18"/>
                <w:szCs w:val="18"/>
              </w:rPr>
            </w:pPr>
          </w:p>
        </w:tc>
        <w:tc>
          <w:tcPr>
            <w:tcW w:w="523" w:type="pct"/>
            <w:vAlign w:val="center"/>
          </w:tcPr>
          <w:p w:rsidR="00D71052" w:rsidRPr="00213AF2" w:rsidRDefault="00D71052" w:rsidP="0076503C">
            <w:pPr>
              <w:keepNext/>
              <w:spacing w:after="0"/>
              <w:jc w:val="left"/>
              <w:rPr>
                <w:rFonts w:ascii="Times" w:hAnsi="Times"/>
                <w:sz w:val="18"/>
              </w:rPr>
            </w:pPr>
            <w:r>
              <w:rPr>
                <w:rFonts w:ascii="Times" w:hAnsi="Times"/>
                <w:sz w:val="18"/>
              </w:rPr>
              <w:t>2015</w:t>
            </w:r>
          </w:p>
        </w:tc>
        <w:tc>
          <w:tcPr>
            <w:tcW w:w="693" w:type="pct"/>
            <w:vAlign w:val="center"/>
          </w:tcPr>
          <w:p w:rsidR="00D71052" w:rsidRPr="00B6607C" w:rsidRDefault="00D71052" w:rsidP="003B687A">
            <w:pPr>
              <w:keepNext/>
              <w:spacing w:after="0"/>
              <w:jc w:val="center"/>
              <w:rPr>
                <w:rFonts w:ascii="Times" w:hAnsi="Times"/>
                <w:sz w:val="18"/>
                <w:szCs w:val="18"/>
              </w:rPr>
            </w:pPr>
            <w:r>
              <w:rPr>
                <w:rFonts w:ascii="Times" w:hAnsi="Times"/>
                <w:sz w:val="18"/>
              </w:rPr>
              <w:t>[20-30]</w:t>
            </w:r>
            <w:r w:rsidRPr="00617BB4">
              <w:rPr>
                <w:rFonts w:ascii="Times" w:hAnsi="Times"/>
                <w:sz w:val="18"/>
              </w:rPr>
              <w:t>%</w:t>
            </w:r>
            <w:r>
              <w:rPr>
                <w:rFonts w:ascii="Times" w:hAnsi="Times"/>
                <w:sz w:val="18"/>
              </w:rPr>
              <w:t xml:space="preserve"> </w:t>
            </w:r>
            <w:r w:rsidRPr="00617BB4">
              <w:rPr>
                <w:rFonts w:ascii="Times" w:hAnsi="Times"/>
                <w:sz w:val="18"/>
              </w:rPr>
              <w:t>/</w:t>
            </w:r>
            <w:r>
              <w:rPr>
                <w:rFonts w:ascii="Times" w:hAnsi="Times"/>
                <w:sz w:val="18"/>
              </w:rPr>
              <w:t>[20-30]</w:t>
            </w:r>
            <w:r w:rsidRPr="00617BB4">
              <w:rPr>
                <w:rFonts w:ascii="Times" w:hAnsi="Times"/>
                <w:sz w:val="18"/>
              </w:rPr>
              <w:t>%</w:t>
            </w:r>
          </w:p>
        </w:tc>
        <w:tc>
          <w:tcPr>
            <w:tcW w:w="612" w:type="pct"/>
            <w:vAlign w:val="center"/>
          </w:tcPr>
          <w:p w:rsidR="00D71052" w:rsidRPr="00B6607C" w:rsidRDefault="00D71052" w:rsidP="003B687A">
            <w:pPr>
              <w:keepNext/>
              <w:spacing w:after="0"/>
              <w:jc w:val="center"/>
              <w:rPr>
                <w:rFonts w:ascii="Times" w:hAnsi="Times"/>
                <w:sz w:val="18"/>
                <w:szCs w:val="18"/>
              </w:rPr>
            </w:pPr>
            <w:r>
              <w:rPr>
                <w:rFonts w:ascii="Times" w:hAnsi="Times"/>
                <w:sz w:val="18"/>
                <w:szCs w:val="18"/>
              </w:rPr>
              <w:t>[10-20]% /[20-30]%</w:t>
            </w:r>
          </w:p>
        </w:tc>
        <w:tc>
          <w:tcPr>
            <w:tcW w:w="696" w:type="pct"/>
            <w:vAlign w:val="center"/>
          </w:tcPr>
          <w:p w:rsidR="00D71052" w:rsidRPr="00B6607C" w:rsidRDefault="00D71052" w:rsidP="00D71052">
            <w:pPr>
              <w:keepNext/>
              <w:spacing w:after="0"/>
              <w:jc w:val="center"/>
              <w:rPr>
                <w:rFonts w:ascii="Times" w:hAnsi="Times"/>
                <w:sz w:val="18"/>
                <w:szCs w:val="18"/>
              </w:rPr>
            </w:pPr>
            <w:r>
              <w:rPr>
                <w:rFonts w:ascii="Times" w:hAnsi="Times"/>
                <w:sz w:val="18"/>
                <w:szCs w:val="18"/>
              </w:rPr>
              <w:t>[30-40]%/[40-50]%</w:t>
            </w:r>
          </w:p>
        </w:tc>
        <w:tc>
          <w:tcPr>
            <w:tcW w:w="738" w:type="pct"/>
            <w:vAlign w:val="center"/>
          </w:tcPr>
          <w:p w:rsidR="00D71052" w:rsidRPr="00B6607C" w:rsidRDefault="00D71052" w:rsidP="0076503C">
            <w:pPr>
              <w:keepNext/>
              <w:spacing w:after="0"/>
              <w:jc w:val="center"/>
              <w:rPr>
                <w:rFonts w:ascii="Times" w:hAnsi="Times"/>
                <w:sz w:val="18"/>
                <w:szCs w:val="18"/>
              </w:rPr>
            </w:pPr>
            <w:r>
              <w:rPr>
                <w:rFonts w:ascii="Times" w:hAnsi="Times"/>
                <w:sz w:val="18"/>
                <w:szCs w:val="18"/>
              </w:rPr>
              <w:t>At least 3</w:t>
            </w:r>
          </w:p>
        </w:tc>
      </w:tr>
    </w:tbl>
    <w:p w:rsidR="00D40242" w:rsidRDefault="00D40242" w:rsidP="00CF47FF">
      <w:pPr>
        <w:pStyle w:val="ListNumber"/>
        <w:numPr>
          <w:ilvl w:val="0"/>
          <w:numId w:val="0"/>
        </w:numPr>
        <w:spacing w:after="0"/>
        <w:ind w:left="709" w:hanging="709"/>
      </w:pPr>
    </w:p>
    <w:p w:rsidR="0080226D" w:rsidRPr="00AD3737" w:rsidRDefault="00B91E12" w:rsidP="0080226D">
      <w:pPr>
        <w:pStyle w:val="ListNumber"/>
        <w:rPr>
          <w:i/>
        </w:rPr>
      </w:pPr>
      <w:r>
        <w:t>In 2017, t</w:t>
      </w:r>
      <w:r w:rsidR="0080226D">
        <w:t>he Parties' combined share is</w:t>
      </w:r>
      <w:r w:rsidR="00D71052">
        <w:t xml:space="preserve"> [10-20]</w:t>
      </w:r>
      <w:r w:rsidR="00811ADF">
        <w:t xml:space="preserve">% in value and </w:t>
      </w:r>
      <w:r w:rsidR="00D71052">
        <w:t>[30-40]</w:t>
      </w:r>
      <w:r w:rsidR="00811ADF">
        <w:t>% in volume for plain non-steroidal antirheumatics and</w:t>
      </w:r>
      <w:r w:rsidR="0080226D">
        <w:t xml:space="preserve"> </w:t>
      </w:r>
      <w:r w:rsidR="00D71052">
        <w:t>[40-50]</w:t>
      </w:r>
      <w:r w:rsidR="0080226D">
        <w:t xml:space="preserve">% in value and </w:t>
      </w:r>
      <w:r w:rsidR="00D71052">
        <w:t>[50-60]</w:t>
      </w:r>
      <w:r w:rsidR="0080226D">
        <w:t xml:space="preserve">% in volume in </w:t>
      </w:r>
      <w:r w:rsidR="0080226D" w:rsidRPr="00420413">
        <w:rPr>
          <w:i/>
        </w:rPr>
        <w:t>ibuprofen</w:t>
      </w:r>
      <w:r w:rsidR="0080226D">
        <w:t xml:space="preserve">-based non-steroidal antirheumatics in Luxembourg.  </w:t>
      </w:r>
      <w:r w:rsidR="0080226D">
        <w:rPr>
          <w:rFonts w:eastAsia="Calibri"/>
          <w:lang w:val="en-US"/>
        </w:rPr>
        <w:t xml:space="preserve">Post-Transaction, </w:t>
      </w:r>
      <w:r w:rsidR="0080226D">
        <w:t xml:space="preserve">the combined entity will continue to face competitive constraints from </w:t>
      </w:r>
      <w:r w:rsidR="0080226D" w:rsidRPr="00973614">
        <w:t xml:space="preserve">at least </w:t>
      </w:r>
      <w:r w:rsidR="0080226D">
        <w:t>3</w:t>
      </w:r>
      <w:r w:rsidR="0080226D" w:rsidRPr="00973614">
        <w:t xml:space="preserve"> competitors with a mark</w:t>
      </w:r>
      <w:r w:rsidR="0080226D">
        <w:t xml:space="preserve">et share </w:t>
      </w:r>
      <w:r w:rsidR="0038268E">
        <w:t xml:space="preserve">of </w:t>
      </w:r>
      <w:r w:rsidR="0080226D">
        <w:t>5%</w:t>
      </w:r>
      <w:r w:rsidR="0038268E">
        <w:t xml:space="preserve"> or more</w:t>
      </w:r>
      <w:r w:rsidR="0080226D">
        <w:t xml:space="preserve"> in</w:t>
      </w:r>
      <w:r w:rsidR="0038268E">
        <w:t xml:space="preserve"> both</w:t>
      </w:r>
      <w:r w:rsidR="0080226D">
        <w:t xml:space="preserve"> value and</w:t>
      </w:r>
      <w:r w:rsidR="0038268E">
        <w:t xml:space="preserve"> </w:t>
      </w:r>
      <w:r w:rsidR="0080226D">
        <w:t xml:space="preserve">volume.  </w:t>
      </w:r>
      <w:r w:rsidR="00811ADF">
        <w:t>At molecule level, t</w:t>
      </w:r>
      <w:r w:rsidR="0080226D">
        <w:t xml:space="preserve">hese competitors are Mylan (with a share of </w:t>
      </w:r>
      <w:r w:rsidR="003B687A">
        <w:t>[20-30]</w:t>
      </w:r>
      <w:r w:rsidR="0080226D">
        <w:t>% in value and volume), Zambon Group (</w:t>
      </w:r>
      <w:r w:rsidR="003B687A">
        <w:t>[10-20]</w:t>
      </w:r>
      <w:r w:rsidR="0080226D">
        <w:t xml:space="preserve">% in value and </w:t>
      </w:r>
      <w:r w:rsidR="003B687A">
        <w:t xml:space="preserve">[10-20]% </w:t>
      </w:r>
      <w:r w:rsidR="0080226D">
        <w:t>in volume), and Novartis (</w:t>
      </w:r>
      <w:r w:rsidR="003B687A">
        <w:t xml:space="preserve">[10-20]% </w:t>
      </w:r>
      <w:r w:rsidR="0080226D">
        <w:t xml:space="preserve">in value and </w:t>
      </w:r>
      <w:r w:rsidR="003B687A">
        <w:t xml:space="preserve">[10-20]% </w:t>
      </w:r>
      <w:r w:rsidR="0080226D">
        <w:t xml:space="preserve">in volume). </w:t>
      </w:r>
    </w:p>
    <w:p w:rsidR="0080226D" w:rsidRPr="00DA48C0" w:rsidRDefault="0080226D" w:rsidP="0080226D">
      <w:pPr>
        <w:pStyle w:val="ListNumber"/>
        <w:rPr>
          <w:i/>
        </w:rPr>
      </w:pPr>
      <w:r w:rsidRPr="00DA48C0">
        <w:t xml:space="preserve">Moreover, the products of the Parties do not </w:t>
      </w:r>
      <w:r w:rsidR="004C6514">
        <w:t>seem to compete closely</w:t>
      </w:r>
      <w:r w:rsidRPr="00DA48C0">
        <w:t>. PGT's OTC products are indicated for the treatment of fever and minor aches and pains.  They should be used only in the short-term (less</w:t>
      </w:r>
      <w:r w:rsidRPr="00194199">
        <w:t xml:space="preserve"> than a week) and they are available in single doses of </w:t>
      </w:r>
      <w:r w:rsidRPr="00481977">
        <w:rPr>
          <w:i/>
        </w:rPr>
        <w:t>maximum</w:t>
      </w:r>
      <w:r w:rsidRPr="00DA48C0">
        <w:t xml:space="preserve"> 400 mg (for oral solid formulations) or in liquid form.  </w:t>
      </w:r>
      <w:r w:rsidR="00DF28D0">
        <w:t xml:space="preserve">The 400 mg oral solid formulations of PGT are available in boxes of 20 tablets. </w:t>
      </w:r>
      <w:r>
        <w:t xml:space="preserve">Teva's prescription drugs are indicated for long-term use in more serious conditions, including inflammatory and degenerative joint disorders. They are available only in oral solid form in single doses of </w:t>
      </w:r>
      <w:r w:rsidRPr="003B43D2">
        <w:rPr>
          <w:i/>
        </w:rPr>
        <w:t>minimum</w:t>
      </w:r>
      <w:r>
        <w:t xml:space="preserve"> 400 mg and maximum 800 mg. </w:t>
      </w:r>
      <w:r w:rsidR="00DF28D0">
        <w:t xml:space="preserve">The 400 mg oral solid formulations of Teva are available in boxes of 50 and 100 tablets, which confirms that they are meant for long-term use. </w:t>
      </w:r>
    </w:p>
    <w:p w:rsidR="0080226D" w:rsidRPr="00DA48C0" w:rsidRDefault="00DA48C0" w:rsidP="0080226D">
      <w:pPr>
        <w:pStyle w:val="ListNumber"/>
      </w:pPr>
      <w:r w:rsidRPr="00DA48C0">
        <w:rPr>
          <w:szCs w:val="24"/>
        </w:rPr>
        <w:t xml:space="preserve">Finally, the market investigation did not reveal any </w:t>
      </w:r>
      <w:r w:rsidRPr="00DA48C0">
        <w:rPr>
          <w:rFonts w:eastAsia="Calibri"/>
          <w:szCs w:val="24"/>
        </w:rPr>
        <w:t>competition concerns in</w:t>
      </w:r>
      <w:r w:rsidRPr="00194199" w:rsidDel="00A2241C">
        <w:rPr>
          <w:rFonts w:ascii="Times" w:eastAsia="Calibri" w:hAnsi="Times"/>
          <w:szCs w:val="24"/>
        </w:rPr>
        <w:t xml:space="preserve"> </w:t>
      </w:r>
      <w:r w:rsidRPr="00194199">
        <w:rPr>
          <w:rFonts w:ascii="Times" w:eastAsia="Calibri" w:hAnsi="Times"/>
          <w:szCs w:val="24"/>
        </w:rPr>
        <w:t xml:space="preserve">relation to </w:t>
      </w:r>
      <w:r w:rsidR="0080226D" w:rsidRPr="004F4BE3">
        <w:rPr>
          <w:i/>
        </w:rPr>
        <w:t>ibuprofen</w:t>
      </w:r>
      <w:r w:rsidR="0080226D" w:rsidRPr="00DA48C0">
        <w:t>-based products in Luxembourg.</w:t>
      </w:r>
      <w:r w:rsidR="0080226D" w:rsidRPr="00DA48C0">
        <w:rPr>
          <w:rFonts w:ascii="Calibri" w:eastAsia="Calibri" w:hAnsi="Calibri"/>
          <w:sz w:val="20"/>
          <w:vertAlign w:val="superscript"/>
          <w:lang w:val="en-US"/>
        </w:rPr>
        <w:footnoteReference w:id="97"/>
      </w:r>
    </w:p>
    <w:p w:rsidR="0080226D" w:rsidRPr="001E3782" w:rsidRDefault="00814F0F" w:rsidP="0080226D">
      <w:pPr>
        <w:pStyle w:val="ListNumber"/>
        <w:rPr>
          <w:rFonts w:ascii="Calibri" w:eastAsia="Calibri" w:hAnsi="Calibri"/>
          <w:sz w:val="20"/>
          <w:lang w:val="en-US"/>
        </w:rPr>
      </w:pPr>
      <w:r w:rsidRPr="00194199">
        <w:rPr>
          <w:rFonts w:ascii="Times" w:hAnsi="Times"/>
          <w:szCs w:val="24"/>
        </w:rPr>
        <w:t>In view of the above, the Commission concludes that the Transaction does not raise serious d</w:t>
      </w:r>
      <w:r w:rsidRPr="00481977">
        <w:rPr>
          <w:rFonts w:ascii="Times" w:hAnsi="Times"/>
          <w:szCs w:val="24"/>
        </w:rPr>
        <w:t>oubts as to its compatibility with the internal</w:t>
      </w:r>
      <w:r>
        <w:rPr>
          <w:rFonts w:ascii="Times" w:hAnsi="Times"/>
          <w:szCs w:val="24"/>
        </w:rPr>
        <w:t xml:space="preserve"> market regarding</w:t>
      </w:r>
      <w:r w:rsidR="0080226D">
        <w:t xml:space="preserve"> ibuprofen-based non-steroidal antirheumatics in Luxembourg</w:t>
      </w:r>
      <w:r w:rsidR="0080226D" w:rsidRPr="00546F00">
        <w:t>.</w:t>
      </w:r>
    </w:p>
    <w:p w:rsidR="0080226D" w:rsidRDefault="0080226D" w:rsidP="0080226D">
      <w:pPr>
        <w:pStyle w:val="ListNumber"/>
        <w:numPr>
          <w:ilvl w:val="0"/>
          <w:numId w:val="0"/>
        </w:numPr>
        <w:ind w:left="709"/>
        <w:rPr>
          <w:rFonts w:ascii="Times" w:eastAsia="Calibri" w:hAnsi="Times"/>
          <w:i/>
          <w:szCs w:val="24"/>
          <w:lang w:val="en-US"/>
        </w:rPr>
      </w:pPr>
      <w:r w:rsidRPr="00824496">
        <w:rPr>
          <w:rFonts w:ascii="Times" w:eastAsia="Calibri" w:hAnsi="Times"/>
          <w:i/>
          <w:szCs w:val="24"/>
          <w:lang w:val="en-US"/>
        </w:rPr>
        <w:t>Netherlands</w:t>
      </w:r>
    </w:p>
    <w:p w:rsidR="0080226D" w:rsidRDefault="0080226D" w:rsidP="0080226D">
      <w:pPr>
        <w:pStyle w:val="ListNumber"/>
      </w:pPr>
      <w:r>
        <w:t xml:space="preserve">At the ATC3 level (M1A), the Transaction does not give rise to an affected market. At the ATC 4 class level (M1A1) and at the molecule level across ATC 3 classes, the Transaction gives rise to Group 3 markets. The Transaction only gives rise to a Group 1 market in </w:t>
      </w:r>
      <w:r w:rsidRPr="004F4BE3">
        <w:rPr>
          <w:i/>
        </w:rPr>
        <w:t>ibuprofen</w:t>
      </w:r>
      <w:r>
        <w:t xml:space="preserve">-based products in ATC 3 class M1A (based on market shares in value).  </w:t>
      </w:r>
    </w:p>
    <w:p w:rsidR="0080226D" w:rsidRDefault="0080226D" w:rsidP="0080226D">
      <w:pPr>
        <w:pStyle w:val="ListNumber"/>
      </w:pPr>
      <w:r>
        <w:lastRenderedPageBreak/>
        <w:t>The table below presents the Parties' market shares for ibuprofen-based non-steroidal antirheumatics in the Netherlands</w:t>
      </w:r>
      <w:r w:rsidR="00B91E12">
        <w:t xml:space="preserve"> in 2015-2017: </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1"/>
        <w:gridCol w:w="999"/>
        <w:gridCol w:w="1136"/>
        <w:gridCol w:w="1204"/>
      </w:tblGrid>
      <w:tr w:rsidR="00D40242" w:rsidRPr="00AD3737" w:rsidTr="0076503C">
        <w:trPr>
          <w:tblHeader/>
        </w:trPr>
        <w:tc>
          <w:tcPr>
            <w:tcW w:w="608" w:type="pct"/>
            <w:vMerge w:val="restar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OTC3</w:t>
            </w:r>
          </w:p>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ATC3</w:t>
            </w:r>
          </w:p>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ATC4</w:t>
            </w:r>
          </w:p>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D40242" w:rsidRPr="00B6607C" w:rsidRDefault="00D40242" w:rsidP="0076503C">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D40242" w:rsidRDefault="00D40242" w:rsidP="0076503C">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D40242" w:rsidRPr="00AD3737" w:rsidTr="0076503C">
        <w:trPr>
          <w:tblHeader/>
        </w:trPr>
        <w:tc>
          <w:tcPr>
            <w:tcW w:w="608" w:type="pct"/>
            <w:vMerge/>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c>
          <w:tcPr>
            <w:tcW w:w="696" w:type="pct"/>
            <w:vMerge/>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c>
          <w:tcPr>
            <w:tcW w:w="434" w:type="pct"/>
            <w:vMerge/>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c>
          <w:tcPr>
            <w:tcW w:w="523" w:type="pct"/>
            <w:vMerge/>
            <w:shd w:val="clear" w:color="auto" w:fill="D9D9D9" w:themeFill="background1" w:themeFillShade="D9"/>
          </w:tcPr>
          <w:p w:rsidR="00D40242" w:rsidRPr="00B6607C" w:rsidRDefault="00D40242" w:rsidP="0076503C">
            <w:pPr>
              <w:keepNext/>
              <w:snapToGrid w:val="0"/>
              <w:spacing w:after="0"/>
              <w:jc w:val="center"/>
              <w:rPr>
                <w:rFonts w:ascii="Times" w:hAnsi="Times"/>
                <w:b/>
                <w:sz w:val="18"/>
                <w:szCs w:val="18"/>
              </w:rPr>
            </w:pPr>
          </w:p>
        </w:tc>
        <w:tc>
          <w:tcPr>
            <w:tcW w:w="693" w:type="pc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Teva</w:t>
            </w:r>
          </w:p>
        </w:tc>
        <w:tc>
          <w:tcPr>
            <w:tcW w:w="612" w:type="pc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r>
      <w:tr w:rsidR="00D40242" w:rsidRPr="00AD3737" w:rsidTr="0076503C">
        <w:trPr>
          <w:trHeight w:val="345"/>
        </w:trPr>
        <w:tc>
          <w:tcPr>
            <w:tcW w:w="608" w:type="pct"/>
            <w:vMerge w:val="restart"/>
            <w:vAlign w:val="center"/>
          </w:tcPr>
          <w:p w:rsidR="00D40242" w:rsidRPr="00D40242" w:rsidRDefault="00D40242" w:rsidP="0076503C">
            <w:pPr>
              <w:keepNext/>
              <w:spacing w:after="0"/>
              <w:jc w:val="center"/>
              <w:rPr>
                <w:rFonts w:ascii="Times" w:hAnsi="Times"/>
                <w:i/>
                <w:sz w:val="18"/>
                <w:szCs w:val="18"/>
              </w:rPr>
            </w:pPr>
            <w:r w:rsidRPr="00D40242">
              <w:rPr>
                <w:rFonts w:ascii="Times" w:hAnsi="Times"/>
                <w:i/>
                <w:sz w:val="18"/>
                <w:szCs w:val="18"/>
              </w:rPr>
              <w:t>Ibuprofen</w:t>
            </w:r>
          </w:p>
        </w:tc>
        <w:tc>
          <w:tcPr>
            <w:tcW w:w="696" w:type="pct"/>
            <w:vMerge w:val="restart"/>
          </w:tcPr>
          <w:p w:rsidR="00D40242" w:rsidRPr="00E97873" w:rsidRDefault="00D40242" w:rsidP="0076503C">
            <w:pPr>
              <w:keepNext/>
              <w:spacing w:after="0"/>
              <w:jc w:val="center"/>
              <w:rPr>
                <w:rFonts w:ascii="Times" w:hAnsi="Times"/>
                <w:sz w:val="18"/>
                <w:szCs w:val="18"/>
                <w:lang w:val="en-GB"/>
              </w:rPr>
            </w:pPr>
            <w:r w:rsidRPr="00420413">
              <w:rPr>
                <w:rFonts w:ascii="Times" w:hAnsi="Times"/>
                <w:i/>
                <w:sz w:val="18"/>
                <w:szCs w:val="20"/>
              </w:rPr>
              <w:t>Ibuprofen</w:t>
            </w:r>
            <w:r w:rsidRPr="00B35814">
              <w:rPr>
                <w:rFonts w:ascii="Times" w:hAnsi="Times"/>
                <w:sz w:val="18"/>
                <w:szCs w:val="18"/>
              </w:rPr>
              <w:t>-based non-steroidal antirheumatics in ATC 3 class M1A</w:t>
            </w:r>
          </w:p>
        </w:tc>
        <w:tc>
          <w:tcPr>
            <w:tcW w:w="434" w:type="pct"/>
            <w:vMerge w:val="restart"/>
            <w:vAlign w:val="center"/>
          </w:tcPr>
          <w:p w:rsidR="00D40242" w:rsidRPr="00B6607C" w:rsidRDefault="00D40242" w:rsidP="0076503C">
            <w:pPr>
              <w:keepNext/>
              <w:spacing w:after="0"/>
              <w:jc w:val="center"/>
              <w:rPr>
                <w:rFonts w:ascii="Times" w:hAnsi="Times"/>
                <w:sz w:val="18"/>
                <w:szCs w:val="18"/>
              </w:rPr>
            </w:pPr>
            <w:r w:rsidRPr="00B35814">
              <w:rPr>
                <w:rFonts w:ascii="Times" w:hAnsi="Times"/>
                <w:sz w:val="18"/>
                <w:szCs w:val="18"/>
              </w:rPr>
              <w:t>Group 1</w:t>
            </w:r>
          </w:p>
        </w:tc>
        <w:tc>
          <w:tcPr>
            <w:tcW w:w="523" w:type="pct"/>
            <w:vAlign w:val="center"/>
          </w:tcPr>
          <w:p w:rsidR="00D40242" w:rsidRPr="00213AF2" w:rsidRDefault="00D40242" w:rsidP="0076503C">
            <w:pPr>
              <w:keepNext/>
              <w:spacing w:after="0"/>
              <w:jc w:val="left"/>
              <w:rPr>
                <w:rFonts w:ascii="Times" w:hAnsi="Times"/>
                <w:sz w:val="18"/>
              </w:rPr>
            </w:pPr>
            <w:r>
              <w:rPr>
                <w:rFonts w:ascii="Times" w:hAnsi="Times"/>
                <w:sz w:val="18"/>
              </w:rPr>
              <w:t>2017</w:t>
            </w:r>
          </w:p>
        </w:tc>
        <w:tc>
          <w:tcPr>
            <w:tcW w:w="693" w:type="pct"/>
            <w:vAlign w:val="center"/>
          </w:tcPr>
          <w:p w:rsidR="00D40242" w:rsidRPr="00B6607C" w:rsidRDefault="003B687A" w:rsidP="003B687A">
            <w:pPr>
              <w:keepNext/>
              <w:spacing w:after="0"/>
              <w:jc w:val="center"/>
              <w:rPr>
                <w:rFonts w:ascii="Times" w:hAnsi="Times"/>
                <w:sz w:val="18"/>
                <w:szCs w:val="18"/>
              </w:rPr>
            </w:pPr>
            <w:r>
              <w:rPr>
                <w:rFonts w:ascii="Times" w:hAnsi="Times"/>
                <w:sz w:val="18"/>
                <w:szCs w:val="18"/>
              </w:rPr>
              <w:t>[20-30]</w:t>
            </w:r>
            <w:r w:rsidR="00D40242">
              <w:rPr>
                <w:rFonts w:ascii="Times" w:hAnsi="Times"/>
                <w:sz w:val="18"/>
                <w:szCs w:val="18"/>
              </w:rPr>
              <w:t>%</w:t>
            </w:r>
            <w:r>
              <w:rPr>
                <w:rFonts w:ascii="Times" w:hAnsi="Times"/>
                <w:sz w:val="18"/>
                <w:szCs w:val="18"/>
              </w:rPr>
              <w:t xml:space="preserve"> </w:t>
            </w:r>
            <w:r w:rsidR="00D40242">
              <w:rPr>
                <w:rFonts w:ascii="Times" w:hAnsi="Times"/>
                <w:sz w:val="18"/>
                <w:szCs w:val="18"/>
              </w:rPr>
              <w:t>/</w:t>
            </w:r>
            <w:r>
              <w:rPr>
                <w:rFonts w:ascii="Times" w:hAnsi="Times"/>
                <w:sz w:val="18"/>
                <w:szCs w:val="18"/>
              </w:rPr>
              <w:t>[10-20]</w:t>
            </w:r>
            <w:r w:rsidR="00D40242" w:rsidRPr="00B35814">
              <w:rPr>
                <w:rFonts w:ascii="Times" w:hAnsi="Times"/>
                <w:sz w:val="18"/>
                <w:szCs w:val="18"/>
              </w:rPr>
              <w:t>%</w:t>
            </w:r>
          </w:p>
        </w:tc>
        <w:tc>
          <w:tcPr>
            <w:tcW w:w="612" w:type="pct"/>
            <w:vAlign w:val="center"/>
          </w:tcPr>
          <w:p w:rsidR="00D40242" w:rsidRPr="00B6607C" w:rsidRDefault="003B687A" w:rsidP="003B687A">
            <w:pPr>
              <w:keepNext/>
              <w:spacing w:after="0"/>
              <w:jc w:val="center"/>
              <w:rPr>
                <w:rFonts w:ascii="Times" w:hAnsi="Times"/>
                <w:sz w:val="18"/>
                <w:szCs w:val="18"/>
              </w:rPr>
            </w:pPr>
            <w:r>
              <w:rPr>
                <w:rFonts w:ascii="Times" w:hAnsi="Times"/>
                <w:sz w:val="18"/>
                <w:szCs w:val="18"/>
              </w:rPr>
              <w:t>[5-10]</w:t>
            </w:r>
            <w:r w:rsidR="00D40242">
              <w:rPr>
                <w:rFonts w:ascii="Times" w:hAnsi="Times"/>
                <w:sz w:val="18"/>
                <w:szCs w:val="18"/>
              </w:rPr>
              <w:t>%</w:t>
            </w:r>
            <w:r>
              <w:rPr>
                <w:rFonts w:ascii="Times" w:hAnsi="Times"/>
                <w:sz w:val="18"/>
                <w:szCs w:val="18"/>
              </w:rPr>
              <w:t xml:space="preserve"> </w:t>
            </w:r>
            <w:r w:rsidR="00D40242">
              <w:rPr>
                <w:rFonts w:ascii="Times" w:hAnsi="Times"/>
                <w:sz w:val="18"/>
                <w:szCs w:val="18"/>
              </w:rPr>
              <w:t>/</w:t>
            </w:r>
            <w:r>
              <w:rPr>
                <w:rFonts w:ascii="Times" w:hAnsi="Times"/>
                <w:sz w:val="18"/>
                <w:szCs w:val="18"/>
              </w:rPr>
              <w:t>[5-10]</w:t>
            </w:r>
            <w:r w:rsidR="00D40242" w:rsidRPr="00B35814">
              <w:rPr>
                <w:rFonts w:ascii="Times" w:hAnsi="Times"/>
                <w:sz w:val="18"/>
                <w:szCs w:val="18"/>
              </w:rPr>
              <w:t>%</w:t>
            </w:r>
          </w:p>
        </w:tc>
        <w:tc>
          <w:tcPr>
            <w:tcW w:w="696" w:type="pct"/>
            <w:vAlign w:val="center"/>
          </w:tcPr>
          <w:p w:rsidR="00D40242" w:rsidRPr="00B6607C" w:rsidRDefault="003B687A" w:rsidP="0076503C">
            <w:pPr>
              <w:keepNext/>
              <w:spacing w:after="0"/>
              <w:jc w:val="center"/>
              <w:rPr>
                <w:rFonts w:ascii="Times" w:hAnsi="Times"/>
                <w:sz w:val="18"/>
                <w:szCs w:val="18"/>
              </w:rPr>
            </w:pPr>
            <w:r>
              <w:rPr>
                <w:rFonts w:ascii="Times" w:hAnsi="Times"/>
                <w:sz w:val="18"/>
                <w:szCs w:val="18"/>
              </w:rPr>
              <w:t>[30-40]</w:t>
            </w:r>
            <w:r w:rsidR="00D40242">
              <w:rPr>
                <w:rFonts w:ascii="Times" w:hAnsi="Times"/>
                <w:sz w:val="18"/>
                <w:szCs w:val="18"/>
              </w:rPr>
              <w:t>%</w:t>
            </w:r>
            <w:r>
              <w:rPr>
                <w:rFonts w:ascii="Times" w:hAnsi="Times"/>
                <w:sz w:val="18"/>
                <w:szCs w:val="18"/>
              </w:rPr>
              <w:t xml:space="preserve"> </w:t>
            </w:r>
            <w:r w:rsidR="00D40242">
              <w:rPr>
                <w:rFonts w:ascii="Times" w:hAnsi="Times"/>
                <w:sz w:val="18"/>
                <w:szCs w:val="18"/>
              </w:rPr>
              <w:t>/</w:t>
            </w:r>
            <w:r>
              <w:rPr>
                <w:rFonts w:ascii="Times" w:hAnsi="Times"/>
                <w:sz w:val="18"/>
                <w:szCs w:val="18"/>
              </w:rPr>
              <w:t>[</w:t>
            </w:r>
            <w:r w:rsidR="00D40242">
              <w:rPr>
                <w:rFonts w:ascii="Times" w:hAnsi="Times"/>
                <w:sz w:val="18"/>
                <w:szCs w:val="18"/>
              </w:rPr>
              <w:t>20</w:t>
            </w:r>
            <w:r>
              <w:rPr>
                <w:rFonts w:ascii="Times" w:hAnsi="Times"/>
                <w:sz w:val="18"/>
                <w:szCs w:val="18"/>
              </w:rPr>
              <w:t>-30]</w:t>
            </w:r>
            <w:r w:rsidR="00D40242" w:rsidRPr="00B35814">
              <w:rPr>
                <w:rFonts w:ascii="Times" w:hAnsi="Times"/>
                <w:sz w:val="18"/>
                <w:szCs w:val="18"/>
              </w:rPr>
              <w:t>%</w:t>
            </w:r>
          </w:p>
        </w:tc>
        <w:tc>
          <w:tcPr>
            <w:tcW w:w="738" w:type="pct"/>
            <w:vAlign w:val="center"/>
          </w:tcPr>
          <w:p w:rsidR="00D40242" w:rsidRPr="00B6607C" w:rsidRDefault="00D40242" w:rsidP="0038268E">
            <w:pPr>
              <w:keepNext/>
              <w:spacing w:after="0"/>
              <w:jc w:val="center"/>
              <w:rPr>
                <w:rFonts w:ascii="Times" w:hAnsi="Times"/>
                <w:sz w:val="18"/>
                <w:szCs w:val="18"/>
              </w:rPr>
            </w:pPr>
            <w:r w:rsidRPr="00B35814">
              <w:rPr>
                <w:rFonts w:ascii="Times" w:hAnsi="Times"/>
                <w:sz w:val="18"/>
                <w:szCs w:val="18"/>
              </w:rPr>
              <w:t xml:space="preserve">At least </w:t>
            </w:r>
            <w:r w:rsidR="0038268E">
              <w:rPr>
                <w:rFonts w:ascii="Times" w:hAnsi="Times"/>
                <w:sz w:val="18"/>
                <w:szCs w:val="18"/>
              </w:rPr>
              <w:t>3</w:t>
            </w:r>
          </w:p>
        </w:tc>
      </w:tr>
      <w:tr w:rsidR="003B687A" w:rsidRPr="00AD3737" w:rsidTr="0076503C">
        <w:trPr>
          <w:trHeight w:val="345"/>
        </w:trPr>
        <w:tc>
          <w:tcPr>
            <w:tcW w:w="608" w:type="pct"/>
            <w:vMerge/>
            <w:vAlign w:val="center"/>
          </w:tcPr>
          <w:p w:rsidR="003B687A" w:rsidRPr="00420413" w:rsidRDefault="003B687A" w:rsidP="0076503C">
            <w:pPr>
              <w:keepNext/>
              <w:spacing w:after="0"/>
              <w:jc w:val="center"/>
              <w:rPr>
                <w:rFonts w:ascii="Times" w:hAnsi="Times"/>
                <w:i/>
                <w:sz w:val="18"/>
                <w:szCs w:val="18"/>
              </w:rPr>
            </w:pPr>
          </w:p>
        </w:tc>
        <w:tc>
          <w:tcPr>
            <w:tcW w:w="696" w:type="pct"/>
            <w:vMerge/>
            <w:vAlign w:val="center"/>
          </w:tcPr>
          <w:p w:rsidR="003B687A" w:rsidRPr="00B6607C" w:rsidRDefault="003B687A" w:rsidP="0076503C">
            <w:pPr>
              <w:keepNext/>
              <w:spacing w:after="0"/>
              <w:jc w:val="center"/>
              <w:rPr>
                <w:rFonts w:ascii="Times" w:hAnsi="Times"/>
                <w:sz w:val="18"/>
                <w:szCs w:val="18"/>
              </w:rPr>
            </w:pPr>
          </w:p>
        </w:tc>
        <w:tc>
          <w:tcPr>
            <w:tcW w:w="434" w:type="pct"/>
            <w:vMerge/>
            <w:vAlign w:val="center"/>
          </w:tcPr>
          <w:p w:rsidR="003B687A" w:rsidRPr="00B6607C" w:rsidRDefault="003B687A" w:rsidP="0076503C">
            <w:pPr>
              <w:keepNext/>
              <w:spacing w:after="0"/>
              <w:jc w:val="center"/>
              <w:rPr>
                <w:rFonts w:ascii="Times" w:hAnsi="Times"/>
                <w:sz w:val="18"/>
                <w:szCs w:val="18"/>
              </w:rPr>
            </w:pPr>
          </w:p>
        </w:tc>
        <w:tc>
          <w:tcPr>
            <w:tcW w:w="523" w:type="pct"/>
            <w:vAlign w:val="center"/>
          </w:tcPr>
          <w:p w:rsidR="003B687A" w:rsidRPr="00213AF2" w:rsidRDefault="003B687A" w:rsidP="0076503C">
            <w:pPr>
              <w:keepNext/>
              <w:spacing w:after="0"/>
              <w:jc w:val="left"/>
              <w:rPr>
                <w:rFonts w:ascii="Times" w:hAnsi="Times"/>
                <w:sz w:val="18"/>
              </w:rPr>
            </w:pPr>
            <w:r>
              <w:rPr>
                <w:rFonts w:ascii="Times" w:hAnsi="Times"/>
                <w:sz w:val="18"/>
              </w:rPr>
              <w:t>2016</w:t>
            </w:r>
          </w:p>
        </w:tc>
        <w:tc>
          <w:tcPr>
            <w:tcW w:w="693"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/[20-30]%</w:t>
            </w:r>
          </w:p>
        </w:tc>
        <w:tc>
          <w:tcPr>
            <w:tcW w:w="612"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[5-10]% /[5-10]</w:t>
            </w:r>
            <w:r w:rsidRPr="00B35814">
              <w:rPr>
                <w:rFonts w:ascii="Times" w:hAnsi="Times"/>
                <w:sz w:val="18"/>
                <w:szCs w:val="18"/>
              </w:rPr>
              <w:t>%</w:t>
            </w:r>
          </w:p>
        </w:tc>
        <w:tc>
          <w:tcPr>
            <w:tcW w:w="696"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/[20-30]%</w:t>
            </w:r>
          </w:p>
        </w:tc>
        <w:tc>
          <w:tcPr>
            <w:tcW w:w="738" w:type="pct"/>
            <w:vAlign w:val="center"/>
          </w:tcPr>
          <w:p w:rsidR="003B687A" w:rsidRPr="00B6607C" w:rsidRDefault="003B687A" w:rsidP="0038268E">
            <w:pPr>
              <w:keepNext/>
              <w:spacing w:after="0"/>
              <w:jc w:val="center"/>
              <w:rPr>
                <w:rFonts w:ascii="Times" w:hAnsi="Times"/>
                <w:sz w:val="18"/>
                <w:szCs w:val="18"/>
              </w:rPr>
            </w:pPr>
            <w:r>
              <w:rPr>
                <w:rFonts w:ascii="Times" w:hAnsi="Times"/>
                <w:sz w:val="18"/>
                <w:szCs w:val="18"/>
              </w:rPr>
              <w:t>At least 3</w:t>
            </w:r>
          </w:p>
        </w:tc>
      </w:tr>
      <w:tr w:rsidR="003B687A" w:rsidRPr="00AD3737" w:rsidTr="0076503C">
        <w:trPr>
          <w:trHeight w:val="345"/>
        </w:trPr>
        <w:tc>
          <w:tcPr>
            <w:tcW w:w="608" w:type="pct"/>
            <w:vMerge/>
            <w:vAlign w:val="center"/>
          </w:tcPr>
          <w:p w:rsidR="003B687A" w:rsidRPr="00420413" w:rsidRDefault="003B687A" w:rsidP="0076503C">
            <w:pPr>
              <w:keepNext/>
              <w:spacing w:after="0"/>
              <w:jc w:val="center"/>
              <w:rPr>
                <w:rFonts w:ascii="Times" w:hAnsi="Times"/>
                <w:i/>
                <w:sz w:val="18"/>
                <w:szCs w:val="18"/>
              </w:rPr>
            </w:pPr>
          </w:p>
        </w:tc>
        <w:tc>
          <w:tcPr>
            <w:tcW w:w="696" w:type="pct"/>
            <w:vMerge/>
            <w:vAlign w:val="center"/>
          </w:tcPr>
          <w:p w:rsidR="003B687A" w:rsidRPr="00B6607C" w:rsidRDefault="003B687A" w:rsidP="0076503C">
            <w:pPr>
              <w:keepNext/>
              <w:spacing w:after="0"/>
              <w:jc w:val="center"/>
              <w:rPr>
                <w:rFonts w:ascii="Times" w:hAnsi="Times"/>
                <w:sz w:val="18"/>
                <w:szCs w:val="18"/>
              </w:rPr>
            </w:pPr>
          </w:p>
        </w:tc>
        <w:tc>
          <w:tcPr>
            <w:tcW w:w="434" w:type="pct"/>
            <w:vMerge/>
            <w:vAlign w:val="center"/>
          </w:tcPr>
          <w:p w:rsidR="003B687A" w:rsidRPr="00B6607C" w:rsidRDefault="003B687A" w:rsidP="0076503C">
            <w:pPr>
              <w:keepNext/>
              <w:spacing w:after="0"/>
              <w:jc w:val="center"/>
              <w:rPr>
                <w:rFonts w:ascii="Times" w:hAnsi="Times"/>
                <w:sz w:val="18"/>
                <w:szCs w:val="18"/>
              </w:rPr>
            </w:pPr>
          </w:p>
        </w:tc>
        <w:tc>
          <w:tcPr>
            <w:tcW w:w="523" w:type="pct"/>
            <w:vAlign w:val="center"/>
          </w:tcPr>
          <w:p w:rsidR="003B687A" w:rsidRPr="00213AF2" w:rsidRDefault="003B687A" w:rsidP="0076503C">
            <w:pPr>
              <w:keepNext/>
              <w:spacing w:after="0"/>
              <w:jc w:val="left"/>
              <w:rPr>
                <w:rFonts w:ascii="Times" w:hAnsi="Times"/>
                <w:sz w:val="18"/>
              </w:rPr>
            </w:pPr>
            <w:r>
              <w:rPr>
                <w:rFonts w:ascii="Times" w:hAnsi="Times"/>
                <w:sz w:val="18"/>
              </w:rPr>
              <w:t>2015</w:t>
            </w:r>
          </w:p>
        </w:tc>
        <w:tc>
          <w:tcPr>
            <w:tcW w:w="693"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/[20-30]%</w:t>
            </w:r>
          </w:p>
        </w:tc>
        <w:tc>
          <w:tcPr>
            <w:tcW w:w="612"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[5-10]% /[5-10]</w:t>
            </w:r>
            <w:r w:rsidRPr="00B35814">
              <w:rPr>
                <w:rFonts w:ascii="Times" w:hAnsi="Times"/>
                <w:sz w:val="18"/>
                <w:szCs w:val="18"/>
              </w:rPr>
              <w:t>%</w:t>
            </w:r>
          </w:p>
        </w:tc>
        <w:tc>
          <w:tcPr>
            <w:tcW w:w="696"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/[20-30]%</w:t>
            </w:r>
          </w:p>
        </w:tc>
        <w:tc>
          <w:tcPr>
            <w:tcW w:w="738" w:type="pct"/>
            <w:vAlign w:val="center"/>
          </w:tcPr>
          <w:p w:rsidR="003B687A" w:rsidRPr="00B6607C" w:rsidRDefault="003B687A" w:rsidP="0038268E">
            <w:pPr>
              <w:keepNext/>
              <w:spacing w:after="0"/>
              <w:jc w:val="center"/>
              <w:rPr>
                <w:rFonts w:ascii="Times" w:hAnsi="Times"/>
                <w:sz w:val="18"/>
                <w:szCs w:val="18"/>
              </w:rPr>
            </w:pPr>
            <w:r>
              <w:rPr>
                <w:rFonts w:ascii="Times" w:hAnsi="Times"/>
                <w:sz w:val="18"/>
                <w:szCs w:val="18"/>
              </w:rPr>
              <w:t>At least 4</w:t>
            </w:r>
          </w:p>
        </w:tc>
      </w:tr>
    </w:tbl>
    <w:p w:rsidR="00D40242" w:rsidRDefault="00D40242" w:rsidP="00CF47FF">
      <w:pPr>
        <w:pStyle w:val="ListNumber"/>
        <w:numPr>
          <w:ilvl w:val="0"/>
          <w:numId w:val="0"/>
        </w:numPr>
        <w:spacing w:after="0"/>
        <w:ind w:left="709"/>
      </w:pPr>
    </w:p>
    <w:p w:rsidR="0080226D" w:rsidRPr="00AD3737" w:rsidRDefault="0080226D" w:rsidP="0080226D">
      <w:pPr>
        <w:pStyle w:val="ListNumber"/>
        <w:rPr>
          <w:i/>
        </w:rPr>
      </w:pPr>
      <w:r>
        <w:t xml:space="preserve">The Parties' combined share is </w:t>
      </w:r>
      <w:r w:rsidR="003B687A">
        <w:t>[30-40]</w:t>
      </w:r>
      <w:r>
        <w:t xml:space="preserve">% in value and </w:t>
      </w:r>
      <w:r w:rsidR="003B687A">
        <w:t>[</w:t>
      </w:r>
      <w:r>
        <w:t>20</w:t>
      </w:r>
      <w:r w:rsidR="003B687A">
        <w:t>-30]</w:t>
      </w:r>
      <w:r>
        <w:t>% in volume in ibuprofen-based non-steroidal antirheumatics in the Netherlands</w:t>
      </w:r>
      <w:r w:rsidR="00B91E12">
        <w:t xml:space="preserve"> in 2017</w:t>
      </w:r>
      <w:r>
        <w:t xml:space="preserve">.  </w:t>
      </w:r>
      <w:r>
        <w:rPr>
          <w:rFonts w:eastAsia="Calibri"/>
          <w:lang w:val="en-US"/>
        </w:rPr>
        <w:t xml:space="preserve">Post-Transaction, </w:t>
      </w:r>
      <w:r>
        <w:t xml:space="preserve">the combined entity will continue to face competitive constraints from </w:t>
      </w:r>
      <w:r w:rsidRPr="00973614">
        <w:t xml:space="preserve">at least </w:t>
      </w:r>
      <w:r w:rsidR="0038268E">
        <w:t>3</w:t>
      </w:r>
      <w:r w:rsidR="0038268E" w:rsidRPr="00973614">
        <w:t xml:space="preserve"> </w:t>
      </w:r>
      <w:r w:rsidRPr="00973614">
        <w:t>competitors with a mark</w:t>
      </w:r>
      <w:r>
        <w:t xml:space="preserve">et share </w:t>
      </w:r>
      <w:r w:rsidR="0038268E">
        <w:t xml:space="preserve">of </w:t>
      </w:r>
      <w:r>
        <w:t>5%</w:t>
      </w:r>
      <w:r w:rsidR="0038268E">
        <w:t xml:space="preserve"> or more</w:t>
      </w:r>
      <w:r>
        <w:t xml:space="preserve"> in </w:t>
      </w:r>
      <w:r w:rsidR="0038268E">
        <w:t xml:space="preserve">both </w:t>
      </w:r>
      <w:r>
        <w:t xml:space="preserve">value </w:t>
      </w:r>
      <w:r w:rsidR="0038268E">
        <w:t>and</w:t>
      </w:r>
      <w:r>
        <w:t xml:space="preserve"> volume.  These competitors are Mylan (</w:t>
      </w:r>
      <w:r w:rsidR="003B687A">
        <w:t>[10-20]</w:t>
      </w:r>
      <w:r>
        <w:t xml:space="preserve">% in value and </w:t>
      </w:r>
      <w:r w:rsidR="003B687A">
        <w:t>[</w:t>
      </w:r>
      <w:r>
        <w:t>5</w:t>
      </w:r>
      <w:r w:rsidR="003B687A">
        <w:t>-10]</w:t>
      </w:r>
      <w:r>
        <w:t>% in volume), Aurobindo (</w:t>
      </w:r>
      <w:r w:rsidR="003B687A">
        <w:t>[10-20]</w:t>
      </w:r>
      <w:r>
        <w:t xml:space="preserve">% in value and </w:t>
      </w:r>
      <w:r w:rsidR="003B687A">
        <w:t>[20-30]</w:t>
      </w:r>
      <w:r>
        <w:t xml:space="preserve">% in volume), </w:t>
      </w:r>
      <w:r w:rsidR="0038268E">
        <w:t xml:space="preserve">and </w:t>
      </w:r>
      <w:r>
        <w:t>Etos (</w:t>
      </w:r>
      <w:r w:rsidR="003B687A">
        <w:t>[5-10]</w:t>
      </w:r>
      <w:r>
        <w:t xml:space="preserve">% in value and </w:t>
      </w:r>
      <w:r w:rsidR="003B687A">
        <w:t>[20-30]</w:t>
      </w:r>
      <w:r>
        <w:t>% in volume)</w:t>
      </w:r>
      <w:r w:rsidR="0038268E">
        <w:t xml:space="preserve">. </w:t>
      </w:r>
      <w:r>
        <w:t>Novartis</w:t>
      </w:r>
      <w:r w:rsidR="0038268E">
        <w:t xml:space="preserve"> </w:t>
      </w:r>
      <w:r>
        <w:t xml:space="preserve">entered </w:t>
      </w:r>
      <w:r w:rsidR="0038268E">
        <w:t xml:space="preserve">the market </w:t>
      </w:r>
      <w:r>
        <w:t xml:space="preserve">in 2016 </w:t>
      </w:r>
      <w:r w:rsidR="0038268E">
        <w:t xml:space="preserve">and in 2017 it held </w:t>
      </w:r>
      <w:r w:rsidR="003B687A">
        <w:t>[5-10]</w:t>
      </w:r>
      <w:r>
        <w:t xml:space="preserve">% in value and </w:t>
      </w:r>
      <w:r w:rsidR="003B687A">
        <w:t>[0-5]</w:t>
      </w:r>
      <w:r>
        <w:t xml:space="preserve">% in volume).  </w:t>
      </w:r>
    </w:p>
    <w:p w:rsidR="0080226D" w:rsidRPr="00CC6FE3" w:rsidRDefault="0080226D" w:rsidP="0080226D">
      <w:pPr>
        <w:pStyle w:val="ListNumber"/>
        <w:rPr>
          <w:i/>
        </w:rPr>
      </w:pPr>
      <w:r w:rsidRPr="00CC6FE3">
        <w:t xml:space="preserve">Moreover, the products of the Parties do not </w:t>
      </w:r>
      <w:r w:rsidR="00185FCC">
        <w:t xml:space="preserve">seem to </w:t>
      </w:r>
      <w:r w:rsidRPr="00CC6FE3">
        <w:t xml:space="preserve">compete closely.  </w:t>
      </w:r>
      <w:r w:rsidR="00CC6FE3">
        <w:t xml:space="preserve">The Parties' products </w:t>
      </w:r>
      <w:r w:rsidR="001D5FA9">
        <w:t>are available in</w:t>
      </w:r>
      <w:r w:rsidR="00CC6FE3">
        <w:t xml:space="preserve"> different galenic forms.</w:t>
      </w:r>
      <w:r w:rsidR="001D5FA9">
        <w:t xml:space="preserve"> </w:t>
      </w:r>
      <w:r w:rsidR="00CC6FE3">
        <w:t xml:space="preserve"> </w:t>
      </w:r>
      <w:r w:rsidRPr="00CC6FE3">
        <w:t>PGT's OTC products are available only in oral solid form, while Teva's prescription drugs are also sold as suppositories and in the form of powder for oral solution</w:t>
      </w:r>
      <w:r w:rsidR="00EF15B7" w:rsidRPr="00CC6FE3">
        <w:t>s</w:t>
      </w:r>
      <w:r w:rsidRPr="00CC6FE3">
        <w:t xml:space="preserve">.  </w:t>
      </w:r>
      <w:r w:rsidR="00CC6FE3" w:rsidRPr="00CC6FE3">
        <w:t xml:space="preserve">There is only one overlapping dosage (400 mg), while </w:t>
      </w:r>
      <w:r w:rsidRPr="00CC6FE3">
        <w:t xml:space="preserve">PGT's </w:t>
      </w:r>
      <w:r w:rsidR="00CC6FE3" w:rsidRPr="00CC6FE3">
        <w:t xml:space="preserve">also offers </w:t>
      </w:r>
      <w:r w:rsidRPr="00CC6FE3">
        <w:t xml:space="preserve">single doses of 200 mg and </w:t>
      </w:r>
      <w:r w:rsidR="00CC6FE3" w:rsidRPr="00CC6FE3">
        <w:t xml:space="preserve">Teva also offers single doses of </w:t>
      </w:r>
      <w:r w:rsidRPr="00CC6FE3">
        <w:t xml:space="preserve">600 mg. </w:t>
      </w:r>
    </w:p>
    <w:p w:rsidR="0080226D" w:rsidRPr="00CC6FE3" w:rsidRDefault="00DA48C0" w:rsidP="0080226D">
      <w:pPr>
        <w:pStyle w:val="ListNumber"/>
      </w:pPr>
      <w:r w:rsidRPr="00481977">
        <w:rPr>
          <w:szCs w:val="24"/>
        </w:rPr>
        <w:t>Finally, the market investigation did not</w:t>
      </w:r>
      <w:r w:rsidRPr="008A5E07">
        <w:rPr>
          <w:szCs w:val="24"/>
        </w:rPr>
        <w:t xml:space="preserve"> </w:t>
      </w:r>
      <w:r w:rsidRPr="00EC45D3">
        <w:rPr>
          <w:szCs w:val="24"/>
        </w:rPr>
        <w:t xml:space="preserve">reveal any </w:t>
      </w:r>
      <w:r w:rsidRPr="00CC6FE3">
        <w:rPr>
          <w:rFonts w:eastAsia="Calibri"/>
          <w:szCs w:val="24"/>
        </w:rPr>
        <w:t>competition concerns in</w:t>
      </w:r>
      <w:r w:rsidRPr="00DA48C0" w:rsidDel="00A2241C">
        <w:rPr>
          <w:rFonts w:ascii="Times" w:eastAsia="Calibri" w:hAnsi="Times"/>
        </w:rPr>
        <w:t xml:space="preserve"> </w:t>
      </w:r>
      <w:r w:rsidRPr="00DA48C0">
        <w:rPr>
          <w:rFonts w:ascii="Times" w:eastAsia="Calibri" w:hAnsi="Times"/>
        </w:rPr>
        <w:t xml:space="preserve">relation to </w:t>
      </w:r>
      <w:r w:rsidR="0080226D" w:rsidRPr="004F4BE3">
        <w:rPr>
          <w:i/>
        </w:rPr>
        <w:t>ibuprofen</w:t>
      </w:r>
      <w:r w:rsidR="0080226D" w:rsidRPr="00CC6FE3">
        <w:t>-based products in the Netherlands.</w:t>
      </w:r>
      <w:r w:rsidR="0080226D" w:rsidRPr="00CC6FE3">
        <w:rPr>
          <w:rFonts w:ascii="Calibri" w:eastAsia="Calibri" w:hAnsi="Calibri"/>
          <w:sz w:val="20"/>
          <w:vertAlign w:val="superscript"/>
          <w:lang w:val="en-US"/>
        </w:rPr>
        <w:footnoteReference w:id="98"/>
      </w:r>
    </w:p>
    <w:p w:rsidR="0080226D" w:rsidRPr="0080226D" w:rsidRDefault="00814F0F" w:rsidP="0080226D">
      <w:pPr>
        <w:pStyle w:val="ListNumber"/>
        <w:rPr>
          <w:rFonts w:eastAsia="Calibri"/>
        </w:rPr>
      </w:pPr>
      <w:r w:rsidRPr="00546F00">
        <w:rPr>
          <w:rFonts w:ascii="Times" w:hAnsi="Times"/>
          <w:szCs w:val="24"/>
        </w:rPr>
        <w:t xml:space="preserve">In view of the above, the Commission concludes that </w:t>
      </w:r>
      <w:r>
        <w:rPr>
          <w:rFonts w:ascii="Times" w:hAnsi="Times"/>
          <w:szCs w:val="24"/>
        </w:rPr>
        <w:t>the Transaction does not raise serious doubts as to its compatibility with the internal market regarding</w:t>
      </w:r>
      <w:r w:rsidR="0080226D">
        <w:t xml:space="preserve"> </w:t>
      </w:r>
      <w:r w:rsidR="0080226D" w:rsidRPr="00420413">
        <w:rPr>
          <w:i/>
        </w:rPr>
        <w:t>ibuprofen</w:t>
      </w:r>
      <w:r w:rsidR="0080226D">
        <w:t>-based non-steroidal antirheumatics in the Netherlands</w:t>
      </w:r>
      <w:r w:rsidR="0080226D" w:rsidRPr="00546F00">
        <w:t>.</w:t>
      </w:r>
      <w:r w:rsidR="0080226D" w:rsidDel="00BF490B">
        <w:t xml:space="preserve"> </w:t>
      </w:r>
    </w:p>
    <w:p w:rsidR="0080226D" w:rsidRPr="00024E5C" w:rsidRDefault="0080226D" w:rsidP="0080226D">
      <w:pPr>
        <w:pStyle w:val="Heading3"/>
        <w:keepNext w:val="0"/>
        <w:tabs>
          <w:tab w:val="clear" w:pos="1920"/>
          <w:tab w:val="num" w:pos="709"/>
        </w:tabs>
        <w:ind w:left="709" w:hanging="709"/>
      </w:pPr>
      <w:bookmarkStart w:id="287" w:name="_Toc517444583"/>
      <w:bookmarkStart w:id="288" w:name="_Ref517683832"/>
      <w:bookmarkStart w:id="289" w:name="_Toc517710523"/>
      <w:bookmarkStart w:id="290" w:name="_Toc517812956"/>
      <w:r w:rsidRPr="001436EE">
        <w:t>Omeprazole-</w:t>
      </w:r>
      <w:r w:rsidR="005458F4">
        <w:t>b</w:t>
      </w:r>
      <w:r w:rsidRPr="001436EE">
        <w:t xml:space="preserve">ased </w:t>
      </w:r>
      <w:r w:rsidRPr="00024E5C">
        <w:t>PPIs in Estonia and Latvia</w:t>
      </w:r>
      <w:bookmarkEnd w:id="287"/>
      <w:bookmarkEnd w:id="288"/>
      <w:bookmarkEnd w:id="289"/>
      <w:bookmarkEnd w:id="290"/>
    </w:p>
    <w:p w:rsidR="0080226D" w:rsidRDefault="0080226D" w:rsidP="0080226D">
      <w:pPr>
        <w:pStyle w:val="Heading4"/>
      </w:pPr>
      <w:bookmarkStart w:id="291" w:name="_Toc517710524"/>
      <w:bookmarkStart w:id="292" w:name="_Toc517812957"/>
      <w:r>
        <w:t>Market definition</w:t>
      </w:r>
      <w:bookmarkEnd w:id="291"/>
      <w:bookmarkEnd w:id="292"/>
    </w:p>
    <w:p w:rsidR="0080226D" w:rsidRDefault="00D46546" w:rsidP="0080226D">
      <w:pPr>
        <w:pStyle w:val="ListNumber"/>
      </w:pPr>
      <w:r>
        <w:t xml:space="preserve">See </w:t>
      </w:r>
      <w:r w:rsidR="00DF234C">
        <w:t xml:space="preserve">paragraphs </w:t>
      </w:r>
      <w:r w:rsidR="00DF234C">
        <w:fldChar w:fldCharType="begin"/>
      </w:r>
      <w:r w:rsidR="00DF234C">
        <w:instrText xml:space="preserve"> REF _Ref517709772 \r \h </w:instrText>
      </w:r>
      <w:r w:rsidR="00DF234C">
        <w:fldChar w:fldCharType="separate"/>
      </w:r>
      <w:r w:rsidR="00FE3ACD">
        <w:t>(83)</w:t>
      </w:r>
      <w:r w:rsidR="00DF234C">
        <w:fldChar w:fldCharType="end"/>
      </w:r>
      <w:r w:rsidR="00DF234C">
        <w:t xml:space="preserve"> and </w:t>
      </w:r>
      <w:r w:rsidR="00DF234C">
        <w:fldChar w:fldCharType="begin"/>
      </w:r>
      <w:r w:rsidR="00DF234C">
        <w:instrText xml:space="preserve"> REF _Ref517709758 \r \h </w:instrText>
      </w:r>
      <w:r w:rsidR="00DF234C">
        <w:fldChar w:fldCharType="separate"/>
      </w:r>
      <w:r w:rsidR="00FE3ACD">
        <w:t>(85)</w:t>
      </w:r>
      <w:r w:rsidR="00DF234C">
        <w:fldChar w:fldCharType="end"/>
      </w:r>
      <w:r w:rsidR="00DF234C">
        <w:t xml:space="preserve"> </w:t>
      </w:r>
      <w:r>
        <w:t xml:space="preserve">above regarding </w:t>
      </w:r>
      <w:r w:rsidR="00DF234C">
        <w:t>market definition for PPIs.</w:t>
      </w:r>
    </w:p>
    <w:p w:rsidR="0080226D" w:rsidRDefault="0080226D" w:rsidP="0080226D">
      <w:pPr>
        <w:pStyle w:val="ListNumber"/>
      </w:pPr>
      <w:r>
        <w:t xml:space="preserve">The Notifying Party submits that PPIs sold OTC and Rx </w:t>
      </w:r>
      <w:r w:rsidR="00947A31">
        <w:t>are not in the same market</w:t>
      </w:r>
      <w:r>
        <w:t>, as they have different indications. More specifically, OTC products can be used only for short-terms treatments needs, mainly referred to as acid reflux. However, they cannot be used for therapies requiring mid-</w:t>
      </w:r>
      <w:r w:rsidR="00CC3978">
        <w:t xml:space="preserve"> to </w:t>
      </w:r>
      <w:r>
        <w:t xml:space="preserve">long-term treatments, such as ulcers or gastroesophageal reflux. </w:t>
      </w:r>
    </w:p>
    <w:p w:rsidR="0080226D" w:rsidRDefault="0080226D" w:rsidP="0080226D">
      <w:pPr>
        <w:pStyle w:val="ListNumber"/>
      </w:pPr>
      <w:r>
        <w:t>The Notifying Party also submits that the market for PPIs is at least the ATC4 A2B2, and more probably also comprise other ATC4 classes, in particular the ATC4 class A2B1 (H2 antagonists).</w:t>
      </w:r>
    </w:p>
    <w:p w:rsidR="0080226D" w:rsidRPr="00E305BA" w:rsidRDefault="0080226D" w:rsidP="0080226D">
      <w:pPr>
        <w:pStyle w:val="ListNumber"/>
      </w:pPr>
      <w:r w:rsidRPr="00AC4CB2">
        <w:lastRenderedPageBreak/>
        <w:t>In any event, for the purposes of the present case, the exact market definition can be left open</w:t>
      </w:r>
      <w:r>
        <w:t xml:space="preserve">.  No serious </w:t>
      </w:r>
      <w:r w:rsidRPr="00AC4CB2">
        <w:t>doubts arise under any plausible alternative market definition</w:t>
      </w:r>
      <w:r>
        <w:t xml:space="preserve"> (namely, at ATC3 or ATC4/OTC3 level</w:t>
      </w:r>
      <w:r w:rsidR="00707020">
        <w:t xml:space="preserve"> or molecule</w:t>
      </w:r>
      <w:r w:rsidRPr="00E305BA">
        <w:t xml:space="preserve">). </w:t>
      </w:r>
    </w:p>
    <w:p w:rsidR="0080226D" w:rsidRDefault="0080226D" w:rsidP="0080226D">
      <w:pPr>
        <w:pStyle w:val="Heading4"/>
      </w:pPr>
      <w:bookmarkStart w:id="293" w:name="_Toc517710525"/>
      <w:bookmarkStart w:id="294" w:name="_Toc517812958"/>
      <w:r>
        <w:t>Parties' products</w:t>
      </w:r>
      <w:bookmarkEnd w:id="293"/>
      <w:bookmarkEnd w:id="294"/>
    </w:p>
    <w:p w:rsidR="0080226D" w:rsidRPr="00225FF1" w:rsidRDefault="0080226D" w:rsidP="0080226D">
      <w:pPr>
        <w:pStyle w:val="ListNumber"/>
      </w:pPr>
      <w:r>
        <w:t xml:space="preserve">In Estonia and Latvia, </w:t>
      </w:r>
      <w:r w:rsidR="00AD2FAC">
        <w:t>both Parties supply</w:t>
      </w:r>
      <w:r>
        <w:t xml:space="preserve"> </w:t>
      </w:r>
      <w:r w:rsidRPr="004B24C9">
        <w:rPr>
          <w:i/>
        </w:rPr>
        <w:t>omeprazole</w:t>
      </w:r>
      <w:r>
        <w:t xml:space="preserve"> based PPIs </w:t>
      </w:r>
      <w:r w:rsidR="00AD2FAC">
        <w:t>under the same brand (</w:t>
      </w:r>
      <w:r>
        <w:t>Gasec</w:t>
      </w:r>
      <w:r w:rsidR="00AD2FAC">
        <w:t>).</w:t>
      </w:r>
      <w:r>
        <w:t xml:space="preserve"> </w:t>
      </w:r>
      <w:r w:rsidR="00AD2FAC">
        <w:t>The Target's Gasec is sold OTC, in oral solid form with a dosage of 10 mg</w:t>
      </w:r>
      <w:r w:rsidR="00AE5F1E">
        <w:t xml:space="preserve"> and 20 mg</w:t>
      </w:r>
      <w:r w:rsidR="00AD2FAC">
        <w:t>. Teva's Gasec is sold under prescription (</w:t>
      </w:r>
      <w:r>
        <w:t>Rx</w:t>
      </w:r>
      <w:r w:rsidR="00AD2FAC">
        <w:t>), in oral solid form with dosages of 20 mg and 40 mg.</w:t>
      </w:r>
      <w:r>
        <w:t xml:space="preserve"> </w:t>
      </w:r>
      <w:r w:rsidR="00AD2FAC">
        <w:t xml:space="preserve">Teva also </w:t>
      </w:r>
      <w:r w:rsidR="00AD2FAC" w:rsidRPr="00420413">
        <w:t>supplies</w:t>
      </w:r>
      <w:r>
        <w:t xml:space="preserve"> OmeprazolRph</w:t>
      </w:r>
      <w:r w:rsidR="00AD2FAC">
        <w:t xml:space="preserve"> under prescription, in oral solid form with dosage of 20 mg.</w:t>
      </w:r>
    </w:p>
    <w:p w:rsidR="0080226D" w:rsidRDefault="0080226D" w:rsidP="0080226D">
      <w:pPr>
        <w:pStyle w:val="Heading4"/>
      </w:pPr>
      <w:bookmarkStart w:id="295" w:name="_Toc517710526"/>
      <w:bookmarkStart w:id="296" w:name="_Toc517812959"/>
      <w:r>
        <w:t>Competition assessment</w:t>
      </w:r>
      <w:bookmarkEnd w:id="295"/>
      <w:bookmarkEnd w:id="296"/>
    </w:p>
    <w:p w:rsidR="0080226D" w:rsidRPr="003B43D2" w:rsidRDefault="0080226D" w:rsidP="00420413">
      <w:pPr>
        <w:pStyle w:val="Text4"/>
        <w:keepNext/>
        <w:ind w:left="709"/>
        <w:rPr>
          <w:i/>
        </w:rPr>
      </w:pPr>
      <w:r w:rsidRPr="003B43D2">
        <w:rPr>
          <w:i/>
        </w:rPr>
        <w:t>Estonia</w:t>
      </w:r>
    </w:p>
    <w:p w:rsidR="0080226D" w:rsidRDefault="0080226D" w:rsidP="0080226D">
      <w:pPr>
        <w:pStyle w:val="ListNumber"/>
        <w:keepNext/>
      </w:pPr>
      <w:r>
        <w:t>At the ATC4 level (A2B), the Transaction gives rise to a Group 3 market. At the ATC4 level (A2B2)</w:t>
      </w:r>
      <w:r w:rsidR="00707020">
        <w:t xml:space="preserve"> and molecule level (</w:t>
      </w:r>
      <w:r w:rsidR="00707020" w:rsidRPr="00420413">
        <w:rPr>
          <w:i/>
        </w:rPr>
        <w:t>omeprazole</w:t>
      </w:r>
      <w:r>
        <w:t>), the Transaction gives rise to a Group 1 market.</w:t>
      </w:r>
    </w:p>
    <w:p w:rsidR="0080226D" w:rsidRDefault="0080226D" w:rsidP="0080226D">
      <w:pPr>
        <w:pStyle w:val="ListNumber"/>
      </w:pPr>
      <w:r>
        <w:t xml:space="preserve">The table below presents the Parties' market shares </w:t>
      </w:r>
      <w:r w:rsidR="00707020">
        <w:t xml:space="preserve">at ATC4 and molecule levels </w:t>
      </w:r>
      <w:r>
        <w:t>for PPIs in Estonia</w:t>
      </w:r>
      <w:r w:rsidR="00B91E12">
        <w:t xml:space="preserve"> in 2015-2017: </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1"/>
        <w:gridCol w:w="999"/>
        <w:gridCol w:w="1136"/>
        <w:gridCol w:w="1204"/>
      </w:tblGrid>
      <w:tr w:rsidR="00D40242" w:rsidRPr="00AD3737" w:rsidTr="0076503C">
        <w:trPr>
          <w:tblHeader/>
        </w:trPr>
        <w:tc>
          <w:tcPr>
            <w:tcW w:w="608" w:type="pct"/>
            <w:vMerge w:val="restar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OTC3</w:t>
            </w:r>
          </w:p>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ATC3</w:t>
            </w:r>
          </w:p>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ATC4</w:t>
            </w:r>
          </w:p>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D40242" w:rsidRPr="00B6607C" w:rsidRDefault="00D40242" w:rsidP="0076503C">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D40242" w:rsidRDefault="00D40242" w:rsidP="0076503C">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D40242" w:rsidRPr="00AD3737" w:rsidTr="004C6514">
        <w:trPr>
          <w:tblHeader/>
        </w:trPr>
        <w:tc>
          <w:tcPr>
            <w:tcW w:w="608" w:type="pct"/>
            <w:vMerge/>
            <w:tcBorders>
              <w:bottom w:val="single" w:sz="4"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c>
          <w:tcPr>
            <w:tcW w:w="696" w:type="pct"/>
            <w:vMerge/>
            <w:tcBorders>
              <w:bottom w:val="single" w:sz="4"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c>
          <w:tcPr>
            <w:tcW w:w="434" w:type="pct"/>
            <w:vMerge/>
            <w:tcBorders>
              <w:bottom w:val="single" w:sz="4"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c>
          <w:tcPr>
            <w:tcW w:w="523" w:type="pct"/>
            <w:vMerge/>
            <w:tcBorders>
              <w:bottom w:val="single" w:sz="4" w:space="0" w:color="auto"/>
            </w:tcBorders>
            <w:shd w:val="clear" w:color="auto" w:fill="D9D9D9" w:themeFill="background1" w:themeFillShade="D9"/>
          </w:tcPr>
          <w:p w:rsidR="00D40242" w:rsidRPr="00B6607C" w:rsidRDefault="00D40242" w:rsidP="0076503C">
            <w:pPr>
              <w:keepNext/>
              <w:snapToGrid w:val="0"/>
              <w:spacing w:after="0"/>
              <w:jc w:val="center"/>
              <w:rPr>
                <w:rFonts w:ascii="Times" w:hAnsi="Times"/>
                <w:b/>
                <w:sz w:val="18"/>
                <w:szCs w:val="18"/>
              </w:rPr>
            </w:pPr>
          </w:p>
        </w:tc>
        <w:tc>
          <w:tcPr>
            <w:tcW w:w="693" w:type="pct"/>
            <w:tcBorders>
              <w:bottom w:val="single" w:sz="4"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Teva</w:t>
            </w:r>
          </w:p>
        </w:tc>
        <w:tc>
          <w:tcPr>
            <w:tcW w:w="612" w:type="pct"/>
            <w:tcBorders>
              <w:bottom w:val="single" w:sz="4"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tcBorders>
              <w:bottom w:val="single" w:sz="4"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tcBorders>
              <w:bottom w:val="single" w:sz="4" w:space="0" w:color="auto"/>
            </w:tcBorders>
            <w:shd w:val="clear" w:color="auto" w:fill="D9D9D9" w:themeFill="background1" w:themeFillShade="D9"/>
            <w:vAlign w:val="center"/>
          </w:tcPr>
          <w:p w:rsidR="00D40242" w:rsidRPr="00B6607C" w:rsidRDefault="00D40242" w:rsidP="0076503C">
            <w:pPr>
              <w:keepNext/>
              <w:snapToGrid w:val="0"/>
              <w:spacing w:after="0"/>
              <w:jc w:val="center"/>
              <w:rPr>
                <w:rFonts w:ascii="Times" w:hAnsi="Times"/>
                <w:b/>
                <w:sz w:val="18"/>
                <w:szCs w:val="18"/>
              </w:rPr>
            </w:pPr>
          </w:p>
        </w:tc>
      </w:tr>
      <w:tr w:rsidR="003B687A" w:rsidRPr="00AD3737" w:rsidTr="0076503C">
        <w:trPr>
          <w:trHeight w:val="345"/>
        </w:trPr>
        <w:tc>
          <w:tcPr>
            <w:tcW w:w="608" w:type="pct"/>
            <w:vMerge w:val="restart"/>
            <w:vAlign w:val="center"/>
          </w:tcPr>
          <w:p w:rsidR="003B687A" w:rsidRPr="00420413" w:rsidRDefault="003B687A" w:rsidP="00D40242">
            <w:pPr>
              <w:keepNext/>
              <w:spacing w:after="0"/>
              <w:jc w:val="center"/>
              <w:rPr>
                <w:rFonts w:ascii="Times" w:hAnsi="Times"/>
                <w:i/>
                <w:sz w:val="18"/>
                <w:szCs w:val="18"/>
              </w:rPr>
            </w:pPr>
            <w:r w:rsidRPr="00420413">
              <w:rPr>
                <w:rFonts w:ascii="Times" w:hAnsi="Times"/>
                <w:sz w:val="18"/>
                <w:szCs w:val="18"/>
              </w:rPr>
              <w:t>A2B2</w:t>
            </w:r>
          </w:p>
        </w:tc>
        <w:tc>
          <w:tcPr>
            <w:tcW w:w="696" w:type="pct"/>
            <w:vMerge w:val="restart"/>
          </w:tcPr>
          <w:p w:rsidR="003B687A" w:rsidRPr="00E97873" w:rsidRDefault="003B687A" w:rsidP="0076503C">
            <w:pPr>
              <w:keepNext/>
              <w:spacing w:after="0"/>
              <w:jc w:val="center"/>
              <w:rPr>
                <w:rFonts w:ascii="Times" w:hAnsi="Times"/>
                <w:sz w:val="18"/>
                <w:szCs w:val="18"/>
                <w:lang w:val="en-GB"/>
              </w:rPr>
            </w:pPr>
            <w:r w:rsidRPr="00420413">
              <w:rPr>
                <w:rFonts w:ascii="Times" w:hAnsi="Times"/>
                <w:sz w:val="18"/>
                <w:szCs w:val="18"/>
              </w:rPr>
              <w:t>Proton Pump Inhibitors (Rx and OTC)</w:t>
            </w:r>
          </w:p>
        </w:tc>
        <w:tc>
          <w:tcPr>
            <w:tcW w:w="434" w:type="pct"/>
            <w:vMerge w:val="restart"/>
            <w:vAlign w:val="center"/>
          </w:tcPr>
          <w:p w:rsidR="003B687A" w:rsidRPr="00B6607C" w:rsidRDefault="003B687A" w:rsidP="00D40242">
            <w:pPr>
              <w:keepNext/>
              <w:spacing w:after="0"/>
              <w:jc w:val="center"/>
              <w:rPr>
                <w:rFonts w:ascii="Times" w:hAnsi="Times"/>
                <w:sz w:val="18"/>
                <w:szCs w:val="18"/>
              </w:rPr>
            </w:pPr>
            <w:r w:rsidRPr="00420413">
              <w:rPr>
                <w:rFonts w:ascii="Times" w:hAnsi="Times"/>
                <w:sz w:val="18"/>
                <w:szCs w:val="18"/>
              </w:rPr>
              <w:t>Group 1</w:t>
            </w:r>
          </w:p>
        </w:tc>
        <w:tc>
          <w:tcPr>
            <w:tcW w:w="523" w:type="pct"/>
            <w:vAlign w:val="center"/>
          </w:tcPr>
          <w:p w:rsidR="003B687A" w:rsidRPr="00213AF2" w:rsidRDefault="003B687A" w:rsidP="0076503C">
            <w:pPr>
              <w:keepNext/>
              <w:spacing w:after="0"/>
              <w:jc w:val="left"/>
              <w:rPr>
                <w:rFonts w:ascii="Times" w:hAnsi="Times"/>
                <w:sz w:val="18"/>
              </w:rPr>
            </w:pPr>
            <w:r>
              <w:rPr>
                <w:rFonts w:ascii="Times" w:hAnsi="Times"/>
                <w:sz w:val="18"/>
              </w:rPr>
              <w:t>2017</w:t>
            </w:r>
          </w:p>
        </w:tc>
        <w:tc>
          <w:tcPr>
            <w:tcW w:w="693" w:type="pct"/>
            <w:vAlign w:val="center"/>
          </w:tcPr>
          <w:p w:rsidR="003B687A" w:rsidRDefault="003B687A" w:rsidP="0076503C">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p w:rsidR="003B687A" w:rsidRPr="00B6607C" w:rsidRDefault="003B687A" w:rsidP="0076503C">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tc>
        <w:tc>
          <w:tcPr>
            <w:tcW w:w="612"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vAlign w:val="center"/>
          </w:tcPr>
          <w:p w:rsidR="003B687A" w:rsidRDefault="003B687A" w:rsidP="003B687A">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p w:rsidR="003B687A" w:rsidRPr="00B6607C" w:rsidRDefault="003B687A" w:rsidP="003B687A">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tc>
        <w:tc>
          <w:tcPr>
            <w:tcW w:w="738" w:type="pct"/>
            <w:vAlign w:val="center"/>
          </w:tcPr>
          <w:p w:rsidR="003B687A" w:rsidRPr="00B6607C" w:rsidRDefault="003B687A" w:rsidP="0076503C">
            <w:pPr>
              <w:keepNext/>
              <w:spacing w:after="0"/>
              <w:jc w:val="center"/>
              <w:rPr>
                <w:rFonts w:ascii="Times" w:hAnsi="Times"/>
                <w:sz w:val="18"/>
                <w:szCs w:val="18"/>
              </w:rPr>
            </w:pPr>
            <w:r w:rsidRPr="00A847CC">
              <w:rPr>
                <w:rFonts w:ascii="Times" w:hAnsi="Times"/>
                <w:sz w:val="18"/>
                <w:szCs w:val="18"/>
              </w:rPr>
              <w:t>At least 4</w:t>
            </w:r>
          </w:p>
        </w:tc>
      </w:tr>
      <w:tr w:rsidR="003B687A" w:rsidRPr="00AD3737" w:rsidTr="0076503C">
        <w:trPr>
          <w:trHeight w:val="345"/>
        </w:trPr>
        <w:tc>
          <w:tcPr>
            <w:tcW w:w="608" w:type="pct"/>
            <w:vMerge/>
            <w:vAlign w:val="center"/>
          </w:tcPr>
          <w:p w:rsidR="003B687A" w:rsidRPr="00420413" w:rsidRDefault="003B687A" w:rsidP="0076503C">
            <w:pPr>
              <w:keepNext/>
              <w:spacing w:after="0"/>
              <w:jc w:val="center"/>
              <w:rPr>
                <w:rFonts w:ascii="Times" w:hAnsi="Times"/>
                <w:i/>
                <w:sz w:val="18"/>
                <w:szCs w:val="18"/>
              </w:rPr>
            </w:pPr>
          </w:p>
        </w:tc>
        <w:tc>
          <w:tcPr>
            <w:tcW w:w="696" w:type="pct"/>
            <w:vMerge/>
            <w:vAlign w:val="center"/>
          </w:tcPr>
          <w:p w:rsidR="003B687A" w:rsidRPr="00B6607C" w:rsidRDefault="003B687A" w:rsidP="0076503C">
            <w:pPr>
              <w:keepNext/>
              <w:spacing w:after="0"/>
              <w:jc w:val="center"/>
              <w:rPr>
                <w:rFonts w:ascii="Times" w:hAnsi="Times"/>
                <w:sz w:val="18"/>
                <w:szCs w:val="18"/>
              </w:rPr>
            </w:pPr>
          </w:p>
        </w:tc>
        <w:tc>
          <w:tcPr>
            <w:tcW w:w="434" w:type="pct"/>
            <w:vMerge/>
            <w:vAlign w:val="center"/>
          </w:tcPr>
          <w:p w:rsidR="003B687A" w:rsidRPr="00B6607C" w:rsidRDefault="003B687A" w:rsidP="0076503C">
            <w:pPr>
              <w:keepNext/>
              <w:spacing w:after="0"/>
              <w:jc w:val="center"/>
              <w:rPr>
                <w:rFonts w:ascii="Times" w:hAnsi="Times"/>
                <w:sz w:val="18"/>
                <w:szCs w:val="18"/>
              </w:rPr>
            </w:pPr>
          </w:p>
        </w:tc>
        <w:tc>
          <w:tcPr>
            <w:tcW w:w="523" w:type="pct"/>
            <w:vAlign w:val="center"/>
          </w:tcPr>
          <w:p w:rsidR="003B687A" w:rsidRPr="00213AF2" w:rsidRDefault="003B687A" w:rsidP="0076503C">
            <w:pPr>
              <w:keepNext/>
              <w:spacing w:after="0"/>
              <w:jc w:val="left"/>
              <w:rPr>
                <w:rFonts w:ascii="Times" w:hAnsi="Times"/>
                <w:sz w:val="18"/>
              </w:rPr>
            </w:pPr>
            <w:r>
              <w:rPr>
                <w:rFonts w:ascii="Times" w:hAnsi="Times"/>
                <w:sz w:val="18"/>
              </w:rPr>
              <w:t>2016</w:t>
            </w:r>
          </w:p>
        </w:tc>
        <w:tc>
          <w:tcPr>
            <w:tcW w:w="693" w:type="pct"/>
            <w:vAlign w:val="center"/>
          </w:tcPr>
          <w:p w:rsidR="003B687A" w:rsidRDefault="003B687A" w:rsidP="003B687A">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p w:rsidR="003B687A" w:rsidRPr="00B6607C" w:rsidRDefault="003B687A" w:rsidP="003B687A">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tc>
        <w:tc>
          <w:tcPr>
            <w:tcW w:w="612"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vAlign w:val="center"/>
          </w:tcPr>
          <w:p w:rsidR="003B687A" w:rsidRDefault="003B687A" w:rsidP="003B687A">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p w:rsidR="003B687A" w:rsidRPr="00B6607C" w:rsidRDefault="003B687A" w:rsidP="003B687A">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tc>
        <w:tc>
          <w:tcPr>
            <w:tcW w:w="738" w:type="pct"/>
            <w:vAlign w:val="center"/>
          </w:tcPr>
          <w:p w:rsidR="003B687A" w:rsidRPr="00B6607C" w:rsidRDefault="003B687A" w:rsidP="0076503C">
            <w:pPr>
              <w:keepNext/>
              <w:spacing w:after="0"/>
              <w:jc w:val="center"/>
              <w:rPr>
                <w:rFonts w:ascii="Times" w:hAnsi="Times"/>
                <w:sz w:val="18"/>
                <w:szCs w:val="18"/>
              </w:rPr>
            </w:pPr>
            <w:r w:rsidRPr="00A847CC">
              <w:rPr>
                <w:rFonts w:ascii="Times" w:hAnsi="Times"/>
                <w:sz w:val="18"/>
                <w:szCs w:val="18"/>
              </w:rPr>
              <w:t>At least 4</w:t>
            </w:r>
          </w:p>
        </w:tc>
      </w:tr>
      <w:tr w:rsidR="003B687A" w:rsidRPr="00AD3737" w:rsidTr="004C6514">
        <w:trPr>
          <w:trHeight w:val="345"/>
        </w:trPr>
        <w:tc>
          <w:tcPr>
            <w:tcW w:w="608" w:type="pct"/>
            <w:vMerge/>
            <w:tcBorders>
              <w:bottom w:val="single" w:sz="12" w:space="0" w:color="auto"/>
            </w:tcBorders>
            <w:vAlign w:val="center"/>
          </w:tcPr>
          <w:p w:rsidR="003B687A" w:rsidRPr="00420413" w:rsidRDefault="003B687A" w:rsidP="0076503C">
            <w:pPr>
              <w:keepNext/>
              <w:spacing w:after="0"/>
              <w:jc w:val="center"/>
              <w:rPr>
                <w:rFonts w:ascii="Times" w:hAnsi="Times"/>
                <w:i/>
                <w:sz w:val="18"/>
                <w:szCs w:val="18"/>
              </w:rPr>
            </w:pPr>
          </w:p>
        </w:tc>
        <w:tc>
          <w:tcPr>
            <w:tcW w:w="696" w:type="pct"/>
            <w:vMerge/>
            <w:tcBorders>
              <w:bottom w:val="single" w:sz="12" w:space="0" w:color="auto"/>
            </w:tcBorders>
            <w:vAlign w:val="center"/>
          </w:tcPr>
          <w:p w:rsidR="003B687A" w:rsidRPr="00B6607C" w:rsidRDefault="003B687A" w:rsidP="0076503C">
            <w:pPr>
              <w:keepNext/>
              <w:spacing w:after="0"/>
              <w:jc w:val="center"/>
              <w:rPr>
                <w:rFonts w:ascii="Times" w:hAnsi="Times"/>
                <w:sz w:val="18"/>
                <w:szCs w:val="18"/>
              </w:rPr>
            </w:pPr>
          </w:p>
        </w:tc>
        <w:tc>
          <w:tcPr>
            <w:tcW w:w="434" w:type="pct"/>
            <w:vMerge/>
            <w:tcBorders>
              <w:bottom w:val="single" w:sz="12" w:space="0" w:color="auto"/>
            </w:tcBorders>
            <w:vAlign w:val="center"/>
          </w:tcPr>
          <w:p w:rsidR="003B687A" w:rsidRPr="00B6607C" w:rsidRDefault="003B687A" w:rsidP="0076503C">
            <w:pPr>
              <w:keepNext/>
              <w:spacing w:after="0"/>
              <w:jc w:val="center"/>
              <w:rPr>
                <w:rFonts w:ascii="Times" w:hAnsi="Times"/>
                <w:sz w:val="18"/>
                <w:szCs w:val="18"/>
              </w:rPr>
            </w:pPr>
          </w:p>
        </w:tc>
        <w:tc>
          <w:tcPr>
            <w:tcW w:w="523" w:type="pct"/>
            <w:tcBorders>
              <w:bottom w:val="single" w:sz="12" w:space="0" w:color="auto"/>
            </w:tcBorders>
            <w:vAlign w:val="center"/>
          </w:tcPr>
          <w:p w:rsidR="003B687A" w:rsidRPr="00213AF2" w:rsidRDefault="003B687A" w:rsidP="0076503C">
            <w:pPr>
              <w:keepNext/>
              <w:spacing w:after="0"/>
              <w:jc w:val="left"/>
              <w:rPr>
                <w:rFonts w:ascii="Times" w:hAnsi="Times"/>
                <w:sz w:val="18"/>
              </w:rPr>
            </w:pPr>
            <w:r>
              <w:rPr>
                <w:rFonts w:ascii="Times" w:hAnsi="Times"/>
                <w:sz w:val="18"/>
              </w:rPr>
              <w:t>2015</w:t>
            </w:r>
          </w:p>
        </w:tc>
        <w:tc>
          <w:tcPr>
            <w:tcW w:w="693" w:type="pct"/>
            <w:tcBorders>
              <w:bottom w:val="single" w:sz="1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[20-30]% /[30-40]%</w:t>
            </w:r>
          </w:p>
        </w:tc>
        <w:tc>
          <w:tcPr>
            <w:tcW w:w="612" w:type="pct"/>
            <w:tcBorders>
              <w:bottom w:val="single" w:sz="1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tcBorders>
              <w:bottom w:val="single" w:sz="1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[20-30]% /[30-40]%</w:t>
            </w:r>
          </w:p>
        </w:tc>
        <w:tc>
          <w:tcPr>
            <w:tcW w:w="738" w:type="pct"/>
            <w:tcBorders>
              <w:bottom w:val="single" w:sz="12" w:space="0" w:color="auto"/>
            </w:tcBorders>
            <w:vAlign w:val="center"/>
          </w:tcPr>
          <w:p w:rsidR="003B687A" w:rsidRPr="00B6607C" w:rsidRDefault="003B687A" w:rsidP="0076503C">
            <w:pPr>
              <w:keepNext/>
              <w:spacing w:after="0"/>
              <w:jc w:val="center"/>
              <w:rPr>
                <w:rFonts w:ascii="Times" w:hAnsi="Times"/>
                <w:sz w:val="18"/>
                <w:szCs w:val="18"/>
              </w:rPr>
            </w:pPr>
            <w:r w:rsidRPr="00A847CC">
              <w:rPr>
                <w:rFonts w:ascii="Times" w:hAnsi="Times"/>
                <w:sz w:val="18"/>
                <w:szCs w:val="18"/>
              </w:rPr>
              <w:t>At least 4</w:t>
            </w:r>
          </w:p>
        </w:tc>
      </w:tr>
      <w:tr w:rsidR="003B687A" w:rsidRPr="00AD3737" w:rsidTr="004C6514">
        <w:trPr>
          <w:trHeight w:val="345"/>
        </w:trPr>
        <w:tc>
          <w:tcPr>
            <w:tcW w:w="608" w:type="pct"/>
            <w:vMerge w:val="restart"/>
            <w:tcBorders>
              <w:top w:val="single" w:sz="12" w:space="0" w:color="auto"/>
            </w:tcBorders>
            <w:vAlign w:val="center"/>
          </w:tcPr>
          <w:p w:rsidR="003B687A" w:rsidRPr="00420413" w:rsidRDefault="003B687A" w:rsidP="0076503C">
            <w:pPr>
              <w:keepNext/>
              <w:spacing w:after="0"/>
              <w:jc w:val="center"/>
              <w:rPr>
                <w:rFonts w:ascii="Times" w:hAnsi="Times"/>
                <w:i/>
                <w:sz w:val="18"/>
                <w:szCs w:val="18"/>
              </w:rPr>
            </w:pPr>
            <w:r w:rsidRPr="00420413">
              <w:rPr>
                <w:rFonts w:ascii="Times" w:hAnsi="Times"/>
                <w:i/>
                <w:sz w:val="18"/>
                <w:szCs w:val="18"/>
              </w:rPr>
              <w:t>Omeprazole</w:t>
            </w:r>
          </w:p>
        </w:tc>
        <w:tc>
          <w:tcPr>
            <w:tcW w:w="696" w:type="pct"/>
            <w:vMerge w:val="restart"/>
            <w:tcBorders>
              <w:top w:val="single" w:sz="12" w:space="0" w:color="auto"/>
            </w:tcBorders>
          </w:tcPr>
          <w:p w:rsidR="003B687A" w:rsidRPr="00B6607C" w:rsidRDefault="003B687A" w:rsidP="0076503C">
            <w:pPr>
              <w:keepNext/>
              <w:spacing w:after="0"/>
              <w:jc w:val="center"/>
              <w:rPr>
                <w:rFonts w:ascii="Times" w:hAnsi="Times"/>
                <w:sz w:val="18"/>
                <w:szCs w:val="18"/>
              </w:rPr>
            </w:pPr>
            <w:r w:rsidRPr="00420413">
              <w:rPr>
                <w:rFonts w:ascii="Times" w:hAnsi="Times"/>
                <w:i/>
                <w:sz w:val="18"/>
                <w:szCs w:val="18"/>
              </w:rPr>
              <w:t>Omeprazole</w:t>
            </w:r>
            <w:r w:rsidRPr="00420413">
              <w:rPr>
                <w:rFonts w:ascii="Times" w:hAnsi="Times"/>
                <w:sz w:val="18"/>
                <w:szCs w:val="18"/>
              </w:rPr>
              <w:t>-based proton pump inhibitors (Rx and OTC)</w:t>
            </w:r>
          </w:p>
        </w:tc>
        <w:tc>
          <w:tcPr>
            <w:tcW w:w="434" w:type="pct"/>
            <w:vMerge w:val="restart"/>
            <w:tcBorders>
              <w:top w:val="single" w:sz="12" w:space="0" w:color="auto"/>
            </w:tcBorders>
            <w:vAlign w:val="center"/>
          </w:tcPr>
          <w:p w:rsidR="003B687A" w:rsidRPr="00B6607C" w:rsidRDefault="003B687A" w:rsidP="0076503C">
            <w:pPr>
              <w:keepNext/>
              <w:spacing w:after="0"/>
              <w:jc w:val="center"/>
              <w:rPr>
                <w:rFonts w:ascii="Times" w:hAnsi="Times"/>
                <w:sz w:val="18"/>
                <w:szCs w:val="18"/>
              </w:rPr>
            </w:pPr>
            <w:r w:rsidRPr="00420413">
              <w:rPr>
                <w:rFonts w:ascii="Times" w:hAnsi="Times"/>
                <w:sz w:val="18"/>
                <w:szCs w:val="18"/>
              </w:rPr>
              <w:t>Group 1</w:t>
            </w:r>
          </w:p>
        </w:tc>
        <w:tc>
          <w:tcPr>
            <w:tcW w:w="523" w:type="pct"/>
            <w:tcBorders>
              <w:top w:val="single" w:sz="12" w:space="0" w:color="auto"/>
            </w:tcBorders>
            <w:vAlign w:val="center"/>
          </w:tcPr>
          <w:p w:rsidR="003B687A" w:rsidRPr="00213AF2" w:rsidRDefault="003B687A" w:rsidP="0076503C">
            <w:pPr>
              <w:keepNext/>
              <w:spacing w:after="0"/>
              <w:jc w:val="left"/>
              <w:rPr>
                <w:rFonts w:ascii="Times" w:hAnsi="Times"/>
                <w:sz w:val="18"/>
              </w:rPr>
            </w:pPr>
            <w:r>
              <w:rPr>
                <w:rFonts w:ascii="Times" w:hAnsi="Times"/>
                <w:sz w:val="18"/>
              </w:rPr>
              <w:t>2017</w:t>
            </w:r>
          </w:p>
        </w:tc>
        <w:tc>
          <w:tcPr>
            <w:tcW w:w="693" w:type="pct"/>
            <w:tcBorders>
              <w:top w:val="single" w:sz="12" w:space="0" w:color="auto"/>
            </w:tcBorders>
            <w:vAlign w:val="center"/>
          </w:tcPr>
          <w:p w:rsidR="003B687A" w:rsidRDefault="003B687A" w:rsidP="003B687A">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p w:rsidR="003B687A" w:rsidRPr="00B6607C" w:rsidRDefault="003B687A" w:rsidP="003B687A">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tc>
        <w:tc>
          <w:tcPr>
            <w:tcW w:w="612" w:type="pct"/>
            <w:tcBorders>
              <w:top w:val="single" w:sz="1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tcBorders>
              <w:top w:val="single" w:sz="1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/[30-40]%</w:t>
            </w:r>
          </w:p>
        </w:tc>
        <w:tc>
          <w:tcPr>
            <w:tcW w:w="738" w:type="pct"/>
            <w:tcBorders>
              <w:top w:val="single" w:sz="12" w:space="0" w:color="auto"/>
            </w:tcBorders>
            <w:vAlign w:val="center"/>
          </w:tcPr>
          <w:p w:rsidR="003B687A" w:rsidRPr="00B6607C" w:rsidRDefault="003B687A" w:rsidP="0076503C">
            <w:pPr>
              <w:keepNext/>
              <w:spacing w:after="0"/>
              <w:jc w:val="center"/>
              <w:rPr>
                <w:rFonts w:ascii="Times" w:hAnsi="Times"/>
                <w:sz w:val="18"/>
                <w:szCs w:val="18"/>
              </w:rPr>
            </w:pPr>
            <w:r w:rsidRPr="00420413">
              <w:rPr>
                <w:rFonts w:ascii="Times" w:hAnsi="Times"/>
                <w:sz w:val="18"/>
                <w:szCs w:val="18"/>
              </w:rPr>
              <w:t>At least 2</w:t>
            </w:r>
          </w:p>
        </w:tc>
      </w:tr>
      <w:tr w:rsidR="003B687A" w:rsidRPr="00AD3737" w:rsidTr="0076503C">
        <w:trPr>
          <w:trHeight w:val="345"/>
        </w:trPr>
        <w:tc>
          <w:tcPr>
            <w:tcW w:w="608" w:type="pct"/>
            <w:vMerge/>
            <w:vAlign w:val="center"/>
          </w:tcPr>
          <w:p w:rsidR="003B687A" w:rsidRPr="00420413" w:rsidRDefault="003B687A" w:rsidP="0076503C">
            <w:pPr>
              <w:keepNext/>
              <w:spacing w:after="0"/>
              <w:jc w:val="center"/>
              <w:rPr>
                <w:rFonts w:ascii="Times" w:hAnsi="Times"/>
                <w:i/>
                <w:sz w:val="18"/>
                <w:szCs w:val="18"/>
              </w:rPr>
            </w:pPr>
          </w:p>
        </w:tc>
        <w:tc>
          <w:tcPr>
            <w:tcW w:w="696" w:type="pct"/>
            <w:vMerge/>
            <w:vAlign w:val="center"/>
          </w:tcPr>
          <w:p w:rsidR="003B687A" w:rsidRPr="00B6607C" w:rsidRDefault="003B687A" w:rsidP="0076503C">
            <w:pPr>
              <w:keepNext/>
              <w:spacing w:after="0"/>
              <w:jc w:val="center"/>
              <w:rPr>
                <w:rFonts w:ascii="Times" w:hAnsi="Times"/>
                <w:sz w:val="18"/>
                <w:szCs w:val="18"/>
              </w:rPr>
            </w:pPr>
          </w:p>
        </w:tc>
        <w:tc>
          <w:tcPr>
            <w:tcW w:w="434" w:type="pct"/>
            <w:vMerge/>
            <w:vAlign w:val="center"/>
          </w:tcPr>
          <w:p w:rsidR="003B687A" w:rsidRPr="00B6607C" w:rsidRDefault="003B687A" w:rsidP="0076503C">
            <w:pPr>
              <w:keepNext/>
              <w:spacing w:after="0"/>
              <w:jc w:val="center"/>
              <w:rPr>
                <w:rFonts w:ascii="Times" w:hAnsi="Times"/>
                <w:sz w:val="18"/>
                <w:szCs w:val="18"/>
              </w:rPr>
            </w:pPr>
          </w:p>
        </w:tc>
        <w:tc>
          <w:tcPr>
            <w:tcW w:w="523" w:type="pct"/>
            <w:vAlign w:val="center"/>
          </w:tcPr>
          <w:p w:rsidR="003B687A" w:rsidRPr="00213AF2" w:rsidRDefault="003B687A" w:rsidP="0076503C">
            <w:pPr>
              <w:keepNext/>
              <w:spacing w:after="0"/>
              <w:jc w:val="left"/>
              <w:rPr>
                <w:rFonts w:ascii="Times" w:hAnsi="Times"/>
                <w:sz w:val="18"/>
              </w:rPr>
            </w:pPr>
            <w:r>
              <w:rPr>
                <w:rFonts w:ascii="Times" w:hAnsi="Times"/>
                <w:sz w:val="18"/>
              </w:rPr>
              <w:t>2016</w:t>
            </w:r>
          </w:p>
        </w:tc>
        <w:tc>
          <w:tcPr>
            <w:tcW w:w="693"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/[30-40]%</w:t>
            </w:r>
          </w:p>
        </w:tc>
        <w:tc>
          <w:tcPr>
            <w:tcW w:w="612"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/[40-50]%</w:t>
            </w:r>
          </w:p>
        </w:tc>
        <w:tc>
          <w:tcPr>
            <w:tcW w:w="738" w:type="pct"/>
            <w:vAlign w:val="center"/>
          </w:tcPr>
          <w:p w:rsidR="003B687A" w:rsidRPr="00B6607C" w:rsidRDefault="003B687A" w:rsidP="0076503C">
            <w:pPr>
              <w:keepNext/>
              <w:spacing w:after="0"/>
              <w:jc w:val="center"/>
              <w:rPr>
                <w:rFonts w:ascii="Times" w:hAnsi="Times"/>
                <w:sz w:val="18"/>
                <w:szCs w:val="18"/>
              </w:rPr>
            </w:pPr>
            <w:r w:rsidRPr="00420413">
              <w:rPr>
                <w:rFonts w:ascii="Times" w:hAnsi="Times"/>
                <w:sz w:val="18"/>
                <w:szCs w:val="18"/>
              </w:rPr>
              <w:t>At least 2</w:t>
            </w:r>
          </w:p>
        </w:tc>
      </w:tr>
      <w:tr w:rsidR="003B687A" w:rsidRPr="00AD3737" w:rsidTr="0076503C">
        <w:trPr>
          <w:trHeight w:val="345"/>
        </w:trPr>
        <w:tc>
          <w:tcPr>
            <w:tcW w:w="608" w:type="pct"/>
            <w:vMerge/>
            <w:vAlign w:val="center"/>
          </w:tcPr>
          <w:p w:rsidR="003B687A" w:rsidRPr="00420413" w:rsidRDefault="003B687A" w:rsidP="0076503C">
            <w:pPr>
              <w:keepNext/>
              <w:spacing w:after="0"/>
              <w:jc w:val="center"/>
              <w:rPr>
                <w:rFonts w:ascii="Times" w:hAnsi="Times"/>
                <w:i/>
                <w:sz w:val="18"/>
                <w:szCs w:val="18"/>
              </w:rPr>
            </w:pPr>
          </w:p>
        </w:tc>
        <w:tc>
          <w:tcPr>
            <w:tcW w:w="696" w:type="pct"/>
            <w:vMerge/>
            <w:vAlign w:val="center"/>
          </w:tcPr>
          <w:p w:rsidR="003B687A" w:rsidRPr="00B6607C" w:rsidRDefault="003B687A" w:rsidP="0076503C">
            <w:pPr>
              <w:keepNext/>
              <w:spacing w:after="0"/>
              <w:jc w:val="center"/>
              <w:rPr>
                <w:rFonts w:ascii="Times" w:hAnsi="Times"/>
                <w:sz w:val="18"/>
                <w:szCs w:val="18"/>
              </w:rPr>
            </w:pPr>
          </w:p>
        </w:tc>
        <w:tc>
          <w:tcPr>
            <w:tcW w:w="434" w:type="pct"/>
            <w:vMerge/>
            <w:vAlign w:val="center"/>
          </w:tcPr>
          <w:p w:rsidR="003B687A" w:rsidRPr="00B6607C" w:rsidRDefault="003B687A" w:rsidP="0076503C">
            <w:pPr>
              <w:keepNext/>
              <w:spacing w:after="0"/>
              <w:jc w:val="center"/>
              <w:rPr>
                <w:rFonts w:ascii="Times" w:hAnsi="Times"/>
                <w:sz w:val="18"/>
                <w:szCs w:val="18"/>
              </w:rPr>
            </w:pPr>
          </w:p>
        </w:tc>
        <w:tc>
          <w:tcPr>
            <w:tcW w:w="523" w:type="pct"/>
            <w:vAlign w:val="center"/>
          </w:tcPr>
          <w:p w:rsidR="003B687A" w:rsidRPr="00213AF2" w:rsidRDefault="003B687A" w:rsidP="0076503C">
            <w:pPr>
              <w:keepNext/>
              <w:spacing w:after="0"/>
              <w:jc w:val="left"/>
              <w:rPr>
                <w:rFonts w:ascii="Times" w:hAnsi="Times"/>
                <w:sz w:val="18"/>
              </w:rPr>
            </w:pPr>
            <w:r>
              <w:rPr>
                <w:rFonts w:ascii="Times" w:hAnsi="Times"/>
                <w:sz w:val="18"/>
              </w:rPr>
              <w:t>2015</w:t>
            </w:r>
          </w:p>
        </w:tc>
        <w:tc>
          <w:tcPr>
            <w:tcW w:w="693" w:type="pct"/>
            <w:vAlign w:val="center"/>
          </w:tcPr>
          <w:p w:rsidR="003B687A" w:rsidRPr="00B6607C" w:rsidRDefault="003B687A" w:rsidP="0076503C">
            <w:pPr>
              <w:keepNext/>
              <w:spacing w:after="0"/>
              <w:jc w:val="center"/>
              <w:rPr>
                <w:rFonts w:ascii="Times" w:hAnsi="Times"/>
                <w:sz w:val="18"/>
                <w:szCs w:val="18"/>
              </w:rPr>
            </w:pPr>
            <w:r>
              <w:rPr>
                <w:rFonts w:ascii="Times" w:hAnsi="Times"/>
                <w:sz w:val="18"/>
                <w:szCs w:val="18"/>
              </w:rPr>
              <w:t>[40-50]% /[40-50]%</w:t>
            </w:r>
          </w:p>
        </w:tc>
        <w:tc>
          <w:tcPr>
            <w:tcW w:w="612"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/[40-50]%</w:t>
            </w:r>
          </w:p>
        </w:tc>
        <w:tc>
          <w:tcPr>
            <w:tcW w:w="738" w:type="pct"/>
            <w:vAlign w:val="center"/>
          </w:tcPr>
          <w:p w:rsidR="003B687A" w:rsidRPr="00B6607C" w:rsidRDefault="003B687A" w:rsidP="0076503C">
            <w:pPr>
              <w:keepNext/>
              <w:spacing w:after="0"/>
              <w:jc w:val="center"/>
              <w:rPr>
                <w:rFonts w:ascii="Times" w:hAnsi="Times"/>
                <w:sz w:val="18"/>
                <w:szCs w:val="18"/>
              </w:rPr>
            </w:pPr>
            <w:r w:rsidRPr="00420413">
              <w:rPr>
                <w:rFonts w:ascii="Times" w:hAnsi="Times"/>
                <w:sz w:val="18"/>
                <w:szCs w:val="18"/>
              </w:rPr>
              <w:t>At least 2</w:t>
            </w:r>
          </w:p>
        </w:tc>
      </w:tr>
    </w:tbl>
    <w:p w:rsidR="00D40242" w:rsidRDefault="00D40242" w:rsidP="00420413">
      <w:pPr>
        <w:pStyle w:val="ListNumber"/>
        <w:numPr>
          <w:ilvl w:val="0"/>
          <w:numId w:val="0"/>
        </w:numPr>
        <w:spacing w:after="0"/>
        <w:ind w:left="709"/>
        <w:rPr>
          <w:sz w:val="18"/>
        </w:rPr>
      </w:pPr>
    </w:p>
    <w:p w:rsidR="00707020" w:rsidRPr="00420413" w:rsidRDefault="00707020" w:rsidP="0080226D">
      <w:pPr>
        <w:pStyle w:val="ListNumber"/>
      </w:pPr>
      <w:r>
        <w:t>T</w:t>
      </w:r>
      <w:r w:rsidR="0080226D">
        <w:t xml:space="preserve">he Parties' combined market share </w:t>
      </w:r>
      <w:r w:rsidR="00125051">
        <w:t xml:space="preserve">are moderate, namely </w:t>
      </w:r>
      <w:r w:rsidR="003B687A">
        <w:t>[30-40]</w:t>
      </w:r>
      <w:r w:rsidR="0080226D">
        <w:t xml:space="preserve">% in value and </w:t>
      </w:r>
      <w:r w:rsidR="003B687A">
        <w:t>[30-40]</w:t>
      </w:r>
      <w:r w:rsidR="0080226D">
        <w:t xml:space="preserve">% in volume </w:t>
      </w:r>
      <w:r>
        <w:t xml:space="preserve">at the ATC4 level and </w:t>
      </w:r>
      <w:r w:rsidR="003B687A">
        <w:t>[40-50]</w:t>
      </w:r>
      <w:r>
        <w:t xml:space="preserve">% in value and </w:t>
      </w:r>
      <w:r w:rsidR="003B687A">
        <w:t>[30-40]</w:t>
      </w:r>
      <w:r>
        <w:t>% in volume at molecule level</w:t>
      </w:r>
      <w:r w:rsidR="0080226D">
        <w:t xml:space="preserve"> in 2017.</w:t>
      </w:r>
      <w:r w:rsidR="0080226D" w:rsidRPr="008E5C5A">
        <w:rPr>
          <w:rFonts w:eastAsia="Calibri"/>
          <w:lang w:val="en-US"/>
        </w:rPr>
        <w:t xml:space="preserve"> The increment brought </w:t>
      </w:r>
      <w:r w:rsidR="0080226D">
        <w:rPr>
          <w:rFonts w:eastAsia="Calibri"/>
          <w:lang w:val="en-US"/>
        </w:rPr>
        <w:t xml:space="preserve">by the Transaction is limited, </w:t>
      </w:r>
      <w:r w:rsidR="003B687A">
        <w:rPr>
          <w:rFonts w:eastAsia="Calibri"/>
          <w:lang w:val="en-US"/>
        </w:rPr>
        <w:t>[0-5]</w:t>
      </w:r>
      <w:r w:rsidR="0080226D" w:rsidRPr="008E5C5A">
        <w:rPr>
          <w:rFonts w:eastAsia="Calibri"/>
          <w:lang w:val="en-US"/>
        </w:rPr>
        <w:t>% in value</w:t>
      </w:r>
      <w:r w:rsidR="0080226D">
        <w:rPr>
          <w:rFonts w:eastAsia="Calibri"/>
          <w:lang w:val="en-US"/>
        </w:rPr>
        <w:t xml:space="preserve"> and </w:t>
      </w:r>
      <w:r w:rsidR="003B687A">
        <w:rPr>
          <w:rFonts w:eastAsia="Calibri"/>
          <w:lang w:val="en-US"/>
        </w:rPr>
        <w:t>[0-5]</w:t>
      </w:r>
      <w:r w:rsidR="0080226D">
        <w:rPr>
          <w:rFonts w:eastAsia="Calibri"/>
          <w:lang w:val="en-US"/>
        </w:rPr>
        <w:t>% in volume</w:t>
      </w:r>
      <w:r>
        <w:rPr>
          <w:rFonts w:eastAsia="Calibri"/>
          <w:lang w:val="en-US"/>
        </w:rPr>
        <w:t xml:space="preserve"> at both the ATC4 and molecule levels</w:t>
      </w:r>
      <w:r w:rsidR="0080226D" w:rsidRPr="008E5C5A">
        <w:rPr>
          <w:rFonts w:eastAsia="Calibri"/>
          <w:lang w:val="en-US"/>
        </w:rPr>
        <w:t>.</w:t>
      </w:r>
      <w:r w:rsidR="0080226D">
        <w:rPr>
          <w:rFonts w:eastAsia="Calibri"/>
          <w:lang w:val="en-US"/>
        </w:rPr>
        <w:t xml:space="preserve"> </w:t>
      </w:r>
      <w:r w:rsidR="00B838FD" w:rsidRPr="00CD2ECB">
        <w:t>The HHI delta is below 150</w:t>
      </w:r>
      <w:r w:rsidR="00B838FD">
        <w:t xml:space="preserve"> (in volume). </w:t>
      </w:r>
    </w:p>
    <w:p w:rsidR="0080226D" w:rsidRPr="00CD2ECB" w:rsidRDefault="0073200A" w:rsidP="0080226D">
      <w:pPr>
        <w:pStyle w:val="ListNumber"/>
      </w:pPr>
      <w:r>
        <w:t>A</w:t>
      </w:r>
      <w:r w:rsidR="00707020">
        <w:t xml:space="preserve">lternative suppliers will remain on the market, including Novartis which will have a market share higher than the merged entity </w:t>
      </w:r>
      <w:r w:rsidR="00AF6570">
        <w:t xml:space="preserve">at molecule level </w:t>
      </w:r>
      <w:r w:rsidR="00707020">
        <w:t>(</w:t>
      </w:r>
      <w:r w:rsidR="003B687A">
        <w:t>[50-60]</w:t>
      </w:r>
      <w:r w:rsidR="00707020">
        <w:t xml:space="preserve">% in value and </w:t>
      </w:r>
      <w:r w:rsidR="003B687A">
        <w:t>[50-60]</w:t>
      </w:r>
      <w:r w:rsidR="00707020">
        <w:t>% in volume at m</w:t>
      </w:r>
      <w:r w:rsidR="00464CE3">
        <w:t>olecule level</w:t>
      </w:r>
      <w:r w:rsidR="00AF6570">
        <w:t xml:space="preserve">; </w:t>
      </w:r>
      <w:r w:rsidR="003B687A">
        <w:t>[20-30]</w:t>
      </w:r>
      <w:r w:rsidR="00AF6570">
        <w:t xml:space="preserve">% in value and </w:t>
      </w:r>
      <w:r w:rsidR="003B687A">
        <w:t>[30-40]</w:t>
      </w:r>
      <w:r w:rsidR="00AF6570">
        <w:t>% in volume at ATC4 level</w:t>
      </w:r>
      <w:r w:rsidR="00464CE3">
        <w:t>)</w:t>
      </w:r>
      <w:r w:rsidR="00AF6570">
        <w:t>.</w:t>
      </w:r>
    </w:p>
    <w:p w:rsidR="0080226D" w:rsidRPr="00481977" w:rsidRDefault="0080226D" w:rsidP="0080226D">
      <w:pPr>
        <w:pStyle w:val="ListNumber"/>
      </w:pPr>
      <w:r>
        <w:rPr>
          <w:rFonts w:eastAsia="Calibri"/>
          <w:szCs w:val="24"/>
        </w:rPr>
        <w:t xml:space="preserve">In addition, the Parties' products </w:t>
      </w:r>
      <w:r w:rsidR="00185FCC">
        <w:rPr>
          <w:rFonts w:eastAsia="Calibri"/>
          <w:szCs w:val="24"/>
        </w:rPr>
        <w:t xml:space="preserve">do not seem to be </w:t>
      </w:r>
      <w:r w:rsidR="00482C68">
        <w:rPr>
          <w:rFonts w:eastAsia="Calibri"/>
          <w:szCs w:val="24"/>
        </w:rPr>
        <w:t xml:space="preserve">close </w:t>
      </w:r>
      <w:r>
        <w:rPr>
          <w:rFonts w:eastAsia="Calibri"/>
          <w:szCs w:val="24"/>
        </w:rPr>
        <w:t>competitors. As indicated above, one i</w:t>
      </w:r>
      <w:r w:rsidR="00AD2FAC">
        <w:rPr>
          <w:rFonts w:eastAsia="Calibri"/>
          <w:szCs w:val="24"/>
        </w:rPr>
        <w:t>s</w:t>
      </w:r>
      <w:r>
        <w:rPr>
          <w:rFonts w:eastAsia="Calibri"/>
          <w:szCs w:val="24"/>
        </w:rPr>
        <w:t xml:space="preserve"> sold OTC and the others Rx. </w:t>
      </w:r>
      <w:r w:rsidR="00AE5F1E">
        <w:rPr>
          <w:rFonts w:eastAsia="Calibri"/>
          <w:szCs w:val="24"/>
        </w:rPr>
        <w:t xml:space="preserve">PGT's product is available in oral solid formulation with single doses of 10 mg. Teva's products are available in oral solid </w:t>
      </w:r>
      <w:r w:rsidR="00AE5F1E" w:rsidRPr="00DA48C0">
        <w:rPr>
          <w:rFonts w:eastAsia="Calibri"/>
          <w:szCs w:val="24"/>
        </w:rPr>
        <w:t xml:space="preserve">formations with single doses of 20 mg and </w:t>
      </w:r>
      <w:r w:rsidR="00AE5F1E" w:rsidRPr="00194199">
        <w:rPr>
          <w:rFonts w:eastAsia="Calibri"/>
          <w:szCs w:val="24"/>
        </w:rPr>
        <w:t xml:space="preserve">40 mg. </w:t>
      </w:r>
      <w:r w:rsidR="00875947" w:rsidRPr="00194199">
        <w:rPr>
          <w:rFonts w:eastAsia="Calibri"/>
          <w:szCs w:val="24"/>
        </w:rPr>
        <w:t xml:space="preserve"> </w:t>
      </w:r>
    </w:p>
    <w:p w:rsidR="0080226D" w:rsidRPr="00DA48C0" w:rsidRDefault="00DA48C0" w:rsidP="0080226D">
      <w:pPr>
        <w:pStyle w:val="ListNumber"/>
      </w:pPr>
      <w:r w:rsidRPr="00DA48C0">
        <w:rPr>
          <w:szCs w:val="24"/>
        </w:rPr>
        <w:lastRenderedPageBreak/>
        <w:t xml:space="preserve">Finally, the market investigation did not reveal any </w:t>
      </w:r>
      <w:r w:rsidRPr="00DA48C0">
        <w:rPr>
          <w:rFonts w:eastAsia="Calibri"/>
        </w:rPr>
        <w:t>competition concerns in</w:t>
      </w:r>
      <w:r w:rsidRPr="00DA48C0" w:rsidDel="00A2241C">
        <w:rPr>
          <w:rFonts w:ascii="Times" w:eastAsia="Calibri" w:hAnsi="Times"/>
        </w:rPr>
        <w:t xml:space="preserve"> </w:t>
      </w:r>
      <w:r w:rsidRPr="00DA48C0">
        <w:rPr>
          <w:rFonts w:ascii="Times" w:eastAsia="Calibri" w:hAnsi="Times"/>
        </w:rPr>
        <w:t xml:space="preserve">relation to </w:t>
      </w:r>
      <w:r w:rsidR="0080226D" w:rsidRPr="00DA48C0">
        <w:t>PPIs in Estonia.</w:t>
      </w:r>
      <w:r w:rsidR="0080226D" w:rsidRPr="00DA48C0">
        <w:rPr>
          <w:rFonts w:ascii="Times" w:eastAsia="Calibri" w:hAnsi="Times"/>
          <w:vertAlign w:val="superscript"/>
          <w:lang w:val="en-US"/>
        </w:rPr>
        <w:footnoteReference w:id="99"/>
      </w:r>
    </w:p>
    <w:p w:rsidR="0080226D" w:rsidRDefault="00814F0F" w:rsidP="0080226D">
      <w:pPr>
        <w:pStyle w:val="ListNumber"/>
      </w:pPr>
      <w:r w:rsidRPr="00546F00">
        <w:rPr>
          <w:rFonts w:ascii="Times" w:hAnsi="Times"/>
          <w:szCs w:val="24"/>
        </w:rPr>
        <w:t xml:space="preserve">In view of the above, the Commission concludes that </w:t>
      </w:r>
      <w:r>
        <w:rPr>
          <w:rFonts w:ascii="Times" w:hAnsi="Times"/>
          <w:szCs w:val="24"/>
        </w:rPr>
        <w:t>the Transaction does not raise serious doubts as to its compatibility with the internal market regarding</w:t>
      </w:r>
      <w:r w:rsidR="0080226D">
        <w:t xml:space="preserve"> PPIs in Estonia</w:t>
      </w:r>
      <w:r w:rsidR="0080226D" w:rsidRPr="00546F00">
        <w:t>.</w:t>
      </w:r>
    </w:p>
    <w:p w:rsidR="0080226D" w:rsidRDefault="0080226D" w:rsidP="00420413">
      <w:pPr>
        <w:pStyle w:val="ListNumber"/>
        <w:numPr>
          <w:ilvl w:val="0"/>
          <w:numId w:val="0"/>
        </w:numPr>
        <w:ind w:left="709"/>
      </w:pPr>
      <w:r w:rsidRPr="003B43D2">
        <w:rPr>
          <w:i/>
        </w:rPr>
        <w:t>Latvia</w:t>
      </w:r>
    </w:p>
    <w:p w:rsidR="0080226D" w:rsidRDefault="0080226D" w:rsidP="0080226D">
      <w:pPr>
        <w:pStyle w:val="ListNumber"/>
      </w:pPr>
      <w:r>
        <w:t>At the ATC3 level (A2B), the Transaction gives rise to a Group 3 market. At the ATC4 level (A2B2), the Transaction gives rise to a Group 2 market (based on volume).</w:t>
      </w:r>
      <w:r w:rsidR="00464CE3">
        <w:t xml:space="preserve"> At molecule level (</w:t>
      </w:r>
      <w:r w:rsidR="00464CE3" w:rsidRPr="00420413">
        <w:rPr>
          <w:i/>
        </w:rPr>
        <w:t>omeprazole</w:t>
      </w:r>
      <w:r w:rsidR="00464CE3">
        <w:t>), the Transaction gives rise to a Group</w:t>
      </w:r>
      <w:r w:rsidR="007469F8">
        <w:t xml:space="preserve"> </w:t>
      </w:r>
      <w:r w:rsidR="00464CE3">
        <w:t>1 market.</w:t>
      </w:r>
    </w:p>
    <w:p w:rsidR="0080226D" w:rsidRDefault="0080226D" w:rsidP="0080226D">
      <w:pPr>
        <w:pStyle w:val="ListNumber"/>
      </w:pPr>
      <w:r>
        <w:t xml:space="preserve">The table below presents the Parties' market shares </w:t>
      </w:r>
      <w:r w:rsidR="00464CE3">
        <w:t xml:space="preserve">at ATC4 and molecule levels </w:t>
      </w:r>
      <w:r>
        <w:t>for PPIs in Latvia</w:t>
      </w:r>
      <w:r w:rsidR="00B91E12">
        <w:t xml:space="preserve"> in 2015-2017: </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1"/>
        <w:gridCol w:w="999"/>
        <w:gridCol w:w="1136"/>
        <w:gridCol w:w="1204"/>
      </w:tblGrid>
      <w:tr w:rsidR="00EE12D6" w:rsidRPr="00AD3737" w:rsidTr="0076503C">
        <w:trPr>
          <w:tblHeader/>
        </w:trPr>
        <w:tc>
          <w:tcPr>
            <w:tcW w:w="608" w:type="pct"/>
            <w:vMerge w:val="restart"/>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r w:rsidRPr="00B6607C">
              <w:rPr>
                <w:rFonts w:ascii="Times" w:hAnsi="Times"/>
                <w:b/>
                <w:sz w:val="18"/>
                <w:szCs w:val="18"/>
              </w:rPr>
              <w:t>OTC3</w:t>
            </w:r>
          </w:p>
          <w:p w:rsidR="00EE12D6" w:rsidRPr="00B6607C" w:rsidRDefault="00EE12D6" w:rsidP="0076503C">
            <w:pPr>
              <w:keepNext/>
              <w:snapToGrid w:val="0"/>
              <w:spacing w:after="0"/>
              <w:jc w:val="center"/>
              <w:rPr>
                <w:rFonts w:ascii="Times" w:hAnsi="Times"/>
                <w:b/>
                <w:sz w:val="18"/>
                <w:szCs w:val="18"/>
              </w:rPr>
            </w:pPr>
            <w:r w:rsidRPr="00B6607C">
              <w:rPr>
                <w:rFonts w:ascii="Times" w:hAnsi="Times"/>
                <w:b/>
                <w:sz w:val="18"/>
                <w:szCs w:val="18"/>
              </w:rPr>
              <w:t>ATC3</w:t>
            </w:r>
          </w:p>
          <w:p w:rsidR="00EE12D6" w:rsidRPr="00B6607C" w:rsidRDefault="00EE12D6" w:rsidP="0076503C">
            <w:pPr>
              <w:keepNext/>
              <w:snapToGrid w:val="0"/>
              <w:spacing w:after="0"/>
              <w:jc w:val="center"/>
              <w:rPr>
                <w:rFonts w:ascii="Times" w:hAnsi="Times"/>
                <w:b/>
                <w:sz w:val="18"/>
                <w:szCs w:val="18"/>
              </w:rPr>
            </w:pPr>
            <w:r w:rsidRPr="00B6607C">
              <w:rPr>
                <w:rFonts w:ascii="Times" w:hAnsi="Times"/>
                <w:b/>
                <w:sz w:val="18"/>
                <w:szCs w:val="18"/>
              </w:rPr>
              <w:t>ATC4</w:t>
            </w:r>
          </w:p>
          <w:p w:rsidR="00EE12D6" w:rsidRPr="00B6607C" w:rsidRDefault="00EE12D6" w:rsidP="0076503C">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EE12D6" w:rsidRPr="00B6607C" w:rsidRDefault="00EE12D6" w:rsidP="0076503C">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EE12D6" w:rsidRDefault="00EE12D6" w:rsidP="0076503C">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EE12D6" w:rsidRPr="00AD3737" w:rsidTr="004C6514">
        <w:trPr>
          <w:tblHeader/>
        </w:trPr>
        <w:tc>
          <w:tcPr>
            <w:tcW w:w="608" w:type="pct"/>
            <w:vMerge/>
            <w:tcBorders>
              <w:bottom w:val="single" w:sz="2" w:space="0" w:color="auto"/>
            </w:tcBorders>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p>
        </w:tc>
        <w:tc>
          <w:tcPr>
            <w:tcW w:w="696" w:type="pct"/>
            <w:vMerge/>
            <w:tcBorders>
              <w:bottom w:val="single" w:sz="2" w:space="0" w:color="auto"/>
            </w:tcBorders>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p>
        </w:tc>
        <w:tc>
          <w:tcPr>
            <w:tcW w:w="434" w:type="pct"/>
            <w:vMerge/>
            <w:tcBorders>
              <w:bottom w:val="single" w:sz="2" w:space="0" w:color="auto"/>
            </w:tcBorders>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p>
        </w:tc>
        <w:tc>
          <w:tcPr>
            <w:tcW w:w="523" w:type="pct"/>
            <w:vMerge/>
            <w:tcBorders>
              <w:bottom w:val="single" w:sz="2" w:space="0" w:color="auto"/>
            </w:tcBorders>
            <w:shd w:val="clear" w:color="auto" w:fill="D9D9D9" w:themeFill="background1" w:themeFillShade="D9"/>
          </w:tcPr>
          <w:p w:rsidR="00EE12D6" w:rsidRPr="00B6607C" w:rsidRDefault="00EE12D6" w:rsidP="0076503C">
            <w:pPr>
              <w:keepNext/>
              <w:snapToGrid w:val="0"/>
              <w:spacing w:after="0"/>
              <w:jc w:val="center"/>
              <w:rPr>
                <w:rFonts w:ascii="Times" w:hAnsi="Times"/>
                <w:b/>
                <w:sz w:val="18"/>
                <w:szCs w:val="18"/>
              </w:rPr>
            </w:pPr>
          </w:p>
        </w:tc>
        <w:tc>
          <w:tcPr>
            <w:tcW w:w="693" w:type="pct"/>
            <w:tcBorders>
              <w:bottom w:val="single" w:sz="2" w:space="0" w:color="auto"/>
            </w:tcBorders>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r w:rsidRPr="00B6607C">
              <w:rPr>
                <w:rFonts w:ascii="Times" w:hAnsi="Times"/>
                <w:b/>
                <w:sz w:val="18"/>
                <w:szCs w:val="18"/>
              </w:rPr>
              <w:t>Teva</w:t>
            </w:r>
          </w:p>
        </w:tc>
        <w:tc>
          <w:tcPr>
            <w:tcW w:w="612" w:type="pct"/>
            <w:tcBorders>
              <w:bottom w:val="single" w:sz="2" w:space="0" w:color="auto"/>
            </w:tcBorders>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tcBorders>
              <w:bottom w:val="single" w:sz="2" w:space="0" w:color="auto"/>
            </w:tcBorders>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tcBorders>
              <w:bottom w:val="single" w:sz="2" w:space="0" w:color="auto"/>
            </w:tcBorders>
            <w:shd w:val="clear" w:color="auto" w:fill="D9D9D9" w:themeFill="background1" w:themeFillShade="D9"/>
            <w:vAlign w:val="center"/>
          </w:tcPr>
          <w:p w:rsidR="00EE12D6" w:rsidRPr="00B6607C" w:rsidRDefault="00EE12D6" w:rsidP="0076503C">
            <w:pPr>
              <w:keepNext/>
              <w:snapToGrid w:val="0"/>
              <w:spacing w:after="0"/>
              <w:jc w:val="center"/>
              <w:rPr>
                <w:rFonts w:ascii="Times" w:hAnsi="Times"/>
                <w:b/>
                <w:sz w:val="18"/>
                <w:szCs w:val="18"/>
              </w:rPr>
            </w:pPr>
          </w:p>
        </w:tc>
      </w:tr>
      <w:tr w:rsidR="003B687A" w:rsidRPr="00AD3737" w:rsidTr="004C6514">
        <w:trPr>
          <w:trHeight w:val="345"/>
        </w:trPr>
        <w:tc>
          <w:tcPr>
            <w:tcW w:w="608" w:type="pct"/>
            <w:vMerge w:val="restart"/>
            <w:tcBorders>
              <w:top w:val="single" w:sz="2" w:space="0" w:color="auto"/>
              <w:left w:val="single" w:sz="2" w:space="0" w:color="auto"/>
              <w:bottom w:val="single" w:sz="2" w:space="0" w:color="auto"/>
              <w:right w:val="single" w:sz="2" w:space="0" w:color="auto"/>
            </w:tcBorders>
            <w:vAlign w:val="center"/>
          </w:tcPr>
          <w:p w:rsidR="003B687A" w:rsidRPr="00420413" w:rsidRDefault="003B687A" w:rsidP="0076503C">
            <w:pPr>
              <w:keepNext/>
              <w:spacing w:after="0"/>
              <w:jc w:val="center"/>
              <w:rPr>
                <w:rFonts w:ascii="Times" w:hAnsi="Times"/>
                <w:i/>
                <w:sz w:val="18"/>
                <w:szCs w:val="18"/>
              </w:rPr>
            </w:pPr>
            <w:r w:rsidRPr="00420413">
              <w:rPr>
                <w:rFonts w:ascii="Times" w:hAnsi="Times"/>
                <w:sz w:val="18"/>
                <w:szCs w:val="18"/>
              </w:rPr>
              <w:t>A2B2</w:t>
            </w:r>
          </w:p>
        </w:tc>
        <w:tc>
          <w:tcPr>
            <w:tcW w:w="696" w:type="pct"/>
            <w:vMerge w:val="restart"/>
            <w:tcBorders>
              <w:top w:val="single" w:sz="2" w:space="0" w:color="auto"/>
              <w:left w:val="single" w:sz="2" w:space="0" w:color="auto"/>
              <w:bottom w:val="single" w:sz="2" w:space="0" w:color="auto"/>
              <w:right w:val="single" w:sz="2" w:space="0" w:color="auto"/>
            </w:tcBorders>
          </w:tcPr>
          <w:p w:rsidR="003B687A" w:rsidRPr="00E97873" w:rsidRDefault="003B687A" w:rsidP="0076503C">
            <w:pPr>
              <w:keepNext/>
              <w:spacing w:after="0"/>
              <w:jc w:val="center"/>
              <w:rPr>
                <w:rFonts w:ascii="Times" w:hAnsi="Times"/>
                <w:sz w:val="18"/>
                <w:szCs w:val="18"/>
                <w:lang w:val="en-GB"/>
              </w:rPr>
            </w:pPr>
            <w:r w:rsidRPr="00420413">
              <w:rPr>
                <w:rFonts w:ascii="Times" w:hAnsi="Times"/>
                <w:sz w:val="18"/>
                <w:szCs w:val="18"/>
              </w:rPr>
              <w:t>Proton Pump Inhibitors (Rx and OTC)</w:t>
            </w:r>
          </w:p>
        </w:tc>
        <w:tc>
          <w:tcPr>
            <w:tcW w:w="434" w:type="pct"/>
            <w:vMerge w:val="restart"/>
            <w:tcBorders>
              <w:top w:val="single" w:sz="2" w:space="0" w:color="auto"/>
              <w:left w:val="single" w:sz="2" w:space="0" w:color="auto"/>
              <w:bottom w:val="single" w:sz="2" w:space="0" w:color="auto"/>
              <w:right w:val="single" w:sz="2" w:space="0" w:color="auto"/>
            </w:tcBorders>
            <w:vAlign w:val="center"/>
          </w:tcPr>
          <w:p w:rsidR="003B687A" w:rsidRPr="00B6607C" w:rsidRDefault="003B687A" w:rsidP="00EE12D6">
            <w:pPr>
              <w:keepNext/>
              <w:spacing w:after="0"/>
              <w:jc w:val="center"/>
              <w:rPr>
                <w:rFonts w:ascii="Times" w:hAnsi="Times"/>
                <w:sz w:val="18"/>
                <w:szCs w:val="18"/>
              </w:rPr>
            </w:pPr>
            <w:r w:rsidRPr="00420413">
              <w:rPr>
                <w:rFonts w:ascii="Times" w:hAnsi="Times"/>
                <w:sz w:val="18"/>
                <w:szCs w:val="18"/>
              </w:rPr>
              <w:t xml:space="preserve">Group </w:t>
            </w:r>
            <w:r>
              <w:rPr>
                <w:rFonts w:ascii="Times" w:hAnsi="Times"/>
                <w:sz w:val="18"/>
                <w:szCs w:val="18"/>
              </w:rPr>
              <w:t>2</w:t>
            </w:r>
          </w:p>
        </w:tc>
        <w:tc>
          <w:tcPr>
            <w:tcW w:w="523" w:type="pct"/>
            <w:tcBorders>
              <w:top w:val="single" w:sz="2" w:space="0" w:color="auto"/>
              <w:left w:val="single" w:sz="2" w:space="0" w:color="auto"/>
              <w:bottom w:val="single" w:sz="2" w:space="0" w:color="auto"/>
              <w:right w:val="single" w:sz="2" w:space="0" w:color="auto"/>
            </w:tcBorders>
            <w:vAlign w:val="center"/>
          </w:tcPr>
          <w:p w:rsidR="003B687A" w:rsidRPr="00213AF2" w:rsidRDefault="003B687A" w:rsidP="0076503C">
            <w:pPr>
              <w:keepNext/>
              <w:spacing w:after="0"/>
              <w:jc w:val="left"/>
              <w:rPr>
                <w:rFonts w:ascii="Times" w:hAnsi="Times"/>
                <w:sz w:val="18"/>
              </w:rPr>
            </w:pPr>
            <w:r>
              <w:rPr>
                <w:rFonts w:ascii="Times" w:hAnsi="Times"/>
                <w:sz w:val="18"/>
              </w:rPr>
              <w:t>2017</w:t>
            </w:r>
          </w:p>
        </w:tc>
        <w:tc>
          <w:tcPr>
            <w:tcW w:w="693" w:type="pct"/>
            <w:tcBorders>
              <w:top w:val="single" w:sz="2" w:space="0" w:color="auto"/>
              <w:left w:val="single" w:sz="2" w:space="0" w:color="auto"/>
              <w:bottom w:val="single" w:sz="2" w:space="0" w:color="auto"/>
              <w:right w:val="single" w:sz="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[20-30]</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[30-40]</w:t>
            </w:r>
            <w:r w:rsidRPr="00420413">
              <w:rPr>
                <w:rFonts w:ascii="Times" w:hAnsi="Times"/>
                <w:sz w:val="18"/>
                <w:szCs w:val="18"/>
              </w:rPr>
              <w:t>%</w:t>
            </w:r>
          </w:p>
        </w:tc>
        <w:tc>
          <w:tcPr>
            <w:tcW w:w="612" w:type="pct"/>
            <w:tcBorders>
              <w:top w:val="single" w:sz="2" w:space="0" w:color="auto"/>
              <w:left w:val="single" w:sz="2" w:space="0" w:color="auto"/>
              <w:bottom w:val="single" w:sz="2" w:space="0" w:color="auto"/>
              <w:right w:val="single" w:sz="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tcBorders>
              <w:top w:val="single" w:sz="2" w:space="0" w:color="auto"/>
              <w:left w:val="single" w:sz="2" w:space="0" w:color="auto"/>
              <w:bottom w:val="single" w:sz="2" w:space="0" w:color="auto"/>
              <w:right w:val="single" w:sz="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[20-30]</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[30-40]</w:t>
            </w:r>
            <w:r w:rsidRPr="00420413">
              <w:rPr>
                <w:rFonts w:ascii="Times" w:hAnsi="Times"/>
                <w:sz w:val="18"/>
                <w:szCs w:val="18"/>
              </w:rPr>
              <w:t>%</w:t>
            </w:r>
          </w:p>
        </w:tc>
        <w:tc>
          <w:tcPr>
            <w:tcW w:w="738" w:type="pct"/>
            <w:tcBorders>
              <w:top w:val="single" w:sz="2" w:space="0" w:color="auto"/>
              <w:left w:val="single" w:sz="2" w:space="0" w:color="auto"/>
              <w:bottom w:val="single" w:sz="2" w:space="0" w:color="auto"/>
              <w:right w:val="single" w:sz="2" w:space="0" w:color="auto"/>
            </w:tcBorders>
            <w:vAlign w:val="center"/>
          </w:tcPr>
          <w:p w:rsidR="003B687A" w:rsidRPr="00B6607C" w:rsidRDefault="003B687A" w:rsidP="0076503C">
            <w:pPr>
              <w:keepNext/>
              <w:spacing w:after="0"/>
              <w:jc w:val="center"/>
              <w:rPr>
                <w:rFonts w:ascii="Times" w:hAnsi="Times"/>
                <w:sz w:val="18"/>
                <w:szCs w:val="18"/>
              </w:rPr>
            </w:pPr>
            <w:r w:rsidRPr="00A847CC">
              <w:rPr>
                <w:rFonts w:ascii="Times" w:hAnsi="Times"/>
                <w:sz w:val="18"/>
                <w:szCs w:val="18"/>
              </w:rPr>
              <w:t xml:space="preserve">At least </w:t>
            </w:r>
            <w:r>
              <w:rPr>
                <w:rFonts w:ascii="Times" w:hAnsi="Times"/>
                <w:sz w:val="18"/>
                <w:szCs w:val="18"/>
              </w:rPr>
              <w:t>3</w:t>
            </w:r>
          </w:p>
        </w:tc>
      </w:tr>
      <w:tr w:rsidR="003B687A" w:rsidRPr="00AD3737" w:rsidTr="004C6514">
        <w:trPr>
          <w:trHeight w:val="345"/>
        </w:trPr>
        <w:tc>
          <w:tcPr>
            <w:tcW w:w="608" w:type="pct"/>
            <w:vMerge/>
            <w:tcBorders>
              <w:top w:val="single" w:sz="2" w:space="0" w:color="auto"/>
              <w:left w:val="single" w:sz="2" w:space="0" w:color="auto"/>
              <w:bottom w:val="single" w:sz="2" w:space="0" w:color="auto"/>
              <w:right w:val="single" w:sz="2" w:space="0" w:color="auto"/>
            </w:tcBorders>
            <w:vAlign w:val="center"/>
          </w:tcPr>
          <w:p w:rsidR="003B687A" w:rsidRPr="00420413" w:rsidRDefault="003B687A" w:rsidP="0076503C">
            <w:pPr>
              <w:keepNext/>
              <w:spacing w:after="0"/>
              <w:jc w:val="center"/>
              <w:rPr>
                <w:rFonts w:ascii="Times" w:hAnsi="Times"/>
                <w:i/>
                <w:sz w:val="18"/>
                <w:szCs w:val="18"/>
              </w:rPr>
            </w:pPr>
          </w:p>
        </w:tc>
        <w:tc>
          <w:tcPr>
            <w:tcW w:w="696" w:type="pct"/>
            <w:vMerge/>
            <w:tcBorders>
              <w:top w:val="single" w:sz="2" w:space="0" w:color="auto"/>
              <w:left w:val="single" w:sz="2" w:space="0" w:color="auto"/>
              <w:bottom w:val="single" w:sz="2" w:space="0" w:color="auto"/>
              <w:right w:val="single" w:sz="2" w:space="0" w:color="auto"/>
            </w:tcBorders>
            <w:vAlign w:val="center"/>
          </w:tcPr>
          <w:p w:rsidR="003B687A" w:rsidRPr="00B6607C" w:rsidRDefault="003B687A" w:rsidP="0076503C">
            <w:pPr>
              <w:keepNext/>
              <w:spacing w:after="0"/>
              <w:jc w:val="center"/>
              <w:rPr>
                <w:rFonts w:ascii="Times" w:hAnsi="Times"/>
                <w:sz w:val="18"/>
                <w:szCs w:val="18"/>
              </w:rPr>
            </w:pPr>
          </w:p>
        </w:tc>
        <w:tc>
          <w:tcPr>
            <w:tcW w:w="434" w:type="pct"/>
            <w:vMerge/>
            <w:tcBorders>
              <w:top w:val="single" w:sz="2" w:space="0" w:color="auto"/>
              <w:left w:val="single" w:sz="2" w:space="0" w:color="auto"/>
              <w:bottom w:val="single" w:sz="2" w:space="0" w:color="auto"/>
              <w:right w:val="single" w:sz="2" w:space="0" w:color="auto"/>
            </w:tcBorders>
            <w:vAlign w:val="center"/>
          </w:tcPr>
          <w:p w:rsidR="003B687A" w:rsidRPr="00B6607C" w:rsidRDefault="003B687A" w:rsidP="0076503C">
            <w:pPr>
              <w:keepNext/>
              <w:spacing w:after="0"/>
              <w:jc w:val="center"/>
              <w:rPr>
                <w:rFonts w:ascii="Times" w:hAnsi="Time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rsidR="003B687A" w:rsidRPr="00213AF2" w:rsidRDefault="003B687A" w:rsidP="0076503C">
            <w:pPr>
              <w:keepNext/>
              <w:spacing w:after="0"/>
              <w:jc w:val="left"/>
              <w:rPr>
                <w:rFonts w:ascii="Times" w:hAnsi="Times"/>
                <w:sz w:val="18"/>
              </w:rPr>
            </w:pPr>
            <w:r>
              <w:rPr>
                <w:rFonts w:ascii="Times" w:hAnsi="Times"/>
                <w:sz w:val="18"/>
              </w:rPr>
              <w:t>2016</w:t>
            </w:r>
          </w:p>
        </w:tc>
        <w:tc>
          <w:tcPr>
            <w:tcW w:w="693" w:type="pct"/>
            <w:tcBorders>
              <w:top w:val="single" w:sz="2" w:space="0" w:color="auto"/>
              <w:left w:val="single" w:sz="2" w:space="0" w:color="auto"/>
              <w:bottom w:val="single" w:sz="2" w:space="0" w:color="auto"/>
              <w:right w:val="single" w:sz="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[20-30]</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[30-40]</w:t>
            </w:r>
            <w:r w:rsidRPr="00420413">
              <w:rPr>
                <w:rFonts w:ascii="Times" w:hAnsi="Times"/>
                <w:sz w:val="18"/>
                <w:szCs w:val="18"/>
              </w:rPr>
              <w:t>%</w:t>
            </w:r>
          </w:p>
        </w:tc>
        <w:tc>
          <w:tcPr>
            <w:tcW w:w="612" w:type="pct"/>
            <w:tcBorders>
              <w:top w:val="single" w:sz="2" w:space="0" w:color="auto"/>
              <w:left w:val="single" w:sz="2" w:space="0" w:color="auto"/>
              <w:bottom w:val="single" w:sz="2" w:space="0" w:color="auto"/>
              <w:right w:val="single" w:sz="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tcBorders>
              <w:top w:val="single" w:sz="2" w:space="0" w:color="auto"/>
              <w:left w:val="single" w:sz="2" w:space="0" w:color="auto"/>
              <w:bottom w:val="single" w:sz="2" w:space="0" w:color="auto"/>
              <w:right w:val="single" w:sz="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[20-30]</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[30-40]</w:t>
            </w:r>
            <w:r w:rsidRPr="00420413">
              <w:rPr>
                <w:rFonts w:ascii="Times" w:hAnsi="Times"/>
                <w:sz w:val="18"/>
                <w:szCs w:val="18"/>
              </w:rPr>
              <w:t>%</w:t>
            </w:r>
          </w:p>
        </w:tc>
        <w:tc>
          <w:tcPr>
            <w:tcW w:w="738" w:type="pct"/>
            <w:tcBorders>
              <w:top w:val="single" w:sz="2" w:space="0" w:color="auto"/>
              <w:left w:val="single" w:sz="2" w:space="0" w:color="auto"/>
              <w:bottom w:val="single" w:sz="2" w:space="0" w:color="auto"/>
              <w:right w:val="single" w:sz="2" w:space="0" w:color="auto"/>
            </w:tcBorders>
            <w:vAlign w:val="center"/>
          </w:tcPr>
          <w:p w:rsidR="003B687A" w:rsidRPr="00B6607C" w:rsidRDefault="003B687A" w:rsidP="0076503C">
            <w:pPr>
              <w:keepNext/>
              <w:spacing w:after="0"/>
              <w:jc w:val="center"/>
              <w:rPr>
                <w:rFonts w:ascii="Times" w:hAnsi="Times"/>
                <w:sz w:val="18"/>
                <w:szCs w:val="18"/>
              </w:rPr>
            </w:pPr>
            <w:r>
              <w:rPr>
                <w:rFonts w:ascii="Times" w:hAnsi="Times"/>
                <w:sz w:val="18"/>
                <w:szCs w:val="18"/>
              </w:rPr>
              <w:t>At least 3</w:t>
            </w:r>
          </w:p>
        </w:tc>
      </w:tr>
      <w:tr w:rsidR="003B687A" w:rsidRPr="00AD3737" w:rsidTr="004C6514">
        <w:trPr>
          <w:trHeight w:val="345"/>
        </w:trPr>
        <w:tc>
          <w:tcPr>
            <w:tcW w:w="608" w:type="pct"/>
            <w:vMerge/>
            <w:tcBorders>
              <w:top w:val="single" w:sz="2" w:space="0" w:color="auto"/>
              <w:left w:val="single" w:sz="2" w:space="0" w:color="auto"/>
              <w:bottom w:val="single" w:sz="12" w:space="0" w:color="auto"/>
              <w:right w:val="single" w:sz="2" w:space="0" w:color="auto"/>
            </w:tcBorders>
            <w:vAlign w:val="center"/>
          </w:tcPr>
          <w:p w:rsidR="003B687A" w:rsidRPr="00420413" w:rsidRDefault="003B687A" w:rsidP="0076503C">
            <w:pPr>
              <w:keepNext/>
              <w:spacing w:after="0"/>
              <w:jc w:val="center"/>
              <w:rPr>
                <w:rFonts w:ascii="Times" w:hAnsi="Times"/>
                <w:i/>
                <w:sz w:val="18"/>
                <w:szCs w:val="18"/>
              </w:rPr>
            </w:pPr>
          </w:p>
        </w:tc>
        <w:tc>
          <w:tcPr>
            <w:tcW w:w="696" w:type="pct"/>
            <w:vMerge/>
            <w:tcBorders>
              <w:top w:val="single" w:sz="2" w:space="0" w:color="auto"/>
              <w:left w:val="single" w:sz="2" w:space="0" w:color="auto"/>
              <w:bottom w:val="single" w:sz="12" w:space="0" w:color="auto"/>
              <w:right w:val="single" w:sz="2" w:space="0" w:color="auto"/>
            </w:tcBorders>
            <w:vAlign w:val="center"/>
          </w:tcPr>
          <w:p w:rsidR="003B687A" w:rsidRPr="00B6607C" w:rsidRDefault="003B687A" w:rsidP="0076503C">
            <w:pPr>
              <w:keepNext/>
              <w:spacing w:after="0"/>
              <w:jc w:val="center"/>
              <w:rPr>
                <w:rFonts w:ascii="Times" w:hAnsi="Times"/>
                <w:sz w:val="18"/>
                <w:szCs w:val="18"/>
              </w:rPr>
            </w:pPr>
          </w:p>
        </w:tc>
        <w:tc>
          <w:tcPr>
            <w:tcW w:w="434" w:type="pct"/>
            <w:vMerge/>
            <w:tcBorders>
              <w:top w:val="single" w:sz="2" w:space="0" w:color="auto"/>
              <w:left w:val="single" w:sz="2" w:space="0" w:color="auto"/>
              <w:bottom w:val="single" w:sz="12" w:space="0" w:color="auto"/>
              <w:right w:val="single" w:sz="2" w:space="0" w:color="auto"/>
            </w:tcBorders>
            <w:vAlign w:val="center"/>
          </w:tcPr>
          <w:p w:rsidR="003B687A" w:rsidRPr="00B6607C" w:rsidRDefault="003B687A" w:rsidP="0076503C">
            <w:pPr>
              <w:keepNext/>
              <w:spacing w:after="0"/>
              <w:jc w:val="center"/>
              <w:rPr>
                <w:rFonts w:ascii="Times" w:hAnsi="Times"/>
                <w:sz w:val="18"/>
                <w:szCs w:val="18"/>
              </w:rPr>
            </w:pPr>
          </w:p>
        </w:tc>
        <w:tc>
          <w:tcPr>
            <w:tcW w:w="523" w:type="pct"/>
            <w:tcBorders>
              <w:top w:val="single" w:sz="2" w:space="0" w:color="auto"/>
              <w:left w:val="single" w:sz="2" w:space="0" w:color="auto"/>
              <w:bottom w:val="single" w:sz="12" w:space="0" w:color="auto"/>
              <w:right w:val="single" w:sz="2" w:space="0" w:color="auto"/>
            </w:tcBorders>
            <w:vAlign w:val="center"/>
          </w:tcPr>
          <w:p w:rsidR="003B687A" w:rsidRPr="00213AF2" w:rsidRDefault="003B687A" w:rsidP="0076503C">
            <w:pPr>
              <w:keepNext/>
              <w:spacing w:after="0"/>
              <w:jc w:val="left"/>
              <w:rPr>
                <w:rFonts w:ascii="Times" w:hAnsi="Times"/>
                <w:sz w:val="18"/>
              </w:rPr>
            </w:pPr>
            <w:r>
              <w:rPr>
                <w:rFonts w:ascii="Times" w:hAnsi="Times"/>
                <w:sz w:val="18"/>
              </w:rPr>
              <w:t>2015</w:t>
            </w:r>
          </w:p>
        </w:tc>
        <w:tc>
          <w:tcPr>
            <w:tcW w:w="693" w:type="pct"/>
            <w:tcBorders>
              <w:top w:val="single" w:sz="2" w:space="0" w:color="auto"/>
              <w:left w:val="single" w:sz="2" w:space="0" w:color="auto"/>
              <w:bottom w:val="single" w:sz="12" w:space="0" w:color="auto"/>
              <w:right w:val="single" w:sz="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[20-30]% /[20-30]%</w:t>
            </w:r>
          </w:p>
        </w:tc>
        <w:tc>
          <w:tcPr>
            <w:tcW w:w="612" w:type="pct"/>
            <w:tcBorders>
              <w:top w:val="single" w:sz="2" w:space="0" w:color="auto"/>
              <w:left w:val="single" w:sz="2" w:space="0" w:color="auto"/>
              <w:bottom w:val="single" w:sz="12" w:space="0" w:color="auto"/>
              <w:right w:val="single" w:sz="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tcBorders>
              <w:top w:val="single" w:sz="2" w:space="0" w:color="auto"/>
              <w:left w:val="single" w:sz="2" w:space="0" w:color="auto"/>
              <w:bottom w:val="single" w:sz="12" w:space="0" w:color="auto"/>
              <w:right w:val="single" w:sz="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[20-30]</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[30-40]</w:t>
            </w:r>
            <w:r w:rsidRPr="00420413">
              <w:rPr>
                <w:rFonts w:ascii="Times" w:hAnsi="Times"/>
                <w:sz w:val="18"/>
                <w:szCs w:val="18"/>
              </w:rPr>
              <w:t>%</w:t>
            </w:r>
          </w:p>
        </w:tc>
        <w:tc>
          <w:tcPr>
            <w:tcW w:w="738" w:type="pct"/>
            <w:tcBorders>
              <w:top w:val="single" w:sz="2" w:space="0" w:color="auto"/>
              <w:left w:val="single" w:sz="2" w:space="0" w:color="auto"/>
              <w:bottom w:val="single" w:sz="12" w:space="0" w:color="auto"/>
              <w:right w:val="single" w:sz="2" w:space="0" w:color="auto"/>
            </w:tcBorders>
            <w:vAlign w:val="center"/>
          </w:tcPr>
          <w:p w:rsidR="003B687A" w:rsidRPr="00B6607C" w:rsidRDefault="003B687A" w:rsidP="0076503C">
            <w:pPr>
              <w:keepNext/>
              <w:spacing w:after="0"/>
              <w:jc w:val="center"/>
              <w:rPr>
                <w:rFonts w:ascii="Times" w:hAnsi="Times"/>
                <w:sz w:val="18"/>
                <w:szCs w:val="18"/>
              </w:rPr>
            </w:pPr>
            <w:r>
              <w:rPr>
                <w:rFonts w:ascii="Times" w:hAnsi="Times"/>
                <w:sz w:val="18"/>
                <w:szCs w:val="18"/>
              </w:rPr>
              <w:t>At least 3</w:t>
            </w:r>
          </w:p>
        </w:tc>
      </w:tr>
      <w:tr w:rsidR="003B687A" w:rsidRPr="00AD3737" w:rsidTr="004C6514">
        <w:trPr>
          <w:trHeight w:val="345"/>
        </w:trPr>
        <w:tc>
          <w:tcPr>
            <w:tcW w:w="608" w:type="pct"/>
            <w:vMerge w:val="restart"/>
            <w:tcBorders>
              <w:top w:val="single" w:sz="12" w:space="0" w:color="auto"/>
            </w:tcBorders>
            <w:vAlign w:val="center"/>
          </w:tcPr>
          <w:p w:rsidR="003B687A" w:rsidRPr="00420413" w:rsidRDefault="003B687A" w:rsidP="0076503C">
            <w:pPr>
              <w:keepNext/>
              <w:spacing w:after="0"/>
              <w:jc w:val="center"/>
              <w:rPr>
                <w:rFonts w:ascii="Times" w:hAnsi="Times"/>
                <w:i/>
                <w:sz w:val="18"/>
                <w:szCs w:val="18"/>
              </w:rPr>
            </w:pPr>
            <w:r w:rsidRPr="00420413">
              <w:rPr>
                <w:rFonts w:ascii="Times" w:hAnsi="Times"/>
                <w:i/>
                <w:sz w:val="18"/>
                <w:szCs w:val="18"/>
              </w:rPr>
              <w:t>Omeprazole</w:t>
            </w:r>
          </w:p>
        </w:tc>
        <w:tc>
          <w:tcPr>
            <w:tcW w:w="696" w:type="pct"/>
            <w:vMerge w:val="restart"/>
            <w:tcBorders>
              <w:top w:val="single" w:sz="12" w:space="0" w:color="auto"/>
            </w:tcBorders>
          </w:tcPr>
          <w:p w:rsidR="003B687A" w:rsidRPr="00B6607C" w:rsidRDefault="003B687A" w:rsidP="0076503C">
            <w:pPr>
              <w:keepNext/>
              <w:spacing w:after="0"/>
              <w:jc w:val="center"/>
              <w:rPr>
                <w:rFonts w:ascii="Times" w:hAnsi="Times"/>
                <w:sz w:val="18"/>
                <w:szCs w:val="18"/>
              </w:rPr>
            </w:pPr>
            <w:r w:rsidRPr="00420413">
              <w:rPr>
                <w:rFonts w:ascii="Times" w:hAnsi="Times"/>
                <w:i/>
                <w:sz w:val="18"/>
                <w:szCs w:val="18"/>
              </w:rPr>
              <w:t>Omeprazole</w:t>
            </w:r>
            <w:r w:rsidRPr="00420413">
              <w:rPr>
                <w:rFonts w:ascii="Times" w:hAnsi="Times"/>
                <w:sz w:val="18"/>
                <w:szCs w:val="18"/>
              </w:rPr>
              <w:t>-based proton pump inhibitors (Rx and OTC)</w:t>
            </w:r>
          </w:p>
        </w:tc>
        <w:tc>
          <w:tcPr>
            <w:tcW w:w="434" w:type="pct"/>
            <w:vMerge w:val="restart"/>
            <w:tcBorders>
              <w:top w:val="single" w:sz="12" w:space="0" w:color="auto"/>
            </w:tcBorders>
            <w:vAlign w:val="center"/>
          </w:tcPr>
          <w:p w:rsidR="003B687A" w:rsidRPr="00B6607C" w:rsidRDefault="003B687A" w:rsidP="0076503C">
            <w:pPr>
              <w:keepNext/>
              <w:spacing w:after="0"/>
              <w:jc w:val="center"/>
              <w:rPr>
                <w:rFonts w:ascii="Times" w:hAnsi="Times"/>
                <w:sz w:val="18"/>
                <w:szCs w:val="18"/>
              </w:rPr>
            </w:pPr>
            <w:r w:rsidRPr="00420413">
              <w:rPr>
                <w:rFonts w:ascii="Times" w:hAnsi="Times"/>
                <w:sz w:val="18"/>
                <w:szCs w:val="18"/>
              </w:rPr>
              <w:t>Group 1</w:t>
            </w:r>
          </w:p>
        </w:tc>
        <w:tc>
          <w:tcPr>
            <w:tcW w:w="523" w:type="pct"/>
            <w:tcBorders>
              <w:top w:val="single" w:sz="12" w:space="0" w:color="auto"/>
            </w:tcBorders>
            <w:vAlign w:val="center"/>
          </w:tcPr>
          <w:p w:rsidR="003B687A" w:rsidRPr="00213AF2" w:rsidRDefault="003B687A" w:rsidP="0076503C">
            <w:pPr>
              <w:keepNext/>
              <w:spacing w:after="0"/>
              <w:jc w:val="left"/>
              <w:rPr>
                <w:rFonts w:ascii="Times" w:hAnsi="Times"/>
                <w:sz w:val="18"/>
              </w:rPr>
            </w:pPr>
            <w:r>
              <w:rPr>
                <w:rFonts w:ascii="Times" w:hAnsi="Times"/>
                <w:sz w:val="18"/>
              </w:rPr>
              <w:t>2017</w:t>
            </w:r>
          </w:p>
        </w:tc>
        <w:tc>
          <w:tcPr>
            <w:tcW w:w="693" w:type="pct"/>
            <w:tcBorders>
              <w:top w:val="single" w:sz="1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[50-60]</w:t>
            </w:r>
            <w:r w:rsidRPr="00420413">
              <w:rPr>
                <w:rFonts w:ascii="Times" w:hAnsi="Times"/>
                <w:sz w:val="18"/>
                <w:szCs w:val="18"/>
              </w:rPr>
              <w:t xml:space="preserve"> %</w:t>
            </w:r>
          </w:p>
        </w:tc>
        <w:tc>
          <w:tcPr>
            <w:tcW w:w="612" w:type="pct"/>
            <w:tcBorders>
              <w:top w:val="single" w:sz="1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tcBorders>
              <w:top w:val="single" w:sz="12" w:space="0" w:color="auto"/>
            </w:tcBorders>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[50-60]</w:t>
            </w:r>
            <w:r w:rsidRPr="00420413">
              <w:rPr>
                <w:rFonts w:ascii="Times" w:hAnsi="Times"/>
                <w:sz w:val="18"/>
                <w:szCs w:val="18"/>
              </w:rPr>
              <w:t xml:space="preserve"> %</w:t>
            </w:r>
          </w:p>
        </w:tc>
        <w:tc>
          <w:tcPr>
            <w:tcW w:w="738" w:type="pct"/>
            <w:tcBorders>
              <w:top w:val="single" w:sz="12" w:space="0" w:color="auto"/>
            </w:tcBorders>
            <w:vAlign w:val="center"/>
          </w:tcPr>
          <w:p w:rsidR="003B687A" w:rsidRPr="00B6607C" w:rsidRDefault="003B687A" w:rsidP="0076503C">
            <w:pPr>
              <w:keepNext/>
              <w:spacing w:after="0"/>
              <w:jc w:val="center"/>
              <w:rPr>
                <w:rFonts w:ascii="Times" w:hAnsi="Times"/>
                <w:sz w:val="18"/>
                <w:szCs w:val="18"/>
              </w:rPr>
            </w:pPr>
            <w:r w:rsidRPr="00420413">
              <w:rPr>
                <w:rFonts w:ascii="Times" w:hAnsi="Times"/>
                <w:sz w:val="18"/>
                <w:szCs w:val="18"/>
              </w:rPr>
              <w:t>At least 4</w:t>
            </w:r>
          </w:p>
        </w:tc>
      </w:tr>
      <w:tr w:rsidR="003B687A" w:rsidRPr="00AD3737" w:rsidTr="0076503C">
        <w:trPr>
          <w:trHeight w:val="345"/>
        </w:trPr>
        <w:tc>
          <w:tcPr>
            <w:tcW w:w="608" w:type="pct"/>
            <w:vMerge/>
            <w:vAlign w:val="center"/>
          </w:tcPr>
          <w:p w:rsidR="003B687A" w:rsidRPr="00420413" w:rsidRDefault="003B687A" w:rsidP="0076503C">
            <w:pPr>
              <w:keepNext/>
              <w:spacing w:after="0"/>
              <w:jc w:val="center"/>
              <w:rPr>
                <w:rFonts w:ascii="Times" w:hAnsi="Times"/>
                <w:i/>
                <w:sz w:val="18"/>
                <w:szCs w:val="18"/>
              </w:rPr>
            </w:pPr>
          </w:p>
        </w:tc>
        <w:tc>
          <w:tcPr>
            <w:tcW w:w="696" w:type="pct"/>
            <w:vMerge/>
            <w:vAlign w:val="center"/>
          </w:tcPr>
          <w:p w:rsidR="003B687A" w:rsidRPr="00B6607C" w:rsidRDefault="003B687A" w:rsidP="0076503C">
            <w:pPr>
              <w:keepNext/>
              <w:spacing w:after="0"/>
              <w:jc w:val="center"/>
              <w:rPr>
                <w:rFonts w:ascii="Times" w:hAnsi="Times"/>
                <w:sz w:val="18"/>
                <w:szCs w:val="18"/>
              </w:rPr>
            </w:pPr>
          </w:p>
        </w:tc>
        <w:tc>
          <w:tcPr>
            <w:tcW w:w="434" w:type="pct"/>
            <w:vMerge/>
            <w:vAlign w:val="center"/>
          </w:tcPr>
          <w:p w:rsidR="003B687A" w:rsidRPr="00B6607C" w:rsidRDefault="003B687A" w:rsidP="0076503C">
            <w:pPr>
              <w:keepNext/>
              <w:spacing w:after="0"/>
              <w:jc w:val="center"/>
              <w:rPr>
                <w:rFonts w:ascii="Times" w:hAnsi="Times"/>
                <w:sz w:val="18"/>
                <w:szCs w:val="18"/>
              </w:rPr>
            </w:pPr>
          </w:p>
        </w:tc>
        <w:tc>
          <w:tcPr>
            <w:tcW w:w="523" w:type="pct"/>
            <w:vAlign w:val="center"/>
          </w:tcPr>
          <w:p w:rsidR="003B687A" w:rsidRPr="00213AF2" w:rsidRDefault="003B687A" w:rsidP="0076503C">
            <w:pPr>
              <w:keepNext/>
              <w:spacing w:after="0"/>
              <w:jc w:val="left"/>
              <w:rPr>
                <w:rFonts w:ascii="Times" w:hAnsi="Times"/>
                <w:sz w:val="18"/>
              </w:rPr>
            </w:pPr>
            <w:r>
              <w:rPr>
                <w:rFonts w:ascii="Times" w:hAnsi="Times"/>
                <w:sz w:val="18"/>
              </w:rPr>
              <w:t>2016</w:t>
            </w:r>
          </w:p>
        </w:tc>
        <w:tc>
          <w:tcPr>
            <w:tcW w:w="693"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/[40-50]%</w:t>
            </w:r>
          </w:p>
        </w:tc>
        <w:tc>
          <w:tcPr>
            <w:tcW w:w="612"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[40-50]% /[40-50]%</w:t>
            </w:r>
          </w:p>
        </w:tc>
        <w:tc>
          <w:tcPr>
            <w:tcW w:w="738" w:type="pct"/>
            <w:vAlign w:val="center"/>
          </w:tcPr>
          <w:p w:rsidR="003B687A" w:rsidRPr="00B6607C" w:rsidRDefault="003B687A" w:rsidP="0076503C">
            <w:pPr>
              <w:keepNext/>
              <w:spacing w:after="0"/>
              <w:jc w:val="center"/>
              <w:rPr>
                <w:rFonts w:ascii="Times" w:hAnsi="Times"/>
                <w:sz w:val="18"/>
                <w:szCs w:val="18"/>
              </w:rPr>
            </w:pPr>
            <w:r>
              <w:rPr>
                <w:rFonts w:ascii="Times" w:hAnsi="Times"/>
                <w:sz w:val="18"/>
                <w:szCs w:val="18"/>
              </w:rPr>
              <w:t>At least 3</w:t>
            </w:r>
          </w:p>
        </w:tc>
      </w:tr>
      <w:tr w:rsidR="003B687A" w:rsidRPr="00AD3737" w:rsidTr="0076503C">
        <w:trPr>
          <w:trHeight w:val="345"/>
        </w:trPr>
        <w:tc>
          <w:tcPr>
            <w:tcW w:w="608" w:type="pct"/>
            <w:vMerge/>
            <w:vAlign w:val="center"/>
          </w:tcPr>
          <w:p w:rsidR="003B687A" w:rsidRPr="00420413" w:rsidRDefault="003B687A" w:rsidP="0076503C">
            <w:pPr>
              <w:keepNext/>
              <w:spacing w:after="0"/>
              <w:jc w:val="center"/>
              <w:rPr>
                <w:rFonts w:ascii="Times" w:hAnsi="Times"/>
                <w:i/>
                <w:sz w:val="18"/>
                <w:szCs w:val="18"/>
              </w:rPr>
            </w:pPr>
          </w:p>
        </w:tc>
        <w:tc>
          <w:tcPr>
            <w:tcW w:w="696" w:type="pct"/>
            <w:vMerge/>
            <w:vAlign w:val="center"/>
          </w:tcPr>
          <w:p w:rsidR="003B687A" w:rsidRPr="00B6607C" w:rsidRDefault="003B687A" w:rsidP="0076503C">
            <w:pPr>
              <w:keepNext/>
              <w:spacing w:after="0"/>
              <w:jc w:val="center"/>
              <w:rPr>
                <w:rFonts w:ascii="Times" w:hAnsi="Times"/>
                <w:sz w:val="18"/>
                <w:szCs w:val="18"/>
              </w:rPr>
            </w:pPr>
          </w:p>
        </w:tc>
        <w:tc>
          <w:tcPr>
            <w:tcW w:w="434" w:type="pct"/>
            <w:vMerge/>
            <w:vAlign w:val="center"/>
          </w:tcPr>
          <w:p w:rsidR="003B687A" w:rsidRPr="00B6607C" w:rsidRDefault="003B687A" w:rsidP="0076503C">
            <w:pPr>
              <w:keepNext/>
              <w:spacing w:after="0"/>
              <w:jc w:val="center"/>
              <w:rPr>
                <w:rFonts w:ascii="Times" w:hAnsi="Times"/>
                <w:sz w:val="18"/>
                <w:szCs w:val="18"/>
              </w:rPr>
            </w:pPr>
          </w:p>
        </w:tc>
        <w:tc>
          <w:tcPr>
            <w:tcW w:w="523" w:type="pct"/>
            <w:vAlign w:val="center"/>
          </w:tcPr>
          <w:p w:rsidR="003B687A" w:rsidRPr="00213AF2" w:rsidRDefault="003B687A" w:rsidP="0076503C">
            <w:pPr>
              <w:keepNext/>
              <w:spacing w:after="0"/>
              <w:jc w:val="left"/>
              <w:rPr>
                <w:rFonts w:ascii="Times" w:hAnsi="Times"/>
                <w:sz w:val="18"/>
              </w:rPr>
            </w:pPr>
            <w:r>
              <w:rPr>
                <w:rFonts w:ascii="Times" w:hAnsi="Times"/>
                <w:sz w:val="18"/>
              </w:rPr>
              <w:t>2015</w:t>
            </w:r>
          </w:p>
        </w:tc>
        <w:tc>
          <w:tcPr>
            <w:tcW w:w="693"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[30-40]% /[40-50]%</w:t>
            </w:r>
          </w:p>
        </w:tc>
        <w:tc>
          <w:tcPr>
            <w:tcW w:w="612"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96" w:type="pct"/>
            <w:vAlign w:val="center"/>
          </w:tcPr>
          <w:p w:rsidR="003B687A" w:rsidRPr="00B6607C" w:rsidRDefault="003B687A" w:rsidP="003B687A">
            <w:pPr>
              <w:keepNext/>
              <w:spacing w:after="0"/>
              <w:jc w:val="center"/>
              <w:rPr>
                <w:rFonts w:ascii="Times" w:hAnsi="Times"/>
                <w:sz w:val="18"/>
                <w:szCs w:val="18"/>
              </w:rPr>
            </w:pPr>
            <w:r>
              <w:rPr>
                <w:rFonts w:ascii="Times" w:hAnsi="Times"/>
                <w:sz w:val="18"/>
                <w:szCs w:val="18"/>
              </w:rPr>
              <w:t>[30-40]% /[40-50]%</w:t>
            </w:r>
          </w:p>
        </w:tc>
        <w:tc>
          <w:tcPr>
            <w:tcW w:w="738" w:type="pct"/>
            <w:vAlign w:val="center"/>
          </w:tcPr>
          <w:p w:rsidR="003B687A" w:rsidRPr="00B6607C" w:rsidRDefault="003B687A" w:rsidP="0076503C">
            <w:pPr>
              <w:keepNext/>
              <w:spacing w:after="0"/>
              <w:jc w:val="center"/>
              <w:rPr>
                <w:rFonts w:ascii="Times" w:hAnsi="Times"/>
                <w:sz w:val="18"/>
                <w:szCs w:val="18"/>
              </w:rPr>
            </w:pPr>
            <w:r>
              <w:rPr>
                <w:rFonts w:ascii="Times" w:hAnsi="Times"/>
                <w:sz w:val="18"/>
                <w:szCs w:val="18"/>
              </w:rPr>
              <w:t>At least 3</w:t>
            </w:r>
          </w:p>
        </w:tc>
      </w:tr>
    </w:tbl>
    <w:p w:rsidR="00EE12D6" w:rsidRDefault="00EE12D6" w:rsidP="00420413">
      <w:pPr>
        <w:pStyle w:val="ListNumber"/>
        <w:numPr>
          <w:ilvl w:val="0"/>
          <w:numId w:val="0"/>
        </w:numPr>
        <w:spacing w:after="0"/>
        <w:ind w:left="709"/>
      </w:pPr>
    </w:p>
    <w:p w:rsidR="00464CE3" w:rsidRPr="00420413" w:rsidRDefault="00464CE3" w:rsidP="0080226D">
      <w:pPr>
        <w:pStyle w:val="ListNumber"/>
      </w:pPr>
      <w:r>
        <w:t>T</w:t>
      </w:r>
      <w:r w:rsidR="0080226D">
        <w:t xml:space="preserve">he Parties' combined market share is </w:t>
      </w:r>
      <w:r w:rsidR="003B687A">
        <w:t>[20-30]</w:t>
      </w:r>
      <w:r w:rsidR="0080226D">
        <w:t xml:space="preserve">% in value and </w:t>
      </w:r>
      <w:r w:rsidR="003B687A">
        <w:t>[30-40]</w:t>
      </w:r>
      <w:r w:rsidR="0080226D">
        <w:t xml:space="preserve">% in volume </w:t>
      </w:r>
      <w:r>
        <w:t xml:space="preserve">at ATC4 level and </w:t>
      </w:r>
      <w:r w:rsidR="003B687A">
        <w:t>[40-50]</w:t>
      </w:r>
      <w:r>
        <w:t xml:space="preserve">% in value and </w:t>
      </w:r>
      <w:r w:rsidR="003B687A">
        <w:t>[50-60]</w:t>
      </w:r>
      <w:r>
        <w:t xml:space="preserve">% in volume at molecule level </w:t>
      </w:r>
      <w:r w:rsidR="0080226D">
        <w:t>in 2017.</w:t>
      </w:r>
      <w:r w:rsidR="0080226D" w:rsidRPr="008E5C5A">
        <w:rPr>
          <w:rFonts w:eastAsia="Calibri"/>
          <w:lang w:val="en-US"/>
        </w:rPr>
        <w:t xml:space="preserve"> The increment brought </w:t>
      </w:r>
      <w:r w:rsidR="0080226D">
        <w:rPr>
          <w:rFonts w:eastAsia="Calibri"/>
          <w:lang w:val="en-US"/>
        </w:rPr>
        <w:t xml:space="preserve">by the Transaction is minimal, </w:t>
      </w:r>
      <w:r w:rsidR="003B687A">
        <w:rPr>
          <w:rFonts w:eastAsia="Calibri"/>
          <w:lang w:val="en-US"/>
        </w:rPr>
        <w:t>[0-5]</w:t>
      </w:r>
      <w:r w:rsidR="0080226D">
        <w:rPr>
          <w:rFonts w:eastAsia="Calibri"/>
          <w:lang w:val="en-US"/>
        </w:rPr>
        <w:t xml:space="preserve">% </w:t>
      </w:r>
      <w:r>
        <w:rPr>
          <w:rFonts w:eastAsia="Calibri"/>
          <w:lang w:val="en-US"/>
        </w:rPr>
        <w:t xml:space="preserve">or less </w:t>
      </w:r>
      <w:r w:rsidR="0080226D">
        <w:rPr>
          <w:rFonts w:eastAsia="Calibri"/>
          <w:lang w:val="en-US"/>
        </w:rPr>
        <w:t>in both value and volume</w:t>
      </w:r>
      <w:r w:rsidR="0080226D" w:rsidRPr="008E5C5A">
        <w:rPr>
          <w:rFonts w:eastAsia="Calibri"/>
          <w:lang w:val="en-US"/>
        </w:rPr>
        <w:t>.</w:t>
      </w:r>
      <w:r w:rsidR="0080226D">
        <w:rPr>
          <w:rFonts w:eastAsia="Calibri"/>
          <w:lang w:val="en-US"/>
        </w:rPr>
        <w:t xml:space="preserve"> </w:t>
      </w:r>
      <w:r w:rsidR="00B838FD" w:rsidRPr="00CD2ECB">
        <w:t>The HHI delta is below 150.</w:t>
      </w:r>
    </w:p>
    <w:p w:rsidR="0080226D" w:rsidRPr="00CD2ECB" w:rsidRDefault="00AF6570" w:rsidP="0080226D">
      <w:pPr>
        <w:pStyle w:val="ListNumber"/>
      </w:pPr>
      <w:r>
        <w:t>A</w:t>
      </w:r>
      <w:r w:rsidR="00464CE3">
        <w:t>lternative suppliers will remain on the market at</w:t>
      </w:r>
      <w:r>
        <w:t xml:space="preserve"> both ATC4 and</w:t>
      </w:r>
      <w:r w:rsidR="00464CE3">
        <w:t xml:space="preserve"> molecule level</w:t>
      </w:r>
      <w:r>
        <w:t>s</w:t>
      </w:r>
      <w:r w:rsidR="00464CE3">
        <w:t>. These</w:t>
      </w:r>
      <w:r>
        <w:t xml:space="preserve"> competitors</w:t>
      </w:r>
      <w:r w:rsidR="00464CE3">
        <w:t xml:space="preserve"> </w:t>
      </w:r>
      <w:r>
        <w:t>include in particular Krka (</w:t>
      </w:r>
      <w:r w:rsidR="003B687A">
        <w:t>[20-30]</w:t>
      </w:r>
      <w:r>
        <w:t xml:space="preserve">% in value and </w:t>
      </w:r>
      <w:r w:rsidR="003B687A">
        <w:t>[30-40]</w:t>
      </w:r>
      <w:r>
        <w:t xml:space="preserve">% in volume at ATC4 level); </w:t>
      </w:r>
      <w:r w:rsidR="00464CE3">
        <w:t>Cipla (</w:t>
      </w:r>
      <w:r w:rsidR="003B687A">
        <w:t>[10-20]</w:t>
      </w:r>
      <w:r>
        <w:t xml:space="preserve">% in value and </w:t>
      </w:r>
      <w:r w:rsidR="003B687A">
        <w:t>[10-20]</w:t>
      </w:r>
      <w:r>
        <w:t xml:space="preserve">% in volume at ATC4 level and </w:t>
      </w:r>
      <w:r w:rsidR="000E6524">
        <w:t>[20-30]</w:t>
      </w:r>
      <w:r w:rsidR="00464CE3">
        <w:t>% in value</w:t>
      </w:r>
      <w:r>
        <w:t xml:space="preserve"> and </w:t>
      </w:r>
      <w:r w:rsidR="000E6524">
        <w:t>[20-30]</w:t>
      </w:r>
      <w:r w:rsidR="00464CE3">
        <w:t>% in volume</w:t>
      </w:r>
      <w:r>
        <w:t xml:space="preserve"> at molecule level</w:t>
      </w:r>
      <w:r w:rsidR="00464CE3">
        <w:t>); Olainfarm (</w:t>
      </w:r>
      <w:r w:rsidR="000E6524">
        <w:t>[5-10]</w:t>
      </w:r>
      <w:r>
        <w:t xml:space="preserve">% in value and </w:t>
      </w:r>
      <w:r w:rsidR="000E6524">
        <w:t>[0-</w:t>
      </w:r>
      <w:r>
        <w:t>5</w:t>
      </w:r>
      <w:r w:rsidR="000E6524">
        <w:t>]</w:t>
      </w:r>
      <w:r>
        <w:t xml:space="preserve">% in volume at ATC4 level and </w:t>
      </w:r>
      <w:r w:rsidR="000E6524">
        <w:t>[10-20]</w:t>
      </w:r>
      <w:r w:rsidR="00464CE3">
        <w:t>% in value</w:t>
      </w:r>
      <w:r>
        <w:t xml:space="preserve"> and</w:t>
      </w:r>
      <w:r w:rsidR="003C4067">
        <w:t xml:space="preserve"> </w:t>
      </w:r>
      <w:r w:rsidR="000E6524">
        <w:t>[10-20]</w:t>
      </w:r>
      <w:r w:rsidR="00464CE3">
        <w:t>% in volume</w:t>
      </w:r>
      <w:r>
        <w:t xml:space="preserve"> at molecule level</w:t>
      </w:r>
      <w:r w:rsidR="00464CE3">
        <w:t xml:space="preserve">); </w:t>
      </w:r>
      <w:r>
        <w:t xml:space="preserve">and </w:t>
      </w:r>
      <w:r w:rsidR="00464CE3">
        <w:t>Novartis (</w:t>
      </w:r>
      <w:r w:rsidR="000E6524">
        <w:t>[5-10]</w:t>
      </w:r>
      <w:r>
        <w:t xml:space="preserve">% in value and </w:t>
      </w:r>
      <w:r w:rsidR="000E6524">
        <w:t>[0-5]</w:t>
      </w:r>
      <w:r>
        <w:t xml:space="preserve">% in volume at ATC4 level and </w:t>
      </w:r>
      <w:r w:rsidR="000E6524">
        <w:t>[5-10]</w:t>
      </w:r>
      <w:r w:rsidR="00464CE3">
        <w:t xml:space="preserve">% in value, </w:t>
      </w:r>
      <w:r w:rsidR="000E6524">
        <w:t>[5-10]</w:t>
      </w:r>
      <w:r w:rsidR="001F10EE">
        <w:t>% in volume</w:t>
      </w:r>
      <w:r>
        <w:t xml:space="preserve"> at molecule level</w:t>
      </w:r>
      <w:r w:rsidR="001F10EE">
        <w:t>)</w:t>
      </w:r>
      <w:r>
        <w:t>.</w:t>
      </w:r>
    </w:p>
    <w:p w:rsidR="000C7449" w:rsidRDefault="000C7449">
      <w:pPr>
        <w:spacing w:after="0"/>
        <w:jc w:val="left"/>
        <w:rPr>
          <w:rFonts w:eastAsia="Calibri"/>
          <w:szCs w:val="24"/>
        </w:rPr>
      </w:pPr>
      <w:r>
        <w:rPr>
          <w:rFonts w:eastAsia="Calibri"/>
          <w:szCs w:val="24"/>
        </w:rPr>
        <w:br w:type="page"/>
      </w:r>
    </w:p>
    <w:p w:rsidR="0080226D" w:rsidRPr="00137E60" w:rsidRDefault="0080226D" w:rsidP="0080226D">
      <w:pPr>
        <w:pStyle w:val="ListNumber"/>
      </w:pPr>
      <w:r>
        <w:rPr>
          <w:rFonts w:eastAsia="Calibri"/>
          <w:szCs w:val="24"/>
        </w:rPr>
        <w:lastRenderedPageBreak/>
        <w:t xml:space="preserve">In addition, the Parties' products </w:t>
      </w:r>
      <w:r w:rsidR="00185FCC">
        <w:rPr>
          <w:rFonts w:eastAsia="Calibri"/>
          <w:szCs w:val="24"/>
        </w:rPr>
        <w:t>do not seem to be close</w:t>
      </w:r>
      <w:r>
        <w:rPr>
          <w:rFonts w:eastAsia="Calibri"/>
          <w:szCs w:val="24"/>
        </w:rPr>
        <w:t xml:space="preserve"> competitors. As indicated above, one i</w:t>
      </w:r>
      <w:r w:rsidR="00AD2FAC">
        <w:rPr>
          <w:rFonts w:eastAsia="Calibri"/>
          <w:szCs w:val="24"/>
        </w:rPr>
        <w:t>s</w:t>
      </w:r>
      <w:r>
        <w:rPr>
          <w:rFonts w:eastAsia="Calibri"/>
          <w:szCs w:val="24"/>
        </w:rPr>
        <w:t xml:space="preserve"> sold OTC and the others Rx. </w:t>
      </w:r>
      <w:r w:rsidR="00AE5F1E">
        <w:rPr>
          <w:rFonts w:eastAsia="Calibri"/>
          <w:szCs w:val="24"/>
        </w:rPr>
        <w:t xml:space="preserve">PGT's product is available in oral solid formulations with single doses of 10 mg or 20 mg.  Teva's product is available in oral solid formations with single doses of 20 mg and 40 mg. The 20 mg product of PGT is sold in boxes of 14 tablets. The 20 mg product of Teva is sold in boxes of 28 or 56 tablets, which confirms that it is meant for mid- to long-term use unlike PGT's drug. </w:t>
      </w:r>
    </w:p>
    <w:p w:rsidR="0080226D" w:rsidRPr="00D24474" w:rsidRDefault="0080226D" w:rsidP="0080226D">
      <w:pPr>
        <w:pStyle w:val="ListNumber"/>
      </w:pPr>
      <w:r>
        <w:t>Finally,</w:t>
      </w:r>
      <w:r w:rsidRPr="005B1C96">
        <w:t xml:space="preserve"> </w:t>
      </w:r>
      <w:r>
        <w:t>during the market investigation, market respondents did not identify any impact of</w:t>
      </w:r>
      <w:r w:rsidRPr="00CD2ECB">
        <w:t xml:space="preserve"> </w:t>
      </w:r>
      <w:r>
        <w:t xml:space="preserve">this Transaction on competition in the market for PPIs in Latvia. </w:t>
      </w:r>
      <w:r w:rsidRPr="00546F00">
        <w:rPr>
          <w:rFonts w:ascii="Times" w:eastAsia="Calibri" w:hAnsi="Times"/>
          <w:szCs w:val="24"/>
          <w:vertAlign w:val="superscript"/>
          <w:lang w:val="en-US"/>
        </w:rPr>
        <w:footnoteReference w:id="100"/>
      </w:r>
    </w:p>
    <w:p w:rsidR="0080226D" w:rsidRDefault="00814F0F" w:rsidP="0080226D">
      <w:pPr>
        <w:pStyle w:val="ListNumber"/>
      </w:pPr>
      <w:r w:rsidRPr="00546F00">
        <w:rPr>
          <w:rFonts w:ascii="Times" w:hAnsi="Times"/>
          <w:szCs w:val="24"/>
        </w:rPr>
        <w:t xml:space="preserve">In view of the above, the Commission concludes that </w:t>
      </w:r>
      <w:r>
        <w:rPr>
          <w:rFonts w:ascii="Times" w:hAnsi="Times"/>
          <w:szCs w:val="24"/>
        </w:rPr>
        <w:t>the Transaction does not raise serious doubts as to its compatibility with the internal market regarding</w:t>
      </w:r>
      <w:r w:rsidR="0080226D">
        <w:t xml:space="preserve"> PPIs in Latvia</w:t>
      </w:r>
      <w:r w:rsidR="0080226D" w:rsidRPr="00546F00">
        <w:t>.</w:t>
      </w:r>
    </w:p>
    <w:p w:rsidR="0080226D" w:rsidRDefault="0080226D" w:rsidP="00420413">
      <w:pPr>
        <w:pStyle w:val="Heading3"/>
        <w:tabs>
          <w:tab w:val="clear" w:pos="1920"/>
          <w:tab w:val="num" w:pos="709"/>
        </w:tabs>
        <w:ind w:left="709" w:hanging="709"/>
      </w:pPr>
      <w:bookmarkStart w:id="297" w:name="_Toc517444580"/>
      <w:bookmarkStart w:id="298" w:name="_Ref517683840"/>
      <w:bookmarkStart w:id="299" w:name="_Toc517710527"/>
      <w:bookmarkStart w:id="300" w:name="_Toc517812960"/>
      <w:r>
        <w:t>Orlistat-</w:t>
      </w:r>
      <w:r w:rsidR="005458F4">
        <w:t>b</w:t>
      </w:r>
      <w:r>
        <w:t>ased Anti-Obesity Preparations in Portugal</w:t>
      </w:r>
      <w:bookmarkEnd w:id="297"/>
      <w:bookmarkEnd w:id="298"/>
      <w:bookmarkEnd w:id="299"/>
      <w:bookmarkEnd w:id="300"/>
    </w:p>
    <w:p w:rsidR="0080226D" w:rsidRDefault="0080226D" w:rsidP="00420413">
      <w:pPr>
        <w:pStyle w:val="Heading4"/>
      </w:pPr>
      <w:bookmarkStart w:id="301" w:name="_Toc517710528"/>
      <w:bookmarkStart w:id="302" w:name="_Toc517812961"/>
      <w:r w:rsidRPr="006F61CB">
        <w:t>Market definition</w:t>
      </w:r>
      <w:bookmarkEnd w:id="301"/>
      <w:bookmarkEnd w:id="302"/>
    </w:p>
    <w:p w:rsidR="0080226D" w:rsidRDefault="0080226D" w:rsidP="00420413">
      <w:pPr>
        <w:pStyle w:val="ListNumber"/>
        <w:keepNext/>
      </w:pPr>
      <w:r>
        <w:t>Anti-obesity preparations are categorized in ATC 3 class A8A</w:t>
      </w:r>
      <w:r w:rsidR="00657DAB">
        <w:t xml:space="preserve"> (anti-obesity preparations, excluding dietetics)</w:t>
      </w:r>
      <w:r>
        <w:t xml:space="preserve">.  This ATC 3 class </w:t>
      </w:r>
      <w:r w:rsidR="00FA15A6">
        <w:t xml:space="preserve">covers </w:t>
      </w:r>
      <w:r>
        <w:t>products against obesity, acting either centrally or peripherally</w:t>
      </w:r>
      <w:r w:rsidR="00FA15A6">
        <w:t xml:space="preserve"> and including molecules such as </w:t>
      </w:r>
      <w:r w:rsidR="00FA15A6" w:rsidRPr="00CF47FF">
        <w:rPr>
          <w:i/>
        </w:rPr>
        <w:t>orlistat</w:t>
      </w:r>
      <w:r w:rsidR="00FA15A6">
        <w:t xml:space="preserve"> or </w:t>
      </w:r>
      <w:r w:rsidR="00FA15A6" w:rsidRPr="00CF47FF">
        <w:rPr>
          <w:i/>
        </w:rPr>
        <w:t>sibutramina</w:t>
      </w:r>
      <w:r w:rsidR="00FA15A6">
        <w:t xml:space="preserve">. </w:t>
      </w:r>
    </w:p>
    <w:p w:rsidR="0080226D" w:rsidRPr="000073B5" w:rsidRDefault="0080226D" w:rsidP="0080226D">
      <w:pPr>
        <w:pStyle w:val="ListNumber"/>
        <w:rPr>
          <w:lang w:eastAsia="en-GB"/>
        </w:rPr>
      </w:pPr>
      <w:r>
        <w:rPr>
          <w:lang w:val="en-US"/>
        </w:rPr>
        <w:t xml:space="preserve">In previous decisions, the Commission has considered that the market for anti-obesity preparations </w:t>
      </w:r>
      <w:r>
        <w:t>should be defined at the ATC 3 level of A8A</w:t>
      </w:r>
      <w:r>
        <w:rPr>
          <w:lang w:val="en-US"/>
        </w:rPr>
        <w:t>.</w:t>
      </w:r>
      <w:r>
        <w:rPr>
          <w:rStyle w:val="FootnoteReference"/>
          <w:lang w:val="en-US"/>
        </w:rPr>
        <w:footnoteReference w:id="101"/>
      </w:r>
      <w:r>
        <w:rPr>
          <w:szCs w:val="16"/>
          <w:lang w:val="en-US"/>
        </w:rPr>
        <w:t xml:space="preserve">  In </w:t>
      </w:r>
      <w:r w:rsidRPr="00C2595F">
        <w:rPr>
          <w:i/>
          <w:szCs w:val="16"/>
          <w:lang w:val="en-US"/>
        </w:rPr>
        <w:t>Teva/Allergan Generics</w:t>
      </w:r>
      <w:r>
        <w:rPr>
          <w:szCs w:val="16"/>
          <w:lang w:val="en-US"/>
        </w:rPr>
        <w:t xml:space="preserve">, the Commission also considered a narrower relevant market segment within the ATC 3 class A8A, including only </w:t>
      </w:r>
      <w:r w:rsidRPr="00420413">
        <w:rPr>
          <w:i/>
          <w:lang w:val="en-US"/>
        </w:rPr>
        <w:t>orlistat</w:t>
      </w:r>
      <w:r>
        <w:rPr>
          <w:szCs w:val="16"/>
          <w:lang w:val="en-US"/>
        </w:rPr>
        <w:t>-based products.</w:t>
      </w:r>
      <w:r>
        <w:rPr>
          <w:rStyle w:val="FootnoteReference"/>
          <w:szCs w:val="16"/>
          <w:lang w:val="en-US"/>
        </w:rPr>
        <w:footnoteReference w:id="102"/>
      </w:r>
      <w:r>
        <w:rPr>
          <w:szCs w:val="16"/>
          <w:lang w:val="en-US"/>
        </w:rPr>
        <w:t xml:space="preserve">  </w:t>
      </w:r>
    </w:p>
    <w:p w:rsidR="0080226D" w:rsidRPr="00784DE1" w:rsidRDefault="0080226D" w:rsidP="0080226D">
      <w:pPr>
        <w:pStyle w:val="ListNumber"/>
        <w:rPr>
          <w:rFonts w:ascii="Times" w:hAnsi="Times"/>
          <w:szCs w:val="24"/>
        </w:rPr>
      </w:pPr>
      <w:r w:rsidRPr="00784DE1">
        <w:rPr>
          <w:rFonts w:ascii="Times" w:eastAsia="Calibri" w:hAnsi="Times"/>
          <w:szCs w:val="24"/>
          <w:lang w:val="en-US"/>
        </w:rPr>
        <w:t xml:space="preserve">The Notifying Party submits that OTC and Rx </w:t>
      </w:r>
      <w:r w:rsidRPr="00BC0190">
        <w:rPr>
          <w:rFonts w:eastAsia="Calibri"/>
          <w:lang w:val="en-US"/>
        </w:rPr>
        <w:t>a</w:t>
      </w:r>
      <w:r w:rsidRPr="00991E09">
        <w:rPr>
          <w:rFonts w:eastAsia="Calibri"/>
          <w:lang w:val="en-US"/>
        </w:rPr>
        <w:t xml:space="preserve">nti-obesity preparations </w:t>
      </w:r>
      <w:r w:rsidRPr="00991E09">
        <w:rPr>
          <w:rFonts w:ascii="Times" w:eastAsia="Calibri" w:hAnsi="Times"/>
          <w:szCs w:val="24"/>
          <w:lang w:val="en-US"/>
        </w:rPr>
        <w:t xml:space="preserve">products </w:t>
      </w:r>
      <w:r w:rsidR="00947A31">
        <w:t>are not in the same market</w:t>
      </w:r>
      <w:r w:rsidRPr="003E18DC">
        <w:rPr>
          <w:rFonts w:ascii="Times" w:eastAsia="Calibri" w:hAnsi="Times"/>
          <w:szCs w:val="24"/>
          <w:lang w:val="en-US"/>
        </w:rPr>
        <w:t>. The Notifying Party submit</w:t>
      </w:r>
      <w:r w:rsidRPr="00B425E3">
        <w:rPr>
          <w:rFonts w:ascii="Times" w:eastAsia="Calibri" w:hAnsi="Times"/>
          <w:szCs w:val="24"/>
          <w:lang w:val="en-US"/>
        </w:rPr>
        <w:t>s that the</w:t>
      </w:r>
      <w:r w:rsidRPr="00FD3218">
        <w:rPr>
          <w:rFonts w:ascii="Times" w:eastAsia="Calibri" w:hAnsi="Times"/>
          <w:szCs w:val="24"/>
          <w:lang w:val="en-US"/>
        </w:rPr>
        <w:t xml:space="preserve"> retail price of PGT OTC product is significantly higher than the </w:t>
      </w:r>
      <w:r w:rsidRPr="007A2FAA">
        <w:rPr>
          <w:rFonts w:ascii="Times" w:eastAsia="Calibri" w:hAnsi="Times"/>
          <w:szCs w:val="24"/>
          <w:lang w:val="en-US"/>
        </w:rPr>
        <w:t>retail price of Teva Rx product in this ATC</w:t>
      </w:r>
      <w:r w:rsidRPr="00A90801">
        <w:rPr>
          <w:rFonts w:ascii="Times" w:eastAsia="Calibri" w:hAnsi="Times"/>
          <w:szCs w:val="24"/>
          <w:lang w:val="en-US"/>
        </w:rPr>
        <w:t xml:space="preserve">3 category. The Notifying Party however adds that should the market comprise both OTC and Rx products, </w:t>
      </w:r>
      <w:r w:rsidRPr="00225FF1">
        <w:rPr>
          <w:rFonts w:ascii="Times" w:eastAsia="Calibri" w:hAnsi="Times"/>
          <w:szCs w:val="24"/>
          <w:lang w:val="en-US"/>
        </w:rPr>
        <w:t>the molecule</w:t>
      </w:r>
      <w:r>
        <w:rPr>
          <w:rFonts w:ascii="Times" w:eastAsia="Calibri" w:hAnsi="Times"/>
          <w:szCs w:val="24"/>
          <w:lang w:val="en-US"/>
        </w:rPr>
        <w:t xml:space="preserve"> would not be the relevant market</w:t>
      </w:r>
      <w:r w:rsidRPr="00784DE1">
        <w:rPr>
          <w:rFonts w:ascii="Times" w:eastAsia="Calibri" w:hAnsi="Times"/>
          <w:szCs w:val="24"/>
          <w:lang w:val="en-US"/>
        </w:rPr>
        <w:t>.</w:t>
      </w:r>
    </w:p>
    <w:p w:rsidR="0080226D" w:rsidRPr="00E96988" w:rsidRDefault="0080226D" w:rsidP="0080226D">
      <w:pPr>
        <w:pStyle w:val="ListNumber"/>
        <w:rPr>
          <w:rFonts w:ascii="Times" w:hAnsi="Times"/>
          <w:szCs w:val="24"/>
        </w:rPr>
      </w:pPr>
      <w:r>
        <w:rPr>
          <w:rFonts w:ascii="Times" w:eastAsia="Calibri" w:hAnsi="Times"/>
          <w:szCs w:val="24"/>
          <w:lang w:val="en-US"/>
        </w:rPr>
        <w:t xml:space="preserve">The market investigation was not conclusive on the substitutability of </w:t>
      </w:r>
      <w:r w:rsidRPr="004C6514">
        <w:rPr>
          <w:rFonts w:ascii="Times" w:eastAsia="Calibri" w:hAnsi="Times"/>
          <w:i/>
          <w:szCs w:val="24"/>
          <w:lang w:val="en-US"/>
        </w:rPr>
        <w:t xml:space="preserve">orlistat </w:t>
      </w:r>
      <w:r>
        <w:rPr>
          <w:rFonts w:ascii="Times" w:eastAsia="Calibri" w:hAnsi="Times"/>
          <w:szCs w:val="24"/>
          <w:lang w:val="en-US"/>
        </w:rPr>
        <w:t>based anti-</w:t>
      </w:r>
      <w:r>
        <w:rPr>
          <w:rFonts w:ascii="Times" w:hAnsi="Times"/>
          <w:szCs w:val="24"/>
        </w:rPr>
        <w:t xml:space="preserve">obesity preparations and anti-obesity preparations based on other molecules. One market respondent mentioned that </w:t>
      </w:r>
      <w:r w:rsidRPr="000073B5">
        <w:rPr>
          <w:rFonts w:ascii="Times" w:hAnsi="Times"/>
          <w:i/>
        </w:rPr>
        <w:t>sibutram</w:t>
      </w:r>
      <w:r w:rsidRPr="00415B27">
        <w:rPr>
          <w:rFonts w:ascii="Times" w:hAnsi="Times"/>
          <w:i/>
        </w:rPr>
        <w:t xml:space="preserve">ina </w:t>
      </w:r>
      <w:r>
        <w:rPr>
          <w:rFonts w:ascii="Times" w:hAnsi="Times"/>
          <w:szCs w:val="24"/>
        </w:rPr>
        <w:t xml:space="preserve">may be an alternative molecule to </w:t>
      </w:r>
      <w:r w:rsidRPr="000073B5">
        <w:rPr>
          <w:rFonts w:ascii="Times" w:hAnsi="Times"/>
          <w:i/>
        </w:rPr>
        <w:t>orlistat</w:t>
      </w:r>
      <w:r>
        <w:rPr>
          <w:rFonts w:ascii="Times" w:hAnsi="Times"/>
          <w:szCs w:val="24"/>
        </w:rPr>
        <w:t>.</w:t>
      </w:r>
      <w:r w:rsidRPr="00D4289C">
        <w:rPr>
          <w:rFonts w:ascii="Calibri" w:eastAsia="Calibri" w:hAnsi="Calibri"/>
          <w:sz w:val="20"/>
          <w:vertAlign w:val="superscript"/>
          <w:lang w:val="en-US"/>
        </w:rPr>
        <w:t xml:space="preserve"> </w:t>
      </w:r>
      <w:r w:rsidRPr="00D4289C">
        <w:rPr>
          <w:rFonts w:ascii="Calibri" w:eastAsia="Calibri" w:hAnsi="Calibri"/>
          <w:sz w:val="20"/>
          <w:vertAlign w:val="superscript"/>
          <w:lang w:val="en-US"/>
        </w:rPr>
        <w:footnoteReference w:id="103"/>
      </w:r>
    </w:p>
    <w:p w:rsidR="000C7449" w:rsidRDefault="000C7449">
      <w:pPr>
        <w:spacing w:after="0"/>
        <w:jc w:val="left"/>
      </w:pPr>
      <w:r>
        <w:br w:type="page"/>
      </w:r>
    </w:p>
    <w:p w:rsidR="0080226D" w:rsidRPr="00E83E23" w:rsidRDefault="0080226D" w:rsidP="0080226D">
      <w:pPr>
        <w:pStyle w:val="ListNumber"/>
      </w:pPr>
      <w:r w:rsidRPr="00AC4CB2">
        <w:lastRenderedPageBreak/>
        <w:t>In any event, for the purposes of the present case, the exact market definition can be left open</w:t>
      </w:r>
      <w:r>
        <w:t xml:space="preserve">.  No serious </w:t>
      </w:r>
      <w:r w:rsidRPr="00AC4CB2">
        <w:t>doubts arise under any plausible alternative market definition</w:t>
      </w:r>
      <w:r>
        <w:t xml:space="preserve"> (namely, at ATC3 or molecule level). </w:t>
      </w:r>
    </w:p>
    <w:p w:rsidR="0080226D" w:rsidRDefault="0080226D" w:rsidP="00CF51B4">
      <w:pPr>
        <w:pStyle w:val="Heading4"/>
        <w:keepNext w:val="0"/>
      </w:pPr>
      <w:bookmarkStart w:id="303" w:name="_Toc517710529"/>
      <w:bookmarkStart w:id="304" w:name="_Toc517812962"/>
      <w:r>
        <w:t>Parties' Products</w:t>
      </w:r>
      <w:bookmarkEnd w:id="303"/>
      <w:bookmarkEnd w:id="304"/>
    </w:p>
    <w:p w:rsidR="0080226D" w:rsidRPr="0088775C" w:rsidRDefault="0080226D" w:rsidP="00CF51B4">
      <w:pPr>
        <w:pStyle w:val="ListNumber"/>
      </w:pPr>
      <w:r>
        <w:t xml:space="preserve">In Portugal, both Parties offer </w:t>
      </w:r>
      <w:r w:rsidRPr="002A7B17">
        <w:rPr>
          <w:i/>
        </w:rPr>
        <w:t>orlistat</w:t>
      </w:r>
      <w:r>
        <w:t xml:space="preserve">-based anti-obesity products.  Both products have the same brand name (Orlistato Rat).  Teva's product includes capsules of 120mg and is a prescription (Rx) drug, while PGT's product comes in 60mg capsules and is sold OTC. </w:t>
      </w:r>
    </w:p>
    <w:p w:rsidR="0080226D" w:rsidRDefault="0080226D" w:rsidP="00CF51B4">
      <w:pPr>
        <w:pStyle w:val="Heading4"/>
        <w:rPr>
          <w:szCs w:val="24"/>
        </w:rPr>
      </w:pPr>
      <w:bookmarkStart w:id="305" w:name="_Toc517710530"/>
      <w:bookmarkStart w:id="306" w:name="_Toc517812963"/>
      <w:r>
        <w:rPr>
          <w:szCs w:val="24"/>
        </w:rPr>
        <w:t>Competition Assessment</w:t>
      </w:r>
      <w:bookmarkEnd w:id="305"/>
      <w:bookmarkEnd w:id="306"/>
    </w:p>
    <w:p w:rsidR="0080226D" w:rsidRDefault="0080226D" w:rsidP="00CF51B4">
      <w:pPr>
        <w:pStyle w:val="ListNumber"/>
        <w:keepNext/>
      </w:pPr>
      <w:r>
        <w:t xml:space="preserve">At both ATC 3 level (A8A anti-obesity products excluding diet products) and at molecule level (orlistat-based products), the Transaction gives rise to a Group 1 market.  </w:t>
      </w:r>
    </w:p>
    <w:p w:rsidR="0080226D" w:rsidRDefault="0080226D" w:rsidP="0080226D">
      <w:pPr>
        <w:pStyle w:val="ListNumber"/>
      </w:pPr>
      <w:r>
        <w:t xml:space="preserve">The Table below presents the Parties' market shares for anti-obesity products and orlistat-based anti-obesity products in Portugal in </w:t>
      </w:r>
      <w:r w:rsidR="00B91E12">
        <w:t>2015-</w:t>
      </w:r>
      <w:r>
        <w:t>2017</w:t>
      </w:r>
      <w:r w:rsidR="00B91E12">
        <w:t>:</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1"/>
        <w:gridCol w:w="999"/>
        <w:gridCol w:w="1136"/>
        <w:gridCol w:w="1204"/>
      </w:tblGrid>
      <w:tr w:rsidR="007C4FE3" w:rsidRPr="00AD3737" w:rsidTr="0076503C">
        <w:trPr>
          <w:tblHeader/>
        </w:trPr>
        <w:tc>
          <w:tcPr>
            <w:tcW w:w="608" w:type="pct"/>
            <w:vMerge w:val="restart"/>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r w:rsidRPr="00B6607C">
              <w:rPr>
                <w:rFonts w:ascii="Times" w:hAnsi="Times"/>
                <w:b/>
                <w:sz w:val="18"/>
                <w:szCs w:val="18"/>
              </w:rPr>
              <w:t>OTC3</w:t>
            </w:r>
          </w:p>
          <w:p w:rsidR="007C4FE3" w:rsidRPr="00B6607C" w:rsidRDefault="007C4FE3" w:rsidP="0076503C">
            <w:pPr>
              <w:keepNext/>
              <w:snapToGrid w:val="0"/>
              <w:spacing w:after="0"/>
              <w:jc w:val="center"/>
              <w:rPr>
                <w:rFonts w:ascii="Times" w:hAnsi="Times"/>
                <w:b/>
                <w:sz w:val="18"/>
                <w:szCs w:val="18"/>
              </w:rPr>
            </w:pPr>
            <w:r w:rsidRPr="00B6607C">
              <w:rPr>
                <w:rFonts w:ascii="Times" w:hAnsi="Times"/>
                <w:b/>
                <w:sz w:val="18"/>
                <w:szCs w:val="18"/>
              </w:rPr>
              <w:t>ATC3</w:t>
            </w:r>
          </w:p>
          <w:p w:rsidR="007C4FE3" w:rsidRPr="00B6607C" w:rsidRDefault="007C4FE3" w:rsidP="0076503C">
            <w:pPr>
              <w:keepNext/>
              <w:snapToGrid w:val="0"/>
              <w:spacing w:after="0"/>
              <w:jc w:val="center"/>
              <w:rPr>
                <w:rFonts w:ascii="Times" w:hAnsi="Times"/>
                <w:b/>
                <w:sz w:val="18"/>
                <w:szCs w:val="18"/>
              </w:rPr>
            </w:pPr>
            <w:r w:rsidRPr="00B6607C">
              <w:rPr>
                <w:rFonts w:ascii="Times" w:hAnsi="Times"/>
                <w:b/>
                <w:sz w:val="18"/>
                <w:szCs w:val="18"/>
              </w:rPr>
              <w:t>ATC4</w:t>
            </w:r>
          </w:p>
          <w:p w:rsidR="007C4FE3" w:rsidRPr="00B6607C" w:rsidRDefault="007C4FE3" w:rsidP="0076503C">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7C4FE3" w:rsidRPr="00B6607C" w:rsidRDefault="007C4FE3" w:rsidP="0076503C">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7C4FE3" w:rsidRDefault="007C4FE3" w:rsidP="0076503C">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7C4FE3" w:rsidRPr="00AD3737" w:rsidTr="004C6514">
        <w:trPr>
          <w:tblHeader/>
        </w:trPr>
        <w:tc>
          <w:tcPr>
            <w:tcW w:w="608" w:type="pct"/>
            <w:vMerge/>
            <w:tcBorders>
              <w:bottom w:val="single" w:sz="4" w:space="0" w:color="auto"/>
            </w:tcBorders>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p>
        </w:tc>
        <w:tc>
          <w:tcPr>
            <w:tcW w:w="696" w:type="pct"/>
            <w:vMerge/>
            <w:tcBorders>
              <w:bottom w:val="single" w:sz="4" w:space="0" w:color="auto"/>
            </w:tcBorders>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p>
        </w:tc>
        <w:tc>
          <w:tcPr>
            <w:tcW w:w="434" w:type="pct"/>
            <w:vMerge/>
            <w:tcBorders>
              <w:bottom w:val="single" w:sz="4" w:space="0" w:color="auto"/>
            </w:tcBorders>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p>
        </w:tc>
        <w:tc>
          <w:tcPr>
            <w:tcW w:w="523" w:type="pct"/>
            <w:vMerge/>
            <w:tcBorders>
              <w:bottom w:val="single" w:sz="4" w:space="0" w:color="auto"/>
            </w:tcBorders>
            <w:shd w:val="clear" w:color="auto" w:fill="D9D9D9" w:themeFill="background1" w:themeFillShade="D9"/>
          </w:tcPr>
          <w:p w:rsidR="007C4FE3" w:rsidRPr="00B6607C" w:rsidRDefault="007C4FE3" w:rsidP="0076503C">
            <w:pPr>
              <w:keepNext/>
              <w:snapToGrid w:val="0"/>
              <w:spacing w:after="0"/>
              <w:jc w:val="center"/>
              <w:rPr>
                <w:rFonts w:ascii="Times" w:hAnsi="Times"/>
                <w:b/>
                <w:sz w:val="18"/>
                <w:szCs w:val="18"/>
              </w:rPr>
            </w:pPr>
          </w:p>
        </w:tc>
        <w:tc>
          <w:tcPr>
            <w:tcW w:w="693" w:type="pct"/>
            <w:tcBorders>
              <w:bottom w:val="single" w:sz="4" w:space="0" w:color="auto"/>
            </w:tcBorders>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r w:rsidRPr="00B6607C">
              <w:rPr>
                <w:rFonts w:ascii="Times" w:hAnsi="Times"/>
                <w:b/>
                <w:sz w:val="18"/>
                <w:szCs w:val="18"/>
              </w:rPr>
              <w:t>Teva</w:t>
            </w:r>
          </w:p>
        </w:tc>
        <w:tc>
          <w:tcPr>
            <w:tcW w:w="612" w:type="pct"/>
            <w:tcBorders>
              <w:bottom w:val="single" w:sz="4" w:space="0" w:color="auto"/>
            </w:tcBorders>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tcBorders>
              <w:bottom w:val="single" w:sz="4" w:space="0" w:color="auto"/>
            </w:tcBorders>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tcBorders>
              <w:bottom w:val="single" w:sz="4" w:space="0" w:color="auto"/>
            </w:tcBorders>
            <w:shd w:val="clear" w:color="auto" w:fill="D9D9D9" w:themeFill="background1" w:themeFillShade="D9"/>
            <w:vAlign w:val="center"/>
          </w:tcPr>
          <w:p w:rsidR="007C4FE3" w:rsidRPr="00B6607C" w:rsidRDefault="007C4FE3" w:rsidP="0076503C">
            <w:pPr>
              <w:keepNext/>
              <w:snapToGrid w:val="0"/>
              <w:spacing w:after="0"/>
              <w:jc w:val="center"/>
              <w:rPr>
                <w:rFonts w:ascii="Times" w:hAnsi="Times"/>
                <w:b/>
                <w:sz w:val="18"/>
                <w:szCs w:val="18"/>
              </w:rPr>
            </w:pPr>
          </w:p>
        </w:tc>
      </w:tr>
      <w:tr w:rsidR="000E6524" w:rsidRPr="00AD3737" w:rsidTr="0076503C">
        <w:trPr>
          <w:trHeight w:val="345"/>
        </w:trPr>
        <w:tc>
          <w:tcPr>
            <w:tcW w:w="608" w:type="pct"/>
            <w:vMerge w:val="restart"/>
            <w:vAlign w:val="center"/>
          </w:tcPr>
          <w:p w:rsidR="000E6524" w:rsidRPr="00420413" w:rsidRDefault="000E6524" w:rsidP="007C4FE3">
            <w:pPr>
              <w:keepNext/>
              <w:spacing w:after="0"/>
              <w:jc w:val="center"/>
              <w:rPr>
                <w:rFonts w:ascii="Times" w:hAnsi="Times"/>
                <w:i/>
                <w:sz w:val="18"/>
                <w:szCs w:val="18"/>
              </w:rPr>
            </w:pPr>
            <w:r>
              <w:rPr>
                <w:rFonts w:ascii="Times" w:hAnsi="Times"/>
                <w:sz w:val="18"/>
                <w:szCs w:val="18"/>
              </w:rPr>
              <w:t>A8A</w:t>
            </w:r>
          </w:p>
        </w:tc>
        <w:tc>
          <w:tcPr>
            <w:tcW w:w="696" w:type="pct"/>
            <w:vMerge w:val="restart"/>
            <w:vAlign w:val="center"/>
          </w:tcPr>
          <w:p w:rsidR="000E6524" w:rsidRPr="00E97873" w:rsidRDefault="000E6524" w:rsidP="0076503C">
            <w:pPr>
              <w:keepNext/>
              <w:spacing w:after="0"/>
              <w:jc w:val="center"/>
              <w:rPr>
                <w:rFonts w:ascii="Times" w:hAnsi="Times"/>
                <w:sz w:val="18"/>
                <w:szCs w:val="18"/>
                <w:lang w:val="en-GB"/>
              </w:rPr>
            </w:pPr>
            <w:r>
              <w:rPr>
                <w:rFonts w:ascii="Times" w:hAnsi="Times"/>
                <w:sz w:val="18"/>
                <w:szCs w:val="18"/>
              </w:rPr>
              <w:t>Anti-Obesity Products (Excluding Diet Products)</w:t>
            </w:r>
          </w:p>
        </w:tc>
        <w:tc>
          <w:tcPr>
            <w:tcW w:w="434" w:type="pct"/>
            <w:vMerge w:val="restart"/>
            <w:vAlign w:val="center"/>
          </w:tcPr>
          <w:p w:rsidR="000E6524" w:rsidRPr="00B6607C" w:rsidRDefault="000E6524" w:rsidP="007C4FE3">
            <w:pPr>
              <w:keepNext/>
              <w:spacing w:after="0"/>
              <w:jc w:val="center"/>
              <w:rPr>
                <w:rFonts w:ascii="Times" w:hAnsi="Times"/>
                <w:sz w:val="18"/>
                <w:szCs w:val="18"/>
              </w:rPr>
            </w:pPr>
            <w:r>
              <w:rPr>
                <w:rFonts w:ascii="Times" w:hAnsi="Times"/>
                <w:sz w:val="18"/>
                <w:szCs w:val="18"/>
              </w:rPr>
              <w:t>Group 1</w:t>
            </w:r>
          </w:p>
        </w:tc>
        <w:tc>
          <w:tcPr>
            <w:tcW w:w="523" w:type="pct"/>
            <w:vAlign w:val="center"/>
          </w:tcPr>
          <w:p w:rsidR="000E6524" w:rsidRPr="00213AF2" w:rsidRDefault="000E6524" w:rsidP="0076503C">
            <w:pPr>
              <w:keepNext/>
              <w:spacing w:after="0"/>
              <w:jc w:val="left"/>
              <w:rPr>
                <w:rFonts w:ascii="Times" w:hAnsi="Times"/>
                <w:sz w:val="18"/>
              </w:rPr>
            </w:pPr>
            <w:r>
              <w:rPr>
                <w:rFonts w:ascii="Times" w:hAnsi="Times"/>
                <w:sz w:val="18"/>
              </w:rPr>
              <w:t>2017</w:t>
            </w:r>
          </w:p>
        </w:tc>
        <w:tc>
          <w:tcPr>
            <w:tcW w:w="693" w:type="pct"/>
            <w:vAlign w:val="center"/>
          </w:tcPr>
          <w:p w:rsidR="000E6524" w:rsidRPr="00B6607C" w:rsidRDefault="000E6524" w:rsidP="000E6524">
            <w:pPr>
              <w:keepNext/>
              <w:spacing w:after="0"/>
              <w:jc w:val="center"/>
              <w:rPr>
                <w:rFonts w:ascii="Times" w:hAnsi="Times"/>
                <w:sz w:val="18"/>
                <w:szCs w:val="18"/>
              </w:rPr>
            </w:pPr>
            <w:r>
              <w:rPr>
                <w:rFonts w:ascii="Times" w:hAnsi="Times"/>
                <w:sz w:val="18"/>
                <w:szCs w:val="18"/>
              </w:rPr>
              <w:t>[30-40]% /[40-50]%</w:t>
            </w:r>
          </w:p>
        </w:tc>
        <w:tc>
          <w:tcPr>
            <w:tcW w:w="612"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[10-20]% /[10-20]%</w:t>
            </w:r>
          </w:p>
        </w:tc>
        <w:tc>
          <w:tcPr>
            <w:tcW w:w="696" w:type="pct"/>
            <w:vAlign w:val="center"/>
          </w:tcPr>
          <w:p w:rsidR="000E6524" w:rsidRPr="00B6607C" w:rsidRDefault="000E6524" w:rsidP="000E6524">
            <w:pPr>
              <w:keepNext/>
              <w:spacing w:after="0"/>
              <w:jc w:val="center"/>
              <w:rPr>
                <w:rFonts w:ascii="Times" w:hAnsi="Times"/>
                <w:sz w:val="18"/>
                <w:szCs w:val="18"/>
              </w:rPr>
            </w:pPr>
            <w:r>
              <w:rPr>
                <w:rFonts w:ascii="Times" w:hAnsi="Times"/>
                <w:sz w:val="18"/>
                <w:szCs w:val="18"/>
              </w:rPr>
              <w:t>[40-50]% /[50-60]%</w:t>
            </w:r>
          </w:p>
        </w:tc>
        <w:tc>
          <w:tcPr>
            <w:tcW w:w="738" w:type="pct"/>
            <w:vAlign w:val="center"/>
          </w:tcPr>
          <w:p w:rsidR="000E6524" w:rsidRPr="00B6607C" w:rsidRDefault="000E6524" w:rsidP="0076503C">
            <w:pPr>
              <w:keepNext/>
              <w:spacing w:after="0"/>
              <w:jc w:val="center"/>
              <w:rPr>
                <w:rFonts w:ascii="Times" w:hAnsi="Times"/>
                <w:sz w:val="18"/>
                <w:szCs w:val="18"/>
              </w:rPr>
            </w:pPr>
            <w:r>
              <w:rPr>
                <w:rFonts w:ascii="Times" w:hAnsi="Times"/>
                <w:sz w:val="18"/>
                <w:szCs w:val="18"/>
              </w:rPr>
              <w:t>At least 3</w:t>
            </w:r>
          </w:p>
        </w:tc>
      </w:tr>
      <w:tr w:rsidR="000E6524" w:rsidRPr="00AD3737" w:rsidTr="0076503C">
        <w:trPr>
          <w:trHeight w:val="345"/>
        </w:trPr>
        <w:tc>
          <w:tcPr>
            <w:tcW w:w="608" w:type="pct"/>
            <w:vMerge/>
            <w:vAlign w:val="center"/>
          </w:tcPr>
          <w:p w:rsidR="000E6524" w:rsidRPr="00420413" w:rsidRDefault="000E6524" w:rsidP="0076503C">
            <w:pPr>
              <w:keepNext/>
              <w:spacing w:after="0"/>
              <w:jc w:val="center"/>
              <w:rPr>
                <w:rFonts w:ascii="Times" w:hAnsi="Times"/>
                <w:i/>
                <w:sz w:val="18"/>
                <w:szCs w:val="18"/>
              </w:rPr>
            </w:pPr>
          </w:p>
        </w:tc>
        <w:tc>
          <w:tcPr>
            <w:tcW w:w="696" w:type="pct"/>
            <w:vMerge/>
            <w:vAlign w:val="center"/>
          </w:tcPr>
          <w:p w:rsidR="000E6524" w:rsidRPr="00B6607C" w:rsidRDefault="000E6524" w:rsidP="0076503C">
            <w:pPr>
              <w:keepNext/>
              <w:spacing w:after="0"/>
              <w:jc w:val="center"/>
              <w:rPr>
                <w:rFonts w:ascii="Times" w:hAnsi="Times"/>
                <w:sz w:val="18"/>
                <w:szCs w:val="18"/>
              </w:rPr>
            </w:pPr>
          </w:p>
        </w:tc>
        <w:tc>
          <w:tcPr>
            <w:tcW w:w="434" w:type="pct"/>
            <w:vMerge/>
            <w:vAlign w:val="center"/>
          </w:tcPr>
          <w:p w:rsidR="000E6524" w:rsidRPr="00B6607C" w:rsidRDefault="000E6524" w:rsidP="0076503C">
            <w:pPr>
              <w:keepNext/>
              <w:spacing w:after="0"/>
              <w:jc w:val="center"/>
              <w:rPr>
                <w:rFonts w:ascii="Times" w:hAnsi="Times"/>
                <w:sz w:val="18"/>
                <w:szCs w:val="18"/>
              </w:rPr>
            </w:pPr>
          </w:p>
        </w:tc>
        <w:tc>
          <w:tcPr>
            <w:tcW w:w="523" w:type="pct"/>
            <w:vAlign w:val="center"/>
          </w:tcPr>
          <w:p w:rsidR="000E6524" w:rsidRPr="00213AF2" w:rsidRDefault="000E6524" w:rsidP="0076503C">
            <w:pPr>
              <w:keepNext/>
              <w:spacing w:after="0"/>
              <w:jc w:val="left"/>
              <w:rPr>
                <w:rFonts w:ascii="Times" w:hAnsi="Times"/>
                <w:sz w:val="18"/>
              </w:rPr>
            </w:pPr>
            <w:r>
              <w:rPr>
                <w:rFonts w:ascii="Times" w:hAnsi="Times"/>
                <w:sz w:val="18"/>
              </w:rPr>
              <w:t>2016</w:t>
            </w:r>
          </w:p>
        </w:tc>
        <w:tc>
          <w:tcPr>
            <w:tcW w:w="693" w:type="pct"/>
            <w:vAlign w:val="center"/>
          </w:tcPr>
          <w:p w:rsidR="000E6524" w:rsidRPr="00B6607C" w:rsidRDefault="000E6524" w:rsidP="000E6524">
            <w:pPr>
              <w:keepNext/>
              <w:spacing w:after="0"/>
              <w:jc w:val="center"/>
              <w:rPr>
                <w:rFonts w:ascii="Times" w:hAnsi="Times"/>
                <w:sz w:val="18"/>
                <w:szCs w:val="18"/>
              </w:rPr>
            </w:pPr>
            <w:r>
              <w:rPr>
                <w:rFonts w:ascii="Times" w:hAnsi="Times"/>
                <w:sz w:val="18"/>
                <w:szCs w:val="18"/>
              </w:rPr>
              <w:t>[30-40]% /[30-40]%</w:t>
            </w:r>
          </w:p>
        </w:tc>
        <w:tc>
          <w:tcPr>
            <w:tcW w:w="612"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[5-10]% /[10-20]%</w:t>
            </w:r>
          </w:p>
        </w:tc>
        <w:tc>
          <w:tcPr>
            <w:tcW w:w="696"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[40-50]% /[50-60]%</w:t>
            </w:r>
          </w:p>
        </w:tc>
        <w:tc>
          <w:tcPr>
            <w:tcW w:w="738" w:type="pct"/>
            <w:vAlign w:val="center"/>
          </w:tcPr>
          <w:p w:rsidR="000E6524" w:rsidRPr="00B6607C" w:rsidRDefault="000E6524" w:rsidP="0076503C">
            <w:pPr>
              <w:keepNext/>
              <w:spacing w:after="0"/>
              <w:jc w:val="center"/>
              <w:rPr>
                <w:rFonts w:ascii="Times" w:hAnsi="Times"/>
                <w:sz w:val="18"/>
                <w:szCs w:val="18"/>
              </w:rPr>
            </w:pPr>
            <w:r>
              <w:rPr>
                <w:rFonts w:ascii="Times" w:hAnsi="Times"/>
                <w:sz w:val="18"/>
                <w:szCs w:val="18"/>
              </w:rPr>
              <w:t>At least 5</w:t>
            </w:r>
          </w:p>
        </w:tc>
      </w:tr>
      <w:tr w:rsidR="000E6524" w:rsidRPr="00AD3737" w:rsidTr="004C6514">
        <w:trPr>
          <w:trHeight w:val="345"/>
        </w:trPr>
        <w:tc>
          <w:tcPr>
            <w:tcW w:w="608" w:type="pct"/>
            <w:vMerge/>
            <w:tcBorders>
              <w:bottom w:val="single" w:sz="12" w:space="0" w:color="auto"/>
            </w:tcBorders>
            <w:vAlign w:val="center"/>
          </w:tcPr>
          <w:p w:rsidR="000E6524" w:rsidRPr="00420413" w:rsidRDefault="000E6524" w:rsidP="0076503C">
            <w:pPr>
              <w:keepNext/>
              <w:spacing w:after="0"/>
              <w:jc w:val="center"/>
              <w:rPr>
                <w:rFonts w:ascii="Times" w:hAnsi="Times"/>
                <w:i/>
                <w:sz w:val="18"/>
                <w:szCs w:val="18"/>
              </w:rPr>
            </w:pPr>
          </w:p>
        </w:tc>
        <w:tc>
          <w:tcPr>
            <w:tcW w:w="696" w:type="pct"/>
            <w:vMerge/>
            <w:tcBorders>
              <w:bottom w:val="single" w:sz="12" w:space="0" w:color="auto"/>
            </w:tcBorders>
            <w:vAlign w:val="center"/>
          </w:tcPr>
          <w:p w:rsidR="000E6524" w:rsidRPr="00B6607C" w:rsidRDefault="000E6524" w:rsidP="0076503C">
            <w:pPr>
              <w:keepNext/>
              <w:spacing w:after="0"/>
              <w:jc w:val="center"/>
              <w:rPr>
                <w:rFonts w:ascii="Times" w:hAnsi="Times"/>
                <w:sz w:val="18"/>
                <w:szCs w:val="18"/>
              </w:rPr>
            </w:pPr>
          </w:p>
        </w:tc>
        <w:tc>
          <w:tcPr>
            <w:tcW w:w="434" w:type="pct"/>
            <w:vMerge/>
            <w:tcBorders>
              <w:bottom w:val="single" w:sz="12" w:space="0" w:color="auto"/>
            </w:tcBorders>
            <w:vAlign w:val="center"/>
          </w:tcPr>
          <w:p w:rsidR="000E6524" w:rsidRPr="00B6607C" w:rsidRDefault="000E6524" w:rsidP="0076503C">
            <w:pPr>
              <w:keepNext/>
              <w:spacing w:after="0"/>
              <w:jc w:val="center"/>
              <w:rPr>
                <w:rFonts w:ascii="Times" w:hAnsi="Times"/>
                <w:sz w:val="18"/>
                <w:szCs w:val="18"/>
              </w:rPr>
            </w:pPr>
          </w:p>
        </w:tc>
        <w:tc>
          <w:tcPr>
            <w:tcW w:w="523" w:type="pct"/>
            <w:tcBorders>
              <w:bottom w:val="single" w:sz="12" w:space="0" w:color="auto"/>
            </w:tcBorders>
            <w:vAlign w:val="center"/>
          </w:tcPr>
          <w:p w:rsidR="000E6524" w:rsidRPr="00213AF2" w:rsidRDefault="000E6524" w:rsidP="0076503C">
            <w:pPr>
              <w:keepNext/>
              <w:spacing w:after="0"/>
              <w:jc w:val="left"/>
              <w:rPr>
                <w:rFonts w:ascii="Times" w:hAnsi="Times"/>
                <w:sz w:val="18"/>
              </w:rPr>
            </w:pPr>
            <w:r>
              <w:rPr>
                <w:rFonts w:ascii="Times" w:hAnsi="Times"/>
                <w:sz w:val="18"/>
              </w:rPr>
              <w:t>2015</w:t>
            </w:r>
          </w:p>
        </w:tc>
        <w:tc>
          <w:tcPr>
            <w:tcW w:w="693" w:type="pct"/>
            <w:tcBorders>
              <w:bottom w:val="single" w:sz="12" w:space="0" w:color="auto"/>
            </w:tcBorders>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[30-40]% /[30-40]%</w:t>
            </w:r>
          </w:p>
        </w:tc>
        <w:tc>
          <w:tcPr>
            <w:tcW w:w="612" w:type="pct"/>
            <w:tcBorders>
              <w:bottom w:val="single" w:sz="12" w:space="0" w:color="auto"/>
            </w:tcBorders>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[10-20]% /[10-20]%</w:t>
            </w:r>
          </w:p>
        </w:tc>
        <w:tc>
          <w:tcPr>
            <w:tcW w:w="696" w:type="pct"/>
            <w:tcBorders>
              <w:bottom w:val="single" w:sz="12" w:space="0" w:color="auto"/>
            </w:tcBorders>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[40-50]% /[50-60]%</w:t>
            </w:r>
          </w:p>
        </w:tc>
        <w:tc>
          <w:tcPr>
            <w:tcW w:w="738" w:type="pct"/>
            <w:tcBorders>
              <w:bottom w:val="single" w:sz="12" w:space="0" w:color="auto"/>
            </w:tcBorders>
            <w:vAlign w:val="center"/>
          </w:tcPr>
          <w:p w:rsidR="000E6524" w:rsidRPr="00B6607C" w:rsidRDefault="000E6524" w:rsidP="0076503C">
            <w:pPr>
              <w:keepNext/>
              <w:spacing w:after="0"/>
              <w:jc w:val="center"/>
              <w:rPr>
                <w:rFonts w:ascii="Times" w:hAnsi="Times"/>
                <w:sz w:val="18"/>
                <w:szCs w:val="18"/>
              </w:rPr>
            </w:pPr>
            <w:r>
              <w:rPr>
                <w:rFonts w:ascii="Times" w:hAnsi="Times"/>
                <w:sz w:val="18"/>
                <w:szCs w:val="18"/>
              </w:rPr>
              <w:t>At least 3</w:t>
            </w:r>
          </w:p>
        </w:tc>
      </w:tr>
      <w:tr w:rsidR="000E6524" w:rsidRPr="00AD3737" w:rsidTr="004C6514">
        <w:trPr>
          <w:trHeight w:val="345"/>
        </w:trPr>
        <w:tc>
          <w:tcPr>
            <w:tcW w:w="608" w:type="pct"/>
            <w:vMerge w:val="restart"/>
            <w:tcBorders>
              <w:top w:val="single" w:sz="12" w:space="0" w:color="auto"/>
            </w:tcBorders>
            <w:vAlign w:val="center"/>
          </w:tcPr>
          <w:p w:rsidR="000E6524" w:rsidRPr="00420413" w:rsidRDefault="000E6524" w:rsidP="0076503C">
            <w:pPr>
              <w:keepNext/>
              <w:spacing w:after="0"/>
              <w:jc w:val="center"/>
              <w:rPr>
                <w:rFonts w:ascii="Times" w:hAnsi="Times"/>
                <w:i/>
                <w:sz w:val="18"/>
                <w:szCs w:val="18"/>
              </w:rPr>
            </w:pPr>
            <w:r>
              <w:rPr>
                <w:rFonts w:ascii="Times" w:hAnsi="Times"/>
                <w:sz w:val="18"/>
                <w:szCs w:val="18"/>
              </w:rPr>
              <w:t>Orlistat</w:t>
            </w:r>
          </w:p>
        </w:tc>
        <w:tc>
          <w:tcPr>
            <w:tcW w:w="696" w:type="pct"/>
            <w:vMerge w:val="restart"/>
            <w:tcBorders>
              <w:top w:val="single" w:sz="12" w:space="0" w:color="auto"/>
            </w:tcBorders>
            <w:vAlign w:val="center"/>
          </w:tcPr>
          <w:p w:rsidR="000E6524" w:rsidRPr="00B6607C" w:rsidRDefault="000E6524" w:rsidP="0076503C">
            <w:pPr>
              <w:keepNext/>
              <w:spacing w:after="0"/>
              <w:jc w:val="center"/>
              <w:rPr>
                <w:rFonts w:ascii="Times" w:hAnsi="Times"/>
                <w:sz w:val="18"/>
                <w:szCs w:val="18"/>
              </w:rPr>
            </w:pPr>
            <w:r w:rsidRPr="004F4BE3">
              <w:rPr>
                <w:rFonts w:ascii="Times" w:hAnsi="Times"/>
                <w:i/>
                <w:sz w:val="18"/>
              </w:rPr>
              <w:t>Orlistat</w:t>
            </w:r>
            <w:r>
              <w:rPr>
                <w:rFonts w:ascii="Times" w:hAnsi="Times"/>
                <w:sz w:val="18"/>
                <w:szCs w:val="18"/>
              </w:rPr>
              <w:t>-Based Anti-Obesity Products (Excluding Diet Products)</w:t>
            </w:r>
          </w:p>
        </w:tc>
        <w:tc>
          <w:tcPr>
            <w:tcW w:w="434" w:type="pct"/>
            <w:vMerge w:val="restart"/>
            <w:tcBorders>
              <w:top w:val="single" w:sz="12" w:space="0" w:color="auto"/>
            </w:tcBorders>
            <w:vAlign w:val="center"/>
          </w:tcPr>
          <w:p w:rsidR="000E6524" w:rsidRPr="00B6607C" w:rsidRDefault="000E6524" w:rsidP="0076503C">
            <w:pPr>
              <w:keepNext/>
              <w:spacing w:after="0"/>
              <w:jc w:val="center"/>
              <w:rPr>
                <w:rFonts w:ascii="Times" w:hAnsi="Times"/>
                <w:sz w:val="18"/>
                <w:szCs w:val="18"/>
              </w:rPr>
            </w:pPr>
            <w:r>
              <w:rPr>
                <w:rFonts w:ascii="Times" w:hAnsi="Times"/>
                <w:sz w:val="18"/>
                <w:szCs w:val="18"/>
              </w:rPr>
              <w:t>Group 1</w:t>
            </w:r>
          </w:p>
        </w:tc>
        <w:tc>
          <w:tcPr>
            <w:tcW w:w="523" w:type="pct"/>
            <w:tcBorders>
              <w:top w:val="single" w:sz="12" w:space="0" w:color="auto"/>
            </w:tcBorders>
            <w:vAlign w:val="center"/>
          </w:tcPr>
          <w:p w:rsidR="000E6524" w:rsidRPr="00213AF2" w:rsidRDefault="000E6524" w:rsidP="0076503C">
            <w:pPr>
              <w:keepNext/>
              <w:spacing w:after="0"/>
              <w:jc w:val="left"/>
              <w:rPr>
                <w:rFonts w:ascii="Times" w:hAnsi="Times"/>
                <w:sz w:val="18"/>
              </w:rPr>
            </w:pPr>
            <w:r>
              <w:rPr>
                <w:rFonts w:ascii="Times" w:hAnsi="Times"/>
                <w:sz w:val="18"/>
              </w:rPr>
              <w:t>2017</w:t>
            </w:r>
          </w:p>
        </w:tc>
        <w:tc>
          <w:tcPr>
            <w:tcW w:w="693" w:type="pct"/>
            <w:tcBorders>
              <w:top w:val="single" w:sz="12" w:space="0" w:color="auto"/>
            </w:tcBorders>
            <w:vAlign w:val="center"/>
          </w:tcPr>
          <w:p w:rsidR="000E6524" w:rsidRPr="00B6607C" w:rsidRDefault="000E6524" w:rsidP="000E6524">
            <w:pPr>
              <w:keepNext/>
              <w:spacing w:after="0"/>
              <w:jc w:val="center"/>
              <w:rPr>
                <w:rFonts w:ascii="Times" w:hAnsi="Times"/>
                <w:sz w:val="18"/>
                <w:szCs w:val="18"/>
              </w:rPr>
            </w:pPr>
            <w:r>
              <w:rPr>
                <w:rFonts w:ascii="Times" w:hAnsi="Times"/>
                <w:sz w:val="18"/>
                <w:szCs w:val="18"/>
              </w:rPr>
              <w:t>[40-50]% /[40-50]%</w:t>
            </w:r>
          </w:p>
        </w:tc>
        <w:tc>
          <w:tcPr>
            <w:tcW w:w="612" w:type="pct"/>
            <w:tcBorders>
              <w:top w:val="single" w:sz="12" w:space="0" w:color="auto"/>
            </w:tcBorders>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[30-40]% /[30-40]%</w:t>
            </w:r>
          </w:p>
        </w:tc>
        <w:tc>
          <w:tcPr>
            <w:tcW w:w="696" w:type="pct"/>
            <w:tcBorders>
              <w:top w:val="single" w:sz="12" w:space="0" w:color="auto"/>
            </w:tcBorders>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[30-40]% /[30-40]%</w:t>
            </w:r>
          </w:p>
        </w:tc>
        <w:tc>
          <w:tcPr>
            <w:tcW w:w="738" w:type="pct"/>
            <w:tcBorders>
              <w:top w:val="single" w:sz="12" w:space="0" w:color="auto"/>
            </w:tcBorders>
            <w:vAlign w:val="center"/>
          </w:tcPr>
          <w:p w:rsidR="000E6524" w:rsidRPr="00B6607C" w:rsidRDefault="000E6524" w:rsidP="0076503C">
            <w:pPr>
              <w:keepNext/>
              <w:spacing w:after="0"/>
              <w:jc w:val="center"/>
              <w:rPr>
                <w:rFonts w:ascii="Times" w:hAnsi="Times"/>
                <w:sz w:val="18"/>
                <w:szCs w:val="18"/>
              </w:rPr>
            </w:pPr>
            <w:r>
              <w:rPr>
                <w:rFonts w:ascii="Times" w:hAnsi="Times"/>
                <w:sz w:val="18"/>
                <w:szCs w:val="18"/>
              </w:rPr>
              <w:t>At least 2</w:t>
            </w:r>
          </w:p>
        </w:tc>
      </w:tr>
      <w:tr w:rsidR="000E6524" w:rsidRPr="00AD3737" w:rsidTr="0076503C">
        <w:trPr>
          <w:trHeight w:val="345"/>
        </w:trPr>
        <w:tc>
          <w:tcPr>
            <w:tcW w:w="608" w:type="pct"/>
            <w:vMerge/>
            <w:vAlign w:val="center"/>
          </w:tcPr>
          <w:p w:rsidR="000E6524" w:rsidRPr="00420413" w:rsidRDefault="000E6524" w:rsidP="0076503C">
            <w:pPr>
              <w:keepNext/>
              <w:spacing w:after="0"/>
              <w:jc w:val="center"/>
              <w:rPr>
                <w:rFonts w:ascii="Times" w:hAnsi="Times"/>
                <w:i/>
                <w:sz w:val="18"/>
                <w:szCs w:val="18"/>
              </w:rPr>
            </w:pPr>
          </w:p>
        </w:tc>
        <w:tc>
          <w:tcPr>
            <w:tcW w:w="696" w:type="pct"/>
            <w:vMerge/>
            <w:vAlign w:val="center"/>
          </w:tcPr>
          <w:p w:rsidR="000E6524" w:rsidRPr="00B6607C" w:rsidRDefault="000E6524" w:rsidP="0076503C">
            <w:pPr>
              <w:keepNext/>
              <w:spacing w:after="0"/>
              <w:jc w:val="center"/>
              <w:rPr>
                <w:rFonts w:ascii="Times" w:hAnsi="Times"/>
                <w:sz w:val="18"/>
                <w:szCs w:val="18"/>
              </w:rPr>
            </w:pPr>
          </w:p>
        </w:tc>
        <w:tc>
          <w:tcPr>
            <w:tcW w:w="434" w:type="pct"/>
            <w:vMerge/>
            <w:vAlign w:val="center"/>
          </w:tcPr>
          <w:p w:rsidR="000E6524" w:rsidRPr="00B6607C" w:rsidRDefault="000E6524" w:rsidP="0076503C">
            <w:pPr>
              <w:keepNext/>
              <w:spacing w:after="0"/>
              <w:jc w:val="center"/>
              <w:rPr>
                <w:rFonts w:ascii="Times" w:hAnsi="Times"/>
                <w:sz w:val="18"/>
                <w:szCs w:val="18"/>
              </w:rPr>
            </w:pPr>
          </w:p>
        </w:tc>
        <w:tc>
          <w:tcPr>
            <w:tcW w:w="523" w:type="pct"/>
            <w:vAlign w:val="center"/>
          </w:tcPr>
          <w:p w:rsidR="000E6524" w:rsidRPr="00213AF2" w:rsidRDefault="000E6524" w:rsidP="0076503C">
            <w:pPr>
              <w:keepNext/>
              <w:spacing w:after="0"/>
              <w:jc w:val="left"/>
              <w:rPr>
                <w:rFonts w:ascii="Times" w:hAnsi="Times"/>
                <w:sz w:val="18"/>
              </w:rPr>
            </w:pPr>
            <w:r>
              <w:rPr>
                <w:rFonts w:ascii="Times" w:hAnsi="Times"/>
                <w:sz w:val="18"/>
              </w:rPr>
              <w:t>2016</w:t>
            </w:r>
          </w:p>
        </w:tc>
        <w:tc>
          <w:tcPr>
            <w:tcW w:w="693" w:type="pct"/>
            <w:vAlign w:val="center"/>
          </w:tcPr>
          <w:p w:rsidR="000E6524" w:rsidRPr="00B6607C" w:rsidRDefault="000E6524" w:rsidP="000E6524">
            <w:pPr>
              <w:keepNext/>
              <w:spacing w:after="0"/>
              <w:jc w:val="center"/>
              <w:rPr>
                <w:rFonts w:ascii="Times" w:hAnsi="Times"/>
                <w:sz w:val="18"/>
                <w:szCs w:val="18"/>
              </w:rPr>
            </w:pPr>
            <w:r>
              <w:rPr>
                <w:rFonts w:ascii="Times" w:hAnsi="Times"/>
                <w:sz w:val="18"/>
                <w:szCs w:val="18"/>
              </w:rPr>
              <w:t>[10-20]% /[10-20]%</w:t>
            </w:r>
          </w:p>
        </w:tc>
        <w:tc>
          <w:tcPr>
            <w:tcW w:w="612" w:type="pct"/>
            <w:vAlign w:val="center"/>
          </w:tcPr>
          <w:p w:rsidR="000E6524" w:rsidRPr="00B6607C" w:rsidRDefault="000E6524" w:rsidP="000E6524">
            <w:pPr>
              <w:keepNext/>
              <w:spacing w:after="0"/>
              <w:jc w:val="center"/>
              <w:rPr>
                <w:rFonts w:ascii="Times" w:hAnsi="Times"/>
                <w:sz w:val="18"/>
                <w:szCs w:val="18"/>
              </w:rPr>
            </w:pPr>
            <w:r>
              <w:rPr>
                <w:rFonts w:ascii="Times" w:hAnsi="Times"/>
                <w:sz w:val="18"/>
                <w:szCs w:val="18"/>
              </w:rPr>
              <w:t>[5-10]% /[10-20]%</w:t>
            </w:r>
          </w:p>
        </w:tc>
        <w:tc>
          <w:tcPr>
            <w:tcW w:w="696"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[40-50]% /[50-60]%</w:t>
            </w:r>
          </w:p>
        </w:tc>
        <w:tc>
          <w:tcPr>
            <w:tcW w:w="738" w:type="pct"/>
            <w:vAlign w:val="center"/>
          </w:tcPr>
          <w:p w:rsidR="000E6524" w:rsidRPr="00B6607C" w:rsidRDefault="000E6524" w:rsidP="0076503C">
            <w:pPr>
              <w:keepNext/>
              <w:spacing w:after="0"/>
              <w:jc w:val="center"/>
              <w:rPr>
                <w:rFonts w:ascii="Times" w:hAnsi="Times"/>
                <w:sz w:val="18"/>
                <w:szCs w:val="18"/>
              </w:rPr>
            </w:pPr>
            <w:r>
              <w:rPr>
                <w:rFonts w:ascii="Times" w:hAnsi="Times"/>
                <w:sz w:val="18"/>
                <w:szCs w:val="18"/>
              </w:rPr>
              <w:t>At least 4</w:t>
            </w:r>
          </w:p>
        </w:tc>
      </w:tr>
      <w:tr w:rsidR="000E6524" w:rsidRPr="00AD3737" w:rsidTr="0076503C">
        <w:trPr>
          <w:trHeight w:val="345"/>
        </w:trPr>
        <w:tc>
          <w:tcPr>
            <w:tcW w:w="608" w:type="pct"/>
            <w:vMerge/>
            <w:vAlign w:val="center"/>
          </w:tcPr>
          <w:p w:rsidR="000E6524" w:rsidRPr="00420413" w:rsidRDefault="000E6524" w:rsidP="0076503C">
            <w:pPr>
              <w:keepNext/>
              <w:spacing w:after="0"/>
              <w:jc w:val="center"/>
              <w:rPr>
                <w:rFonts w:ascii="Times" w:hAnsi="Times"/>
                <w:i/>
                <w:sz w:val="18"/>
                <w:szCs w:val="18"/>
              </w:rPr>
            </w:pPr>
          </w:p>
        </w:tc>
        <w:tc>
          <w:tcPr>
            <w:tcW w:w="696" w:type="pct"/>
            <w:vMerge/>
            <w:vAlign w:val="center"/>
          </w:tcPr>
          <w:p w:rsidR="000E6524" w:rsidRPr="00B6607C" w:rsidRDefault="000E6524" w:rsidP="0076503C">
            <w:pPr>
              <w:keepNext/>
              <w:spacing w:after="0"/>
              <w:jc w:val="center"/>
              <w:rPr>
                <w:rFonts w:ascii="Times" w:hAnsi="Times"/>
                <w:sz w:val="18"/>
                <w:szCs w:val="18"/>
              </w:rPr>
            </w:pPr>
          </w:p>
        </w:tc>
        <w:tc>
          <w:tcPr>
            <w:tcW w:w="434" w:type="pct"/>
            <w:vMerge/>
            <w:vAlign w:val="center"/>
          </w:tcPr>
          <w:p w:rsidR="000E6524" w:rsidRPr="00B6607C" w:rsidRDefault="000E6524" w:rsidP="0076503C">
            <w:pPr>
              <w:keepNext/>
              <w:spacing w:after="0"/>
              <w:jc w:val="center"/>
              <w:rPr>
                <w:rFonts w:ascii="Times" w:hAnsi="Times"/>
                <w:sz w:val="18"/>
                <w:szCs w:val="18"/>
              </w:rPr>
            </w:pPr>
          </w:p>
        </w:tc>
        <w:tc>
          <w:tcPr>
            <w:tcW w:w="523" w:type="pct"/>
            <w:vAlign w:val="center"/>
          </w:tcPr>
          <w:p w:rsidR="000E6524" w:rsidRPr="00213AF2" w:rsidRDefault="000E6524" w:rsidP="0076503C">
            <w:pPr>
              <w:keepNext/>
              <w:spacing w:after="0"/>
              <w:jc w:val="left"/>
              <w:rPr>
                <w:rFonts w:ascii="Times" w:hAnsi="Times"/>
                <w:sz w:val="18"/>
              </w:rPr>
            </w:pPr>
            <w:r>
              <w:rPr>
                <w:rFonts w:ascii="Times" w:hAnsi="Times"/>
                <w:sz w:val="18"/>
              </w:rPr>
              <w:t>2015</w:t>
            </w:r>
          </w:p>
        </w:tc>
        <w:tc>
          <w:tcPr>
            <w:tcW w:w="693"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[30-40]% /[30-40]%</w:t>
            </w:r>
          </w:p>
        </w:tc>
        <w:tc>
          <w:tcPr>
            <w:tcW w:w="612"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[10-20]% /[10-20]%</w:t>
            </w:r>
          </w:p>
        </w:tc>
        <w:tc>
          <w:tcPr>
            <w:tcW w:w="696"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[40-50]% /[50-60]%</w:t>
            </w:r>
          </w:p>
        </w:tc>
        <w:tc>
          <w:tcPr>
            <w:tcW w:w="738" w:type="pct"/>
            <w:vAlign w:val="center"/>
          </w:tcPr>
          <w:p w:rsidR="000E6524" w:rsidRPr="00B6607C" w:rsidRDefault="000E6524" w:rsidP="0076503C">
            <w:pPr>
              <w:keepNext/>
              <w:spacing w:after="0"/>
              <w:jc w:val="center"/>
              <w:rPr>
                <w:rFonts w:ascii="Times" w:hAnsi="Times"/>
                <w:sz w:val="18"/>
                <w:szCs w:val="18"/>
              </w:rPr>
            </w:pPr>
            <w:r>
              <w:rPr>
                <w:rFonts w:ascii="Times" w:hAnsi="Times"/>
                <w:sz w:val="18"/>
                <w:szCs w:val="18"/>
              </w:rPr>
              <w:t>At least 3</w:t>
            </w:r>
          </w:p>
        </w:tc>
      </w:tr>
    </w:tbl>
    <w:p w:rsidR="007C4FE3" w:rsidRDefault="007C4FE3" w:rsidP="0080226D">
      <w:pPr>
        <w:pStyle w:val="ListNumber"/>
        <w:numPr>
          <w:ilvl w:val="0"/>
          <w:numId w:val="0"/>
        </w:numPr>
        <w:spacing w:after="0"/>
        <w:ind w:left="709"/>
      </w:pPr>
    </w:p>
    <w:p w:rsidR="0080226D" w:rsidRDefault="00482C68" w:rsidP="0080226D">
      <w:pPr>
        <w:pStyle w:val="ListNumber"/>
      </w:pPr>
      <w:r>
        <w:t>In 2017, t</w:t>
      </w:r>
      <w:r w:rsidR="0080226D">
        <w:t xml:space="preserve">he Parties' combined share is </w:t>
      </w:r>
      <w:r w:rsidR="000E6524">
        <w:t>[40-50]</w:t>
      </w:r>
      <w:r w:rsidR="0080226D">
        <w:t xml:space="preserve">% in value and </w:t>
      </w:r>
      <w:r w:rsidR="000E6524">
        <w:t>[50-60]</w:t>
      </w:r>
      <w:r w:rsidR="0080226D">
        <w:t xml:space="preserve">% in volume at the ATC 3 level and </w:t>
      </w:r>
      <w:r w:rsidR="000E6524">
        <w:t>[50-60]</w:t>
      </w:r>
      <w:r w:rsidR="0080226D">
        <w:t xml:space="preserve">% in both value and volume at molecule level.  </w:t>
      </w:r>
    </w:p>
    <w:p w:rsidR="00F2235D" w:rsidRDefault="00F2235D" w:rsidP="0080226D">
      <w:pPr>
        <w:pStyle w:val="ListNumber"/>
      </w:pPr>
      <w:r>
        <w:t xml:space="preserve">At least 2 competitors with a market share </w:t>
      </w:r>
      <w:r w:rsidR="003C719C">
        <w:t xml:space="preserve">of </w:t>
      </w:r>
      <w:r>
        <w:t>5%</w:t>
      </w:r>
      <w:r w:rsidR="003C719C">
        <w:t xml:space="preserve"> or more</w:t>
      </w:r>
      <w:r>
        <w:t xml:space="preserve"> in both value and volume will remain on the market at ATC3 and molecule level. </w:t>
      </w:r>
      <w:r w:rsidR="00481977">
        <w:t>T</w:t>
      </w:r>
      <w:r>
        <w:t xml:space="preserve">hese are Roche </w:t>
      </w:r>
      <w:r w:rsidR="00481977">
        <w:t xml:space="preserve">with its Rx product Xenical </w:t>
      </w:r>
      <w:r>
        <w:t>(</w:t>
      </w:r>
      <w:r w:rsidR="000E6524">
        <w:t>[20-30]</w:t>
      </w:r>
      <w:r>
        <w:t xml:space="preserve">% in value and </w:t>
      </w:r>
      <w:r w:rsidR="000E6524">
        <w:t>[20-30]</w:t>
      </w:r>
      <w:r>
        <w:t>% in volume at ATC3 level</w:t>
      </w:r>
      <w:r w:rsidR="00481977">
        <w:t xml:space="preserve">; </w:t>
      </w:r>
      <w:r w:rsidR="000E6524">
        <w:t>[30-40]</w:t>
      </w:r>
      <w:r w:rsidR="00481977">
        <w:t xml:space="preserve">% in value and </w:t>
      </w:r>
      <w:r w:rsidR="000E6524">
        <w:t>[20-30]</w:t>
      </w:r>
      <w:r w:rsidR="00481977">
        <w:t>% in volume at molecule level</w:t>
      </w:r>
      <w:r>
        <w:t>) and Sanofi</w:t>
      </w:r>
      <w:r w:rsidR="00481977">
        <w:t xml:space="preserve"> with its Rx product Orlistato Zva</w:t>
      </w:r>
      <w:r>
        <w:t xml:space="preserve"> (</w:t>
      </w:r>
      <w:r w:rsidR="000E6524">
        <w:t>[5-10]</w:t>
      </w:r>
      <w:r>
        <w:t xml:space="preserve">% in value and </w:t>
      </w:r>
      <w:r w:rsidR="000E6524">
        <w:t>[</w:t>
      </w:r>
      <w:r>
        <w:t>10</w:t>
      </w:r>
      <w:r w:rsidR="000E6524">
        <w:t>-20]</w:t>
      </w:r>
      <w:r>
        <w:t>% in volume</w:t>
      </w:r>
      <w:r w:rsidR="00481977">
        <w:t xml:space="preserve"> at ATC3 level; </w:t>
      </w:r>
      <w:r w:rsidR="000E6524">
        <w:t>[5-10]</w:t>
      </w:r>
      <w:r w:rsidR="00481977">
        <w:t xml:space="preserve">% in value and </w:t>
      </w:r>
      <w:r w:rsidR="000E6524">
        <w:t>[</w:t>
      </w:r>
      <w:r w:rsidR="00481977">
        <w:t>10</w:t>
      </w:r>
      <w:r w:rsidR="000E6524">
        <w:t>-20]</w:t>
      </w:r>
      <w:r w:rsidR="00481977">
        <w:t>% in volume</w:t>
      </w:r>
      <w:r>
        <w:t xml:space="preserve">). </w:t>
      </w:r>
      <w:r w:rsidR="00481977">
        <w:t xml:space="preserve">Sanofi's market share has been increasing over the last three years from </w:t>
      </w:r>
      <w:r w:rsidR="000E6524">
        <w:t>[0-5]</w:t>
      </w:r>
      <w:r w:rsidR="00481977">
        <w:t xml:space="preserve">% to </w:t>
      </w:r>
      <w:r w:rsidR="000E6524">
        <w:t>[5-10]</w:t>
      </w:r>
      <w:r w:rsidR="00481977">
        <w:t xml:space="preserve">% in value and from </w:t>
      </w:r>
      <w:r w:rsidR="000E6524">
        <w:t>[0-5]</w:t>
      </w:r>
      <w:r w:rsidR="00481977">
        <w:t xml:space="preserve">% to </w:t>
      </w:r>
      <w:r w:rsidR="000E6524">
        <w:t>[</w:t>
      </w:r>
      <w:r w:rsidR="00481977">
        <w:t>10</w:t>
      </w:r>
      <w:r w:rsidR="000E6524">
        <w:t>-20]</w:t>
      </w:r>
      <w:r w:rsidR="00481977">
        <w:t xml:space="preserve">% in volume. </w:t>
      </w:r>
      <w:r>
        <w:t xml:space="preserve">Novo Nordisk also recently entered the </w:t>
      </w:r>
      <w:r w:rsidR="00481977">
        <w:t>A8A market, and had</w:t>
      </w:r>
      <w:r>
        <w:t xml:space="preserve"> a market share of </w:t>
      </w:r>
      <w:r w:rsidR="000E6524">
        <w:t>[10-20]</w:t>
      </w:r>
      <w:r>
        <w:t>% in value</w:t>
      </w:r>
      <w:r w:rsidR="0038268E">
        <w:t xml:space="preserve"> and </w:t>
      </w:r>
      <w:r w:rsidR="000E6524">
        <w:t>[0-5]</w:t>
      </w:r>
      <w:r w:rsidR="0038268E">
        <w:t xml:space="preserve">% in volume </w:t>
      </w:r>
      <w:r>
        <w:t>in 2017.</w:t>
      </w:r>
      <w:r w:rsidR="00481977">
        <w:t xml:space="preserve"> </w:t>
      </w:r>
    </w:p>
    <w:p w:rsidR="0080226D" w:rsidRDefault="0080226D" w:rsidP="0080226D">
      <w:pPr>
        <w:pStyle w:val="ListNumber"/>
      </w:pPr>
      <w:r>
        <w:t xml:space="preserve">The majority of competitors responding in the market investigation suggested the Parties' products do not compete closely (if at all) because Teva's product is a </w:t>
      </w:r>
      <w:r>
        <w:lastRenderedPageBreak/>
        <w:t>prescription drug and PGT's product is sold OTC.</w:t>
      </w:r>
      <w:r>
        <w:rPr>
          <w:rStyle w:val="FootnoteReference"/>
        </w:rPr>
        <w:footnoteReference w:id="104"/>
      </w:r>
      <w:r>
        <w:t xml:space="preserve">  The market investigation suggested that </w:t>
      </w:r>
      <w:r w:rsidR="00481977">
        <w:t>although the products have the same brand name and molecule, they</w:t>
      </w:r>
      <w:r>
        <w:t xml:space="preserve"> are differentiated in terms of pack design</w:t>
      </w:r>
      <w:r w:rsidR="008A5E07">
        <w:t>, dosage</w:t>
      </w:r>
      <w:r w:rsidR="0006041C">
        <w:t xml:space="preserve"> and pricing</w:t>
      </w:r>
      <w:r>
        <w:t>.</w:t>
      </w:r>
      <w:r>
        <w:rPr>
          <w:rStyle w:val="FootnoteReference"/>
        </w:rPr>
        <w:footnoteReference w:id="105"/>
      </w:r>
      <w:r>
        <w:t xml:space="preserve">  </w:t>
      </w:r>
      <w:r w:rsidR="00EC45D3">
        <w:t>According to the market investigation, the therapeutic indications of the two products are different.</w:t>
      </w:r>
      <w:r w:rsidR="00EC45D3">
        <w:rPr>
          <w:rStyle w:val="FootnoteReference"/>
        </w:rPr>
        <w:footnoteReference w:id="106"/>
      </w:r>
      <w:r w:rsidR="00EC45D3">
        <w:t xml:space="preserve"> </w:t>
      </w:r>
      <w:r w:rsidR="008A5E07">
        <w:t xml:space="preserve">PGT OTC product is indicated for </w:t>
      </w:r>
      <w:r w:rsidR="007469F8">
        <w:t xml:space="preserve">overweight </w:t>
      </w:r>
      <w:r w:rsidR="008A5E07">
        <w:t>patients, while Teva Rx product is indicated for obese patients or overweight patients having associated risk factors.</w:t>
      </w:r>
      <w:r w:rsidR="00EC45D3" w:rsidRPr="00EC45D3">
        <w:rPr>
          <w:rStyle w:val="FootnoteReference"/>
        </w:rPr>
        <w:t xml:space="preserve"> </w:t>
      </w:r>
    </w:p>
    <w:p w:rsidR="0080226D" w:rsidRDefault="0080226D" w:rsidP="0080226D">
      <w:pPr>
        <w:pStyle w:val="ListNumber"/>
      </w:pPr>
      <w:r>
        <w:t>Finally, the market investigation has not indicated that the Transaction will have an impact on the price or the availability of the products in the market.</w:t>
      </w:r>
      <w:r>
        <w:rPr>
          <w:rStyle w:val="FootnoteReference"/>
        </w:rPr>
        <w:footnoteReference w:id="107"/>
      </w:r>
      <w:r>
        <w:t xml:space="preserve"> </w:t>
      </w:r>
    </w:p>
    <w:p w:rsidR="0080226D" w:rsidRPr="0088775C" w:rsidRDefault="00814F0F" w:rsidP="0080226D">
      <w:pPr>
        <w:pStyle w:val="ListNumber"/>
      </w:pPr>
      <w:r w:rsidRPr="00546F00">
        <w:rPr>
          <w:rFonts w:ascii="Times" w:hAnsi="Times"/>
          <w:szCs w:val="24"/>
        </w:rPr>
        <w:t xml:space="preserve">In view of the above, the Commission concludes that </w:t>
      </w:r>
      <w:r>
        <w:rPr>
          <w:rFonts w:ascii="Times" w:hAnsi="Times"/>
          <w:szCs w:val="24"/>
        </w:rPr>
        <w:t>the Transaction does not raise serious doubts as to its compatibility with the internal market regarding</w:t>
      </w:r>
      <w:r w:rsidR="0080226D">
        <w:t xml:space="preserve"> anti-obesity products in Portugal.</w:t>
      </w:r>
    </w:p>
    <w:p w:rsidR="0080226D" w:rsidRPr="006F61CB" w:rsidRDefault="0080226D" w:rsidP="00420413">
      <w:pPr>
        <w:pStyle w:val="Heading3"/>
        <w:tabs>
          <w:tab w:val="clear" w:pos="1920"/>
          <w:tab w:val="num" w:pos="709"/>
        </w:tabs>
        <w:ind w:left="709" w:hanging="709"/>
      </w:pPr>
      <w:bookmarkStart w:id="307" w:name="_Toc517444582"/>
      <w:bookmarkStart w:id="308" w:name="_Ref517683848"/>
      <w:bookmarkStart w:id="309" w:name="_Toc517710531"/>
      <w:bookmarkStart w:id="310" w:name="_Toc517812964"/>
      <w:r>
        <w:t xml:space="preserve">Paracetamol-based </w:t>
      </w:r>
      <w:r w:rsidR="003B0B1F">
        <w:t>general pain relief</w:t>
      </w:r>
      <w:r>
        <w:t xml:space="preserve"> in Austria</w:t>
      </w:r>
      <w:bookmarkEnd w:id="307"/>
      <w:bookmarkEnd w:id="308"/>
      <w:bookmarkEnd w:id="309"/>
      <w:bookmarkEnd w:id="310"/>
    </w:p>
    <w:p w:rsidR="0080226D" w:rsidRDefault="0080226D" w:rsidP="00420413">
      <w:pPr>
        <w:pStyle w:val="Heading4"/>
      </w:pPr>
      <w:bookmarkStart w:id="311" w:name="_Toc517710532"/>
      <w:bookmarkStart w:id="312" w:name="_Toc517812965"/>
      <w:r>
        <w:t>Market definition</w:t>
      </w:r>
      <w:bookmarkEnd w:id="311"/>
      <w:bookmarkEnd w:id="312"/>
    </w:p>
    <w:p w:rsidR="0080226D" w:rsidRDefault="00D46546" w:rsidP="00420413">
      <w:pPr>
        <w:pStyle w:val="ListNumber"/>
        <w:keepNext/>
      </w:pPr>
      <w:r>
        <w:t>See</w:t>
      </w:r>
      <w:r w:rsidR="003B0B1F">
        <w:t xml:space="preserve"> </w:t>
      </w:r>
      <w:r w:rsidR="0006041C">
        <w:t>paragraph</w:t>
      </w:r>
      <w:r w:rsidR="003B0B1F">
        <w:t xml:space="preserve"> </w:t>
      </w:r>
      <w:r w:rsidR="003B0B1F">
        <w:fldChar w:fldCharType="begin"/>
      </w:r>
      <w:r w:rsidR="003B0B1F">
        <w:instrText xml:space="preserve"> REF _Ref517709551 \r \h </w:instrText>
      </w:r>
      <w:r w:rsidR="003B0B1F">
        <w:fldChar w:fldCharType="separate"/>
      </w:r>
      <w:r w:rsidR="00FE3ACD">
        <w:t>(48)</w:t>
      </w:r>
      <w:r w:rsidR="003B0B1F">
        <w:fldChar w:fldCharType="end"/>
      </w:r>
      <w:r w:rsidR="003B0B1F">
        <w:t xml:space="preserve"> </w:t>
      </w:r>
      <w:r>
        <w:t>above regarding</w:t>
      </w:r>
      <w:r w:rsidR="003B0B1F">
        <w:t xml:space="preserve"> market definition for general pain relief products.</w:t>
      </w:r>
    </w:p>
    <w:p w:rsidR="0080226D" w:rsidRPr="00E83E23" w:rsidRDefault="0080226D" w:rsidP="0080226D">
      <w:pPr>
        <w:pStyle w:val="ListNumber"/>
      </w:pPr>
      <w:r>
        <w:t>F</w:t>
      </w:r>
      <w:r w:rsidRPr="00AC4CB2">
        <w:t>or the purposes of the present case, the exact market definition can be left open</w:t>
      </w:r>
      <w:r>
        <w:t xml:space="preserve">.  No serious </w:t>
      </w:r>
      <w:r w:rsidRPr="00AC4CB2">
        <w:t>doubts arise under any plausible alternative market definition</w:t>
      </w:r>
      <w:r>
        <w:t xml:space="preserve"> (namely, at ATC3</w:t>
      </w:r>
      <w:r w:rsidR="00947A31">
        <w:t>, ATC4, OTC3, or molecule level</w:t>
      </w:r>
      <w:r>
        <w:t xml:space="preserve">). </w:t>
      </w:r>
    </w:p>
    <w:p w:rsidR="0080226D" w:rsidRDefault="0080226D" w:rsidP="0080226D">
      <w:pPr>
        <w:pStyle w:val="Heading4"/>
        <w:keepNext w:val="0"/>
      </w:pPr>
      <w:bookmarkStart w:id="313" w:name="_Toc517710533"/>
      <w:bookmarkStart w:id="314" w:name="_Toc517812966"/>
      <w:r>
        <w:t>Parties' products</w:t>
      </w:r>
      <w:bookmarkEnd w:id="313"/>
      <w:bookmarkEnd w:id="314"/>
    </w:p>
    <w:p w:rsidR="0080226D" w:rsidRDefault="0080226D" w:rsidP="0080226D">
      <w:pPr>
        <w:pStyle w:val="ListNumber"/>
      </w:pPr>
      <w:r>
        <w:t xml:space="preserve">For the Parties' OTC products, </w:t>
      </w:r>
      <w:r w:rsidR="00D46546">
        <w:t>see</w:t>
      </w:r>
      <w:r>
        <w:t xml:space="preserve"> section </w:t>
      </w:r>
      <w:r>
        <w:fldChar w:fldCharType="begin"/>
      </w:r>
      <w:r>
        <w:instrText xml:space="preserve"> REF _Ref517365119 \r \h </w:instrText>
      </w:r>
      <w:r>
        <w:fldChar w:fldCharType="separate"/>
      </w:r>
      <w:r w:rsidR="00FE3ACD">
        <w:t>4.4.2.2</w:t>
      </w:r>
      <w:r>
        <w:fldChar w:fldCharType="end"/>
      </w:r>
      <w:r>
        <w:t xml:space="preserve"> above. Teva also supplies </w:t>
      </w:r>
      <w:r w:rsidRPr="004B24C9">
        <w:rPr>
          <w:i/>
        </w:rPr>
        <w:t>paracetamol</w:t>
      </w:r>
      <w:r>
        <w:t xml:space="preserve"> based product Mexalen under prescription in Austria in rectal systemic form, for adults, children</w:t>
      </w:r>
      <w:r w:rsidR="00601821">
        <w:t>,</w:t>
      </w:r>
      <w:r>
        <w:t xml:space="preserve"> and babies.</w:t>
      </w:r>
    </w:p>
    <w:p w:rsidR="0080226D" w:rsidRDefault="0080226D" w:rsidP="00E50CAD">
      <w:pPr>
        <w:pStyle w:val="Heading4"/>
      </w:pPr>
      <w:bookmarkStart w:id="315" w:name="_Toc517710534"/>
      <w:bookmarkStart w:id="316" w:name="_Toc517812967"/>
      <w:r>
        <w:t>Competitive assessment</w:t>
      </w:r>
      <w:bookmarkEnd w:id="315"/>
      <w:bookmarkEnd w:id="316"/>
    </w:p>
    <w:p w:rsidR="0080226D" w:rsidRDefault="0080226D" w:rsidP="00E50CAD">
      <w:pPr>
        <w:pStyle w:val="ListNumber"/>
        <w:keepNext/>
      </w:pPr>
      <w:r>
        <w:t>For the assessment of the possible impact of the Transaction at the ATC3 and ATC4 level</w:t>
      </w:r>
      <w:r w:rsidR="00922352">
        <w:t xml:space="preserve"> regarding OTC v. OTC overlaps,</w:t>
      </w:r>
      <w:r>
        <w:t xml:space="preserve"> </w:t>
      </w:r>
      <w:r w:rsidR="00D46546">
        <w:t xml:space="preserve">see </w:t>
      </w:r>
      <w:r>
        <w:t xml:space="preserve">section </w:t>
      </w:r>
      <w:r w:rsidR="000E7180">
        <w:fldChar w:fldCharType="begin"/>
      </w:r>
      <w:r w:rsidR="000E7180">
        <w:instrText xml:space="preserve"> REF _Ref517814671 \r \h </w:instrText>
      </w:r>
      <w:r w:rsidR="000E7180">
        <w:fldChar w:fldCharType="separate"/>
      </w:r>
      <w:r w:rsidR="00FE3ACD">
        <w:t>4.4.2.3</w:t>
      </w:r>
      <w:r w:rsidR="000E7180">
        <w:fldChar w:fldCharType="end"/>
      </w:r>
      <w:r>
        <w:t xml:space="preserve"> above. At molecule level, the Transaction gives rise to a Group1 market for </w:t>
      </w:r>
      <w:r w:rsidRPr="00420413">
        <w:rPr>
          <w:i/>
        </w:rPr>
        <w:t xml:space="preserve">paracetamol </w:t>
      </w:r>
      <w:r>
        <w:t>based products, should OTC and R</w:t>
      </w:r>
      <w:r w:rsidR="00922352">
        <w:t>x</w:t>
      </w:r>
      <w:r>
        <w:t xml:space="preserve"> be part of the same relevant market.</w:t>
      </w:r>
    </w:p>
    <w:p w:rsidR="0080226D" w:rsidRDefault="0080226D" w:rsidP="0080226D">
      <w:pPr>
        <w:pStyle w:val="ListNumber"/>
      </w:pPr>
      <w:r>
        <w:t>The Table below presents the Parties' market shares for paracetamol based products in Austria</w:t>
      </w:r>
      <w:r w:rsidR="00B91E12">
        <w:t xml:space="preserve"> in 2015-2017: </w:t>
      </w:r>
    </w:p>
    <w:tbl>
      <w:tblPr>
        <w:tblStyle w:val="TableGrid"/>
        <w:tblW w:w="4618" w:type="pct"/>
        <w:tblInd w:w="675" w:type="dxa"/>
        <w:tblLayout w:type="fixed"/>
        <w:tblLook w:val="04A0" w:firstRow="1" w:lastRow="0" w:firstColumn="1" w:lastColumn="0" w:noHBand="0" w:noVBand="1"/>
      </w:tblPr>
      <w:tblGrid>
        <w:gridCol w:w="992"/>
        <w:gridCol w:w="1136"/>
        <w:gridCol w:w="708"/>
        <w:gridCol w:w="853"/>
        <w:gridCol w:w="1131"/>
        <w:gridCol w:w="999"/>
        <w:gridCol w:w="1136"/>
        <w:gridCol w:w="1204"/>
      </w:tblGrid>
      <w:tr w:rsidR="0053261E" w:rsidRPr="00AD3737" w:rsidTr="0076503C">
        <w:trPr>
          <w:tblHeader/>
        </w:trPr>
        <w:tc>
          <w:tcPr>
            <w:tcW w:w="608" w:type="pct"/>
            <w:vMerge w:val="restart"/>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r w:rsidRPr="00B6607C">
              <w:rPr>
                <w:rFonts w:ascii="Times" w:hAnsi="Times"/>
                <w:b/>
                <w:sz w:val="18"/>
                <w:szCs w:val="18"/>
              </w:rPr>
              <w:lastRenderedPageBreak/>
              <w:t>OTC3</w:t>
            </w:r>
          </w:p>
          <w:p w:rsidR="0053261E" w:rsidRPr="00B6607C" w:rsidRDefault="0053261E" w:rsidP="0076503C">
            <w:pPr>
              <w:keepNext/>
              <w:snapToGrid w:val="0"/>
              <w:spacing w:after="0"/>
              <w:jc w:val="center"/>
              <w:rPr>
                <w:rFonts w:ascii="Times" w:hAnsi="Times"/>
                <w:b/>
                <w:sz w:val="18"/>
                <w:szCs w:val="18"/>
              </w:rPr>
            </w:pPr>
            <w:r w:rsidRPr="00B6607C">
              <w:rPr>
                <w:rFonts w:ascii="Times" w:hAnsi="Times"/>
                <w:b/>
                <w:sz w:val="18"/>
                <w:szCs w:val="18"/>
              </w:rPr>
              <w:t>ATC3</w:t>
            </w:r>
          </w:p>
          <w:p w:rsidR="0053261E" w:rsidRPr="00B6607C" w:rsidRDefault="0053261E" w:rsidP="0076503C">
            <w:pPr>
              <w:keepNext/>
              <w:snapToGrid w:val="0"/>
              <w:spacing w:after="0"/>
              <w:jc w:val="center"/>
              <w:rPr>
                <w:rFonts w:ascii="Times" w:hAnsi="Times"/>
                <w:b/>
                <w:sz w:val="18"/>
                <w:szCs w:val="18"/>
              </w:rPr>
            </w:pPr>
            <w:r w:rsidRPr="00B6607C">
              <w:rPr>
                <w:rFonts w:ascii="Times" w:hAnsi="Times"/>
                <w:b/>
                <w:sz w:val="18"/>
                <w:szCs w:val="18"/>
              </w:rPr>
              <w:t>ATC4</w:t>
            </w:r>
          </w:p>
          <w:p w:rsidR="0053261E" w:rsidRPr="00B6607C" w:rsidRDefault="0053261E" w:rsidP="0076503C">
            <w:pPr>
              <w:keepNext/>
              <w:snapToGrid w:val="0"/>
              <w:spacing w:after="0"/>
              <w:jc w:val="center"/>
              <w:rPr>
                <w:rFonts w:ascii="Times" w:hAnsi="Times"/>
                <w:b/>
                <w:sz w:val="18"/>
                <w:szCs w:val="18"/>
              </w:rPr>
            </w:pPr>
            <w:r w:rsidRPr="00B6607C">
              <w:rPr>
                <w:rFonts w:ascii="Times" w:hAnsi="Times"/>
                <w:b/>
                <w:sz w:val="18"/>
                <w:szCs w:val="18"/>
              </w:rPr>
              <w:t>Molecule</w:t>
            </w:r>
          </w:p>
        </w:tc>
        <w:tc>
          <w:tcPr>
            <w:tcW w:w="696" w:type="pct"/>
            <w:vMerge w:val="restart"/>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r w:rsidRPr="00B6607C">
              <w:rPr>
                <w:rFonts w:ascii="Times" w:hAnsi="Times"/>
                <w:b/>
                <w:sz w:val="18"/>
                <w:szCs w:val="18"/>
              </w:rPr>
              <w:t>Category Description</w:t>
            </w:r>
          </w:p>
        </w:tc>
        <w:tc>
          <w:tcPr>
            <w:tcW w:w="434" w:type="pct"/>
            <w:vMerge w:val="restart"/>
            <w:shd w:val="clear" w:color="auto" w:fill="D9D9D9" w:themeFill="background1" w:themeFillShade="D9"/>
            <w:textDirection w:val="btLr"/>
            <w:vAlign w:val="center"/>
          </w:tcPr>
          <w:p w:rsidR="0053261E" w:rsidRPr="00B6607C" w:rsidRDefault="0053261E" w:rsidP="0076503C">
            <w:pPr>
              <w:keepNext/>
              <w:snapToGrid w:val="0"/>
              <w:spacing w:after="0"/>
              <w:ind w:left="113" w:right="113"/>
              <w:jc w:val="center"/>
              <w:rPr>
                <w:rFonts w:ascii="Times" w:hAnsi="Times"/>
                <w:b/>
                <w:sz w:val="18"/>
                <w:szCs w:val="18"/>
              </w:rPr>
            </w:pPr>
            <w:r>
              <w:rPr>
                <w:rFonts w:ascii="Times" w:hAnsi="Times"/>
                <w:b/>
                <w:sz w:val="18"/>
                <w:szCs w:val="18"/>
              </w:rPr>
              <w:t>Market Group</w:t>
            </w:r>
          </w:p>
        </w:tc>
        <w:tc>
          <w:tcPr>
            <w:tcW w:w="523" w:type="pct"/>
            <w:vMerge w:val="restart"/>
            <w:shd w:val="clear" w:color="auto" w:fill="D9D9D9" w:themeFill="background1" w:themeFillShade="D9"/>
            <w:vAlign w:val="center"/>
          </w:tcPr>
          <w:p w:rsidR="0053261E" w:rsidRDefault="0053261E" w:rsidP="0076503C">
            <w:pPr>
              <w:keepNext/>
              <w:snapToGrid w:val="0"/>
              <w:spacing w:after="0"/>
              <w:jc w:val="center"/>
              <w:rPr>
                <w:rFonts w:ascii="Times" w:hAnsi="Times"/>
                <w:b/>
                <w:sz w:val="18"/>
                <w:szCs w:val="18"/>
              </w:rPr>
            </w:pPr>
            <w:r>
              <w:rPr>
                <w:rFonts w:ascii="Times" w:hAnsi="Times"/>
                <w:b/>
                <w:sz w:val="18"/>
                <w:szCs w:val="18"/>
              </w:rPr>
              <w:t>Year</w:t>
            </w:r>
          </w:p>
        </w:tc>
        <w:tc>
          <w:tcPr>
            <w:tcW w:w="2001" w:type="pct"/>
            <w:gridSpan w:val="3"/>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r w:rsidRPr="00B6607C">
              <w:rPr>
                <w:rFonts w:ascii="Times" w:hAnsi="Times"/>
                <w:b/>
                <w:sz w:val="18"/>
                <w:szCs w:val="18"/>
              </w:rPr>
              <w:t>Market Shares (Value/Volume)</w:t>
            </w:r>
          </w:p>
        </w:tc>
        <w:tc>
          <w:tcPr>
            <w:tcW w:w="738" w:type="pct"/>
            <w:vMerge w:val="restart"/>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r w:rsidRPr="00B6607C">
              <w:rPr>
                <w:rFonts w:ascii="Times" w:hAnsi="Times"/>
                <w:b/>
                <w:sz w:val="18"/>
                <w:szCs w:val="18"/>
              </w:rPr>
              <w:t>Number of Competitors &gt; 5%</w:t>
            </w:r>
          </w:p>
        </w:tc>
      </w:tr>
      <w:tr w:rsidR="0053261E" w:rsidRPr="00AD3737" w:rsidTr="0076503C">
        <w:trPr>
          <w:tblHeader/>
        </w:trPr>
        <w:tc>
          <w:tcPr>
            <w:tcW w:w="608" w:type="pct"/>
            <w:vMerge/>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p>
        </w:tc>
        <w:tc>
          <w:tcPr>
            <w:tcW w:w="696" w:type="pct"/>
            <w:vMerge/>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p>
        </w:tc>
        <w:tc>
          <w:tcPr>
            <w:tcW w:w="434" w:type="pct"/>
            <w:vMerge/>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p>
        </w:tc>
        <w:tc>
          <w:tcPr>
            <w:tcW w:w="523" w:type="pct"/>
            <w:vMerge/>
            <w:shd w:val="clear" w:color="auto" w:fill="D9D9D9" w:themeFill="background1" w:themeFillShade="D9"/>
          </w:tcPr>
          <w:p w:rsidR="0053261E" w:rsidRPr="00B6607C" w:rsidRDefault="0053261E" w:rsidP="0076503C">
            <w:pPr>
              <w:keepNext/>
              <w:snapToGrid w:val="0"/>
              <w:spacing w:after="0"/>
              <w:jc w:val="center"/>
              <w:rPr>
                <w:rFonts w:ascii="Times" w:hAnsi="Times"/>
                <w:b/>
                <w:sz w:val="18"/>
                <w:szCs w:val="18"/>
              </w:rPr>
            </w:pPr>
          </w:p>
        </w:tc>
        <w:tc>
          <w:tcPr>
            <w:tcW w:w="693" w:type="pct"/>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r w:rsidRPr="00B6607C">
              <w:rPr>
                <w:rFonts w:ascii="Times" w:hAnsi="Times"/>
                <w:b/>
                <w:sz w:val="18"/>
                <w:szCs w:val="18"/>
              </w:rPr>
              <w:t>Teva</w:t>
            </w:r>
          </w:p>
        </w:tc>
        <w:tc>
          <w:tcPr>
            <w:tcW w:w="612" w:type="pct"/>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r w:rsidRPr="00B6607C">
              <w:rPr>
                <w:rFonts w:ascii="Times" w:hAnsi="Times"/>
                <w:b/>
                <w:sz w:val="18"/>
                <w:szCs w:val="18"/>
              </w:rPr>
              <w:t>Target</w:t>
            </w:r>
          </w:p>
        </w:tc>
        <w:tc>
          <w:tcPr>
            <w:tcW w:w="696" w:type="pct"/>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r>
              <w:rPr>
                <w:rFonts w:ascii="Times" w:hAnsi="Times"/>
                <w:b/>
                <w:sz w:val="18"/>
                <w:szCs w:val="18"/>
              </w:rPr>
              <w:t>Combine</w:t>
            </w:r>
            <w:r w:rsidRPr="00B6607C">
              <w:rPr>
                <w:rFonts w:ascii="Times" w:hAnsi="Times"/>
                <w:b/>
                <w:sz w:val="18"/>
                <w:szCs w:val="18"/>
              </w:rPr>
              <w:t>d</w:t>
            </w:r>
          </w:p>
        </w:tc>
        <w:tc>
          <w:tcPr>
            <w:tcW w:w="738" w:type="pct"/>
            <w:vMerge/>
            <w:shd w:val="clear" w:color="auto" w:fill="D9D9D9" w:themeFill="background1" w:themeFillShade="D9"/>
            <w:vAlign w:val="center"/>
          </w:tcPr>
          <w:p w:rsidR="0053261E" w:rsidRPr="00B6607C" w:rsidRDefault="0053261E" w:rsidP="0076503C">
            <w:pPr>
              <w:keepNext/>
              <w:snapToGrid w:val="0"/>
              <w:spacing w:after="0"/>
              <w:jc w:val="center"/>
              <w:rPr>
                <w:rFonts w:ascii="Times" w:hAnsi="Times"/>
                <w:b/>
                <w:sz w:val="18"/>
                <w:szCs w:val="18"/>
              </w:rPr>
            </w:pPr>
          </w:p>
        </w:tc>
      </w:tr>
      <w:tr w:rsidR="000E6524" w:rsidRPr="00AD3737" w:rsidTr="0076503C">
        <w:trPr>
          <w:trHeight w:val="345"/>
        </w:trPr>
        <w:tc>
          <w:tcPr>
            <w:tcW w:w="608" w:type="pct"/>
            <w:vMerge w:val="restart"/>
            <w:vAlign w:val="center"/>
          </w:tcPr>
          <w:p w:rsidR="000E6524" w:rsidRPr="0053261E" w:rsidRDefault="000E6524" w:rsidP="0076503C">
            <w:pPr>
              <w:keepNext/>
              <w:spacing w:after="0"/>
              <w:jc w:val="center"/>
              <w:rPr>
                <w:rFonts w:ascii="Times" w:hAnsi="Times"/>
                <w:i/>
                <w:sz w:val="18"/>
                <w:szCs w:val="18"/>
              </w:rPr>
            </w:pPr>
            <w:r w:rsidRPr="0053261E">
              <w:rPr>
                <w:rFonts w:ascii="Times" w:hAnsi="Times"/>
                <w:i/>
                <w:sz w:val="18"/>
                <w:szCs w:val="18"/>
              </w:rPr>
              <w:t>Paracetamol</w:t>
            </w:r>
          </w:p>
        </w:tc>
        <w:tc>
          <w:tcPr>
            <w:tcW w:w="696" w:type="pct"/>
            <w:vMerge w:val="restart"/>
          </w:tcPr>
          <w:p w:rsidR="000E6524" w:rsidRPr="00E97873" w:rsidRDefault="000E6524" w:rsidP="0076503C">
            <w:pPr>
              <w:keepNext/>
              <w:spacing w:after="0"/>
              <w:jc w:val="center"/>
              <w:rPr>
                <w:rFonts w:ascii="Times" w:hAnsi="Times"/>
                <w:sz w:val="18"/>
                <w:szCs w:val="18"/>
                <w:lang w:val="en-GB"/>
              </w:rPr>
            </w:pPr>
            <w:r w:rsidRPr="00420413">
              <w:rPr>
                <w:rFonts w:ascii="Times" w:hAnsi="Times"/>
                <w:i/>
                <w:sz w:val="18"/>
                <w:szCs w:val="20"/>
              </w:rPr>
              <w:t>Paracetamol</w:t>
            </w:r>
            <w:r w:rsidRPr="00420413">
              <w:rPr>
                <w:rFonts w:ascii="Times" w:hAnsi="Times"/>
                <w:sz w:val="18"/>
                <w:szCs w:val="18"/>
              </w:rPr>
              <w:t xml:space="preserve"> based general pain relief products (Rx and OTC)</w:t>
            </w:r>
          </w:p>
        </w:tc>
        <w:tc>
          <w:tcPr>
            <w:tcW w:w="434" w:type="pct"/>
            <w:vMerge w:val="restart"/>
            <w:vAlign w:val="center"/>
          </w:tcPr>
          <w:p w:rsidR="000E6524" w:rsidRPr="00B6607C" w:rsidRDefault="000E6524" w:rsidP="0076503C">
            <w:pPr>
              <w:keepNext/>
              <w:spacing w:after="0"/>
              <w:jc w:val="center"/>
              <w:rPr>
                <w:rFonts w:ascii="Times" w:hAnsi="Times"/>
                <w:sz w:val="18"/>
                <w:szCs w:val="18"/>
              </w:rPr>
            </w:pPr>
            <w:r w:rsidRPr="00420413">
              <w:rPr>
                <w:rFonts w:ascii="Times" w:hAnsi="Times"/>
                <w:sz w:val="18"/>
                <w:szCs w:val="18"/>
              </w:rPr>
              <w:t>Group 1</w:t>
            </w:r>
          </w:p>
        </w:tc>
        <w:tc>
          <w:tcPr>
            <w:tcW w:w="523" w:type="pct"/>
            <w:vAlign w:val="center"/>
          </w:tcPr>
          <w:p w:rsidR="000E6524" w:rsidRPr="00213AF2" w:rsidRDefault="000E6524" w:rsidP="0076503C">
            <w:pPr>
              <w:keepNext/>
              <w:spacing w:after="0"/>
              <w:jc w:val="left"/>
              <w:rPr>
                <w:rFonts w:ascii="Times" w:hAnsi="Times"/>
                <w:sz w:val="18"/>
              </w:rPr>
            </w:pPr>
            <w:r>
              <w:rPr>
                <w:rFonts w:ascii="Times" w:hAnsi="Times"/>
                <w:sz w:val="18"/>
              </w:rPr>
              <w:t>2017</w:t>
            </w:r>
          </w:p>
        </w:tc>
        <w:tc>
          <w:tcPr>
            <w:tcW w:w="693" w:type="pct"/>
            <w:vAlign w:val="center"/>
          </w:tcPr>
          <w:p w:rsidR="000E6524" w:rsidRDefault="000E6524" w:rsidP="000E6524">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p>
          <w:p w:rsidR="000E6524" w:rsidRPr="00B6607C" w:rsidRDefault="000E6524" w:rsidP="000E6524">
            <w:pPr>
              <w:keepNext/>
              <w:spacing w:after="0"/>
              <w:jc w:val="center"/>
              <w:rPr>
                <w:rFonts w:ascii="Times" w:hAnsi="Times"/>
                <w:sz w:val="18"/>
                <w:szCs w:val="18"/>
              </w:rPr>
            </w:pP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12" w:type="pct"/>
            <w:vAlign w:val="center"/>
          </w:tcPr>
          <w:p w:rsidR="000E6524" w:rsidRDefault="000E6524" w:rsidP="0076503C">
            <w:pPr>
              <w:keepNext/>
              <w:spacing w:after="0"/>
              <w:jc w:val="center"/>
              <w:rPr>
                <w:rFonts w:ascii="Times" w:hAnsi="Times"/>
                <w:sz w:val="18"/>
                <w:szCs w:val="18"/>
              </w:rPr>
            </w:pPr>
            <w:r>
              <w:rPr>
                <w:rFonts w:ascii="Times" w:hAnsi="Times"/>
                <w:sz w:val="18"/>
                <w:szCs w:val="18"/>
              </w:rPr>
              <w:t>[30-40]</w:t>
            </w:r>
            <w:r w:rsidRPr="00420413">
              <w:rPr>
                <w:rFonts w:ascii="Times" w:hAnsi="Times"/>
                <w:sz w:val="18"/>
                <w:szCs w:val="18"/>
              </w:rPr>
              <w:t>%/</w:t>
            </w:r>
          </w:p>
          <w:p w:rsidR="000E6524" w:rsidRPr="00B6607C" w:rsidRDefault="000E6524" w:rsidP="000E6524">
            <w:pPr>
              <w:keepNext/>
              <w:spacing w:after="0"/>
              <w:jc w:val="center"/>
              <w:rPr>
                <w:rFonts w:ascii="Times" w:hAnsi="Times"/>
                <w:sz w:val="18"/>
                <w:szCs w:val="18"/>
              </w:rPr>
            </w:pPr>
            <w:r>
              <w:rPr>
                <w:rFonts w:ascii="Times" w:hAnsi="Times"/>
                <w:sz w:val="18"/>
                <w:szCs w:val="18"/>
              </w:rPr>
              <w:t>[80-90]</w:t>
            </w:r>
            <w:r w:rsidRPr="00420413">
              <w:rPr>
                <w:rFonts w:ascii="Times" w:hAnsi="Times"/>
                <w:sz w:val="18"/>
                <w:szCs w:val="18"/>
              </w:rPr>
              <w:t>%</w:t>
            </w:r>
          </w:p>
        </w:tc>
        <w:tc>
          <w:tcPr>
            <w:tcW w:w="696"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[40-30]% /[80-90]%</w:t>
            </w:r>
          </w:p>
        </w:tc>
        <w:tc>
          <w:tcPr>
            <w:tcW w:w="738" w:type="pct"/>
            <w:vAlign w:val="center"/>
          </w:tcPr>
          <w:p w:rsidR="000E6524" w:rsidRPr="00B6607C" w:rsidRDefault="000E6524" w:rsidP="0076503C">
            <w:pPr>
              <w:keepNext/>
              <w:spacing w:after="0"/>
              <w:jc w:val="center"/>
              <w:rPr>
                <w:rFonts w:ascii="Times" w:hAnsi="Times"/>
                <w:sz w:val="18"/>
                <w:szCs w:val="18"/>
              </w:rPr>
            </w:pPr>
            <w:r w:rsidRPr="00420413">
              <w:rPr>
                <w:rFonts w:ascii="Times" w:hAnsi="Times"/>
                <w:sz w:val="18"/>
                <w:szCs w:val="18"/>
              </w:rPr>
              <w:t xml:space="preserve">At least </w:t>
            </w:r>
            <w:r>
              <w:rPr>
                <w:rFonts w:ascii="Times" w:hAnsi="Times"/>
                <w:sz w:val="18"/>
                <w:szCs w:val="18"/>
              </w:rPr>
              <w:t>1</w:t>
            </w:r>
          </w:p>
        </w:tc>
      </w:tr>
      <w:tr w:rsidR="000E6524" w:rsidRPr="00AD3737" w:rsidTr="0076503C">
        <w:trPr>
          <w:trHeight w:val="345"/>
        </w:trPr>
        <w:tc>
          <w:tcPr>
            <w:tcW w:w="608" w:type="pct"/>
            <w:vMerge/>
            <w:vAlign w:val="center"/>
          </w:tcPr>
          <w:p w:rsidR="000E6524" w:rsidRPr="00420413" w:rsidRDefault="000E6524" w:rsidP="0076503C">
            <w:pPr>
              <w:keepNext/>
              <w:spacing w:after="0"/>
              <w:jc w:val="center"/>
              <w:rPr>
                <w:rFonts w:ascii="Times" w:hAnsi="Times"/>
                <w:i/>
                <w:sz w:val="18"/>
                <w:szCs w:val="18"/>
              </w:rPr>
            </w:pPr>
          </w:p>
        </w:tc>
        <w:tc>
          <w:tcPr>
            <w:tcW w:w="696" w:type="pct"/>
            <w:vMerge/>
            <w:vAlign w:val="center"/>
          </w:tcPr>
          <w:p w:rsidR="000E6524" w:rsidRPr="00B6607C" w:rsidRDefault="000E6524" w:rsidP="0076503C">
            <w:pPr>
              <w:keepNext/>
              <w:spacing w:after="0"/>
              <w:jc w:val="center"/>
              <w:rPr>
                <w:rFonts w:ascii="Times" w:hAnsi="Times"/>
                <w:sz w:val="18"/>
                <w:szCs w:val="18"/>
              </w:rPr>
            </w:pPr>
          </w:p>
        </w:tc>
        <w:tc>
          <w:tcPr>
            <w:tcW w:w="434" w:type="pct"/>
            <w:vMerge/>
            <w:vAlign w:val="center"/>
          </w:tcPr>
          <w:p w:rsidR="000E6524" w:rsidRPr="00B6607C" w:rsidRDefault="000E6524" w:rsidP="0076503C">
            <w:pPr>
              <w:keepNext/>
              <w:spacing w:after="0"/>
              <w:jc w:val="center"/>
              <w:rPr>
                <w:rFonts w:ascii="Times" w:hAnsi="Times"/>
                <w:sz w:val="18"/>
                <w:szCs w:val="18"/>
              </w:rPr>
            </w:pPr>
          </w:p>
        </w:tc>
        <w:tc>
          <w:tcPr>
            <w:tcW w:w="523" w:type="pct"/>
            <w:vAlign w:val="center"/>
          </w:tcPr>
          <w:p w:rsidR="000E6524" w:rsidRPr="00213AF2" w:rsidRDefault="000E6524" w:rsidP="0076503C">
            <w:pPr>
              <w:keepNext/>
              <w:spacing w:after="0"/>
              <w:jc w:val="left"/>
              <w:rPr>
                <w:rFonts w:ascii="Times" w:hAnsi="Times"/>
                <w:sz w:val="18"/>
              </w:rPr>
            </w:pPr>
            <w:r>
              <w:rPr>
                <w:rFonts w:ascii="Times" w:hAnsi="Times"/>
                <w:sz w:val="18"/>
              </w:rPr>
              <w:t>2016</w:t>
            </w:r>
          </w:p>
        </w:tc>
        <w:tc>
          <w:tcPr>
            <w:tcW w:w="693" w:type="pct"/>
            <w:vAlign w:val="center"/>
          </w:tcPr>
          <w:p w:rsidR="000E6524" w:rsidRDefault="000E6524" w:rsidP="007F0C4B">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p>
          <w:p w:rsidR="000E6524" w:rsidRPr="00B6607C" w:rsidRDefault="000E6524" w:rsidP="007F0C4B">
            <w:pPr>
              <w:keepNext/>
              <w:spacing w:after="0"/>
              <w:jc w:val="center"/>
              <w:rPr>
                <w:rFonts w:ascii="Times" w:hAnsi="Times"/>
                <w:sz w:val="18"/>
                <w:szCs w:val="18"/>
              </w:rPr>
            </w:pP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12" w:type="pct"/>
            <w:vAlign w:val="center"/>
          </w:tcPr>
          <w:p w:rsidR="000E6524" w:rsidRPr="00B6607C" w:rsidRDefault="000E6524" w:rsidP="000E6524">
            <w:pPr>
              <w:keepNext/>
              <w:spacing w:after="0"/>
              <w:jc w:val="center"/>
              <w:rPr>
                <w:rFonts w:ascii="Times" w:hAnsi="Times"/>
                <w:sz w:val="18"/>
                <w:szCs w:val="18"/>
              </w:rPr>
            </w:pPr>
            <w:r>
              <w:rPr>
                <w:rFonts w:ascii="Times" w:hAnsi="Times"/>
                <w:sz w:val="18"/>
                <w:szCs w:val="18"/>
              </w:rPr>
              <w:t>[40-30]% /[80-90]%</w:t>
            </w:r>
          </w:p>
        </w:tc>
        <w:tc>
          <w:tcPr>
            <w:tcW w:w="696"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[40-30]% /[80-90]%</w:t>
            </w:r>
          </w:p>
        </w:tc>
        <w:tc>
          <w:tcPr>
            <w:tcW w:w="738" w:type="pct"/>
            <w:vAlign w:val="center"/>
          </w:tcPr>
          <w:p w:rsidR="000E6524" w:rsidRPr="00B6607C" w:rsidRDefault="000E6524" w:rsidP="0076503C">
            <w:pPr>
              <w:keepNext/>
              <w:spacing w:after="0"/>
              <w:jc w:val="center"/>
              <w:rPr>
                <w:rFonts w:ascii="Times" w:hAnsi="Times"/>
                <w:sz w:val="18"/>
                <w:szCs w:val="18"/>
              </w:rPr>
            </w:pPr>
            <w:r w:rsidRPr="00420413">
              <w:rPr>
                <w:rFonts w:ascii="Times" w:hAnsi="Times"/>
                <w:sz w:val="18"/>
                <w:szCs w:val="18"/>
              </w:rPr>
              <w:t xml:space="preserve">At least </w:t>
            </w:r>
            <w:r>
              <w:rPr>
                <w:rFonts w:ascii="Times" w:hAnsi="Times"/>
                <w:sz w:val="18"/>
                <w:szCs w:val="18"/>
              </w:rPr>
              <w:t>1</w:t>
            </w:r>
          </w:p>
        </w:tc>
      </w:tr>
      <w:tr w:rsidR="000E6524" w:rsidRPr="00AD3737" w:rsidTr="0076503C">
        <w:trPr>
          <w:trHeight w:val="345"/>
        </w:trPr>
        <w:tc>
          <w:tcPr>
            <w:tcW w:w="608" w:type="pct"/>
            <w:vMerge/>
            <w:vAlign w:val="center"/>
          </w:tcPr>
          <w:p w:rsidR="000E6524" w:rsidRPr="00420413" w:rsidRDefault="000E6524" w:rsidP="0076503C">
            <w:pPr>
              <w:keepNext/>
              <w:spacing w:after="0"/>
              <w:jc w:val="center"/>
              <w:rPr>
                <w:rFonts w:ascii="Times" w:hAnsi="Times"/>
                <w:i/>
                <w:sz w:val="18"/>
                <w:szCs w:val="18"/>
              </w:rPr>
            </w:pPr>
          </w:p>
        </w:tc>
        <w:tc>
          <w:tcPr>
            <w:tcW w:w="696" w:type="pct"/>
            <w:vMerge/>
            <w:vAlign w:val="center"/>
          </w:tcPr>
          <w:p w:rsidR="000E6524" w:rsidRPr="00B6607C" w:rsidRDefault="000E6524" w:rsidP="0076503C">
            <w:pPr>
              <w:keepNext/>
              <w:spacing w:after="0"/>
              <w:jc w:val="center"/>
              <w:rPr>
                <w:rFonts w:ascii="Times" w:hAnsi="Times"/>
                <w:sz w:val="18"/>
                <w:szCs w:val="18"/>
              </w:rPr>
            </w:pPr>
          </w:p>
        </w:tc>
        <w:tc>
          <w:tcPr>
            <w:tcW w:w="434" w:type="pct"/>
            <w:vMerge/>
            <w:vAlign w:val="center"/>
          </w:tcPr>
          <w:p w:rsidR="000E6524" w:rsidRPr="00B6607C" w:rsidRDefault="000E6524" w:rsidP="0076503C">
            <w:pPr>
              <w:keepNext/>
              <w:spacing w:after="0"/>
              <w:jc w:val="center"/>
              <w:rPr>
                <w:rFonts w:ascii="Times" w:hAnsi="Times"/>
                <w:sz w:val="18"/>
                <w:szCs w:val="18"/>
              </w:rPr>
            </w:pPr>
          </w:p>
        </w:tc>
        <w:tc>
          <w:tcPr>
            <w:tcW w:w="523" w:type="pct"/>
            <w:vAlign w:val="center"/>
          </w:tcPr>
          <w:p w:rsidR="000E6524" w:rsidRPr="00213AF2" w:rsidRDefault="000E6524" w:rsidP="0076503C">
            <w:pPr>
              <w:keepNext/>
              <w:spacing w:after="0"/>
              <w:jc w:val="left"/>
              <w:rPr>
                <w:rFonts w:ascii="Times" w:hAnsi="Times"/>
                <w:sz w:val="18"/>
              </w:rPr>
            </w:pPr>
            <w:r>
              <w:rPr>
                <w:rFonts w:ascii="Times" w:hAnsi="Times"/>
                <w:sz w:val="18"/>
              </w:rPr>
              <w:t>2015</w:t>
            </w:r>
          </w:p>
        </w:tc>
        <w:tc>
          <w:tcPr>
            <w:tcW w:w="693" w:type="pct"/>
            <w:vAlign w:val="center"/>
          </w:tcPr>
          <w:p w:rsidR="000E6524" w:rsidRDefault="000E6524" w:rsidP="007F0C4B">
            <w:pPr>
              <w:keepNext/>
              <w:spacing w:after="0"/>
              <w:jc w:val="center"/>
              <w:rPr>
                <w:rFonts w:ascii="Times" w:hAnsi="Times"/>
                <w:sz w:val="18"/>
                <w:szCs w:val="18"/>
              </w:rPr>
            </w:pPr>
            <w:r>
              <w:rPr>
                <w:rFonts w:ascii="Times" w:hAnsi="Times"/>
                <w:sz w:val="18"/>
                <w:szCs w:val="18"/>
              </w:rPr>
              <w:t>[0-5]</w:t>
            </w:r>
            <w:r w:rsidRPr="00420413">
              <w:rPr>
                <w:rFonts w:ascii="Times" w:hAnsi="Times"/>
                <w:sz w:val="18"/>
                <w:szCs w:val="18"/>
              </w:rPr>
              <w:t>%</w:t>
            </w:r>
            <w:r>
              <w:rPr>
                <w:rFonts w:ascii="Times" w:hAnsi="Times"/>
                <w:sz w:val="18"/>
                <w:szCs w:val="18"/>
              </w:rPr>
              <w:t xml:space="preserve"> </w:t>
            </w:r>
          </w:p>
          <w:p w:rsidR="000E6524" w:rsidRPr="00B6607C" w:rsidRDefault="000E6524" w:rsidP="007F0C4B">
            <w:pPr>
              <w:keepNext/>
              <w:spacing w:after="0"/>
              <w:jc w:val="center"/>
              <w:rPr>
                <w:rFonts w:ascii="Times" w:hAnsi="Times"/>
                <w:sz w:val="18"/>
                <w:szCs w:val="18"/>
              </w:rPr>
            </w:pPr>
            <w:r w:rsidRPr="00420413">
              <w:rPr>
                <w:rFonts w:ascii="Times" w:hAnsi="Times"/>
                <w:sz w:val="18"/>
                <w:szCs w:val="18"/>
              </w:rPr>
              <w:t>/</w:t>
            </w:r>
            <w:r>
              <w:rPr>
                <w:rFonts w:ascii="Times" w:hAnsi="Times"/>
                <w:sz w:val="18"/>
                <w:szCs w:val="18"/>
              </w:rPr>
              <w:t>[0-5]</w:t>
            </w:r>
            <w:r w:rsidRPr="00420413">
              <w:rPr>
                <w:rFonts w:ascii="Times" w:hAnsi="Times"/>
                <w:sz w:val="18"/>
                <w:szCs w:val="18"/>
              </w:rPr>
              <w:t>%</w:t>
            </w:r>
          </w:p>
        </w:tc>
        <w:tc>
          <w:tcPr>
            <w:tcW w:w="612"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[40-30]% /[80-90]%</w:t>
            </w:r>
          </w:p>
        </w:tc>
        <w:tc>
          <w:tcPr>
            <w:tcW w:w="696" w:type="pct"/>
            <w:vAlign w:val="center"/>
          </w:tcPr>
          <w:p w:rsidR="000E6524" w:rsidRPr="00B6607C" w:rsidRDefault="000E6524" w:rsidP="007F0C4B">
            <w:pPr>
              <w:keepNext/>
              <w:spacing w:after="0"/>
              <w:jc w:val="center"/>
              <w:rPr>
                <w:rFonts w:ascii="Times" w:hAnsi="Times"/>
                <w:sz w:val="18"/>
                <w:szCs w:val="18"/>
              </w:rPr>
            </w:pPr>
            <w:r>
              <w:rPr>
                <w:rFonts w:ascii="Times" w:hAnsi="Times"/>
                <w:sz w:val="18"/>
                <w:szCs w:val="18"/>
              </w:rPr>
              <w:t>[40-30]% /[80-90]%</w:t>
            </w:r>
          </w:p>
        </w:tc>
        <w:tc>
          <w:tcPr>
            <w:tcW w:w="738" w:type="pct"/>
            <w:vAlign w:val="center"/>
          </w:tcPr>
          <w:p w:rsidR="000E6524" w:rsidRPr="00B6607C" w:rsidRDefault="000E6524" w:rsidP="0076503C">
            <w:pPr>
              <w:keepNext/>
              <w:spacing w:after="0"/>
              <w:jc w:val="center"/>
              <w:rPr>
                <w:rFonts w:ascii="Times" w:hAnsi="Times"/>
                <w:sz w:val="18"/>
                <w:szCs w:val="18"/>
              </w:rPr>
            </w:pPr>
            <w:r w:rsidRPr="00420413">
              <w:rPr>
                <w:rFonts w:ascii="Times" w:hAnsi="Times"/>
                <w:sz w:val="18"/>
                <w:szCs w:val="18"/>
              </w:rPr>
              <w:t xml:space="preserve">At least </w:t>
            </w:r>
            <w:r>
              <w:rPr>
                <w:rFonts w:ascii="Times" w:hAnsi="Times"/>
                <w:sz w:val="18"/>
                <w:szCs w:val="18"/>
              </w:rPr>
              <w:t>1</w:t>
            </w:r>
          </w:p>
        </w:tc>
      </w:tr>
    </w:tbl>
    <w:p w:rsidR="0080226D" w:rsidRDefault="0080226D" w:rsidP="0053261E">
      <w:pPr>
        <w:pStyle w:val="ListNumber"/>
        <w:numPr>
          <w:ilvl w:val="0"/>
          <w:numId w:val="0"/>
        </w:numPr>
        <w:spacing w:after="0"/>
      </w:pPr>
    </w:p>
    <w:p w:rsidR="000C7449" w:rsidRDefault="000C7449">
      <w:pPr>
        <w:spacing w:after="0"/>
        <w:jc w:val="left"/>
      </w:pPr>
    </w:p>
    <w:p w:rsidR="0080226D" w:rsidRPr="00CD2ECB" w:rsidRDefault="0080226D" w:rsidP="0080226D">
      <w:pPr>
        <w:pStyle w:val="ListNumber"/>
      </w:pPr>
      <w:r>
        <w:t xml:space="preserve">At molecule level, the Parties' combined market share is </w:t>
      </w:r>
      <w:r w:rsidR="000E6524">
        <w:t>[40-50]</w:t>
      </w:r>
      <w:r>
        <w:t xml:space="preserve">% in value and </w:t>
      </w:r>
      <w:r w:rsidR="000E6524">
        <w:t>[80-90]</w:t>
      </w:r>
      <w:r>
        <w:t>% in volume in 2017.</w:t>
      </w:r>
      <w:r w:rsidRPr="008E5C5A">
        <w:rPr>
          <w:rFonts w:eastAsia="Calibri"/>
          <w:lang w:val="en-US"/>
        </w:rPr>
        <w:t xml:space="preserve"> </w:t>
      </w:r>
      <w:r w:rsidR="00601821">
        <w:rPr>
          <w:rFonts w:eastAsia="Calibri"/>
          <w:szCs w:val="24"/>
          <w:lang w:val="en-US"/>
        </w:rPr>
        <w:t>T</w:t>
      </w:r>
      <w:r w:rsidRPr="00E21088">
        <w:rPr>
          <w:rFonts w:eastAsia="Calibri"/>
          <w:szCs w:val="24"/>
          <w:lang w:val="en-US"/>
        </w:rPr>
        <w:t xml:space="preserve">he </w:t>
      </w:r>
      <w:r w:rsidRPr="00420413">
        <w:rPr>
          <w:rFonts w:eastAsia="Calibri"/>
          <w:i/>
          <w:lang w:val="en-US"/>
        </w:rPr>
        <w:t>paracetamol</w:t>
      </w:r>
      <w:r w:rsidRPr="00E21088">
        <w:rPr>
          <w:rFonts w:eastAsia="Calibri"/>
          <w:szCs w:val="24"/>
          <w:lang w:val="en-US"/>
        </w:rPr>
        <w:t>-based products have different galenic forms</w:t>
      </w:r>
      <w:r w:rsidR="00601821">
        <w:rPr>
          <w:rFonts w:eastAsia="Calibri"/>
          <w:szCs w:val="24"/>
          <w:lang w:val="en-US"/>
        </w:rPr>
        <w:t>, namely oral solid, oral liquid, and rectal systemic for PGT's drugs and rectal systemic for Teva's product. This means that the market shares of the Parties in volume are unlikely to give an accurate reflection of the competitive landscape.  Rather, shares in value are more likely to indicate the Parties' actual market position.  In value, the share i</w:t>
      </w:r>
      <w:r w:rsidRPr="008E5C5A">
        <w:rPr>
          <w:rFonts w:eastAsia="Calibri"/>
          <w:szCs w:val="24"/>
          <w:lang w:val="en-US"/>
        </w:rPr>
        <w:t xml:space="preserve">ncrement brought by the Transaction is limited, </w:t>
      </w:r>
      <w:r w:rsidR="000E6524">
        <w:rPr>
          <w:rFonts w:eastAsia="Calibri"/>
          <w:szCs w:val="24"/>
          <w:lang w:val="en-US"/>
        </w:rPr>
        <w:t>[0-5]</w:t>
      </w:r>
      <w:r w:rsidRPr="008E5C5A">
        <w:rPr>
          <w:rFonts w:eastAsia="Calibri"/>
          <w:szCs w:val="24"/>
          <w:lang w:val="en-US"/>
        </w:rPr>
        <w:t xml:space="preserve">% in value. </w:t>
      </w:r>
    </w:p>
    <w:p w:rsidR="0080226D" w:rsidRPr="008E5C5A" w:rsidRDefault="0080226D" w:rsidP="0080226D">
      <w:pPr>
        <w:pStyle w:val="ListNumber"/>
      </w:pPr>
      <w:r>
        <w:rPr>
          <w:rFonts w:eastAsia="Calibri"/>
          <w:szCs w:val="24"/>
          <w:lang w:val="en-US"/>
        </w:rPr>
        <w:t xml:space="preserve">Post-Transaction, </w:t>
      </w:r>
      <w:r w:rsidR="00601821">
        <w:rPr>
          <w:rFonts w:eastAsia="Calibri"/>
          <w:szCs w:val="24"/>
          <w:lang w:val="en-US"/>
        </w:rPr>
        <w:t xml:space="preserve">the combined entity will continue to face competitive constraints by at least two players offering paracetamol-based products in the market.  These are Fresenius (with its drug Paracetamol-Kabi) and Braun-Melsungen (with Paracetamol-B.Brau), which respectively hold </w:t>
      </w:r>
      <w:r w:rsidR="000E6524">
        <w:rPr>
          <w:rFonts w:eastAsia="Calibri"/>
          <w:szCs w:val="24"/>
          <w:lang w:val="en-US"/>
        </w:rPr>
        <w:t>[40-50]</w:t>
      </w:r>
      <w:r w:rsidR="00601821">
        <w:rPr>
          <w:rFonts w:eastAsia="Calibri"/>
          <w:szCs w:val="24"/>
          <w:lang w:val="en-US"/>
        </w:rPr>
        <w:t xml:space="preserve">% and </w:t>
      </w:r>
      <w:r w:rsidR="000E6524">
        <w:rPr>
          <w:rFonts w:eastAsia="Calibri"/>
          <w:szCs w:val="24"/>
          <w:lang w:val="en-US"/>
        </w:rPr>
        <w:t>[5-10]</w:t>
      </w:r>
      <w:r w:rsidR="00601821">
        <w:rPr>
          <w:rFonts w:eastAsia="Calibri"/>
          <w:szCs w:val="24"/>
          <w:lang w:val="en-US"/>
        </w:rPr>
        <w:t xml:space="preserve">% </w:t>
      </w:r>
      <w:r w:rsidR="007469F8">
        <w:rPr>
          <w:rFonts w:eastAsia="Calibri"/>
          <w:szCs w:val="24"/>
          <w:lang w:val="en-US"/>
        </w:rPr>
        <w:t xml:space="preserve">market shares </w:t>
      </w:r>
      <w:r w:rsidR="00601821">
        <w:rPr>
          <w:rFonts w:eastAsia="Calibri"/>
          <w:szCs w:val="24"/>
          <w:lang w:val="en-US"/>
        </w:rPr>
        <w:t>in value</w:t>
      </w:r>
      <w:r>
        <w:rPr>
          <w:rFonts w:eastAsia="Calibri"/>
          <w:szCs w:val="24"/>
          <w:lang w:val="en-US"/>
        </w:rPr>
        <w:t>.</w:t>
      </w:r>
    </w:p>
    <w:p w:rsidR="0080226D" w:rsidRPr="008E5C5A" w:rsidRDefault="0080226D" w:rsidP="0080226D">
      <w:pPr>
        <w:pStyle w:val="ListNumber"/>
      </w:pPr>
      <w:r>
        <w:rPr>
          <w:rFonts w:eastAsia="Calibri"/>
          <w:szCs w:val="24"/>
        </w:rPr>
        <w:t xml:space="preserve">In addition, the Parties' products </w:t>
      </w:r>
      <w:r w:rsidR="00185FCC">
        <w:rPr>
          <w:rFonts w:eastAsia="Calibri"/>
          <w:szCs w:val="24"/>
        </w:rPr>
        <w:t>do not seem to be</w:t>
      </w:r>
      <w:r w:rsidR="00601821">
        <w:rPr>
          <w:rFonts w:eastAsia="Calibri"/>
          <w:szCs w:val="24"/>
        </w:rPr>
        <w:t xml:space="preserve"> close </w:t>
      </w:r>
      <w:r>
        <w:rPr>
          <w:rFonts w:eastAsia="Calibri"/>
          <w:szCs w:val="24"/>
        </w:rPr>
        <w:t xml:space="preserve">competitors. </w:t>
      </w:r>
      <w:r w:rsidR="004356A0">
        <w:rPr>
          <w:rFonts w:eastAsia="Calibri"/>
          <w:szCs w:val="24"/>
        </w:rPr>
        <w:t xml:space="preserve">Teva's product is only sold on prescription, while PGT's drugs are available OTC.  In addition, the galenic forms of the products are different.  Teva's product is a suppository while PGT offers many different formulations of paracetamol-drugs including tablets, suspensions, and suppositories.  Teva's suppository product is available in </w:t>
      </w:r>
      <w:r w:rsidR="00AA1786">
        <w:rPr>
          <w:rFonts w:eastAsia="Calibri"/>
          <w:szCs w:val="24"/>
        </w:rPr>
        <w:t xml:space="preserve">125mg, 250mg, and 1000 mg dosage while PGT's suppository product is available in 500 mg dosage.  Finally, Teva's product can be sold for babies of 6 months old or more, while PGT's drugs are available for children of &gt;2 years old.  </w:t>
      </w:r>
    </w:p>
    <w:p w:rsidR="0080226D" w:rsidRPr="005B1C96" w:rsidRDefault="0080226D" w:rsidP="0080226D">
      <w:pPr>
        <w:pStyle w:val="ListNumber"/>
      </w:pPr>
      <w:r>
        <w:t>Finally,</w:t>
      </w:r>
      <w:r w:rsidRPr="005B1C96">
        <w:t xml:space="preserve"> </w:t>
      </w:r>
      <w:r>
        <w:t>during the market investigation, market respondents did not identify any impact of</w:t>
      </w:r>
      <w:r w:rsidRPr="00CD2ECB">
        <w:t xml:space="preserve"> this Transaction on competition in the market for </w:t>
      </w:r>
      <w:r w:rsidRPr="00420413">
        <w:rPr>
          <w:i/>
        </w:rPr>
        <w:t>paracetamol</w:t>
      </w:r>
      <w:r>
        <w:t xml:space="preserve"> based products in Austria</w:t>
      </w:r>
      <w:r w:rsidRPr="005B1C96">
        <w:t>.</w:t>
      </w:r>
      <w:r>
        <w:rPr>
          <w:rStyle w:val="FootnoteReference"/>
        </w:rPr>
        <w:footnoteReference w:id="108"/>
      </w:r>
    </w:p>
    <w:p w:rsidR="0080226D" w:rsidRDefault="00814F0F" w:rsidP="0080226D">
      <w:pPr>
        <w:pStyle w:val="ListNumber"/>
      </w:pPr>
      <w:r w:rsidRPr="00546F00">
        <w:rPr>
          <w:rFonts w:ascii="Times" w:hAnsi="Times"/>
          <w:szCs w:val="24"/>
        </w:rPr>
        <w:t xml:space="preserve">In view of the above, the Commission concludes that </w:t>
      </w:r>
      <w:r>
        <w:rPr>
          <w:rFonts w:ascii="Times" w:hAnsi="Times"/>
          <w:szCs w:val="24"/>
        </w:rPr>
        <w:t>the Transaction does not raise serious doubts as to its compatibility with the internal market regarding</w:t>
      </w:r>
      <w:r w:rsidR="0080226D">
        <w:t xml:space="preserve"> </w:t>
      </w:r>
      <w:r w:rsidR="0080226D" w:rsidRPr="00420413">
        <w:rPr>
          <w:i/>
        </w:rPr>
        <w:t>paracetamol</w:t>
      </w:r>
      <w:r w:rsidR="0080226D">
        <w:t xml:space="preserve"> based </w:t>
      </w:r>
      <w:r w:rsidR="003B0B1F">
        <w:t>general pain relief products</w:t>
      </w:r>
      <w:r w:rsidR="0080226D">
        <w:t xml:space="preserve"> in Austria</w:t>
      </w:r>
      <w:r w:rsidR="0080226D" w:rsidRPr="00546F00">
        <w:t>.</w:t>
      </w:r>
    </w:p>
    <w:p w:rsidR="000C7449" w:rsidRDefault="000C7449">
      <w:pPr>
        <w:spacing w:after="0"/>
        <w:jc w:val="left"/>
        <w:rPr>
          <w:b/>
          <w:smallCaps/>
        </w:rPr>
      </w:pPr>
      <w:bookmarkStart w:id="317" w:name="_Toc517710535"/>
      <w:bookmarkStart w:id="318" w:name="_Toc517812968"/>
      <w:r>
        <w:br w:type="page"/>
      </w:r>
    </w:p>
    <w:p w:rsidR="005D07A6" w:rsidRPr="00605611" w:rsidRDefault="00C84012" w:rsidP="00C84012">
      <w:pPr>
        <w:pStyle w:val="Heading1"/>
        <w:tabs>
          <w:tab w:val="clear" w:pos="480"/>
          <w:tab w:val="num" w:pos="851"/>
        </w:tabs>
        <w:ind w:left="709" w:hanging="709"/>
      </w:pPr>
      <w:r w:rsidRPr="00605611">
        <w:lastRenderedPageBreak/>
        <w:t>Conclusion</w:t>
      </w:r>
      <w:bookmarkEnd w:id="212"/>
      <w:bookmarkEnd w:id="317"/>
      <w:bookmarkEnd w:id="318"/>
    </w:p>
    <w:p w:rsidR="005D07A6" w:rsidRPr="007543E6" w:rsidRDefault="005D07A6" w:rsidP="00C84012">
      <w:pPr>
        <w:pStyle w:val="ListNumber"/>
      </w:pPr>
      <w:r w:rsidRPr="007543E6">
        <w:t xml:space="preserve">For the above reasons, the </w:t>
      </w:r>
      <w:r>
        <w:t xml:space="preserve">European </w:t>
      </w:r>
      <w:r w:rsidRPr="007543E6">
        <w:t xml:space="preserve">Commission has decided not to oppose the notified operation and to declare it compatible with the </w:t>
      </w:r>
      <w:r>
        <w:t>internal</w:t>
      </w:r>
      <w:r w:rsidRPr="007543E6">
        <w:t xml:space="preserve"> market and with the EEA Agreement. This decision is adopted in application of Article 6(1)(b) of </w:t>
      </w:r>
      <w:r>
        <w:t xml:space="preserve">the </w:t>
      </w:r>
      <w:r w:rsidRPr="000D5C08">
        <w:t>Merger Regulation and Article 57 of the EEA Agreement</w:t>
      </w:r>
      <w:r w:rsidRPr="007543E6">
        <w:t>.</w:t>
      </w:r>
      <w:r w:rsidR="00782257">
        <w:t xml:space="preserve"> </w:t>
      </w:r>
    </w:p>
    <w:p w:rsidR="005D07A6" w:rsidRPr="001A0F98" w:rsidRDefault="005D07A6" w:rsidP="005D07A6">
      <w:pPr>
        <w:pStyle w:val="Closing"/>
        <w:keepNext/>
        <w:keepLines/>
        <w:rPr>
          <w:i/>
        </w:rPr>
      </w:pPr>
      <w:r w:rsidRPr="001A0F98">
        <w:rPr>
          <w:i/>
        </w:rPr>
        <w:t>For the Commission</w:t>
      </w:r>
    </w:p>
    <w:p w:rsidR="00C063D0" w:rsidRDefault="00C063D0" w:rsidP="00C063D0">
      <w:pPr>
        <w:pStyle w:val="Signature"/>
        <w:spacing w:before="0"/>
        <w:jc w:val="left"/>
        <w:rPr>
          <w:i/>
        </w:rPr>
      </w:pPr>
      <w:r>
        <w:rPr>
          <w:i/>
        </w:rPr>
        <w:t>(Signed)</w:t>
      </w:r>
    </w:p>
    <w:p w:rsidR="005D07A6" w:rsidRDefault="005D07A6" w:rsidP="00C063D0">
      <w:pPr>
        <w:pStyle w:val="Signature"/>
        <w:spacing w:before="0"/>
        <w:jc w:val="left"/>
        <w:rPr>
          <w:i/>
        </w:rPr>
      </w:pPr>
      <w:r w:rsidRPr="004B7BC8">
        <w:rPr>
          <w:i/>
        </w:rPr>
        <w:t>Margrethe VESTAGER</w:t>
      </w:r>
      <w:r w:rsidRPr="001A0F98">
        <w:rPr>
          <w:i/>
        </w:rPr>
        <w:br/>
      </w:r>
      <w:r w:rsidRPr="004B7BC8">
        <w:rPr>
          <w:i/>
        </w:rPr>
        <w:t>Member of the Commission</w:t>
      </w:r>
    </w:p>
    <w:p w:rsidR="000C7449" w:rsidRPr="000C7449" w:rsidRDefault="000C7449" w:rsidP="000C7449">
      <w:pPr>
        <w:pStyle w:val="Contact"/>
        <w:ind w:left="5103"/>
      </w:pPr>
    </w:p>
    <w:p w:rsidR="005D07A6" w:rsidRPr="007543E6" w:rsidRDefault="005D07A6" w:rsidP="005D07A6">
      <w:pPr>
        <w:tabs>
          <w:tab w:val="left" w:pos="510"/>
          <w:tab w:val="left" w:pos="964"/>
          <w:tab w:val="left" w:pos="5273"/>
        </w:tabs>
        <w:suppressAutoHyphens/>
        <w:spacing w:after="0"/>
        <w:rPr>
          <w:spacing w:val="-3"/>
        </w:rPr>
      </w:pPr>
    </w:p>
    <w:p w:rsidR="005D07A6" w:rsidRPr="00885508" w:rsidRDefault="005D07A6" w:rsidP="005D07A6">
      <w:pPr>
        <w:tabs>
          <w:tab w:val="left" w:pos="510"/>
          <w:tab w:val="left" w:pos="964"/>
          <w:tab w:val="left" w:pos="5273"/>
        </w:tabs>
        <w:suppressAutoHyphens/>
        <w:spacing w:after="0"/>
        <w:rPr>
          <w:spacing w:val="-2"/>
          <w:sz w:val="20"/>
        </w:rPr>
      </w:pPr>
    </w:p>
    <w:sectPr w:rsidR="005D07A6" w:rsidRPr="00885508" w:rsidSect="005E40E9">
      <w:footerReference w:type="default" r:id="rId12"/>
      <w:headerReference w:type="first" r:id="rId13"/>
      <w:footerReference w:type="first" r:id="rId14"/>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87A" w:rsidRDefault="003B687A" w:rsidP="005D07A6">
      <w:pPr>
        <w:spacing w:after="0"/>
      </w:pPr>
      <w:r>
        <w:separator/>
      </w:r>
    </w:p>
  </w:endnote>
  <w:endnote w:type="continuationSeparator" w:id="0">
    <w:p w:rsidR="003B687A" w:rsidRDefault="003B687A" w:rsidP="005D07A6">
      <w:pPr>
        <w:spacing w:after="0"/>
      </w:pPr>
      <w:r>
        <w:continuationSeparator/>
      </w:r>
    </w:p>
  </w:endnote>
  <w:endnote w:type="continuationNotice" w:id="1">
    <w:p w:rsidR="003B687A" w:rsidRDefault="003B68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7A" w:rsidRPr="004F4BE3" w:rsidRDefault="003B687A">
    <w:pPr>
      <w:pStyle w:val="Footer"/>
      <w:jc w:val="center"/>
      <w:rPr>
        <w:rFonts w:ascii="Times" w:hAnsi="Times"/>
      </w:rPr>
    </w:pPr>
    <w:r w:rsidRPr="004F4BE3">
      <w:rPr>
        <w:rFonts w:ascii="Times" w:hAnsi="Times"/>
      </w:rPr>
      <w:fldChar w:fldCharType="begin"/>
    </w:r>
    <w:r w:rsidRPr="00A847CC">
      <w:rPr>
        <w:rFonts w:ascii="Times" w:hAnsi="Times"/>
      </w:rPr>
      <w:instrText>PAGE</w:instrText>
    </w:r>
    <w:r w:rsidRPr="004F4BE3">
      <w:rPr>
        <w:rFonts w:ascii="Times" w:hAnsi="Times"/>
      </w:rPr>
      <w:fldChar w:fldCharType="separate"/>
    </w:r>
    <w:r w:rsidR="00461C24">
      <w:rPr>
        <w:rFonts w:ascii="Times" w:hAnsi="Times"/>
        <w:noProof/>
      </w:rPr>
      <w:t>38</w:t>
    </w:r>
    <w:r w:rsidRPr="004F4BE3">
      <w:rPr>
        <w:rFonts w:ascii="Times" w:hAnsi="Tim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7A" w:rsidRDefault="003B687A" w:rsidP="005D07A6">
    <w:pPr>
      <w:pStyle w:val="Footer"/>
      <w:ind w:right="0"/>
      <w:rPr>
        <w:lang w:val="fr-FR"/>
      </w:rPr>
    </w:pPr>
    <w:r>
      <w:rPr>
        <w:lang w:val="fr-FR"/>
      </w:rPr>
      <w:t xml:space="preserve">Commission européenne, DG COMP MERGER REGISTRY, 1049 Bruxelles, BELGIQUE </w:t>
    </w:r>
  </w:p>
  <w:p w:rsidR="003B687A" w:rsidRDefault="003B687A" w:rsidP="005D07A6">
    <w:pPr>
      <w:pStyle w:val="Footer"/>
      <w:ind w:right="0"/>
      <w:rPr>
        <w:lang w:val="it-IT"/>
      </w:rPr>
    </w:pPr>
    <w:r>
      <w:rPr>
        <w:lang w:val="it-IT"/>
      </w:rPr>
      <w:t>Europese Commissie, DG COMP MERGER REGISTRY, 1049 Brussel,  BELGIË</w:t>
    </w:r>
  </w:p>
  <w:p w:rsidR="003B687A" w:rsidRDefault="003B687A" w:rsidP="005D07A6">
    <w:pPr>
      <w:pStyle w:val="Footer"/>
      <w:ind w:right="0"/>
      <w:rPr>
        <w:lang w:val="it-IT"/>
      </w:rPr>
    </w:pPr>
  </w:p>
  <w:p w:rsidR="003B687A" w:rsidRPr="001429CF" w:rsidRDefault="003B687A" w:rsidP="005D07A6">
    <w:pPr>
      <w:jc w:val="left"/>
      <w:rPr>
        <w:rFonts w:ascii="Arial" w:hAnsi="Arial" w:cs="Arial"/>
        <w:sz w:val="16"/>
        <w:szCs w:val="16"/>
        <w:lang w:val="it-IT"/>
      </w:rPr>
    </w:pPr>
    <w:r w:rsidRPr="001429CF">
      <w:rPr>
        <w:rFonts w:ascii="Arial" w:hAnsi="Arial" w:cs="Arial"/>
        <w:sz w:val="16"/>
        <w:szCs w:val="16"/>
        <w:lang w:val="it-IT"/>
      </w:rPr>
      <w:t xml:space="preserve">Tel: +32 229-91111. Fax: +32 229-64301. E-mail: </w:t>
    </w:r>
    <w:hyperlink r:id="rId1" w:history="1">
      <w:r w:rsidRPr="001429CF">
        <w:rPr>
          <w:rStyle w:val="Hyperlink"/>
          <w:rFonts w:ascii="Arial" w:hAnsi="Arial" w:cs="Arial"/>
          <w:sz w:val="16"/>
          <w:szCs w:val="16"/>
          <w:lang w:val="it-IT"/>
        </w:rPr>
        <w:t>COMP-MERGER-REGISTRY@ec.europa.eu</w:t>
      </w:r>
    </w:hyperlink>
    <w:r w:rsidRPr="001429CF">
      <w:rPr>
        <w:rFonts w:ascii="Arial" w:hAnsi="Arial" w:cs="Arial"/>
        <w:sz w:val="16"/>
        <w:szCs w:val="16"/>
        <w:lang w:val="it-I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87A" w:rsidRDefault="003B687A" w:rsidP="005D07A6">
      <w:pPr>
        <w:spacing w:after="0"/>
      </w:pPr>
      <w:r>
        <w:separator/>
      </w:r>
    </w:p>
  </w:footnote>
  <w:footnote w:type="continuationSeparator" w:id="0">
    <w:p w:rsidR="003B687A" w:rsidRDefault="003B687A" w:rsidP="005D07A6">
      <w:pPr>
        <w:spacing w:after="0"/>
      </w:pPr>
      <w:r>
        <w:continuationSeparator/>
      </w:r>
    </w:p>
  </w:footnote>
  <w:footnote w:type="continuationNotice" w:id="1">
    <w:p w:rsidR="003B687A" w:rsidRDefault="003B687A">
      <w:pPr>
        <w:spacing w:after="0"/>
      </w:pPr>
    </w:p>
  </w:footnote>
  <w:footnote w:id="2">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OJ L 24, 29.1.2004, p. 1 (the 'Merger Regulation'). With effect from 1 December 2009, the Treaty on the Functioning of the European Union ('TFEU') has introduced certain changes, such as the replacement of 'Community' by 'Union' and 'common market' by 'internal market'. The terminology of the TFEU will be used throughout this decision.</w:t>
      </w:r>
    </w:p>
  </w:footnote>
  <w:footnote w:id="3">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OJ L 1, 3.1.1994, p. 3 (the 'EEA Agreement').</w:t>
      </w:r>
    </w:p>
  </w:footnote>
  <w:footnote w:id="4">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Turnover calculated in accordance with Article 5 of the Merger Regulation. </w:t>
      </w:r>
    </w:p>
  </w:footnote>
  <w:footnote w:id="5">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M.6280 </w:t>
      </w:r>
      <w:r w:rsidRPr="00DA0CD2">
        <w:rPr>
          <w:rFonts w:ascii="Times" w:hAnsi="Times"/>
          <w:i/>
          <w:sz w:val="18"/>
          <w:szCs w:val="18"/>
        </w:rPr>
        <w:t>Procter &amp; Gamble/Teva OTC business</w:t>
      </w:r>
      <w:r w:rsidRPr="00DA0CD2">
        <w:rPr>
          <w:rFonts w:ascii="Times" w:hAnsi="Times"/>
          <w:sz w:val="18"/>
          <w:szCs w:val="18"/>
        </w:rPr>
        <w:t xml:space="preserve">, para. 6. </w:t>
      </w:r>
    </w:p>
  </w:footnote>
  <w:footnote w:id="6">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Teva distributes all the products of the Target, except Diastrolib, Vogalib and Vibivit which are distributed by P&amp;G in France.  These products are not overlapping with any Teva products.</w:t>
      </w:r>
    </w:p>
  </w:footnote>
  <w:footnote w:id="7">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Following Teva's acquisition of Cephalon in 2012, Cephalon's OTC business was contributed to PGT (M.6705 </w:t>
      </w:r>
      <w:r w:rsidRPr="00DA0CD2">
        <w:rPr>
          <w:rFonts w:ascii="Times" w:hAnsi="Times"/>
          <w:i/>
          <w:sz w:val="18"/>
          <w:szCs w:val="18"/>
        </w:rPr>
        <w:t>Procter &amp; Gamble/Teva Pharmaceuticals OTC II)</w:t>
      </w:r>
      <w:r w:rsidRPr="00DA0CD2">
        <w:rPr>
          <w:rFonts w:ascii="Times" w:hAnsi="Times"/>
          <w:sz w:val="18"/>
          <w:szCs w:val="18"/>
        </w:rPr>
        <w:t xml:space="preserve">.  However, following the Teva's acquisition of Allergan Generics in 2016 (M.7746 </w:t>
      </w:r>
      <w:r w:rsidRPr="00DA0CD2">
        <w:rPr>
          <w:rFonts w:ascii="Times" w:hAnsi="Times"/>
          <w:i/>
          <w:sz w:val="18"/>
          <w:szCs w:val="18"/>
        </w:rPr>
        <w:t>Teva / Allergan Generics</w:t>
      </w:r>
      <w:r w:rsidRPr="00DA0CD2">
        <w:rPr>
          <w:rFonts w:ascii="Times" w:hAnsi="Times"/>
          <w:sz w:val="18"/>
          <w:szCs w:val="18"/>
        </w:rPr>
        <w:t xml:space="preserve">), the OTC business of Allergan was not contributed to PGT.  </w:t>
      </w:r>
    </w:p>
  </w:footnote>
  <w:footnote w:id="8">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r>
      <w:r w:rsidRPr="00DA0CD2">
        <w:rPr>
          <w:rFonts w:ascii="Times" w:eastAsia="Calibri" w:hAnsi="Times"/>
          <w:sz w:val="18"/>
          <w:szCs w:val="18"/>
        </w:rPr>
        <w:t xml:space="preserve">Replies to questions B.1. and B.2. of Q1 – Competitors; </w:t>
      </w:r>
      <w:r w:rsidRPr="00DA0CD2">
        <w:rPr>
          <w:rFonts w:ascii="Times" w:eastAsia="Calibri" w:hAnsi="Times"/>
          <w:sz w:val="18"/>
          <w:szCs w:val="18"/>
          <w:lang w:val="en-US"/>
        </w:rPr>
        <w:t>Replies to question 3 of Q2 – Customers (Croatia); Replies to questions 3 and 4 of Q4 – Customers (Hungary); Replies to question 3 of Q5 – Customers (Latvia); Replies to questions 3 and 4 of Q8 – Customers (Sweden); and Replies to questions 3 and 4 of Q3 – Customers (Germany).</w:t>
      </w:r>
    </w:p>
  </w:footnote>
  <w:footnote w:id="9">
    <w:p w:rsidR="003B687A" w:rsidRPr="00CF51B4" w:rsidRDefault="003B687A" w:rsidP="00CF51B4">
      <w:pPr>
        <w:pStyle w:val="FootnoteText"/>
        <w:spacing w:after="0"/>
        <w:contextualSpacing/>
        <w:rPr>
          <w:sz w:val="18"/>
          <w:szCs w:val="18"/>
        </w:rPr>
      </w:pPr>
      <w:r w:rsidRPr="00CF51B4">
        <w:rPr>
          <w:rStyle w:val="FootnoteReference"/>
          <w:sz w:val="18"/>
          <w:szCs w:val="18"/>
        </w:rPr>
        <w:footnoteRef/>
      </w:r>
      <w:r w:rsidRPr="00CF51B4">
        <w:rPr>
          <w:sz w:val="18"/>
          <w:szCs w:val="18"/>
        </w:rPr>
        <w:t xml:space="preserve"> </w:t>
      </w:r>
      <w:r w:rsidRPr="00CF51B4">
        <w:rPr>
          <w:sz w:val="18"/>
          <w:szCs w:val="18"/>
        </w:rPr>
        <w:tab/>
        <w:t>Given that for the reasons explained below, the Transaction does not raise serious doubts, the Commission does not need to investigate further the existing links between Teva and the Target (which would be relevant for the merger specificity of any potential competition concerns).</w:t>
      </w:r>
    </w:p>
  </w:footnote>
  <w:footnote w:id="10">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r>
      <w:r w:rsidRPr="00DA0CD2">
        <w:rPr>
          <w:rFonts w:ascii="Times" w:eastAsia="Calibri" w:hAnsi="Times"/>
          <w:sz w:val="18"/>
          <w:szCs w:val="18"/>
        </w:rPr>
        <w:t xml:space="preserve">Replies to questions B.1. and B.2. of Q1 – Competitors; </w:t>
      </w:r>
      <w:r w:rsidRPr="00994BD6">
        <w:rPr>
          <w:rFonts w:ascii="Times" w:eastAsia="Calibri" w:hAnsi="Times"/>
          <w:sz w:val="18"/>
          <w:szCs w:val="18"/>
          <w:lang w:val="en-US"/>
        </w:rPr>
        <w:t>Replies to question 3 of Q2 – Customers (Croatia); Replies to questions 3 and 4 of Q4 – Customers (Hungary); Replies to question 3 of Q5 – Customers (Latvia); Replies to questions 3 and 4 of Q8 – Customers (Sweden); and Replies to questions 3 and 4 of Q3 – Customers (Germany).</w:t>
      </w:r>
    </w:p>
  </w:footnote>
  <w:footnote w:id="11">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M.7919 </w:t>
      </w:r>
      <w:r w:rsidRPr="00DA0CD2">
        <w:rPr>
          <w:rFonts w:ascii="Times" w:hAnsi="Times"/>
          <w:i/>
          <w:sz w:val="18"/>
          <w:szCs w:val="18"/>
        </w:rPr>
        <w:t>Sanofi/Boeh</w:t>
      </w:r>
      <w:r w:rsidRPr="00994BD6">
        <w:rPr>
          <w:rFonts w:ascii="Times" w:hAnsi="Times"/>
          <w:i/>
          <w:sz w:val="18"/>
          <w:szCs w:val="18"/>
        </w:rPr>
        <w:t>ringer Ingelheim Consumer healthcare Business</w:t>
      </w:r>
      <w:r w:rsidRPr="00994BD6">
        <w:rPr>
          <w:rFonts w:ascii="Times" w:hAnsi="Times"/>
          <w:sz w:val="18"/>
          <w:szCs w:val="18"/>
        </w:rPr>
        <w:t xml:space="preserve">, M.6969 </w:t>
      </w:r>
      <w:r w:rsidRPr="00994BD6">
        <w:rPr>
          <w:rFonts w:ascii="Times" w:hAnsi="Times"/>
          <w:i/>
          <w:sz w:val="18"/>
          <w:szCs w:val="18"/>
        </w:rPr>
        <w:t>Valeant Pharmaceuticals International/Bausch &amp; Lomb Holdings</w:t>
      </w:r>
      <w:r w:rsidRPr="00DA0CD2">
        <w:rPr>
          <w:rFonts w:ascii="Times" w:hAnsi="Times"/>
          <w:sz w:val="18"/>
          <w:szCs w:val="18"/>
        </w:rPr>
        <w:t xml:space="preserve">, M.5778 </w:t>
      </w:r>
      <w:r w:rsidRPr="00DA0CD2">
        <w:rPr>
          <w:rFonts w:ascii="Times" w:hAnsi="Times"/>
          <w:i/>
          <w:sz w:val="18"/>
          <w:szCs w:val="18"/>
        </w:rPr>
        <w:t>Novartis/Alcon</w:t>
      </w:r>
      <w:r w:rsidRPr="00DA0CD2">
        <w:rPr>
          <w:rFonts w:ascii="Times" w:hAnsi="Times"/>
          <w:sz w:val="18"/>
          <w:szCs w:val="18"/>
        </w:rPr>
        <w:t xml:space="preserve">, and M.5865 </w:t>
      </w:r>
      <w:r w:rsidRPr="00DA0CD2">
        <w:rPr>
          <w:rFonts w:ascii="Times" w:hAnsi="Times"/>
          <w:i/>
          <w:sz w:val="18"/>
          <w:szCs w:val="18"/>
        </w:rPr>
        <w:t>Teva/Ratiopharm</w:t>
      </w:r>
      <w:r w:rsidRPr="00DA0CD2">
        <w:rPr>
          <w:rFonts w:ascii="Times" w:hAnsi="Times"/>
          <w:sz w:val="18"/>
          <w:szCs w:val="18"/>
        </w:rPr>
        <w:t xml:space="preserve">.  </w:t>
      </w:r>
    </w:p>
  </w:footnote>
  <w:footnote w:id="12">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OJ C 372, 9.12.1997, p. 5–13.  </w:t>
      </w:r>
    </w:p>
  </w:footnote>
  <w:footnote w:id="13">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M.7919, </w:t>
      </w:r>
      <w:r w:rsidRPr="00994BD6">
        <w:rPr>
          <w:rFonts w:ascii="Times" w:hAnsi="Times"/>
          <w:i/>
          <w:sz w:val="18"/>
          <w:szCs w:val="18"/>
        </w:rPr>
        <w:t>Sanofi/Boehringer Ingelheim Consumer Healthcare Business</w:t>
      </w:r>
      <w:r w:rsidRPr="00994BD6">
        <w:rPr>
          <w:rFonts w:ascii="Times" w:hAnsi="Times"/>
          <w:sz w:val="18"/>
          <w:szCs w:val="18"/>
        </w:rPr>
        <w:t xml:space="preserve">, M.7480 </w:t>
      </w:r>
      <w:r w:rsidRPr="00994BD6">
        <w:rPr>
          <w:rFonts w:ascii="Times" w:hAnsi="Times"/>
          <w:i/>
          <w:sz w:val="18"/>
          <w:szCs w:val="18"/>
        </w:rPr>
        <w:t>Actavis/Allergan</w:t>
      </w:r>
      <w:r w:rsidRPr="00994BD6">
        <w:rPr>
          <w:rFonts w:ascii="Times" w:hAnsi="Times"/>
          <w:sz w:val="18"/>
          <w:szCs w:val="18"/>
        </w:rPr>
        <w:t xml:space="preserve">; M.7279 </w:t>
      </w:r>
      <w:r w:rsidRPr="00DA0CD2">
        <w:rPr>
          <w:rFonts w:ascii="Times" w:hAnsi="Times"/>
          <w:i/>
          <w:sz w:val="18"/>
          <w:szCs w:val="18"/>
        </w:rPr>
        <w:t>Mylan/Abbott EPD-DM</w:t>
      </w:r>
      <w:r w:rsidRPr="00DA0CD2">
        <w:rPr>
          <w:rFonts w:ascii="Times" w:hAnsi="Times"/>
          <w:sz w:val="18"/>
          <w:szCs w:val="18"/>
        </w:rPr>
        <w:t xml:space="preserve">; M.7276 </w:t>
      </w:r>
      <w:r w:rsidRPr="00DA0CD2">
        <w:rPr>
          <w:rFonts w:ascii="Times" w:hAnsi="Times"/>
          <w:i/>
          <w:sz w:val="18"/>
          <w:szCs w:val="18"/>
        </w:rPr>
        <w:t>GlaxoSmithKline/Novartis vaccines business (excl. influenza)/Novartis Consumer Health business</w:t>
      </w:r>
      <w:r w:rsidRPr="00DA0CD2">
        <w:rPr>
          <w:rFonts w:ascii="Times" w:hAnsi="Times"/>
          <w:sz w:val="18"/>
          <w:szCs w:val="18"/>
        </w:rPr>
        <w:t xml:space="preserve">; M.7275 </w:t>
      </w:r>
      <w:r w:rsidRPr="00DA0CD2">
        <w:rPr>
          <w:rFonts w:ascii="Times" w:hAnsi="Times"/>
          <w:i/>
          <w:sz w:val="18"/>
          <w:szCs w:val="18"/>
        </w:rPr>
        <w:t>Novartis/GlaxoSmithKline Oncology Business and M.5253 Sanofi-Aventis/Zentiva</w:t>
      </w:r>
      <w:r w:rsidRPr="00DA0CD2">
        <w:rPr>
          <w:rFonts w:ascii="Times" w:hAnsi="Times"/>
          <w:sz w:val="18"/>
          <w:szCs w:val="18"/>
        </w:rPr>
        <w:t xml:space="preserve">.  </w:t>
      </w:r>
    </w:p>
  </w:footnote>
  <w:footnote w:id="14">
    <w:p w:rsidR="003B687A" w:rsidRPr="00994BD6" w:rsidRDefault="003B687A" w:rsidP="00994BD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M.7746 </w:t>
      </w:r>
      <w:r w:rsidRPr="00DA0CD2">
        <w:rPr>
          <w:rFonts w:ascii="Times" w:hAnsi="Times"/>
          <w:i/>
          <w:sz w:val="18"/>
          <w:szCs w:val="18"/>
        </w:rPr>
        <w:t>Teva/Allergan Generics</w:t>
      </w:r>
      <w:r w:rsidRPr="00994BD6">
        <w:rPr>
          <w:rFonts w:ascii="Times" w:hAnsi="Times"/>
          <w:i/>
          <w:sz w:val="18"/>
          <w:szCs w:val="18"/>
        </w:rPr>
        <w:t>.</w:t>
      </w:r>
    </w:p>
  </w:footnote>
  <w:footnote w:id="15">
    <w:p w:rsidR="003B687A" w:rsidRPr="00994BD6" w:rsidRDefault="003B687A" w:rsidP="00994BD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M.7919, </w:t>
      </w:r>
      <w:r w:rsidRPr="00994BD6">
        <w:rPr>
          <w:rFonts w:ascii="Times" w:hAnsi="Times"/>
          <w:i/>
          <w:sz w:val="18"/>
          <w:szCs w:val="18"/>
        </w:rPr>
        <w:t>Sanofi/Boehringer Ingelheim Consumer Healthcare Business</w:t>
      </w:r>
      <w:r w:rsidRPr="00994BD6">
        <w:rPr>
          <w:rFonts w:ascii="Times" w:hAnsi="Times"/>
          <w:sz w:val="18"/>
          <w:szCs w:val="18"/>
        </w:rPr>
        <w:t>, para. 23.</w:t>
      </w:r>
    </w:p>
  </w:footnote>
  <w:footnote w:id="16">
    <w:p w:rsidR="003B687A" w:rsidRPr="00994BD6" w:rsidRDefault="003B687A" w:rsidP="00994BD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M.7919, </w:t>
      </w:r>
      <w:r w:rsidRPr="00994BD6">
        <w:rPr>
          <w:rFonts w:ascii="Times" w:hAnsi="Times"/>
          <w:i/>
          <w:sz w:val="18"/>
          <w:szCs w:val="18"/>
        </w:rPr>
        <w:t>Sanofi/Boehringer Ingelheim Consumer Healthcare Business</w:t>
      </w:r>
      <w:r w:rsidRPr="00994BD6">
        <w:rPr>
          <w:rFonts w:ascii="Times" w:hAnsi="Times"/>
          <w:sz w:val="18"/>
          <w:szCs w:val="18"/>
        </w:rPr>
        <w:t>.</w:t>
      </w:r>
    </w:p>
  </w:footnote>
  <w:footnote w:id="17">
    <w:p w:rsidR="003B687A" w:rsidRPr="00DA0CD2" w:rsidRDefault="003B687A" w:rsidP="00994BD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r>
      <w:r w:rsidRPr="00DA0CD2">
        <w:rPr>
          <w:rFonts w:ascii="Times" w:hAnsi="Times"/>
          <w:sz w:val="18"/>
          <w:szCs w:val="18"/>
          <w:lang w:eastAsia="en-GB"/>
        </w:rPr>
        <w:t>The</w:t>
      </w:r>
      <w:r w:rsidRPr="00994BD6">
        <w:rPr>
          <w:rFonts w:ascii="Times" w:hAnsi="Times"/>
          <w:sz w:val="18"/>
          <w:szCs w:val="18"/>
          <w:lang w:eastAsia="en-GB"/>
        </w:rPr>
        <w:t xml:space="preserve"> OTC3 level does not always correspond to the ATC3 level under the EphMRA classification.  Depending on the country and on the OTC3, such </w:t>
      </w:r>
      <w:r w:rsidRPr="00DA0CD2">
        <w:rPr>
          <w:rFonts w:ascii="Times" w:hAnsi="Times"/>
          <w:sz w:val="18"/>
          <w:szCs w:val="18"/>
          <w:lang w:eastAsia="en-GB"/>
        </w:rPr>
        <w:t xml:space="preserve">categories may correspond to the equivalent ATC3 or ATC4 in the EphMRA classification, or may differ (although generically not significantly) from the ATC EphMRA classification.  </w:t>
      </w:r>
    </w:p>
  </w:footnote>
  <w:footnote w:id="18">
    <w:p w:rsidR="003B687A" w:rsidRPr="00DA0CD2" w:rsidRDefault="003B687A" w:rsidP="00994BD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M.7919, </w:t>
      </w:r>
      <w:r w:rsidRPr="00DA0CD2">
        <w:rPr>
          <w:rFonts w:ascii="Times" w:hAnsi="Times"/>
          <w:i/>
          <w:sz w:val="18"/>
          <w:szCs w:val="18"/>
        </w:rPr>
        <w:t>Sanofi/Boehringer Ingelheim Consumer Healthcare Business</w:t>
      </w:r>
      <w:r w:rsidRPr="00994BD6">
        <w:rPr>
          <w:rFonts w:ascii="Times" w:hAnsi="Times"/>
          <w:sz w:val="18"/>
          <w:szCs w:val="18"/>
        </w:rPr>
        <w:t xml:space="preserve">, para. 264 and 268, M.7276, </w:t>
      </w:r>
      <w:r w:rsidRPr="00DA0CD2">
        <w:rPr>
          <w:rFonts w:ascii="Times" w:hAnsi="Times"/>
          <w:i/>
          <w:sz w:val="18"/>
          <w:szCs w:val="18"/>
        </w:rPr>
        <w:t>GlaxoSmithKline/Novartis Vaccines Business (Excl. Influenza)/Novartis Consumer Health Business</w:t>
      </w:r>
      <w:r w:rsidRPr="00DA0CD2">
        <w:rPr>
          <w:rFonts w:ascii="Times" w:hAnsi="Times"/>
          <w:sz w:val="18"/>
          <w:szCs w:val="18"/>
        </w:rPr>
        <w:t xml:space="preserve">, para. 197, and M.6162, </w:t>
      </w:r>
      <w:r w:rsidRPr="00DA0CD2">
        <w:rPr>
          <w:rFonts w:ascii="Times" w:hAnsi="Times"/>
          <w:i/>
          <w:sz w:val="18"/>
          <w:szCs w:val="18"/>
        </w:rPr>
        <w:t>Pfizer/Ferrosan Consumer Healthcare Business</w:t>
      </w:r>
      <w:r w:rsidRPr="00DA0CD2">
        <w:rPr>
          <w:rFonts w:ascii="Times" w:hAnsi="Times"/>
          <w:sz w:val="18"/>
          <w:szCs w:val="18"/>
        </w:rPr>
        <w:t xml:space="preserve">, para. 37. </w:t>
      </w:r>
    </w:p>
  </w:footnote>
  <w:footnote w:id="19">
    <w:p w:rsidR="003B687A" w:rsidRPr="00DA0CD2" w:rsidRDefault="003B687A" w:rsidP="00994BD6">
      <w:pPr>
        <w:pStyle w:val="FootnoteText"/>
        <w:spacing w:after="0"/>
        <w:contextualSpacing/>
        <w:rPr>
          <w:rFonts w:ascii="Times" w:hAnsi="Times"/>
          <w:sz w:val="18"/>
          <w:szCs w:val="18"/>
          <w:highlight w:val="yellow"/>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M.6969 </w:t>
      </w:r>
      <w:r w:rsidRPr="00DA0CD2">
        <w:rPr>
          <w:rFonts w:ascii="Times" w:hAnsi="Times"/>
          <w:i/>
          <w:sz w:val="18"/>
          <w:szCs w:val="18"/>
        </w:rPr>
        <w:t>Valeant Pharmaceuticals Internatio</w:t>
      </w:r>
      <w:r w:rsidRPr="00994BD6">
        <w:rPr>
          <w:rFonts w:ascii="Times" w:hAnsi="Times"/>
          <w:i/>
          <w:sz w:val="18"/>
          <w:szCs w:val="18"/>
        </w:rPr>
        <w:t>nal/Bausch &amp; Lomb Holdings</w:t>
      </w:r>
      <w:r w:rsidRPr="00994BD6">
        <w:rPr>
          <w:rFonts w:ascii="Times" w:hAnsi="Times"/>
          <w:sz w:val="18"/>
          <w:szCs w:val="18"/>
        </w:rPr>
        <w:t xml:space="preserve">, M.5778 </w:t>
      </w:r>
      <w:r w:rsidRPr="00DA0CD2">
        <w:rPr>
          <w:rFonts w:ascii="Times" w:hAnsi="Times"/>
          <w:i/>
          <w:sz w:val="18"/>
          <w:szCs w:val="18"/>
        </w:rPr>
        <w:t>Novartis/Alcon</w:t>
      </w:r>
      <w:r w:rsidRPr="00DA0CD2">
        <w:rPr>
          <w:rFonts w:ascii="Times" w:hAnsi="Times"/>
          <w:sz w:val="18"/>
          <w:szCs w:val="18"/>
        </w:rPr>
        <w:t xml:space="preserve">, M.5865 </w:t>
      </w:r>
      <w:r w:rsidRPr="00DA0CD2">
        <w:rPr>
          <w:rFonts w:ascii="Times" w:hAnsi="Times"/>
          <w:i/>
          <w:sz w:val="18"/>
          <w:szCs w:val="18"/>
        </w:rPr>
        <w:t>Teva/Ratiopharm</w:t>
      </w:r>
      <w:r w:rsidRPr="00DA0CD2">
        <w:rPr>
          <w:rFonts w:ascii="Times" w:hAnsi="Times"/>
          <w:sz w:val="18"/>
          <w:szCs w:val="18"/>
        </w:rPr>
        <w:t xml:space="preserve">, and M.5295 </w:t>
      </w:r>
      <w:r w:rsidRPr="00DA0CD2">
        <w:rPr>
          <w:rFonts w:ascii="Times" w:hAnsi="Times"/>
          <w:i/>
          <w:sz w:val="18"/>
          <w:szCs w:val="18"/>
        </w:rPr>
        <w:t>Teva/Barr</w:t>
      </w:r>
      <w:r w:rsidRPr="00DA0CD2">
        <w:rPr>
          <w:rFonts w:ascii="Times" w:hAnsi="Times"/>
          <w:sz w:val="18"/>
          <w:szCs w:val="18"/>
        </w:rPr>
        <w:t xml:space="preserve">.  </w:t>
      </w:r>
    </w:p>
  </w:footnote>
  <w:footnote w:id="20">
    <w:p w:rsidR="003B687A" w:rsidRPr="00994BD6" w:rsidRDefault="003B687A" w:rsidP="00994BD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M.5953 </w:t>
      </w:r>
      <w:r w:rsidRPr="00994BD6">
        <w:rPr>
          <w:rFonts w:ascii="Times" w:hAnsi="Times"/>
          <w:i/>
          <w:sz w:val="18"/>
          <w:szCs w:val="18"/>
        </w:rPr>
        <w:t>Reckitt Benckiser/SSL</w:t>
      </w:r>
      <w:r w:rsidRPr="00994BD6">
        <w:rPr>
          <w:rFonts w:ascii="Times" w:hAnsi="Times"/>
          <w:sz w:val="18"/>
          <w:szCs w:val="18"/>
        </w:rPr>
        <w:t xml:space="preserve">.  </w:t>
      </w:r>
    </w:p>
  </w:footnote>
  <w:footnote w:id="21">
    <w:p w:rsidR="003B687A" w:rsidRPr="00994BD6" w:rsidRDefault="003B687A" w:rsidP="00994BD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M.5778 </w:t>
      </w:r>
      <w:r w:rsidRPr="00994BD6">
        <w:rPr>
          <w:rFonts w:ascii="Times" w:hAnsi="Times"/>
          <w:i/>
          <w:sz w:val="18"/>
          <w:szCs w:val="18"/>
        </w:rPr>
        <w:t>Novartis/Alcon</w:t>
      </w:r>
      <w:r w:rsidRPr="00994BD6">
        <w:rPr>
          <w:rFonts w:ascii="Times" w:hAnsi="Times"/>
          <w:sz w:val="18"/>
          <w:szCs w:val="18"/>
        </w:rPr>
        <w:t xml:space="preserve">, M.5253 </w:t>
      </w:r>
      <w:r w:rsidRPr="00994BD6">
        <w:rPr>
          <w:rFonts w:ascii="Times" w:hAnsi="Times"/>
          <w:i/>
          <w:sz w:val="18"/>
          <w:szCs w:val="18"/>
        </w:rPr>
        <w:t>Sanofi-Aventis/Zentiva</w:t>
      </w:r>
      <w:r w:rsidRPr="00994BD6">
        <w:rPr>
          <w:rFonts w:ascii="Times" w:hAnsi="Times"/>
          <w:sz w:val="18"/>
          <w:szCs w:val="18"/>
        </w:rPr>
        <w:t xml:space="preserve">, and M.3751 </w:t>
      </w:r>
      <w:r w:rsidRPr="00994BD6">
        <w:rPr>
          <w:rFonts w:ascii="Times" w:hAnsi="Times"/>
          <w:i/>
          <w:sz w:val="18"/>
          <w:szCs w:val="18"/>
        </w:rPr>
        <w:t>Novartis/Hexal</w:t>
      </w:r>
      <w:r w:rsidRPr="00994BD6">
        <w:rPr>
          <w:rFonts w:ascii="Times" w:hAnsi="Times"/>
          <w:sz w:val="18"/>
          <w:szCs w:val="18"/>
        </w:rPr>
        <w:t xml:space="preserve">.  </w:t>
      </w:r>
    </w:p>
  </w:footnote>
  <w:footnote w:id="22">
    <w:p w:rsidR="003B687A" w:rsidRPr="00994BD6" w:rsidRDefault="003B687A" w:rsidP="00994BD6">
      <w:pPr>
        <w:pStyle w:val="Default"/>
        <w:ind w:left="357" w:hanging="357"/>
        <w:contextualSpacing/>
        <w:jc w:val="both"/>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M.7645 </w:t>
      </w:r>
      <w:r w:rsidRPr="00DA0CD2">
        <w:rPr>
          <w:rFonts w:ascii="Times" w:hAnsi="Times"/>
          <w:i/>
          <w:sz w:val="18"/>
          <w:szCs w:val="18"/>
        </w:rPr>
        <w:t>My</w:t>
      </w:r>
      <w:r w:rsidRPr="00994BD6">
        <w:rPr>
          <w:rFonts w:ascii="Times" w:hAnsi="Times"/>
          <w:i/>
          <w:sz w:val="18"/>
          <w:szCs w:val="18"/>
        </w:rPr>
        <w:t>lan/Perrigo</w:t>
      </w:r>
      <w:r w:rsidRPr="00994BD6">
        <w:rPr>
          <w:rFonts w:ascii="Times" w:hAnsi="Times"/>
          <w:sz w:val="18"/>
          <w:szCs w:val="18"/>
        </w:rPr>
        <w:t xml:space="preserve"> of 29 July 2015, M.5778 </w:t>
      </w:r>
      <w:r w:rsidRPr="00994BD6">
        <w:rPr>
          <w:rFonts w:ascii="Times" w:hAnsi="Times"/>
          <w:i/>
          <w:sz w:val="18"/>
          <w:szCs w:val="18"/>
        </w:rPr>
        <w:t>Novartis/Alcon</w:t>
      </w:r>
      <w:r w:rsidRPr="00994BD6">
        <w:rPr>
          <w:rFonts w:ascii="Times" w:hAnsi="Times"/>
          <w:sz w:val="18"/>
          <w:szCs w:val="18"/>
        </w:rPr>
        <w:t xml:space="preserve">.   </w:t>
      </w:r>
    </w:p>
  </w:footnote>
  <w:footnote w:id="23">
    <w:p w:rsidR="003B687A" w:rsidRPr="00994BD6" w:rsidRDefault="003B687A" w:rsidP="00994BD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M.5778 </w:t>
      </w:r>
      <w:r w:rsidRPr="00DA0CD2">
        <w:rPr>
          <w:rFonts w:ascii="Times" w:hAnsi="Times"/>
          <w:i/>
          <w:sz w:val="18"/>
          <w:szCs w:val="18"/>
        </w:rPr>
        <w:t>Novartis/Alcon</w:t>
      </w:r>
      <w:r w:rsidRPr="00994BD6">
        <w:rPr>
          <w:rFonts w:ascii="Times" w:hAnsi="Times"/>
          <w:sz w:val="18"/>
          <w:szCs w:val="18"/>
        </w:rPr>
        <w:t xml:space="preserve">, M.5865 </w:t>
      </w:r>
      <w:r w:rsidRPr="00994BD6">
        <w:rPr>
          <w:rFonts w:ascii="Times" w:hAnsi="Times"/>
          <w:i/>
          <w:sz w:val="18"/>
          <w:szCs w:val="18"/>
        </w:rPr>
        <w:t>Teva/Ratiopharm</w:t>
      </w:r>
      <w:r w:rsidRPr="00994BD6">
        <w:rPr>
          <w:rFonts w:ascii="Times" w:hAnsi="Times"/>
          <w:sz w:val="18"/>
          <w:szCs w:val="18"/>
        </w:rPr>
        <w:t xml:space="preserve">, and M.5253 </w:t>
      </w:r>
      <w:r w:rsidRPr="00994BD6">
        <w:rPr>
          <w:rFonts w:ascii="Times" w:hAnsi="Times"/>
          <w:i/>
          <w:sz w:val="18"/>
          <w:szCs w:val="18"/>
        </w:rPr>
        <w:t>Sanofi-Aventis/Zentiva</w:t>
      </w:r>
      <w:r w:rsidRPr="00994BD6">
        <w:rPr>
          <w:rFonts w:ascii="Times" w:hAnsi="Times"/>
          <w:sz w:val="18"/>
          <w:szCs w:val="18"/>
        </w:rPr>
        <w:t xml:space="preserve">.  </w:t>
      </w:r>
    </w:p>
  </w:footnote>
  <w:footnote w:id="24">
    <w:p w:rsidR="003B687A" w:rsidRPr="00994BD6" w:rsidRDefault="003B687A" w:rsidP="00994BD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M.7919 </w:t>
      </w:r>
      <w:r w:rsidRPr="00994BD6">
        <w:rPr>
          <w:rFonts w:ascii="Times" w:hAnsi="Times"/>
          <w:i/>
          <w:sz w:val="18"/>
          <w:szCs w:val="18"/>
        </w:rPr>
        <w:t>Sanofi/Boehringer Ingelheim Consumer Healthcare Business</w:t>
      </w:r>
      <w:r w:rsidRPr="00994BD6">
        <w:rPr>
          <w:rFonts w:ascii="Times" w:hAnsi="Times"/>
          <w:sz w:val="18"/>
          <w:szCs w:val="18"/>
        </w:rPr>
        <w:t>, para. 24.</w:t>
      </w:r>
    </w:p>
  </w:footnote>
  <w:footnote w:id="25">
    <w:p w:rsidR="003B687A" w:rsidRPr="00994BD6" w:rsidRDefault="003B687A" w:rsidP="004B26FC">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most recently, M.8675, </w:t>
      </w:r>
      <w:r w:rsidRPr="00DA0CD2">
        <w:rPr>
          <w:rFonts w:ascii="Times" w:hAnsi="Times"/>
          <w:i/>
          <w:sz w:val="18"/>
          <w:szCs w:val="18"/>
        </w:rPr>
        <w:t>CVC/Teva's Women's Health Business</w:t>
      </w:r>
      <w:r w:rsidRPr="00994BD6">
        <w:rPr>
          <w:rFonts w:ascii="Times" w:hAnsi="Times"/>
          <w:sz w:val="18"/>
          <w:szCs w:val="18"/>
        </w:rPr>
        <w:t xml:space="preserve">, para. 20. </w:t>
      </w:r>
    </w:p>
  </w:footnote>
  <w:footnote w:id="26">
    <w:p w:rsidR="003B687A" w:rsidRPr="00DA0CD2" w:rsidRDefault="003B687A" w:rsidP="004B26FC">
      <w:pPr>
        <w:pStyle w:val="FootnoteText"/>
        <w:spacing w:after="0"/>
        <w:contextualSpacing/>
        <w:rPr>
          <w:rFonts w:ascii="Times" w:hAnsi="Times"/>
          <w:sz w:val="18"/>
          <w:szCs w:val="18"/>
        </w:rPr>
      </w:pPr>
      <w:r w:rsidRPr="00DA0CD2">
        <w:rPr>
          <w:rStyle w:val="FootnoteReference"/>
          <w:rFonts w:ascii="Times" w:hAnsi="Times"/>
          <w:sz w:val="18"/>
          <w:szCs w:val="18"/>
        </w:rPr>
        <w:footnoteRef/>
      </w:r>
      <w:r>
        <w:rPr>
          <w:rFonts w:ascii="Times" w:hAnsi="Times"/>
          <w:sz w:val="18"/>
          <w:szCs w:val="18"/>
        </w:rPr>
        <w:t xml:space="preserve"> </w:t>
      </w:r>
      <w:r>
        <w:rPr>
          <w:rFonts w:ascii="Times" w:hAnsi="Times"/>
          <w:sz w:val="18"/>
          <w:szCs w:val="18"/>
        </w:rPr>
        <w:tab/>
        <w:t>See para.</w:t>
      </w:r>
      <w:r w:rsidRPr="00DA0CD2">
        <w:rPr>
          <w:rFonts w:ascii="Times" w:hAnsi="Times"/>
          <w:sz w:val="18"/>
          <w:szCs w:val="18"/>
        </w:rPr>
        <w:t xml:space="preserve"> </w:t>
      </w:r>
      <w:r w:rsidRPr="00DA0CD2">
        <w:rPr>
          <w:rFonts w:ascii="Times" w:hAnsi="Times"/>
          <w:sz w:val="18"/>
          <w:szCs w:val="18"/>
        </w:rPr>
        <w:fldChar w:fldCharType="begin"/>
      </w:r>
      <w:r w:rsidRPr="00DA0CD2">
        <w:rPr>
          <w:rFonts w:ascii="Times" w:hAnsi="Times"/>
          <w:sz w:val="18"/>
          <w:szCs w:val="18"/>
        </w:rPr>
        <w:instrText xml:space="preserve"> REF _Ref517857460 \r \h  \* MERGEFORMAT </w:instrText>
      </w:r>
      <w:r w:rsidRPr="00DA0CD2">
        <w:rPr>
          <w:rFonts w:ascii="Times" w:hAnsi="Times"/>
          <w:sz w:val="18"/>
          <w:szCs w:val="18"/>
        </w:rPr>
      </w:r>
      <w:r w:rsidRPr="00DA0CD2">
        <w:rPr>
          <w:rFonts w:ascii="Times" w:hAnsi="Times"/>
          <w:sz w:val="18"/>
          <w:szCs w:val="18"/>
        </w:rPr>
        <w:fldChar w:fldCharType="separate"/>
      </w:r>
      <w:r w:rsidR="00FE3ACD">
        <w:rPr>
          <w:rFonts w:ascii="Times" w:hAnsi="Times"/>
          <w:sz w:val="18"/>
          <w:szCs w:val="18"/>
        </w:rPr>
        <w:t>(21)</w:t>
      </w:r>
      <w:r w:rsidRPr="00DA0CD2">
        <w:rPr>
          <w:rFonts w:ascii="Times" w:hAnsi="Times"/>
          <w:sz w:val="18"/>
          <w:szCs w:val="18"/>
        </w:rPr>
        <w:fldChar w:fldCharType="end"/>
      </w:r>
      <w:r w:rsidRPr="00DA0CD2">
        <w:rPr>
          <w:rFonts w:ascii="Times" w:hAnsi="Times"/>
          <w:sz w:val="18"/>
          <w:szCs w:val="18"/>
        </w:rPr>
        <w:t xml:space="preserve"> above.</w:t>
      </w:r>
    </w:p>
  </w:footnote>
  <w:footnote w:id="27">
    <w:p w:rsidR="003B687A" w:rsidRPr="00994BD6"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The Notifying Party calculated the market shares at the molecule level where the Teva and the Target business product had the same molecule and </w:t>
      </w:r>
      <w:r w:rsidRPr="00994BD6">
        <w:rPr>
          <w:rFonts w:ascii="Times" w:hAnsi="Times"/>
          <w:sz w:val="18"/>
          <w:szCs w:val="18"/>
        </w:rPr>
        <w:t>belonged to the same OTC3 class.</w:t>
      </w:r>
    </w:p>
  </w:footnote>
  <w:footnote w:id="28">
    <w:p w:rsidR="003B687A" w:rsidRPr="00994BD6"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for example M.7919, </w:t>
      </w:r>
      <w:r w:rsidRPr="00994BD6">
        <w:rPr>
          <w:rFonts w:ascii="Times" w:hAnsi="Times"/>
          <w:i/>
          <w:sz w:val="18"/>
          <w:szCs w:val="18"/>
        </w:rPr>
        <w:t>Sanofi/Boehringer Ingelheim Consumer Healthcare Business</w:t>
      </w:r>
      <w:r w:rsidRPr="00994BD6">
        <w:rPr>
          <w:rFonts w:ascii="Times" w:hAnsi="Times"/>
          <w:sz w:val="18"/>
          <w:szCs w:val="18"/>
        </w:rPr>
        <w:t>, para. 35.</w:t>
      </w:r>
    </w:p>
  </w:footnote>
  <w:footnote w:id="29">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There is no separate OTC 3 class for these products. IMS Padds uses the ATC 3 classification. </w:t>
      </w:r>
    </w:p>
  </w:footnote>
  <w:footnote w:id="30">
    <w:p w:rsidR="003B687A" w:rsidRPr="00994BD6"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M.6705, </w:t>
      </w:r>
      <w:r w:rsidRPr="00DA0CD2">
        <w:rPr>
          <w:rFonts w:ascii="Times" w:hAnsi="Times"/>
          <w:i/>
          <w:iCs/>
          <w:sz w:val="18"/>
          <w:szCs w:val="18"/>
        </w:rPr>
        <w:t>Procter &amp;</w:t>
      </w:r>
      <w:r w:rsidRPr="00994BD6">
        <w:rPr>
          <w:rFonts w:ascii="Times" w:hAnsi="Times"/>
          <w:i/>
          <w:iCs/>
          <w:sz w:val="18"/>
          <w:szCs w:val="18"/>
        </w:rPr>
        <w:t xml:space="preserve"> Gamble / Teva Pharmaceuticals OTC II </w:t>
      </w:r>
      <w:r w:rsidRPr="00994BD6">
        <w:rPr>
          <w:rFonts w:ascii="Times" w:hAnsi="Times"/>
          <w:sz w:val="18"/>
          <w:szCs w:val="18"/>
        </w:rPr>
        <w:t xml:space="preserve">(2012), para. 16; M.3751, </w:t>
      </w:r>
      <w:r w:rsidRPr="00994BD6">
        <w:rPr>
          <w:rFonts w:ascii="Times" w:hAnsi="Times"/>
          <w:i/>
          <w:sz w:val="18"/>
          <w:szCs w:val="18"/>
        </w:rPr>
        <w:t>Novartis / Hexal</w:t>
      </w:r>
      <w:r w:rsidRPr="00994BD6">
        <w:rPr>
          <w:rFonts w:ascii="Times" w:hAnsi="Times"/>
          <w:sz w:val="18"/>
          <w:szCs w:val="18"/>
        </w:rPr>
        <w:t xml:space="preserve">, page 10.  </w:t>
      </w:r>
    </w:p>
  </w:footnote>
  <w:footnote w:id="31">
    <w:p w:rsidR="003B687A" w:rsidRPr="00994BD6"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M.6258, </w:t>
      </w:r>
      <w:r w:rsidRPr="00DA0CD2">
        <w:rPr>
          <w:rFonts w:ascii="Times" w:hAnsi="Times"/>
          <w:i/>
          <w:sz w:val="18"/>
          <w:szCs w:val="18"/>
        </w:rPr>
        <w:t>Teva/Cephalon</w:t>
      </w:r>
      <w:r w:rsidRPr="00994BD6">
        <w:rPr>
          <w:rFonts w:ascii="Times" w:hAnsi="Times"/>
          <w:sz w:val="18"/>
          <w:szCs w:val="18"/>
        </w:rPr>
        <w:t xml:space="preserve">, paras. 50-52. </w:t>
      </w:r>
    </w:p>
  </w:footnote>
  <w:footnote w:id="32">
    <w:p w:rsidR="003B687A" w:rsidRPr="00DA0CD2" w:rsidRDefault="003B687A">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 K1 – Competitors, and to question 18 of Q5 – Customers (Latvia).</w:t>
      </w:r>
    </w:p>
  </w:footnote>
  <w:footnote w:id="33">
    <w:p w:rsidR="003B687A" w:rsidRPr="00994BD6" w:rsidRDefault="003B687A">
      <w:pPr>
        <w:pStyle w:val="FootnoteText"/>
        <w:spacing w:after="0"/>
        <w:contextualSpacing/>
        <w:rPr>
          <w:rFonts w:ascii="Times" w:hAnsi="Times"/>
          <w:sz w:val="18"/>
          <w:szCs w:val="18"/>
          <w:lang w:val="pt-PT"/>
        </w:rPr>
      </w:pPr>
      <w:r w:rsidRPr="00DA0CD2">
        <w:rPr>
          <w:rStyle w:val="FootnoteReference"/>
          <w:rFonts w:ascii="Times" w:hAnsi="Times"/>
          <w:sz w:val="18"/>
          <w:szCs w:val="18"/>
        </w:rPr>
        <w:footnoteRef/>
      </w:r>
      <w:r w:rsidRPr="00DA0CD2">
        <w:rPr>
          <w:rFonts w:ascii="Times" w:hAnsi="Times"/>
          <w:sz w:val="18"/>
          <w:szCs w:val="18"/>
          <w:lang w:val="pt-PT"/>
        </w:rPr>
        <w:t xml:space="preserve"> </w:t>
      </w:r>
      <w:r w:rsidRPr="00DA0CD2">
        <w:rPr>
          <w:rFonts w:ascii="Times" w:hAnsi="Times"/>
          <w:sz w:val="18"/>
          <w:szCs w:val="18"/>
          <w:lang w:val="pt-PT"/>
        </w:rPr>
        <w:tab/>
        <w:t xml:space="preserve">M.7276 </w:t>
      </w:r>
      <w:r w:rsidRPr="00DA0CD2">
        <w:rPr>
          <w:rFonts w:ascii="Times" w:hAnsi="Times"/>
          <w:i/>
          <w:sz w:val="18"/>
          <w:szCs w:val="18"/>
          <w:lang w:val="pt-PT"/>
        </w:rPr>
        <w:t>GlaxoSmithKline/Novartis Vaccines (Excl.Influenza)/Novartis Consumer Healthcare</w:t>
      </w:r>
      <w:r w:rsidRPr="00994BD6">
        <w:rPr>
          <w:rFonts w:ascii="Times" w:hAnsi="Times"/>
          <w:sz w:val="18"/>
          <w:szCs w:val="18"/>
          <w:lang w:val="pt-PT"/>
        </w:rPr>
        <w:t>, para. 313.</w:t>
      </w:r>
    </w:p>
  </w:footnote>
  <w:footnote w:id="34">
    <w:p w:rsidR="003B687A" w:rsidRPr="00994BD6" w:rsidRDefault="003B687A">
      <w:pPr>
        <w:pStyle w:val="FootnoteText"/>
        <w:spacing w:after="0"/>
        <w:contextualSpacing/>
        <w:rPr>
          <w:rFonts w:ascii="Times" w:hAnsi="Times"/>
          <w:sz w:val="18"/>
          <w:szCs w:val="18"/>
          <w:lang w:val="pt-PT"/>
        </w:rPr>
      </w:pPr>
      <w:r w:rsidRPr="00DA0CD2">
        <w:rPr>
          <w:rStyle w:val="FootnoteReference"/>
          <w:rFonts w:ascii="Times" w:hAnsi="Times"/>
          <w:sz w:val="18"/>
          <w:szCs w:val="18"/>
        </w:rPr>
        <w:footnoteRef/>
      </w:r>
      <w:r w:rsidRPr="00DA0CD2">
        <w:rPr>
          <w:rFonts w:ascii="Times" w:hAnsi="Times"/>
          <w:sz w:val="18"/>
          <w:szCs w:val="18"/>
          <w:lang w:val="pt-PT"/>
        </w:rPr>
        <w:t xml:space="preserve"> </w:t>
      </w:r>
      <w:r w:rsidRPr="00DA0CD2">
        <w:rPr>
          <w:rFonts w:ascii="Times" w:hAnsi="Times"/>
          <w:sz w:val="18"/>
          <w:szCs w:val="18"/>
          <w:lang w:val="pt-PT"/>
        </w:rPr>
        <w:tab/>
        <w:t xml:space="preserve">M.3544, </w:t>
      </w:r>
      <w:r w:rsidRPr="00DA0CD2">
        <w:rPr>
          <w:rFonts w:ascii="Times" w:hAnsi="Times"/>
          <w:i/>
          <w:sz w:val="18"/>
          <w:szCs w:val="18"/>
          <w:lang w:val="pt-PT"/>
        </w:rPr>
        <w:t>Bayer Healt</w:t>
      </w:r>
      <w:r w:rsidRPr="00994BD6">
        <w:rPr>
          <w:rFonts w:ascii="Times" w:hAnsi="Times"/>
          <w:i/>
          <w:sz w:val="18"/>
          <w:szCs w:val="18"/>
          <w:lang w:val="pt-PT"/>
        </w:rPr>
        <w:t>hcare/Roche (OTC Business)</w:t>
      </w:r>
      <w:r w:rsidRPr="00994BD6">
        <w:rPr>
          <w:rFonts w:ascii="Times" w:hAnsi="Times"/>
          <w:sz w:val="18"/>
          <w:szCs w:val="18"/>
          <w:lang w:val="pt-PT"/>
        </w:rPr>
        <w:t xml:space="preserve">, paras. 20-23. </w:t>
      </w:r>
    </w:p>
  </w:footnote>
  <w:footnote w:id="35">
    <w:p w:rsidR="003B687A" w:rsidRPr="00994BD6"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lang w:val="pt-PT"/>
        </w:rPr>
        <w:t xml:space="preserve"> </w:t>
      </w:r>
      <w:r w:rsidRPr="00DA0CD2">
        <w:rPr>
          <w:rFonts w:ascii="Times" w:hAnsi="Times"/>
          <w:sz w:val="18"/>
          <w:szCs w:val="18"/>
          <w:lang w:val="pt-PT"/>
        </w:rPr>
        <w:tab/>
        <w:t xml:space="preserve">M.5953 </w:t>
      </w:r>
      <w:r w:rsidRPr="00DA0CD2">
        <w:rPr>
          <w:rFonts w:ascii="Times" w:hAnsi="Times"/>
          <w:i/>
          <w:sz w:val="18"/>
          <w:szCs w:val="18"/>
          <w:lang w:val="pt-PT"/>
        </w:rPr>
        <w:t>Reckitt Benckiser/SSL</w:t>
      </w:r>
      <w:r w:rsidRPr="00994BD6">
        <w:rPr>
          <w:rFonts w:ascii="Times" w:hAnsi="Times"/>
          <w:sz w:val="18"/>
          <w:szCs w:val="18"/>
          <w:lang w:val="pt-PT"/>
        </w:rPr>
        <w:t xml:space="preserve">, para. </w:t>
      </w:r>
      <w:r w:rsidRPr="00994BD6">
        <w:rPr>
          <w:rFonts w:ascii="Times" w:hAnsi="Times"/>
          <w:sz w:val="18"/>
          <w:szCs w:val="18"/>
        </w:rPr>
        <w:t>18.</w:t>
      </w:r>
    </w:p>
  </w:footnote>
  <w:footnote w:id="36">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M.5865 Teva/Ratiopharm, para. 278. </w:t>
      </w:r>
    </w:p>
  </w:footnote>
  <w:footnote w:id="37">
    <w:p w:rsidR="003B687A" w:rsidRPr="00DA0CD2" w:rsidRDefault="003B687A">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K1 of Q1 - Competitors. </w:t>
      </w:r>
    </w:p>
  </w:footnote>
  <w:footnote w:id="38">
    <w:p w:rsidR="003B687A" w:rsidRPr="00DA0CD2" w:rsidRDefault="003B687A">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K1 of Q1 - Competitors. </w:t>
      </w:r>
    </w:p>
  </w:footnote>
  <w:footnote w:id="39">
    <w:p w:rsidR="003B687A" w:rsidRPr="00994BD6" w:rsidRDefault="003B687A">
      <w:pPr>
        <w:pStyle w:val="FootnoteText"/>
        <w:spacing w:after="0"/>
        <w:contextualSpacing/>
        <w:rPr>
          <w:rFonts w:ascii="Times" w:hAnsi="Times"/>
          <w:sz w:val="18"/>
          <w:szCs w:val="18"/>
          <w:lang w:val="pt-PT"/>
        </w:rPr>
      </w:pPr>
      <w:r w:rsidRPr="00DA0CD2">
        <w:rPr>
          <w:rStyle w:val="FootnoteReference"/>
          <w:rFonts w:ascii="Times" w:hAnsi="Times"/>
          <w:sz w:val="18"/>
          <w:szCs w:val="18"/>
        </w:rPr>
        <w:footnoteRef/>
      </w:r>
      <w:r w:rsidRPr="00DA0CD2">
        <w:rPr>
          <w:rFonts w:ascii="Times" w:hAnsi="Times"/>
          <w:sz w:val="18"/>
          <w:szCs w:val="18"/>
          <w:lang w:val="pt-PT"/>
        </w:rPr>
        <w:t xml:space="preserve"> </w:t>
      </w:r>
      <w:r w:rsidRPr="00DA0CD2">
        <w:rPr>
          <w:rFonts w:ascii="Times" w:hAnsi="Times"/>
          <w:sz w:val="18"/>
          <w:szCs w:val="18"/>
          <w:lang w:val="pt-PT"/>
        </w:rPr>
        <w:tab/>
        <w:t xml:space="preserve">M.5865, </w:t>
      </w:r>
      <w:r w:rsidRPr="00DA0CD2">
        <w:rPr>
          <w:rFonts w:ascii="Times" w:hAnsi="Times"/>
          <w:i/>
          <w:sz w:val="18"/>
          <w:szCs w:val="18"/>
          <w:lang w:val="pt-PT"/>
        </w:rPr>
        <w:t>Teva/Ratiopharm</w:t>
      </w:r>
      <w:r w:rsidRPr="00994BD6">
        <w:rPr>
          <w:rFonts w:ascii="Times" w:hAnsi="Times"/>
          <w:sz w:val="18"/>
          <w:szCs w:val="18"/>
          <w:lang w:val="pt-PT"/>
        </w:rPr>
        <w:t xml:space="preserve">, para. 386. </w:t>
      </w:r>
    </w:p>
  </w:footnote>
  <w:footnote w:id="40">
    <w:p w:rsidR="003B687A" w:rsidRPr="00994BD6" w:rsidRDefault="003B687A">
      <w:pPr>
        <w:pStyle w:val="FootnoteText"/>
        <w:spacing w:after="0"/>
        <w:contextualSpacing/>
        <w:rPr>
          <w:rFonts w:ascii="Times" w:hAnsi="Times"/>
          <w:sz w:val="18"/>
          <w:szCs w:val="18"/>
          <w:lang w:val="fr-BE"/>
        </w:rPr>
      </w:pPr>
      <w:r w:rsidRPr="00DA0CD2">
        <w:rPr>
          <w:rStyle w:val="FootnoteReference"/>
          <w:rFonts w:ascii="Times" w:hAnsi="Times"/>
          <w:sz w:val="18"/>
          <w:szCs w:val="18"/>
        </w:rPr>
        <w:footnoteRef/>
      </w:r>
      <w:r w:rsidRPr="00DA0CD2">
        <w:rPr>
          <w:rFonts w:ascii="Times" w:hAnsi="Times"/>
          <w:sz w:val="18"/>
          <w:szCs w:val="18"/>
          <w:lang w:val="pt-PT"/>
        </w:rPr>
        <w:t xml:space="preserve"> </w:t>
      </w:r>
      <w:r w:rsidRPr="00DA0CD2">
        <w:rPr>
          <w:rFonts w:ascii="Times" w:hAnsi="Times"/>
          <w:sz w:val="18"/>
          <w:szCs w:val="18"/>
          <w:lang w:val="pt-PT"/>
        </w:rPr>
        <w:tab/>
        <w:t xml:space="preserve">M.5253, </w:t>
      </w:r>
      <w:r w:rsidRPr="00DA0CD2">
        <w:rPr>
          <w:rFonts w:ascii="Times" w:hAnsi="Times"/>
          <w:i/>
          <w:sz w:val="18"/>
          <w:szCs w:val="18"/>
          <w:lang w:val="pt-PT"/>
        </w:rPr>
        <w:t>Sanofi-Aventis/Zentiva</w:t>
      </w:r>
      <w:r w:rsidRPr="00994BD6">
        <w:rPr>
          <w:rFonts w:ascii="Times" w:hAnsi="Times"/>
          <w:sz w:val="18"/>
          <w:szCs w:val="18"/>
          <w:lang w:val="pt-PT"/>
        </w:rPr>
        <w:t xml:space="preserve">, para. </w:t>
      </w:r>
      <w:r w:rsidRPr="00994BD6">
        <w:rPr>
          <w:rFonts w:ascii="Times" w:hAnsi="Times"/>
          <w:sz w:val="18"/>
          <w:szCs w:val="18"/>
          <w:lang w:val="fr-BE"/>
        </w:rPr>
        <w:t xml:space="preserve">102. </w:t>
      </w:r>
    </w:p>
  </w:footnote>
  <w:footnote w:id="41">
    <w:p w:rsidR="003B687A" w:rsidRPr="00994BD6" w:rsidRDefault="003B687A">
      <w:pPr>
        <w:pStyle w:val="FootnoteText"/>
        <w:spacing w:after="0"/>
        <w:contextualSpacing/>
        <w:rPr>
          <w:rFonts w:ascii="Times" w:hAnsi="Times"/>
          <w:sz w:val="18"/>
          <w:szCs w:val="18"/>
          <w:lang w:val="fr-BE"/>
        </w:rPr>
      </w:pPr>
      <w:r w:rsidRPr="00DA0CD2">
        <w:rPr>
          <w:rStyle w:val="FootnoteReference"/>
          <w:rFonts w:ascii="Times" w:hAnsi="Times"/>
          <w:sz w:val="18"/>
          <w:szCs w:val="18"/>
        </w:rPr>
        <w:footnoteRef/>
      </w:r>
      <w:r w:rsidRPr="00DA0CD2">
        <w:rPr>
          <w:rFonts w:ascii="Times" w:hAnsi="Times"/>
          <w:sz w:val="18"/>
          <w:szCs w:val="18"/>
          <w:lang w:val="fr-BE"/>
        </w:rPr>
        <w:t xml:space="preserve"> </w:t>
      </w:r>
      <w:r w:rsidRPr="00DA0CD2">
        <w:rPr>
          <w:rFonts w:ascii="Times" w:hAnsi="Times"/>
          <w:sz w:val="18"/>
          <w:szCs w:val="18"/>
          <w:lang w:val="fr-BE"/>
        </w:rPr>
        <w:tab/>
        <w:t xml:space="preserve">M.5253, </w:t>
      </w:r>
      <w:r w:rsidRPr="00DA0CD2">
        <w:rPr>
          <w:rFonts w:ascii="Times" w:hAnsi="Times"/>
          <w:i/>
          <w:sz w:val="18"/>
          <w:szCs w:val="18"/>
          <w:lang w:val="fr-BE"/>
        </w:rPr>
        <w:t>Sanofi-Aventis/Zentiva</w:t>
      </w:r>
      <w:r w:rsidRPr="00994BD6">
        <w:rPr>
          <w:rFonts w:ascii="Times" w:hAnsi="Times"/>
          <w:sz w:val="18"/>
          <w:szCs w:val="18"/>
          <w:lang w:val="fr-BE"/>
        </w:rPr>
        <w:t>, para. 102.</w:t>
      </w:r>
    </w:p>
  </w:footnote>
  <w:footnote w:id="42">
    <w:p w:rsidR="003B687A" w:rsidRPr="00DA0CD2" w:rsidRDefault="003B687A">
      <w:pPr>
        <w:pStyle w:val="FootnoteText"/>
        <w:spacing w:after="0"/>
        <w:contextualSpacing/>
        <w:rPr>
          <w:rFonts w:ascii="Times" w:hAnsi="Times"/>
          <w:sz w:val="18"/>
          <w:szCs w:val="18"/>
          <w:lang w:val="fr-BE"/>
        </w:rPr>
      </w:pPr>
      <w:r w:rsidRPr="00DA0CD2">
        <w:rPr>
          <w:rStyle w:val="FootnoteReference"/>
          <w:rFonts w:ascii="Times" w:hAnsi="Times"/>
          <w:sz w:val="18"/>
          <w:szCs w:val="18"/>
        </w:rPr>
        <w:footnoteRef/>
      </w:r>
      <w:r w:rsidRPr="00DA0CD2">
        <w:rPr>
          <w:rFonts w:ascii="Times" w:hAnsi="Times"/>
          <w:sz w:val="18"/>
          <w:szCs w:val="18"/>
          <w:lang w:val="fr-BE"/>
        </w:rPr>
        <w:t xml:space="preserve"> </w:t>
      </w:r>
      <w:r w:rsidRPr="00DA0CD2">
        <w:rPr>
          <w:rFonts w:ascii="Times" w:hAnsi="Times"/>
          <w:sz w:val="18"/>
          <w:szCs w:val="18"/>
          <w:lang w:val="fr-BE"/>
        </w:rPr>
        <w:tab/>
        <w:t xml:space="preserve">Replies to question F.2 of Questionnaire Q1 – Competitors. </w:t>
      </w:r>
    </w:p>
  </w:footnote>
  <w:footnote w:id="43">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lang w:val="fr-BE"/>
        </w:rPr>
        <w:t xml:space="preserve"> </w:t>
      </w:r>
      <w:r w:rsidRPr="00DA0CD2">
        <w:rPr>
          <w:rFonts w:ascii="Times" w:hAnsi="Times"/>
          <w:sz w:val="18"/>
          <w:szCs w:val="18"/>
          <w:lang w:val="fr-BE"/>
        </w:rPr>
        <w:tab/>
        <w:t xml:space="preserve">In OTC 3 class 10E1 (heart attack prevention products) in Hungary, there are only two products that do not contain ASA, namely Pohl-Boskamp's Nitrolingual (nitroglycerin) and Oriental Herb's Salvia which contains salvia miltiorrhiza.  </w:t>
      </w:r>
      <w:r w:rsidRPr="00DA0CD2">
        <w:rPr>
          <w:rFonts w:ascii="Times" w:hAnsi="Times"/>
          <w:sz w:val="18"/>
          <w:szCs w:val="18"/>
        </w:rPr>
        <w:t xml:space="preserve">The combined share of these two products in a relevant market for heart attack prevention products in Hungary has been less than 1% (in value and volume) in 2015-2017. </w:t>
      </w:r>
    </w:p>
  </w:footnote>
  <w:footnote w:id="44">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According to one competitor, none of the two has particularly attractive packaging.  See replies to question F.4.1 of Questionnaire Q1 – Competitors.</w:t>
      </w:r>
    </w:p>
  </w:footnote>
  <w:footnote w:id="45">
    <w:p w:rsidR="003B687A" w:rsidRPr="00635A36"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According to one competitor, Asactal is 10-12% more expensive than PGT'</w:t>
      </w:r>
      <w:r w:rsidRPr="00994BD6">
        <w:rPr>
          <w:rFonts w:ascii="Times" w:hAnsi="Times"/>
          <w:sz w:val="18"/>
          <w:szCs w:val="18"/>
        </w:rPr>
        <w:t xml:space="preserve">s </w:t>
      </w:r>
      <w:r w:rsidRPr="00D3370B">
        <w:rPr>
          <w:rFonts w:ascii="Times" w:hAnsi="Times"/>
          <w:sz w:val="18"/>
          <w:szCs w:val="18"/>
        </w:rPr>
        <w:t xml:space="preserve">products.  See </w:t>
      </w:r>
      <w:r w:rsidRPr="00F94A6C">
        <w:rPr>
          <w:rFonts w:ascii="Times" w:hAnsi="Times"/>
          <w:sz w:val="18"/>
          <w:szCs w:val="18"/>
        </w:rPr>
        <w:t>r</w:t>
      </w:r>
      <w:r w:rsidRPr="003C719C">
        <w:rPr>
          <w:rFonts w:ascii="Times" w:hAnsi="Times"/>
          <w:sz w:val="18"/>
          <w:szCs w:val="18"/>
        </w:rPr>
        <w:t>eplies to question F.4.</w:t>
      </w:r>
      <w:r w:rsidRPr="00635A36">
        <w:rPr>
          <w:rFonts w:ascii="Times" w:hAnsi="Times"/>
          <w:sz w:val="18"/>
          <w:szCs w:val="18"/>
        </w:rPr>
        <w:t xml:space="preserve">3 of Questionnaire Q1 – Competitors.   </w:t>
      </w:r>
    </w:p>
  </w:footnote>
  <w:footnote w:id="46">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F.3 of Questionnaire Q1 – Competitors and replies to question 19 of Questionnaire Q4 – Customers – Hungary. </w:t>
      </w:r>
    </w:p>
  </w:footnote>
  <w:footnote w:id="47">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IMS Padds (which reports shares on the basis of OTC 3 class 03G3) contains more complete information than IMS Midas (which reports shares on the basis of ATC 4 class A2B2).</w:t>
      </w:r>
    </w:p>
  </w:footnote>
  <w:footnote w:id="48">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Similar to PPIs, H2 antagonists are used to suppress gastric acid secretion.  PPIs and H2 antagonists work in different manners.  While PPIs shut down the proton pump in the stomach, H2 antagonists block the so-called histamine receptors in the parietal cells. </w:t>
      </w:r>
    </w:p>
  </w:footnote>
  <w:footnote w:id="49">
    <w:p w:rsidR="003B687A" w:rsidRPr="00994BD6"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lang w:val="es-ES"/>
        </w:rPr>
        <w:t xml:space="preserve"> </w:t>
      </w:r>
      <w:r w:rsidRPr="00DA0CD2">
        <w:rPr>
          <w:rFonts w:ascii="Times" w:hAnsi="Times"/>
          <w:sz w:val="18"/>
          <w:szCs w:val="18"/>
          <w:lang w:val="es-ES"/>
        </w:rPr>
        <w:tab/>
        <w:t xml:space="preserve">See M.7645, </w:t>
      </w:r>
      <w:r w:rsidRPr="00DA0CD2">
        <w:rPr>
          <w:rFonts w:ascii="Times" w:hAnsi="Times"/>
          <w:i/>
          <w:sz w:val="18"/>
          <w:szCs w:val="18"/>
          <w:lang w:val="es-ES"/>
        </w:rPr>
        <w:t>Mylan/Perrigo</w:t>
      </w:r>
      <w:r w:rsidRPr="00994BD6">
        <w:rPr>
          <w:rFonts w:ascii="Times" w:hAnsi="Times"/>
          <w:sz w:val="18"/>
          <w:szCs w:val="18"/>
          <w:lang w:val="es-ES"/>
        </w:rPr>
        <w:t xml:space="preserve">, para. </w:t>
      </w:r>
      <w:r w:rsidRPr="00994BD6">
        <w:rPr>
          <w:rFonts w:ascii="Times" w:hAnsi="Times"/>
          <w:sz w:val="18"/>
          <w:szCs w:val="18"/>
        </w:rPr>
        <w:t xml:space="preserve">50 and the cases cited therein. </w:t>
      </w:r>
    </w:p>
  </w:footnote>
  <w:footnote w:id="50">
    <w:p w:rsidR="003B687A" w:rsidRPr="00994BD6"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A.37507 – </w:t>
      </w:r>
      <w:r w:rsidRPr="00994BD6">
        <w:rPr>
          <w:rFonts w:ascii="Times" w:hAnsi="Times"/>
          <w:i/>
          <w:sz w:val="18"/>
          <w:szCs w:val="18"/>
        </w:rPr>
        <w:t>AstraZeneca</w:t>
      </w:r>
      <w:r w:rsidRPr="00994BD6">
        <w:rPr>
          <w:rFonts w:ascii="Times" w:hAnsi="Times"/>
          <w:sz w:val="18"/>
          <w:szCs w:val="18"/>
        </w:rPr>
        <w:t xml:space="preserve">, decision of 15 June 2005, para. 504. </w:t>
      </w:r>
    </w:p>
  </w:footnote>
  <w:footnote w:id="51">
    <w:p w:rsidR="003B687A" w:rsidRPr="00994BD6"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M.7919 </w:t>
      </w:r>
      <w:r w:rsidRPr="00DA0CD2">
        <w:rPr>
          <w:rFonts w:ascii="Times" w:hAnsi="Times"/>
          <w:i/>
          <w:sz w:val="18"/>
          <w:szCs w:val="18"/>
        </w:rPr>
        <w:t>Sanofi/Boehringer Ingelheim Consumer healthcare Business</w:t>
      </w:r>
      <w:r w:rsidRPr="00994BD6">
        <w:rPr>
          <w:rFonts w:ascii="Times" w:hAnsi="Times"/>
          <w:sz w:val="18"/>
          <w:szCs w:val="18"/>
        </w:rPr>
        <w:t xml:space="preserve">, paras. 134-140. </w:t>
      </w:r>
    </w:p>
  </w:footnote>
  <w:footnote w:id="52">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Teva also offered Panrazol Control (</w:t>
      </w:r>
      <w:r w:rsidRPr="00DA0CD2">
        <w:rPr>
          <w:rFonts w:ascii="Times" w:hAnsi="Times"/>
          <w:i/>
          <w:sz w:val="18"/>
          <w:szCs w:val="18"/>
        </w:rPr>
        <w:t>pantoprazole</w:t>
      </w:r>
      <w:r w:rsidRPr="00DA0CD2">
        <w:rPr>
          <w:rFonts w:ascii="Times" w:hAnsi="Times"/>
          <w:sz w:val="18"/>
          <w:szCs w:val="18"/>
        </w:rPr>
        <w:t xml:space="preserve">) but the product is now discontinued. </w:t>
      </w:r>
    </w:p>
  </w:footnote>
  <w:footnote w:id="53">
    <w:p w:rsidR="003B687A" w:rsidRPr="00D3370B"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In antiulcerants (including both PPIs and H2 products sold OTC) and in PPI products (based on ATC 4 A2B2 in IMS Midas), the Transaction gives rise to Group 3 markets.</w:t>
      </w:r>
    </w:p>
  </w:footnote>
  <w:footnote w:id="54">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 K1 of Q1 - Competitors.</w:t>
      </w:r>
    </w:p>
  </w:footnote>
  <w:footnote w:id="55">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in more detail, paras. </w:t>
      </w:r>
      <w:r w:rsidRPr="00DA0CD2">
        <w:rPr>
          <w:rFonts w:ascii="Times" w:hAnsi="Times"/>
          <w:sz w:val="18"/>
          <w:szCs w:val="18"/>
        </w:rPr>
        <w:fldChar w:fldCharType="begin"/>
      </w:r>
      <w:r w:rsidRPr="00DA0CD2">
        <w:rPr>
          <w:rFonts w:ascii="Times" w:hAnsi="Times"/>
          <w:sz w:val="18"/>
          <w:szCs w:val="18"/>
        </w:rPr>
        <w:instrText xml:space="preserve"> REF _Ref517430816 \r \h  \* MERGEFORMAT </w:instrText>
      </w:r>
      <w:r w:rsidRPr="00DA0CD2">
        <w:rPr>
          <w:rFonts w:ascii="Times" w:hAnsi="Times"/>
          <w:sz w:val="18"/>
          <w:szCs w:val="18"/>
        </w:rPr>
      </w:r>
      <w:r w:rsidRPr="00DA0CD2">
        <w:rPr>
          <w:rFonts w:ascii="Times" w:hAnsi="Times"/>
          <w:sz w:val="18"/>
          <w:szCs w:val="18"/>
        </w:rPr>
        <w:fldChar w:fldCharType="separate"/>
      </w:r>
      <w:r w:rsidR="00FE3ACD">
        <w:rPr>
          <w:rFonts w:ascii="Times" w:hAnsi="Times"/>
          <w:sz w:val="18"/>
          <w:szCs w:val="18"/>
        </w:rPr>
        <w:t>(22)</w:t>
      </w:r>
      <w:r w:rsidRPr="00DA0CD2">
        <w:rPr>
          <w:rFonts w:ascii="Times" w:hAnsi="Times"/>
          <w:sz w:val="18"/>
          <w:szCs w:val="18"/>
        </w:rPr>
        <w:fldChar w:fldCharType="end"/>
      </w:r>
      <w:r w:rsidRPr="00DA0CD2">
        <w:rPr>
          <w:rFonts w:ascii="Times" w:hAnsi="Times"/>
          <w:sz w:val="18"/>
          <w:szCs w:val="18"/>
        </w:rPr>
        <w:t>-</w:t>
      </w:r>
      <w:r w:rsidRPr="00DA0CD2">
        <w:rPr>
          <w:rFonts w:ascii="Times" w:hAnsi="Times"/>
          <w:sz w:val="18"/>
          <w:szCs w:val="18"/>
        </w:rPr>
        <w:fldChar w:fldCharType="begin"/>
      </w:r>
      <w:r w:rsidRPr="00DA0CD2">
        <w:rPr>
          <w:rFonts w:ascii="Times" w:hAnsi="Times"/>
          <w:sz w:val="18"/>
          <w:szCs w:val="18"/>
        </w:rPr>
        <w:instrText xml:space="preserve"> REF _Ref517430818 \r \h  \* MERGEFORMAT </w:instrText>
      </w:r>
      <w:r w:rsidRPr="00DA0CD2">
        <w:rPr>
          <w:rFonts w:ascii="Times" w:hAnsi="Times"/>
          <w:sz w:val="18"/>
          <w:szCs w:val="18"/>
        </w:rPr>
      </w:r>
      <w:r w:rsidRPr="00DA0CD2">
        <w:rPr>
          <w:rFonts w:ascii="Times" w:hAnsi="Times"/>
          <w:sz w:val="18"/>
          <w:szCs w:val="18"/>
        </w:rPr>
        <w:fldChar w:fldCharType="separate"/>
      </w:r>
      <w:r w:rsidR="00FE3ACD">
        <w:rPr>
          <w:rFonts w:ascii="Times" w:hAnsi="Times"/>
          <w:sz w:val="18"/>
          <w:szCs w:val="18"/>
        </w:rPr>
        <w:t>(25)</w:t>
      </w:r>
      <w:r w:rsidRPr="00DA0CD2">
        <w:rPr>
          <w:rFonts w:ascii="Times" w:hAnsi="Times"/>
          <w:sz w:val="18"/>
          <w:szCs w:val="18"/>
        </w:rPr>
        <w:fldChar w:fldCharType="end"/>
      </w:r>
      <w:r w:rsidRPr="00DA0CD2">
        <w:rPr>
          <w:rFonts w:ascii="Times" w:hAnsi="Times"/>
          <w:sz w:val="18"/>
          <w:szCs w:val="18"/>
        </w:rPr>
        <w:t xml:space="preserve"> above. </w:t>
      </w:r>
    </w:p>
  </w:footnote>
  <w:footnote w:id="56">
    <w:p w:rsidR="003B687A" w:rsidRPr="00CF51B4" w:rsidRDefault="003B687A" w:rsidP="00CF51B4">
      <w:pPr>
        <w:pStyle w:val="FootnoteText"/>
        <w:spacing w:after="0"/>
        <w:contextualSpacing/>
        <w:rPr>
          <w:sz w:val="18"/>
          <w:szCs w:val="18"/>
        </w:rPr>
      </w:pPr>
      <w:r w:rsidRPr="00CF51B4">
        <w:rPr>
          <w:rStyle w:val="FootnoteReference"/>
          <w:sz w:val="18"/>
          <w:szCs w:val="18"/>
        </w:rPr>
        <w:footnoteRef/>
      </w:r>
      <w:r w:rsidRPr="00CF51B4">
        <w:rPr>
          <w:sz w:val="18"/>
          <w:szCs w:val="18"/>
        </w:rPr>
        <w:t xml:space="preserve"> </w:t>
      </w:r>
      <w:r w:rsidRPr="00CF51B4">
        <w:rPr>
          <w:sz w:val="18"/>
          <w:szCs w:val="18"/>
        </w:rPr>
        <w:tab/>
        <w:t xml:space="preserve">As explained below, for </w:t>
      </w:r>
      <w:r w:rsidRPr="00CF51B4">
        <w:rPr>
          <w:i/>
          <w:sz w:val="18"/>
          <w:szCs w:val="18"/>
        </w:rPr>
        <w:t>ascorbic acid</w:t>
      </w:r>
      <w:r w:rsidRPr="00CF51B4">
        <w:rPr>
          <w:sz w:val="18"/>
          <w:szCs w:val="18"/>
        </w:rPr>
        <w:t xml:space="preserve"> Vitamin C products, Teva has both Rx and OTC products. However, the market limited to OTC products is not affected.</w:t>
      </w:r>
    </w:p>
  </w:footnote>
  <w:footnote w:id="57">
    <w:p w:rsidR="003B687A" w:rsidRPr="00DA0CD2" w:rsidRDefault="003B687A" w:rsidP="00CF51B4">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M.1846 </w:t>
      </w:r>
      <w:r w:rsidRPr="00DA0CD2">
        <w:rPr>
          <w:rFonts w:ascii="Times" w:hAnsi="Times"/>
          <w:i/>
          <w:sz w:val="18"/>
          <w:szCs w:val="18"/>
        </w:rPr>
        <w:t>Glaxo Wellcome/Smithkline Beecham</w:t>
      </w:r>
      <w:r w:rsidRPr="00DA0CD2">
        <w:rPr>
          <w:rFonts w:ascii="Times" w:hAnsi="Times"/>
          <w:sz w:val="18"/>
          <w:szCs w:val="18"/>
        </w:rPr>
        <w:t>, para. 25.</w:t>
      </w:r>
    </w:p>
  </w:footnote>
  <w:footnote w:id="58">
    <w:p w:rsidR="003B687A" w:rsidRPr="00DA0CD2" w:rsidRDefault="003B687A" w:rsidP="00DA0CD2">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 K1 – Competitors.</w:t>
      </w:r>
    </w:p>
  </w:footnote>
  <w:footnote w:id="59">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lang w:val="fr-BE"/>
        </w:rPr>
        <w:t xml:space="preserve">  </w:t>
      </w:r>
      <w:r w:rsidRPr="00DA0CD2">
        <w:rPr>
          <w:rFonts w:ascii="Times" w:hAnsi="Times"/>
          <w:sz w:val="18"/>
          <w:szCs w:val="18"/>
          <w:lang w:val="fr-BE"/>
        </w:rPr>
        <w:tab/>
        <w:t xml:space="preserve">M.5965, </w:t>
      </w:r>
      <w:r w:rsidRPr="00DA0CD2">
        <w:rPr>
          <w:rFonts w:ascii="Times" w:hAnsi="Times"/>
          <w:i/>
          <w:sz w:val="18"/>
          <w:szCs w:val="18"/>
          <w:lang w:val="fr-BE"/>
        </w:rPr>
        <w:t>Teva/Ratiopharm</w:t>
      </w:r>
      <w:r w:rsidRPr="00DA0CD2">
        <w:rPr>
          <w:rFonts w:ascii="Times" w:hAnsi="Times"/>
          <w:sz w:val="18"/>
          <w:szCs w:val="18"/>
          <w:lang w:val="fr-BE"/>
        </w:rPr>
        <w:t>, paras. 105-110 and M.457/</w:t>
      </w:r>
      <w:r w:rsidRPr="00DA0CD2">
        <w:rPr>
          <w:rFonts w:ascii="Times" w:hAnsi="Times"/>
          <w:i/>
          <w:sz w:val="18"/>
          <w:szCs w:val="18"/>
          <w:lang w:val="fr-BE"/>
        </w:rPr>
        <w:t>La Roche/Syntex</w:t>
      </w:r>
      <w:r w:rsidRPr="00DA0CD2">
        <w:rPr>
          <w:rFonts w:ascii="Times" w:hAnsi="Times"/>
          <w:sz w:val="18"/>
          <w:szCs w:val="18"/>
          <w:lang w:val="fr-BE"/>
        </w:rPr>
        <w:t xml:space="preserve">, para. </w:t>
      </w:r>
      <w:r w:rsidRPr="00DA0CD2">
        <w:rPr>
          <w:rFonts w:ascii="Times" w:hAnsi="Times"/>
          <w:sz w:val="18"/>
          <w:szCs w:val="18"/>
        </w:rPr>
        <w:t xml:space="preserve">35. </w:t>
      </w:r>
    </w:p>
  </w:footnote>
  <w:footnote w:id="60">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M.5965, </w:t>
      </w:r>
      <w:r w:rsidRPr="00DA0CD2">
        <w:rPr>
          <w:rFonts w:ascii="Times" w:hAnsi="Times"/>
          <w:i/>
          <w:sz w:val="18"/>
          <w:szCs w:val="18"/>
        </w:rPr>
        <w:t>Teva/Ratiopharm</w:t>
      </w:r>
      <w:r w:rsidRPr="00DA0CD2">
        <w:rPr>
          <w:rFonts w:ascii="Times" w:hAnsi="Times"/>
          <w:sz w:val="18"/>
          <w:szCs w:val="18"/>
        </w:rPr>
        <w:t xml:space="preserve">, para. 108. </w:t>
      </w:r>
    </w:p>
  </w:footnote>
  <w:footnote w:id="61">
    <w:p w:rsidR="003B687A" w:rsidRPr="00DA0CD2" w:rsidRDefault="003B687A" w:rsidP="00DA0CD2">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K1 of Q1 - Competitors. </w:t>
      </w:r>
    </w:p>
  </w:footnote>
  <w:footnote w:id="62">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M.7276 </w:t>
      </w:r>
      <w:r w:rsidRPr="00DA0CD2">
        <w:rPr>
          <w:rFonts w:ascii="Times" w:hAnsi="Times"/>
          <w:i/>
          <w:sz w:val="18"/>
          <w:szCs w:val="18"/>
        </w:rPr>
        <w:t xml:space="preserve">GlaxoSmithKline/Novartis Vaccines Business/Novartis Consumer Health Business, </w:t>
      </w:r>
      <w:r w:rsidRPr="00DA0CD2">
        <w:rPr>
          <w:rFonts w:ascii="Times" w:hAnsi="Times"/>
          <w:sz w:val="18"/>
          <w:szCs w:val="18"/>
        </w:rPr>
        <w:t xml:space="preserve">para. 284-285, M.5502 </w:t>
      </w:r>
      <w:r w:rsidRPr="00DA0CD2">
        <w:rPr>
          <w:rFonts w:ascii="Times" w:hAnsi="Times"/>
          <w:i/>
          <w:sz w:val="18"/>
          <w:szCs w:val="18"/>
        </w:rPr>
        <w:t xml:space="preserve">Merck/Schering-Plough, </w:t>
      </w:r>
      <w:r w:rsidRPr="00DA0CD2">
        <w:rPr>
          <w:rFonts w:ascii="Times" w:hAnsi="Times"/>
          <w:sz w:val="18"/>
          <w:szCs w:val="18"/>
        </w:rPr>
        <w:t>para. 43</w:t>
      </w:r>
      <w:r w:rsidRPr="00DA0CD2">
        <w:rPr>
          <w:rFonts w:ascii="Times" w:hAnsi="Times"/>
          <w:i/>
          <w:sz w:val="18"/>
          <w:szCs w:val="18"/>
        </w:rPr>
        <w:t>ff</w:t>
      </w:r>
      <w:r w:rsidRPr="00DA0CD2">
        <w:rPr>
          <w:rFonts w:ascii="Times" w:hAnsi="Times"/>
          <w:sz w:val="18"/>
          <w:szCs w:val="18"/>
        </w:rPr>
        <w:t xml:space="preserve">., and M.3354 </w:t>
      </w:r>
      <w:r w:rsidRPr="00DA0CD2">
        <w:rPr>
          <w:rFonts w:ascii="Times" w:hAnsi="Times"/>
          <w:i/>
          <w:sz w:val="18"/>
          <w:szCs w:val="18"/>
        </w:rPr>
        <w:t xml:space="preserve">Sanofi-Synthelabo/Aventis, </w:t>
      </w:r>
      <w:r w:rsidRPr="00DA0CD2">
        <w:rPr>
          <w:rFonts w:ascii="Times" w:hAnsi="Times"/>
          <w:sz w:val="18"/>
          <w:szCs w:val="18"/>
        </w:rPr>
        <w:t xml:space="preserve">para. 23.  </w:t>
      </w:r>
    </w:p>
  </w:footnote>
  <w:footnote w:id="63">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See M.7919 </w:t>
      </w:r>
      <w:r w:rsidRPr="00DA0CD2">
        <w:rPr>
          <w:rFonts w:ascii="Times" w:hAnsi="Times"/>
          <w:i/>
          <w:sz w:val="18"/>
          <w:szCs w:val="18"/>
        </w:rPr>
        <w:t>Sanofi/Boehringer Ingelheim Consumer healthcare Business</w:t>
      </w:r>
      <w:r w:rsidRPr="00DA0CD2">
        <w:rPr>
          <w:rFonts w:ascii="Times" w:hAnsi="Times"/>
          <w:sz w:val="18"/>
          <w:szCs w:val="18"/>
        </w:rPr>
        <w:t xml:space="preserve">, paras. 43-46. </w:t>
      </w:r>
    </w:p>
  </w:footnote>
  <w:footnote w:id="64">
    <w:p w:rsidR="003B687A" w:rsidRPr="00DA0CD2" w:rsidRDefault="003B687A" w:rsidP="00DA0CD2">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 D.2 and D.3 of Questionnaire Q1 – Competitors.</w:t>
      </w:r>
    </w:p>
  </w:footnote>
  <w:footnote w:id="65">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In 2017, Chiesi held </w:t>
      </w:r>
      <w:r>
        <w:rPr>
          <w:rFonts w:ascii="Times" w:hAnsi="Times"/>
          <w:sz w:val="18"/>
          <w:szCs w:val="18"/>
        </w:rPr>
        <w:t>[10-20]</w:t>
      </w:r>
      <w:r w:rsidRPr="00DA0CD2">
        <w:rPr>
          <w:rFonts w:ascii="Times" w:hAnsi="Times"/>
          <w:sz w:val="18"/>
          <w:szCs w:val="18"/>
        </w:rPr>
        <w:t xml:space="preserve">% in value and </w:t>
      </w:r>
      <w:r>
        <w:rPr>
          <w:rFonts w:ascii="Times" w:hAnsi="Times"/>
          <w:sz w:val="18"/>
          <w:szCs w:val="18"/>
        </w:rPr>
        <w:t>[10-20]</w:t>
      </w:r>
      <w:r w:rsidRPr="00DA0CD2">
        <w:rPr>
          <w:rFonts w:ascii="Times" w:hAnsi="Times"/>
          <w:sz w:val="18"/>
          <w:szCs w:val="18"/>
        </w:rPr>
        <w:t xml:space="preserve">% in volume at molecule level and </w:t>
      </w:r>
      <w:r>
        <w:rPr>
          <w:rFonts w:ascii="Times" w:hAnsi="Times"/>
          <w:sz w:val="18"/>
          <w:szCs w:val="18"/>
        </w:rPr>
        <w:t>[0-5]</w:t>
      </w:r>
      <w:r w:rsidRPr="00DA0CD2">
        <w:rPr>
          <w:rFonts w:ascii="Times" w:hAnsi="Times"/>
          <w:sz w:val="18"/>
          <w:szCs w:val="18"/>
        </w:rPr>
        <w:t xml:space="preserve">% in value and </w:t>
      </w:r>
      <w:r>
        <w:rPr>
          <w:rFonts w:ascii="Times" w:hAnsi="Times"/>
          <w:sz w:val="18"/>
          <w:szCs w:val="18"/>
        </w:rPr>
        <w:t>[0-5]</w:t>
      </w:r>
      <w:r w:rsidRPr="00DA0CD2">
        <w:rPr>
          <w:rFonts w:ascii="Times" w:hAnsi="Times"/>
          <w:sz w:val="18"/>
          <w:szCs w:val="18"/>
        </w:rPr>
        <w:t xml:space="preserve">% in volume at ATC 3 level. </w:t>
      </w:r>
    </w:p>
  </w:footnote>
  <w:footnote w:id="66">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In 2017, Dermapharm held </w:t>
      </w:r>
      <w:r>
        <w:rPr>
          <w:rFonts w:ascii="Times" w:hAnsi="Times"/>
          <w:sz w:val="18"/>
          <w:szCs w:val="18"/>
        </w:rPr>
        <w:t>[</w:t>
      </w:r>
      <w:r w:rsidRPr="00DA0CD2">
        <w:rPr>
          <w:rFonts w:ascii="Times" w:hAnsi="Times"/>
          <w:sz w:val="18"/>
          <w:szCs w:val="18"/>
        </w:rPr>
        <w:t>10</w:t>
      </w:r>
      <w:r>
        <w:rPr>
          <w:rFonts w:ascii="Times" w:hAnsi="Times"/>
          <w:sz w:val="18"/>
          <w:szCs w:val="18"/>
        </w:rPr>
        <w:t>-20]</w:t>
      </w:r>
      <w:r w:rsidRPr="00DA0CD2">
        <w:rPr>
          <w:rFonts w:ascii="Times" w:hAnsi="Times"/>
          <w:sz w:val="18"/>
          <w:szCs w:val="18"/>
        </w:rPr>
        <w:t xml:space="preserve">% in value and </w:t>
      </w:r>
      <w:r>
        <w:rPr>
          <w:rFonts w:ascii="Times" w:hAnsi="Times"/>
          <w:sz w:val="18"/>
          <w:szCs w:val="18"/>
        </w:rPr>
        <w:t>[5-10]</w:t>
      </w:r>
      <w:r w:rsidRPr="00DA0CD2">
        <w:rPr>
          <w:rFonts w:ascii="Times" w:hAnsi="Times"/>
          <w:sz w:val="18"/>
          <w:szCs w:val="18"/>
        </w:rPr>
        <w:t xml:space="preserve">% in volume at molecule level and </w:t>
      </w:r>
      <w:r>
        <w:rPr>
          <w:rFonts w:ascii="Times" w:hAnsi="Times"/>
          <w:sz w:val="18"/>
          <w:szCs w:val="18"/>
        </w:rPr>
        <w:t>[0-5]</w:t>
      </w:r>
      <w:r w:rsidRPr="00DA0CD2">
        <w:rPr>
          <w:rFonts w:ascii="Times" w:hAnsi="Times"/>
          <w:sz w:val="18"/>
          <w:szCs w:val="18"/>
        </w:rPr>
        <w:t xml:space="preserve">% in both value and volume at ATC 3 level. </w:t>
      </w:r>
    </w:p>
  </w:footnote>
  <w:footnote w:id="67">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r>
      <w:r>
        <w:rPr>
          <w:rFonts w:ascii="Times" w:hAnsi="Times"/>
          <w:sz w:val="18"/>
          <w:szCs w:val="18"/>
        </w:rPr>
        <w:t>In 2017, Orion held</w:t>
      </w:r>
      <w:r w:rsidRPr="00DA0CD2">
        <w:rPr>
          <w:rFonts w:ascii="Times" w:hAnsi="Times"/>
          <w:sz w:val="18"/>
          <w:szCs w:val="18"/>
        </w:rPr>
        <w:t xml:space="preserve"> </w:t>
      </w:r>
      <w:r>
        <w:rPr>
          <w:rFonts w:ascii="Times" w:hAnsi="Times"/>
          <w:sz w:val="18"/>
          <w:szCs w:val="18"/>
        </w:rPr>
        <w:t>[0-5]</w:t>
      </w:r>
      <w:r w:rsidRPr="00DA0CD2">
        <w:rPr>
          <w:rFonts w:ascii="Times" w:hAnsi="Times"/>
          <w:sz w:val="18"/>
          <w:szCs w:val="18"/>
        </w:rPr>
        <w:t xml:space="preserve">% in both value and volume at ATC 3 level.  </w:t>
      </w:r>
    </w:p>
  </w:footnote>
  <w:footnote w:id="68">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questions D.3.1 and D.3.2 of Questionnaire Q1 – Competitors. </w:t>
      </w:r>
    </w:p>
  </w:footnote>
  <w:footnote w:id="69">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D.4 and D.5 of Questionnaire Q1 – Competitors. </w:t>
      </w:r>
    </w:p>
  </w:footnote>
  <w:footnote w:id="70">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ab/>
        <w:t xml:space="preserve">Replies to question F.5.1 of Questionnaire Q1 – Competitors. </w:t>
      </w:r>
    </w:p>
  </w:footnote>
  <w:footnote w:id="71">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 I.2 of Questionnaire Q1 – Competitors.</w:t>
      </w:r>
    </w:p>
  </w:footnote>
  <w:footnote w:id="72">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questions 7-8 of Questionnaire Q8 – Customers (Sweden).</w:t>
      </w:r>
    </w:p>
  </w:footnote>
  <w:footnote w:id="73">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 I.4 of Questionnaire Q1 – Competitors and replies to questions 11-12 of Questionnaire Q8 – Customers (Sweden).</w:t>
      </w:r>
    </w:p>
  </w:footnote>
  <w:footnote w:id="74">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 I.5 of Questionnaire Q1 – Competitors.</w:t>
      </w:r>
    </w:p>
  </w:footnote>
  <w:footnote w:id="75">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I.6.1-I.6.3 of Questionnaire Q1 – Competitors and questions 14-16 of Questionnaire Q8 – Customers (Sweden). </w:t>
      </w:r>
    </w:p>
  </w:footnote>
  <w:footnote w:id="76">
    <w:p w:rsidR="003B687A" w:rsidRPr="00DA0CD2" w:rsidRDefault="003B687A" w:rsidP="00C1482B">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M.5330, </w:t>
      </w:r>
      <w:r w:rsidRPr="00DA0CD2">
        <w:rPr>
          <w:rFonts w:ascii="Times" w:hAnsi="Times"/>
          <w:i/>
          <w:sz w:val="18"/>
          <w:szCs w:val="18"/>
        </w:rPr>
        <w:t>GlaxoSmithKline/Stiefel Laboratories</w:t>
      </w:r>
      <w:r w:rsidRPr="00DA0CD2">
        <w:rPr>
          <w:rFonts w:ascii="Times" w:hAnsi="Times"/>
          <w:sz w:val="18"/>
          <w:szCs w:val="18"/>
        </w:rPr>
        <w:t xml:space="preserve">, para. 14. </w:t>
      </w:r>
    </w:p>
  </w:footnote>
  <w:footnote w:id="77">
    <w:p w:rsidR="003B687A" w:rsidRPr="00DA0CD2" w:rsidRDefault="003B687A" w:rsidP="00635A36">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M.7276, </w:t>
      </w:r>
      <w:r w:rsidRPr="00DA0CD2">
        <w:rPr>
          <w:rFonts w:ascii="Times" w:hAnsi="Times"/>
          <w:i/>
          <w:sz w:val="18"/>
          <w:szCs w:val="18"/>
        </w:rPr>
        <w:t xml:space="preserve">GlaxoSmithKline/Novartis Vaccines Business (Excl. </w:t>
      </w:r>
      <w:r w:rsidRPr="00C063D0">
        <w:rPr>
          <w:rFonts w:ascii="Times" w:hAnsi="Times"/>
          <w:i/>
          <w:sz w:val="18"/>
          <w:szCs w:val="18"/>
        </w:rPr>
        <w:t>Influenza)/Novartis Consumer Health Business</w:t>
      </w:r>
      <w:r w:rsidRPr="00C063D0">
        <w:rPr>
          <w:rFonts w:ascii="Times" w:hAnsi="Times"/>
          <w:sz w:val="18"/>
          <w:szCs w:val="18"/>
        </w:rPr>
        <w:t xml:space="preserve">, paras. 339, M.5253, </w:t>
      </w:r>
      <w:r w:rsidRPr="00C063D0">
        <w:rPr>
          <w:rFonts w:ascii="Times" w:hAnsi="Times"/>
          <w:i/>
          <w:sz w:val="18"/>
          <w:szCs w:val="18"/>
        </w:rPr>
        <w:t>Sanofi-Aventis / Zentiva</w:t>
      </w:r>
      <w:r w:rsidRPr="00C063D0">
        <w:rPr>
          <w:rFonts w:ascii="Times" w:hAnsi="Times"/>
          <w:sz w:val="18"/>
          <w:szCs w:val="18"/>
        </w:rPr>
        <w:t xml:space="preserve">, para. </w:t>
      </w:r>
      <w:r w:rsidRPr="00DA0CD2">
        <w:rPr>
          <w:rFonts w:ascii="Times" w:hAnsi="Times"/>
          <w:sz w:val="18"/>
          <w:szCs w:val="18"/>
        </w:rPr>
        <w:t xml:space="preserve">104. </w:t>
      </w:r>
    </w:p>
  </w:footnote>
  <w:footnote w:id="78">
    <w:p w:rsidR="003B687A" w:rsidRPr="00DA0CD2" w:rsidRDefault="003B687A">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C.2 of Q1 – Competitors. </w:t>
      </w:r>
    </w:p>
  </w:footnote>
  <w:footnote w:id="79">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r>
      <w:r w:rsidRPr="00DA0CD2">
        <w:rPr>
          <w:rFonts w:ascii="Times" w:eastAsia="Calibri" w:hAnsi="Times"/>
          <w:sz w:val="18"/>
          <w:szCs w:val="18"/>
          <w:lang w:val="en-US"/>
        </w:rPr>
        <w:t>Replies to questions 7 and 8 of Q2 – Croatia.</w:t>
      </w:r>
    </w:p>
  </w:footnote>
  <w:footnote w:id="80">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Replies to question C.4. of Q1 – Competitors; and replies to </w:t>
      </w:r>
      <w:r w:rsidRPr="00DA0CD2">
        <w:rPr>
          <w:rFonts w:ascii="Times" w:eastAsia="ArialMT" w:hAnsi="Times"/>
          <w:sz w:val="18"/>
          <w:szCs w:val="18"/>
        </w:rPr>
        <w:t>question 16.1 of Q2 – Customers (Croatia).</w:t>
      </w:r>
    </w:p>
  </w:footnote>
  <w:footnote w:id="81">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C.4.1. of Q1 – Competitors and question 12 of Q2 – Customers (Croatia). </w:t>
      </w:r>
    </w:p>
  </w:footnote>
  <w:footnote w:id="82">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C.4.2. of Q1 – Competitors. </w:t>
      </w:r>
    </w:p>
  </w:footnote>
  <w:footnote w:id="83">
    <w:p w:rsidR="003B687A" w:rsidRPr="00DA0CD2" w:rsidRDefault="003B687A">
      <w:pPr>
        <w:autoSpaceDE w:val="0"/>
        <w:autoSpaceDN w:val="0"/>
        <w:adjustRightInd w:val="0"/>
        <w:spacing w:after="0"/>
        <w:ind w:left="357" w:hanging="357"/>
        <w:contextualSpacing/>
        <w:rPr>
          <w:rFonts w:ascii="Times" w:eastAsia="ArialMT"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10 of Q2 – Customers (Croatia). </w:t>
      </w:r>
    </w:p>
  </w:footnote>
  <w:footnote w:id="84">
    <w:p w:rsidR="003B687A" w:rsidRPr="00994BD6" w:rsidRDefault="003B687A">
      <w:pPr>
        <w:pStyle w:val="FootnoteText"/>
        <w:spacing w:after="0"/>
        <w:contextualSpacing/>
        <w:rPr>
          <w:rFonts w:ascii="Times" w:hAnsi="Times"/>
          <w:sz w:val="18"/>
          <w:szCs w:val="18"/>
          <w:lang w:val="en-US"/>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C.3 of Q1 – Competitors; </w:t>
      </w:r>
      <w:r w:rsidRPr="00DA0CD2">
        <w:rPr>
          <w:rFonts w:ascii="Times" w:eastAsia="Calibri" w:hAnsi="Times"/>
          <w:sz w:val="18"/>
          <w:szCs w:val="18"/>
          <w:lang w:val="en-US"/>
        </w:rPr>
        <w:t xml:space="preserve">Replies to question 14 of Q2 </w:t>
      </w:r>
      <w:r w:rsidRPr="00DA0CD2">
        <w:rPr>
          <w:rFonts w:ascii="Times" w:hAnsi="Times"/>
          <w:sz w:val="18"/>
          <w:szCs w:val="18"/>
        </w:rPr>
        <w:t>–</w:t>
      </w:r>
      <w:r w:rsidRPr="00994BD6">
        <w:rPr>
          <w:rFonts w:ascii="Times" w:eastAsia="Calibri" w:hAnsi="Times"/>
          <w:sz w:val="18"/>
          <w:szCs w:val="18"/>
          <w:lang w:val="en-US"/>
        </w:rPr>
        <w:t xml:space="preserve"> Customers (Croatia).</w:t>
      </w:r>
    </w:p>
  </w:footnote>
  <w:footnote w:id="85">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questions 14 and 15 of Q2 – Customers (Croatia); Replies to question C.5 of Q1 – Competitors.</w:t>
      </w:r>
    </w:p>
  </w:footnote>
  <w:footnote w:id="86">
    <w:p w:rsidR="003B687A" w:rsidRPr="00DA0CD2" w:rsidRDefault="003B687A">
      <w:pPr>
        <w:pStyle w:val="FootnoteText"/>
        <w:spacing w:after="0"/>
        <w:contextualSpacing/>
        <w:rPr>
          <w:rFonts w:ascii="Times" w:hAnsi="Times"/>
          <w:sz w:val="18"/>
          <w:szCs w:val="18"/>
          <w:lang w:val="pt-PT"/>
        </w:rPr>
      </w:pPr>
      <w:r w:rsidRPr="00DA0CD2">
        <w:rPr>
          <w:rStyle w:val="FootnoteReference"/>
          <w:rFonts w:ascii="Times" w:hAnsi="Times"/>
          <w:sz w:val="18"/>
          <w:szCs w:val="18"/>
        </w:rPr>
        <w:footnoteRef/>
      </w:r>
      <w:r w:rsidRPr="00DA0CD2">
        <w:rPr>
          <w:rFonts w:ascii="Times" w:hAnsi="Times"/>
          <w:sz w:val="18"/>
          <w:szCs w:val="18"/>
          <w:lang w:val="pt-PT"/>
        </w:rPr>
        <w:t xml:space="preserve"> </w:t>
      </w:r>
      <w:r w:rsidRPr="00DA0CD2">
        <w:rPr>
          <w:rFonts w:ascii="Times" w:hAnsi="Times"/>
          <w:sz w:val="18"/>
          <w:szCs w:val="18"/>
          <w:lang w:val="pt-PT"/>
        </w:rPr>
        <w:tab/>
        <w:t xml:space="preserve">M.3354 </w:t>
      </w:r>
      <w:r w:rsidRPr="00DA0CD2">
        <w:rPr>
          <w:rFonts w:ascii="Times" w:hAnsi="Times"/>
          <w:i/>
          <w:sz w:val="18"/>
          <w:szCs w:val="18"/>
          <w:lang w:val="pt-PT"/>
        </w:rPr>
        <w:t xml:space="preserve">Sanofi/Synthelabo/Aventis, </w:t>
      </w:r>
      <w:r w:rsidRPr="00DA0CD2">
        <w:rPr>
          <w:rFonts w:ascii="Times" w:hAnsi="Times"/>
          <w:sz w:val="18"/>
          <w:szCs w:val="18"/>
          <w:lang w:val="pt-PT"/>
        </w:rPr>
        <w:t>para. 23.</w:t>
      </w:r>
    </w:p>
  </w:footnote>
  <w:footnote w:id="87">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lang w:val="pt-PT"/>
        </w:rPr>
        <w:t xml:space="preserve"> </w:t>
      </w:r>
      <w:r w:rsidRPr="00DA0CD2">
        <w:rPr>
          <w:rFonts w:ascii="Times" w:hAnsi="Times"/>
          <w:sz w:val="18"/>
          <w:szCs w:val="18"/>
          <w:lang w:val="pt-PT"/>
        </w:rPr>
        <w:tab/>
        <w:t xml:space="preserve">M.3928 </w:t>
      </w:r>
      <w:r w:rsidRPr="00DA0CD2">
        <w:rPr>
          <w:rFonts w:ascii="Times" w:hAnsi="Times"/>
          <w:i/>
          <w:sz w:val="18"/>
          <w:szCs w:val="18"/>
          <w:lang w:val="pt-PT"/>
        </w:rPr>
        <w:t>Teva/Ivax</w:t>
      </w:r>
      <w:r w:rsidRPr="00DA0CD2">
        <w:rPr>
          <w:rFonts w:ascii="Times" w:hAnsi="Times"/>
          <w:sz w:val="18"/>
          <w:szCs w:val="18"/>
          <w:lang w:val="pt-PT"/>
        </w:rPr>
        <w:t xml:space="preserve">, para. </w:t>
      </w:r>
      <w:r w:rsidRPr="00DA0CD2">
        <w:rPr>
          <w:rFonts w:ascii="Times" w:hAnsi="Times"/>
          <w:sz w:val="18"/>
          <w:szCs w:val="18"/>
        </w:rPr>
        <w:t>25-27.</w:t>
      </w:r>
    </w:p>
  </w:footnote>
  <w:footnote w:id="88">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More specifically, PGT OTC product Neofuragina treats infection of the lower urinary tract. Teva Rx Furaginum Teva is indicated for the treatment of acute and chronic non-complicated urinary tract infections caused by E.coli (Escherichia coli).</w:t>
      </w:r>
    </w:p>
  </w:footnote>
  <w:footnote w:id="89">
    <w:p w:rsidR="003B687A" w:rsidRPr="00DA0CD2" w:rsidRDefault="003B687A">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sidDel="00024E5C">
        <w:rPr>
          <w:rFonts w:ascii="Times" w:hAnsi="Times"/>
          <w:sz w:val="18"/>
          <w:szCs w:val="18"/>
        </w:rPr>
        <w:tab/>
      </w:r>
      <w:r w:rsidRPr="00DA0CD2">
        <w:rPr>
          <w:rFonts w:ascii="Times" w:hAnsi="Times"/>
          <w:sz w:val="18"/>
          <w:szCs w:val="18"/>
        </w:rPr>
        <w:t>Replies to question K1 – Competitors.</w:t>
      </w:r>
    </w:p>
  </w:footnote>
  <w:footnote w:id="90">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M.5253, </w:t>
      </w:r>
      <w:r w:rsidRPr="00DA0CD2">
        <w:rPr>
          <w:rFonts w:ascii="Times" w:hAnsi="Times"/>
          <w:i/>
          <w:sz w:val="18"/>
          <w:szCs w:val="18"/>
        </w:rPr>
        <w:t>Sanofi-Aventis/Zentiva</w:t>
      </w:r>
      <w:r w:rsidRPr="00DA0CD2">
        <w:rPr>
          <w:rFonts w:ascii="Times" w:hAnsi="Times"/>
          <w:sz w:val="18"/>
          <w:szCs w:val="18"/>
        </w:rPr>
        <w:t xml:space="preserve">, paras. 135-136. </w:t>
      </w:r>
    </w:p>
  </w:footnote>
  <w:footnote w:id="91">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M.7379 </w:t>
      </w:r>
      <w:r w:rsidRPr="00DA0CD2">
        <w:rPr>
          <w:rFonts w:ascii="Times" w:hAnsi="Times"/>
          <w:i/>
          <w:sz w:val="18"/>
          <w:szCs w:val="18"/>
        </w:rPr>
        <w:t>Mylan/Abbott EPD-DM</w:t>
      </w:r>
      <w:r w:rsidRPr="00DA0CD2">
        <w:rPr>
          <w:rFonts w:ascii="Times" w:hAnsi="Times"/>
          <w:sz w:val="18"/>
          <w:szCs w:val="18"/>
        </w:rPr>
        <w:t xml:space="preserve">, para. 337. </w:t>
      </w:r>
    </w:p>
  </w:footnote>
  <w:footnote w:id="92">
    <w:p w:rsidR="003B687A" w:rsidRPr="00DA0CD2" w:rsidRDefault="003B687A">
      <w:pPr>
        <w:pStyle w:val="FootnoteText"/>
        <w:spacing w:after="0"/>
        <w:contextualSpacing/>
        <w:rPr>
          <w:rFonts w:ascii="Times" w:hAnsi="Times"/>
          <w:sz w:val="18"/>
          <w:szCs w:val="18"/>
          <w:lang w:val="fi-FI"/>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M.5953 </w:t>
      </w:r>
      <w:r w:rsidRPr="00DA0CD2">
        <w:rPr>
          <w:rFonts w:ascii="Times" w:hAnsi="Times"/>
          <w:i/>
          <w:sz w:val="18"/>
          <w:szCs w:val="18"/>
        </w:rPr>
        <w:t>Reckitt Benckinser/SSL</w:t>
      </w:r>
      <w:r w:rsidRPr="00DA0CD2">
        <w:rPr>
          <w:rFonts w:ascii="Times" w:hAnsi="Times"/>
          <w:sz w:val="18"/>
          <w:szCs w:val="18"/>
        </w:rPr>
        <w:t xml:space="preserve">, paras. </w:t>
      </w:r>
      <w:r w:rsidRPr="00DA0CD2">
        <w:rPr>
          <w:rFonts w:ascii="Times" w:hAnsi="Times"/>
          <w:sz w:val="18"/>
          <w:szCs w:val="18"/>
          <w:lang w:val="fi-FI"/>
        </w:rPr>
        <w:t xml:space="preserve">17ff., M.6258 </w:t>
      </w:r>
      <w:r w:rsidRPr="00994BD6">
        <w:rPr>
          <w:rFonts w:ascii="Times" w:hAnsi="Times"/>
          <w:i/>
          <w:sz w:val="18"/>
          <w:szCs w:val="18"/>
          <w:lang w:val="fi-FI"/>
        </w:rPr>
        <w:t>Teva/Cephalon</w:t>
      </w:r>
      <w:r w:rsidRPr="00994BD6">
        <w:rPr>
          <w:rFonts w:ascii="Times" w:hAnsi="Times"/>
          <w:sz w:val="18"/>
          <w:szCs w:val="18"/>
          <w:lang w:val="fi-FI"/>
        </w:rPr>
        <w:t xml:space="preserve">, paras. 50ff., M.5865 </w:t>
      </w:r>
      <w:r w:rsidRPr="00D3370B">
        <w:rPr>
          <w:rFonts w:ascii="Times" w:hAnsi="Times"/>
          <w:i/>
          <w:sz w:val="18"/>
          <w:szCs w:val="18"/>
          <w:lang w:val="fi-FI"/>
        </w:rPr>
        <w:t>Teva/Ratiopharm</w:t>
      </w:r>
      <w:r w:rsidRPr="00C1482B">
        <w:rPr>
          <w:rFonts w:ascii="Times" w:hAnsi="Times"/>
          <w:sz w:val="18"/>
          <w:szCs w:val="18"/>
          <w:lang w:val="fi-FI"/>
        </w:rPr>
        <w:t>, paras. 250ff.,</w:t>
      </w:r>
      <w:r w:rsidRPr="00DA0CD2">
        <w:rPr>
          <w:rFonts w:ascii="Times" w:hAnsi="Times"/>
          <w:sz w:val="18"/>
          <w:szCs w:val="18"/>
          <w:lang w:val="fi-FI"/>
        </w:rPr>
        <w:t xml:space="preserve"> and M.5253 </w:t>
      </w:r>
      <w:r w:rsidRPr="00DA0CD2">
        <w:rPr>
          <w:rFonts w:ascii="Times" w:hAnsi="Times"/>
          <w:i/>
          <w:sz w:val="18"/>
          <w:szCs w:val="18"/>
          <w:lang w:val="fi-FI"/>
        </w:rPr>
        <w:t>Sanofi-Aventis/Zentiva</w:t>
      </w:r>
      <w:r w:rsidRPr="00DA0CD2">
        <w:rPr>
          <w:rFonts w:ascii="Times" w:hAnsi="Times"/>
          <w:sz w:val="18"/>
          <w:szCs w:val="18"/>
          <w:lang w:val="fi-FI"/>
        </w:rPr>
        <w:t xml:space="preserve">, paras. 146ff. </w:t>
      </w:r>
    </w:p>
  </w:footnote>
  <w:footnote w:id="93">
    <w:p w:rsidR="003B687A" w:rsidRPr="00DA0CD2" w:rsidRDefault="003B687A">
      <w:pPr>
        <w:pStyle w:val="FootnoteText"/>
        <w:spacing w:after="0"/>
        <w:contextualSpacing/>
        <w:rPr>
          <w:rFonts w:ascii="Times" w:hAnsi="Times"/>
          <w:sz w:val="18"/>
          <w:szCs w:val="18"/>
          <w:lang w:val="es-ES"/>
        </w:rPr>
      </w:pPr>
      <w:r w:rsidRPr="00DA0CD2">
        <w:rPr>
          <w:rStyle w:val="FootnoteReference"/>
          <w:rFonts w:ascii="Times" w:hAnsi="Times"/>
          <w:sz w:val="18"/>
          <w:szCs w:val="18"/>
        </w:rPr>
        <w:footnoteRef/>
      </w:r>
      <w:r w:rsidRPr="00DA0CD2">
        <w:rPr>
          <w:rFonts w:ascii="Times" w:hAnsi="Times"/>
          <w:sz w:val="18"/>
          <w:szCs w:val="18"/>
          <w:lang w:val="fi-FI"/>
        </w:rPr>
        <w:t xml:space="preserve"> </w:t>
      </w:r>
      <w:r w:rsidRPr="00DA0CD2">
        <w:rPr>
          <w:rFonts w:ascii="Times" w:hAnsi="Times"/>
          <w:sz w:val="18"/>
          <w:szCs w:val="18"/>
          <w:lang w:val="fi-FI"/>
        </w:rPr>
        <w:tab/>
        <w:t xml:space="preserve">M.7645, </w:t>
      </w:r>
      <w:r w:rsidRPr="00DA0CD2">
        <w:rPr>
          <w:rFonts w:ascii="Times" w:hAnsi="Times"/>
          <w:i/>
          <w:sz w:val="18"/>
          <w:szCs w:val="18"/>
          <w:lang w:val="fi-FI"/>
        </w:rPr>
        <w:t>Mylan/Perrigo</w:t>
      </w:r>
      <w:r w:rsidRPr="00DA0CD2">
        <w:rPr>
          <w:rFonts w:ascii="Times" w:hAnsi="Times"/>
          <w:sz w:val="18"/>
          <w:szCs w:val="18"/>
          <w:lang w:val="fi-FI"/>
        </w:rPr>
        <w:t xml:space="preserve">, para. </w:t>
      </w:r>
      <w:r w:rsidRPr="00DA0CD2">
        <w:rPr>
          <w:rFonts w:ascii="Times" w:hAnsi="Times"/>
          <w:sz w:val="18"/>
          <w:szCs w:val="18"/>
          <w:lang w:val="es-ES"/>
        </w:rPr>
        <w:t xml:space="preserve">71. </w:t>
      </w:r>
    </w:p>
  </w:footnote>
  <w:footnote w:id="94">
    <w:p w:rsidR="003B687A" w:rsidRPr="00DA0CD2" w:rsidRDefault="003B687A">
      <w:pPr>
        <w:pStyle w:val="FootnoteText"/>
        <w:spacing w:after="0"/>
        <w:contextualSpacing/>
        <w:rPr>
          <w:rFonts w:ascii="Times" w:hAnsi="Times"/>
          <w:sz w:val="18"/>
          <w:szCs w:val="18"/>
          <w:lang w:val="es-ES"/>
        </w:rPr>
      </w:pPr>
      <w:r w:rsidRPr="00DA0CD2">
        <w:rPr>
          <w:rStyle w:val="FootnoteReference"/>
          <w:rFonts w:ascii="Times" w:hAnsi="Times"/>
          <w:sz w:val="18"/>
          <w:szCs w:val="18"/>
        </w:rPr>
        <w:footnoteRef/>
      </w:r>
      <w:r w:rsidRPr="00DA0CD2">
        <w:rPr>
          <w:rFonts w:ascii="Times" w:hAnsi="Times"/>
          <w:sz w:val="18"/>
          <w:szCs w:val="18"/>
          <w:lang w:val="es-ES"/>
        </w:rPr>
        <w:t xml:space="preserve"> </w:t>
      </w:r>
      <w:r w:rsidRPr="00DA0CD2">
        <w:rPr>
          <w:rFonts w:ascii="Times" w:hAnsi="Times"/>
          <w:sz w:val="18"/>
          <w:szCs w:val="18"/>
          <w:lang w:val="es-ES"/>
        </w:rPr>
        <w:tab/>
        <w:t xml:space="preserve">M.7645, </w:t>
      </w:r>
      <w:r w:rsidRPr="00DA0CD2">
        <w:rPr>
          <w:rFonts w:ascii="Times" w:hAnsi="Times"/>
          <w:i/>
          <w:sz w:val="18"/>
          <w:szCs w:val="18"/>
          <w:lang w:val="es-ES"/>
        </w:rPr>
        <w:t>Mylan/Perrigo</w:t>
      </w:r>
      <w:r w:rsidRPr="00DA0CD2">
        <w:rPr>
          <w:rFonts w:ascii="Times" w:hAnsi="Times"/>
          <w:sz w:val="18"/>
          <w:szCs w:val="18"/>
          <w:lang w:val="es-ES"/>
        </w:rPr>
        <w:t xml:space="preserve">, para. 76. </w:t>
      </w:r>
    </w:p>
  </w:footnote>
  <w:footnote w:id="95">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lang w:val="es-ES"/>
        </w:rPr>
        <w:t xml:space="preserve"> </w:t>
      </w:r>
      <w:r w:rsidRPr="00DA0CD2">
        <w:rPr>
          <w:rFonts w:ascii="Times" w:hAnsi="Times"/>
          <w:sz w:val="18"/>
          <w:szCs w:val="18"/>
          <w:lang w:val="es-ES"/>
        </w:rPr>
        <w:tab/>
        <w:t xml:space="preserve">M.7645, </w:t>
      </w:r>
      <w:r w:rsidRPr="00DA0CD2">
        <w:rPr>
          <w:rFonts w:ascii="Times" w:hAnsi="Times"/>
          <w:i/>
          <w:sz w:val="18"/>
          <w:szCs w:val="18"/>
          <w:lang w:val="es-ES"/>
        </w:rPr>
        <w:t>Mylan/Perrigo</w:t>
      </w:r>
      <w:r w:rsidRPr="00DA0CD2">
        <w:rPr>
          <w:rFonts w:ascii="Times" w:hAnsi="Times"/>
          <w:sz w:val="18"/>
          <w:szCs w:val="18"/>
          <w:lang w:val="es-ES"/>
        </w:rPr>
        <w:t xml:space="preserve">, para. </w:t>
      </w:r>
      <w:r w:rsidRPr="00DA0CD2">
        <w:rPr>
          <w:rFonts w:ascii="Times" w:hAnsi="Times"/>
          <w:sz w:val="18"/>
          <w:szCs w:val="18"/>
        </w:rPr>
        <w:t xml:space="preserve">73. </w:t>
      </w:r>
    </w:p>
  </w:footnote>
  <w:footnote w:id="96">
    <w:p w:rsidR="003B687A" w:rsidRPr="00DA0CD2"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Teva also offered an OTC ibuprofen product, Ibuprofen-RAT. but the product is now discontinued.  </w:t>
      </w:r>
    </w:p>
  </w:footnote>
  <w:footnote w:id="97">
    <w:p w:rsidR="003B687A" w:rsidRPr="00DA0CD2" w:rsidRDefault="003B687A">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K1 of Q1 - Competitors. </w:t>
      </w:r>
    </w:p>
  </w:footnote>
  <w:footnote w:id="98">
    <w:p w:rsidR="003B687A" w:rsidRPr="00DA0CD2" w:rsidRDefault="003B687A">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 xml:space="preserve">Replies to question K1 of Q1 - Competitors. </w:t>
      </w:r>
    </w:p>
  </w:footnote>
  <w:footnote w:id="99">
    <w:p w:rsidR="003B687A" w:rsidRPr="00DA0CD2" w:rsidRDefault="003B687A">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 K1 – Competitors.</w:t>
      </w:r>
    </w:p>
  </w:footnote>
  <w:footnote w:id="100">
    <w:p w:rsidR="003B687A" w:rsidRPr="00DA0CD2" w:rsidRDefault="003B687A">
      <w:pPr>
        <w:autoSpaceDE w:val="0"/>
        <w:autoSpaceDN w:val="0"/>
        <w:adjustRightInd w:val="0"/>
        <w:spacing w:after="0"/>
        <w:ind w:left="357" w:hanging="357"/>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rPr>
        <w:t xml:space="preserve"> </w:t>
      </w:r>
      <w:r w:rsidRPr="00DA0CD2">
        <w:rPr>
          <w:rFonts w:ascii="Times" w:hAnsi="Times"/>
          <w:sz w:val="18"/>
          <w:szCs w:val="18"/>
        </w:rPr>
        <w:tab/>
        <w:t>Replies to question K1 – Competitors and to question 18 of Q5 – Customers (Latvia).</w:t>
      </w:r>
    </w:p>
  </w:footnote>
  <w:footnote w:id="101">
    <w:p w:rsidR="003B687A" w:rsidRPr="00CF51B4"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DA0CD2">
        <w:rPr>
          <w:rFonts w:ascii="Times" w:hAnsi="Times"/>
          <w:sz w:val="18"/>
          <w:szCs w:val="18"/>
          <w:lang w:val="fr-BE"/>
        </w:rPr>
        <w:t xml:space="preserve"> </w:t>
      </w:r>
      <w:r w:rsidRPr="00DA0CD2">
        <w:rPr>
          <w:rFonts w:ascii="Times" w:hAnsi="Times"/>
          <w:sz w:val="18"/>
          <w:szCs w:val="18"/>
          <w:lang w:val="fr-BE"/>
        </w:rPr>
        <w:tab/>
        <w:t xml:space="preserve">M.457, </w:t>
      </w:r>
      <w:r w:rsidRPr="00DA0CD2">
        <w:rPr>
          <w:rFonts w:ascii="Times" w:hAnsi="Times"/>
          <w:i/>
          <w:sz w:val="18"/>
          <w:szCs w:val="18"/>
          <w:lang w:val="fr-BE"/>
        </w:rPr>
        <w:t>La Roche/Syntex</w:t>
      </w:r>
      <w:r w:rsidRPr="00DA0CD2">
        <w:rPr>
          <w:rFonts w:ascii="Times" w:hAnsi="Times"/>
          <w:sz w:val="18"/>
          <w:szCs w:val="18"/>
          <w:lang w:val="fr-BE"/>
        </w:rPr>
        <w:t xml:space="preserve">, para. </w:t>
      </w:r>
      <w:r w:rsidRPr="00CF51B4">
        <w:rPr>
          <w:rFonts w:ascii="Times" w:hAnsi="Times"/>
          <w:sz w:val="18"/>
          <w:szCs w:val="18"/>
        </w:rPr>
        <w:t xml:space="preserve">35. </w:t>
      </w:r>
    </w:p>
  </w:footnote>
  <w:footnote w:id="102">
    <w:p w:rsidR="003B687A" w:rsidRPr="00CF51B4"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CF51B4">
        <w:rPr>
          <w:rFonts w:ascii="Times" w:hAnsi="Times"/>
          <w:sz w:val="18"/>
          <w:szCs w:val="18"/>
        </w:rPr>
        <w:t xml:space="preserve"> </w:t>
      </w:r>
      <w:r w:rsidRPr="00CF51B4">
        <w:rPr>
          <w:rFonts w:ascii="Times" w:hAnsi="Times"/>
          <w:sz w:val="18"/>
          <w:szCs w:val="18"/>
        </w:rPr>
        <w:tab/>
        <w:t xml:space="preserve">M.7746 </w:t>
      </w:r>
      <w:r w:rsidRPr="00CF51B4">
        <w:rPr>
          <w:rFonts w:ascii="Times" w:hAnsi="Times"/>
          <w:i/>
          <w:sz w:val="18"/>
          <w:szCs w:val="18"/>
        </w:rPr>
        <w:t xml:space="preserve">Teva / Allergan Generics, </w:t>
      </w:r>
      <w:r w:rsidRPr="00CF51B4">
        <w:rPr>
          <w:rFonts w:ascii="Times" w:hAnsi="Times"/>
          <w:sz w:val="18"/>
          <w:szCs w:val="18"/>
        </w:rPr>
        <w:t xml:space="preserve">paras. 127-128. </w:t>
      </w:r>
    </w:p>
  </w:footnote>
  <w:footnote w:id="103">
    <w:p w:rsidR="003B687A" w:rsidRPr="00CF51B4"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CF51B4">
        <w:rPr>
          <w:rFonts w:ascii="Times" w:hAnsi="Times"/>
          <w:sz w:val="18"/>
          <w:szCs w:val="18"/>
        </w:rPr>
        <w:t xml:space="preserve"> </w:t>
      </w:r>
      <w:r w:rsidRPr="00CF51B4">
        <w:rPr>
          <w:rFonts w:ascii="Times" w:hAnsi="Times"/>
          <w:sz w:val="18"/>
          <w:szCs w:val="18"/>
        </w:rPr>
        <w:tab/>
        <w:t>Replies to question H.2. of Q1 – Competitors.</w:t>
      </w:r>
    </w:p>
  </w:footnote>
  <w:footnote w:id="104">
    <w:p w:rsidR="003B687A" w:rsidRPr="00CF51B4"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CF51B4">
        <w:rPr>
          <w:rFonts w:ascii="Times" w:hAnsi="Times"/>
          <w:sz w:val="18"/>
          <w:szCs w:val="18"/>
        </w:rPr>
        <w:t xml:space="preserve"> </w:t>
      </w:r>
      <w:r w:rsidRPr="00CF51B4">
        <w:rPr>
          <w:rFonts w:ascii="Times" w:hAnsi="Times"/>
          <w:sz w:val="18"/>
          <w:szCs w:val="18"/>
        </w:rPr>
        <w:tab/>
        <w:t>Replies to question H.4 of Questionnaire Q1 – Competitors.</w:t>
      </w:r>
    </w:p>
  </w:footnote>
  <w:footnote w:id="105">
    <w:p w:rsidR="003B687A" w:rsidRPr="00CF51B4"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CF51B4">
        <w:rPr>
          <w:rFonts w:ascii="Times" w:hAnsi="Times"/>
          <w:sz w:val="18"/>
          <w:szCs w:val="18"/>
        </w:rPr>
        <w:t xml:space="preserve"> </w:t>
      </w:r>
      <w:r w:rsidRPr="00CF51B4">
        <w:rPr>
          <w:rFonts w:ascii="Times" w:hAnsi="Times"/>
          <w:sz w:val="18"/>
          <w:szCs w:val="18"/>
        </w:rPr>
        <w:tab/>
        <w:t>Replies to question H.5 of Questionnaire Q1 – Competitors.</w:t>
      </w:r>
    </w:p>
  </w:footnote>
  <w:footnote w:id="106">
    <w:p w:rsidR="003B687A" w:rsidRPr="00CF51B4" w:rsidRDefault="003B687A">
      <w:pPr>
        <w:pStyle w:val="FootnoteText"/>
        <w:spacing w:after="0"/>
        <w:contextualSpacing/>
        <w:rPr>
          <w:rFonts w:ascii="Times" w:hAnsi="Times"/>
          <w:sz w:val="18"/>
          <w:szCs w:val="18"/>
        </w:rPr>
      </w:pPr>
      <w:r w:rsidRPr="00DA0CD2">
        <w:rPr>
          <w:rStyle w:val="FootnoteReference"/>
          <w:rFonts w:ascii="Times" w:hAnsi="Times"/>
          <w:sz w:val="18"/>
          <w:szCs w:val="18"/>
        </w:rPr>
        <w:footnoteRef/>
      </w:r>
      <w:r w:rsidRPr="00CF51B4">
        <w:rPr>
          <w:rFonts w:ascii="Times" w:hAnsi="Times"/>
          <w:sz w:val="18"/>
          <w:szCs w:val="18"/>
        </w:rPr>
        <w:t xml:space="preserve"> </w:t>
      </w:r>
      <w:r w:rsidRPr="00CF51B4">
        <w:rPr>
          <w:rFonts w:ascii="Times" w:hAnsi="Times"/>
          <w:sz w:val="18"/>
          <w:szCs w:val="18"/>
        </w:rPr>
        <w:tab/>
        <w:t>Reply to question H.4.1. of Questionnaire Q1 – Competitors.</w:t>
      </w:r>
    </w:p>
  </w:footnote>
  <w:footnote w:id="107">
    <w:p w:rsidR="003B687A" w:rsidRPr="00DA0CD2" w:rsidRDefault="003B687A">
      <w:pPr>
        <w:pStyle w:val="FootnoteText"/>
        <w:spacing w:after="0"/>
        <w:contextualSpacing/>
        <w:rPr>
          <w:rFonts w:ascii="Times" w:hAnsi="Times"/>
          <w:sz w:val="18"/>
          <w:szCs w:val="18"/>
          <w:lang w:val="fr-BE"/>
        </w:rPr>
      </w:pPr>
      <w:r w:rsidRPr="00DA0CD2">
        <w:rPr>
          <w:rStyle w:val="FootnoteReference"/>
          <w:rFonts w:ascii="Times" w:hAnsi="Times"/>
          <w:sz w:val="18"/>
          <w:szCs w:val="18"/>
        </w:rPr>
        <w:footnoteRef/>
      </w:r>
      <w:r w:rsidRPr="00DA0CD2">
        <w:rPr>
          <w:rFonts w:ascii="Times" w:hAnsi="Times"/>
          <w:sz w:val="18"/>
          <w:szCs w:val="18"/>
          <w:lang w:val="fr-BE"/>
        </w:rPr>
        <w:t xml:space="preserve"> </w:t>
      </w:r>
      <w:r w:rsidRPr="00DA0CD2">
        <w:rPr>
          <w:rFonts w:ascii="Times" w:hAnsi="Times"/>
          <w:sz w:val="18"/>
          <w:szCs w:val="18"/>
          <w:lang w:val="fr-BE"/>
        </w:rPr>
        <w:tab/>
        <w:t xml:space="preserve">Replies to question H.6 of Questionnaire Q1 – Competitors. </w:t>
      </w:r>
    </w:p>
  </w:footnote>
  <w:footnote w:id="108">
    <w:p w:rsidR="003B687A" w:rsidRPr="00DA0CD2" w:rsidRDefault="003B687A">
      <w:pPr>
        <w:autoSpaceDE w:val="0"/>
        <w:autoSpaceDN w:val="0"/>
        <w:adjustRightInd w:val="0"/>
        <w:spacing w:after="0"/>
        <w:ind w:left="357" w:hanging="357"/>
        <w:contextualSpacing/>
        <w:rPr>
          <w:rFonts w:ascii="Times" w:hAnsi="Times"/>
          <w:sz w:val="18"/>
          <w:szCs w:val="18"/>
          <w:lang w:val="fr-BE"/>
        </w:rPr>
      </w:pPr>
      <w:r w:rsidRPr="00DA0CD2">
        <w:rPr>
          <w:rStyle w:val="FootnoteReference"/>
          <w:rFonts w:ascii="Times" w:hAnsi="Times"/>
          <w:sz w:val="18"/>
          <w:szCs w:val="18"/>
        </w:rPr>
        <w:footnoteRef/>
      </w:r>
      <w:r w:rsidRPr="00DA0CD2">
        <w:rPr>
          <w:rFonts w:ascii="Times" w:hAnsi="Times"/>
          <w:sz w:val="18"/>
          <w:szCs w:val="18"/>
          <w:lang w:val="fr-BE"/>
        </w:rPr>
        <w:t xml:space="preserve"> </w:t>
      </w:r>
      <w:r w:rsidRPr="00DA0CD2">
        <w:rPr>
          <w:rFonts w:ascii="Times" w:hAnsi="Times"/>
          <w:sz w:val="18"/>
          <w:szCs w:val="18"/>
          <w:lang w:val="fr-BE"/>
        </w:rPr>
        <w:tab/>
        <w:t>Replies to question K1 – Competitors.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7A" w:rsidRDefault="003B687A">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1E6C63E0"/>
    <w:lvl w:ilvl="0">
      <w:start w:val="1"/>
      <w:numFmt w:val="decimal"/>
      <w:lvlText w:val="%1."/>
      <w:lvlJc w:val="left"/>
      <w:pPr>
        <w:tabs>
          <w:tab w:val="num" w:pos="360"/>
        </w:tabs>
        <w:ind w:left="360" w:hanging="360"/>
      </w:p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22762FE2"/>
    <w:multiLevelType w:val="hybridMultilevel"/>
    <w:tmpl w:val="8762500A"/>
    <w:lvl w:ilvl="0" w:tplc="5C0CA3FC">
      <w:start w:val="2017"/>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nsid w:val="428415E7"/>
    <w:multiLevelType w:val="multilevel"/>
    <w:tmpl w:val="B6205AFC"/>
    <w:lvl w:ilvl="0">
      <w:start w:val="1"/>
      <w:numFmt w:val="decimal"/>
      <w:pStyle w:val="ListNumber"/>
      <w:lvlText w:val="(%1)"/>
      <w:lvlJc w:val="left"/>
      <w:pPr>
        <w:tabs>
          <w:tab w:val="num" w:pos="709"/>
        </w:tabs>
        <w:ind w:left="709" w:hanging="709"/>
      </w:pPr>
      <w:rPr>
        <w:rFonts w:ascii="Times" w:hAnsi="Times" w:hint="default"/>
        <w:i w:val="0"/>
        <w:sz w:val="24"/>
        <w:szCs w:val="24"/>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7">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944"/>
        </w:tabs>
        <w:ind w:left="2944"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E5C1813"/>
    <w:multiLevelType w:val="hybridMultilevel"/>
    <w:tmpl w:val="9D369FF0"/>
    <w:lvl w:ilvl="0" w:tplc="C6DC87D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7"/>
  </w:num>
  <w:num w:numId="4">
    <w:abstractNumId w:val="18"/>
  </w:num>
  <w:num w:numId="5">
    <w:abstractNumId w:val="11"/>
  </w:num>
  <w:num w:numId="6">
    <w:abstractNumId w:val="8"/>
  </w:num>
  <w:num w:numId="7">
    <w:abstractNumId w:val="5"/>
  </w:num>
  <w:num w:numId="8">
    <w:abstractNumId w:val="4"/>
  </w:num>
  <w:num w:numId="9">
    <w:abstractNumId w:val="19"/>
  </w:num>
  <w:num w:numId="10">
    <w:abstractNumId w:val="21"/>
  </w:num>
  <w:num w:numId="11">
    <w:abstractNumId w:val="20"/>
  </w:num>
  <w:num w:numId="12">
    <w:abstractNumId w:val="23"/>
  </w:num>
  <w:num w:numId="13">
    <w:abstractNumId w:val="7"/>
  </w:num>
  <w:num w:numId="14">
    <w:abstractNumId w:val="12"/>
  </w:num>
  <w:num w:numId="15">
    <w:abstractNumId w:val="14"/>
  </w:num>
  <w:num w:numId="16">
    <w:abstractNumId w:val="13"/>
  </w:num>
  <w:num w:numId="17">
    <w:abstractNumId w:val="3"/>
  </w:num>
  <w:num w:numId="18">
    <w:abstractNumId w:val="15"/>
  </w:num>
  <w:num w:numId="19">
    <w:abstractNumId w:val="9"/>
  </w:num>
  <w:num w:numId="20">
    <w:abstractNumId w:val="22"/>
  </w:num>
  <w:num w:numId="21">
    <w:abstractNumId w:val="6"/>
  </w:num>
  <w:num w:numId="22">
    <w:abstractNumId w:val="2"/>
  </w:num>
  <w:num w:numId="23">
    <w:abstractNumId w:val="12"/>
  </w:num>
  <w:num w:numId="24">
    <w:abstractNumId w:val="12"/>
  </w:num>
  <w:num w:numId="25">
    <w:abstractNumId w:val="10"/>
  </w:num>
  <w:num w:numId="26">
    <w:abstractNumId w:val="12"/>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7"/>
  </w:num>
  <w:num w:numId="49">
    <w:abstractNumId w:val="17"/>
  </w:num>
  <w:num w:numId="50">
    <w:abstractNumId w:val="17"/>
  </w:num>
  <w:num w:numId="51">
    <w:abstractNumId w:val="17"/>
  </w:num>
  <w:num w:numId="52">
    <w:abstractNumId w:val="17"/>
  </w:num>
  <w:num w:numId="53">
    <w:abstractNumId w:val="12"/>
  </w:num>
  <w:num w:numId="54">
    <w:abstractNumId w:val="17"/>
  </w:num>
  <w:num w:numId="55">
    <w:abstractNumId w:val="17"/>
  </w:num>
  <w:num w:numId="56">
    <w:abstractNumId w:val="17"/>
  </w:num>
  <w:num w:numId="57">
    <w:abstractNumId w:val="17"/>
  </w:num>
  <w:num w:numId="58">
    <w:abstractNumId w:val="17"/>
  </w:num>
  <w:num w:numId="59">
    <w:abstractNumId w:val="17"/>
  </w:num>
  <w:num w:numId="60">
    <w:abstractNumId w:val="12"/>
  </w:num>
  <w:num w:numId="61">
    <w:abstractNumId w:val="12"/>
  </w:num>
  <w:num w:numId="62">
    <w:abstractNumId w:val="12"/>
  </w:num>
  <w:num w:numId="63">
    <w:abstractNumId w:val="17"/>
  </w:num>
  <w:num w:numId="64">
    <w:abstractNumId w:val="17"/>
  </w:num>
  <w:num w:numId="65">
    <w:abstractNumId w:val="17"/>
  </w:num>
  <w:num w:numId="66">
    <w:abstractNumId w:val="17"/>
  </w:num>
  <w:num w:numId="67">
    <w:abstractNumId w:val="17"/>
  </w:num>
  <w:num w:numId="68">
    <w:abstractNumId w:val="12"/>
  </w:num>
  <w:num w:numId="69">
    <w:abstractNumId w:val="12"/>
  </w:num>
  <w:num w:numId="70">
    <w:abstractNumId w:val="12"/>
  </w:num>
  <w:num w:numId="71">
    <w:abstractNumId w:val="12"/>
  </w:num>
  <w:num w:numId="72">
    <w:abstractNumId w:val="12"/>
  </w:num>
  <w:num w:numId="73">
    <w:abstractNumId w:val="17"/>
  </w:num>
  <w:num w:numId="74">
    <w:abstractNumId w:val="17"/>
  </w:num>
  <w:num w:numId="75">
    <w:abstractNumId w:val="17"/>
  </w:num>
  <w:num w:numId="76">
    <w:abstractNumId w:val="17"/>
  </w:num>
  <w:num w:numId="77">
    <w:abstractNumId w:val="12"/>
  </w:num>
  <w:num w:numId="78">
    <w:abstractNumId w:val="12"/>
  </w:num>
  <w:num w:numId="79">
    <w:abstractNumId w:val="12"/>
  </w:num>
  <w:num w:numId="80">
    <w:abstractNumId w:val="12"/>
  </w:num>
  <w:num w:numId="81">
    <w:abstractNumId w:val="12"/>
  </w:num>
  <w:num w:numId="82">
    <w:abstractNumId w:val="12"/>
  </w:num>
  <w:num w:numId="83">
    <w:abstractNumId w:val="12"/>
  </w:num>
  <w:num w:numId="84">
    <w:abstractNumId w:val="12"/>
  </w:num>
  <w:num w:numId="85">
    <w:abstractNumId w:val="12"/>
  </w:num>
  <w:num w:numId="86">
    <w:abstractNumId w:val="12"/>
  </w:num>
  <w:num w:numId="87">
    <w:abstractNumId w:val="12"/>
  </w:num>
  <w:num w:numId="88">
    <w:abstractNumId w:val="12"/>
  </w:num>
  <w:num w:numId="89">
    <w:abstractNumId w:val="12"/>
  </w:num>
  <w:num w:numId="90">
    <w:abstractNumId w:val="1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5D07A6"/>
    <w:rsid w:val="00000DC5"/>
    <w:rsid w:val="000025E6"/>
    <w:rsid w:val="000073B5"/>
    <w:rsid w:val="0001622B"/>
    <w:rsid w:val="000164FA"/>
    <w:rsid w:val="00016E74"/>
    <w:rsid w:val="0002104E"/>
    <w:rsid w:val="000235E2"/>
    <w:rsid w:val="0002372E"/>
    <w:rsid w:val="000248BF"/>
    <w:rsid w:val="00024E5C"/>
    <w:rsid w:val="00025DD6"/>
    <w:rsid w:val="0003189F"/>
    <w:rsid w:val="00035CD7"/>
    <w:rsid w:val="0003666F"/>
    <w:rsid w:val="00037B71"/>
    <w:rsid w:val="000417CD"/>
    <w:rsid w:val="00043672"/>
    <w:rsid w:val="00050A5F"/>
    <w:rsid w:val="000515D6"/>
    <w:rsid w:val="0006041C"/>
    <w:rsid w:val="000676EA"/>
    <w:rsid w:val="00067F01"/>
    <w:rsid w:val="00070159"/>
    <w:rsid w:val="000705A0"/>
    <w:rsid w:val="00070B9C"/>
    <w:rsid w:val="000731D6"/>
    <w:rsid w:val="000759A6"/>
    <w:rsid w:val="000832F0"/>
    <w:rsid w:val="00083CBF"/>
    <w:rsid w:val="000846E3"/>
    <w:rsid w:val="00084820"/>
    <w:rsid w:val="00085F52"/>
    <w:rsid w:val="00086D34"/>
    <w:rsid w:val="00087AE2"/>
    <w:rsid w:val="0009736C"/>
    <w:rsid w:val="000A07B1"/>
    <w:rsid w:val="000A140B"/>
    <w:rsid w:val="000A2306"/>
    <w:rsid w:val="000A4F5B"/>
    <w:rsid w:val="000B1E59"/>
    <w:rsid w:val="000B643E"/>
    <w:rsid w:val="000B6DF1"/>
    <w:rsid w:val="000C05EB"/>
    <w:rsid w:val="000C4231"/>
    <w:rsid w:val="000C5EBF"/>
    <w:rsid w:val="000C7449"/>
    <w:rsid w:val="000C79D7"/>
    <w:rsid w:val="000C7DA4"/>
    <w:rsid w:val="000D12E6"/>
    <w:rsid w:val="000D1865"/>
    <w:rsid w:val="000D2293"/>
    <w:rsid w:val="000D59ED"/>
    <w:rsid w:val="000D6705"/>
    <w:rsid w:val="000E1758"/>
    <w:rsid w:val="000E3DF2"/>
    <w:rsid w:val="000E6524"/>
    <w:rsid w:val="000E6CA6"/>
    <w:rsid w:val="000E7180"/>
    <w:rsid w:val="000F7E89"/>
    <w:rsid w:val="001004BA"/>
    <w:rsid w:val="00100A11"/>
    <w:rsid w:val="00103C9B"/>
    <w:rsid w:val="001065AC"/>
    <w:rsid w:val="00111AA9"/>
    <w:rsid w:val="00111F6E"/>
    <w:rsid w:val="001135BB"/>
    <w:rsid w:val="00115341"/>
    <w:rsid w:val="00115847"/>
    <w:rsid w:val="001214AB"/>
    <w:rsid w:val="00121647"/>
    <w:rsid w:val="001231DF"/>
    <w:rsid w:val="00125051"/>
    <w:rsid w:val="00131DDD"/>
    <w:rsid w:val="00137E60"/>
    <w:rsid w:val="001429CF"/>
    <w:rsid w:val="001436EE"/>
    <w:rsid w:val="00143E71"/>
    <w:rsid w:val="001448D5"/>
    <w:rsid w:val="0015130A"/>
    <w:rsid w:val="00152C9E"/>
    <w:rsid w:val="00157C91"/>
    <w:rsid w:val="00161C46"/>
    <w:rsid w:val="001625E5"/>
    <w:rsid w:val="0016370C"/>
    <w:rsid w:val="00164192"/>
    <w:rsid w:val="0017105D"/>
    <w:rsid w:val="00172DAD"/>
    <w:rsid w:val="0017311E"/>
    <w:rsid w:val="00175C00"/>
    <w:rsid w:val="00176C3F"/>
    <w:rsid w:val="001774E8"/>
    <w:rsid w:val="00182388"/>
    <w:rsid w:val="001847F3"/>
    <w:rsid w:val="00185FCC"/>
    <w:rsid w:val="00190ECA"/>
    <w:rsid w:val="001916A6"/>
    <w:rsid w:val="00194132"/>
    <w:rsid w:val="00194199"/>
    <w:rsid w:val="00195B38"/>
    <w:rsid w:val="00197735"/>
    <w:rsid w:val="00197CC2"/>
    <w:rsid w:val="001A3C15"/>
    <w:rsid w:val="001A6CC3"/>
    <w:rsid w:val="001B2085"/>
    <w:rsid w:val="001B5B4C"/>
    <w:rsid w:val="001B7589"/>
    <w:rsid w:val="001B79FE"/>
    <w:rsid w:val="001C18CB"/>
    <w:rsid w:val="001C3D23"/>
    <w:rsid w:val="001C43DB"/>
    <w:rsid w:val="001C7092"/>
    <w:rsid w:val="001D0238"/>
    <w:rsid w:val="001D15D3"/>
    <w:rsid w:val="001D39E4"/>
    <w:rsid w:val="001D5CA4"/>
    <w:rsid w:val="001D5FA9"/>
    <w:rsid w:val="001D6199"/>
    <w:rsid w:val="001D7140"/>
    <w:rsid w:val="001E027D"/>
    <w:rsid w:val="001E0A64"/>
    <w:rsid w:val="001E1C21"/>
    <w:rsid w:val="001E3782"/>
    <w:rsid w:val="001F10EE"/>
    <w:rsid w:val="001F5659"/>
    <w:rsid w:val="001F6625"/>
    <w:rsid w:val="002012DB"/>
    <w:rsid w:val="00201A74"/>
    <w:rsid w:val="00206043"/>
    <w:rsid w:val="002064A0"/>
    <w:rsid w:val="00206E70"/>
    <w:rsid w:val="00207996"/>
    <w:rsid w:val="002101BE"/>
    <w:rsid w:val="00210C98"/>
    <w:rsid w:val="00212512"/>
    <w:rsid w:val="002126CE"/>
    <w:rsid w:val="00213AF2"/>
    <w:rsid w:val="00213F43"/>
    <w:rsid w:val="00214597"/>
    <w:rsid w:val="00215932"/>
    <w:rsid w:val="002167B4"/>
    <w:rsid w:val="0022226A"/>
    <w:rsid w:val="00225426"/>
    <w:rsid w:val="00225EAA"/>
    <w:rsid w:val="00225FF1"/>
    <w:rsid w:val="002265D4"/>
    <w:rsid w:val="00227B5E"/>
    <w:rsid w:val="00232D78"/>
    <w:rsid w:val="00232DC4"/>
    <w:rsid w:val="00232EF4"/>
    <w:rsid w:val="00233DC9"/>
    <w:rsid w:val="002424F6"/>
    <w:rsid w:val="00242F29"/>
    <w:rsid w:val="00243245"/>
    <w:rsid w:val="002452CF"/>
    <w:rsid w:val="002454BD"/>
    <w:rsid w:val="002467B8"/>
    <w:rsid w:val="0025040A"/>
    <w:rsid w:val="00251300"/>
    <w:rsid w:val="002543F2"/>
    <w:rsid w:val="00254E51"/>
    <w:rsid w:val="0026169B"/>
    <w:rsid w:val="00263788"/>
    <w:rsid w:val="00267921"/>
    <w:rsid w:val="00270AE1"/>
    <w:rsid w:val="00272357"/>
    <w:rsid w:val="00273F83"/>
    <w:rsid w:val="00277EC9"/>
    <w:rsid w:val="00285B8A"/>
    <w:rsid w:val="00286427"/>
    <w:rsid w:val="00290F25"/>
    <w:rsid w:val="002911BA"/>
    <w:rsid w:val="00291E12"/>
    <w:rsid w:val="00291EFD"/>
    <w:rsid w:val="00292237"/>
    <w:rsid w:val="00295B80"/>
    <w:rsid w:val="002975B2"/>
    <w:rsid w:val="002A0472"/>
    <w:rsid w:val="002A0EDE"/>
    <w:rsid w:val="002A1274"/>
    <w:rsid w:val="002A22B6"/>
    <w:rsid w:val="002A3307"/>
    <w:rsid w:val="002A3B67"/>
    <w:rsid w:val="002A4CF7"/>
    <w:rsid w:val="002A7B17"/>
    <w:rsid w:val="002B327D"/>
    <w:rsid w:val="002B4193"/>
    <w:rsid w:val="002B4CEE"/>
    <w:rsid w:val="002B6C89"/>
    <w:rsid w:val="002C02BF"/>
    <w:rsid w:val="002C5DE3"/>
    <w:rsid w:val="002D14DF"/>
    <w:rsid w:val="002D2887"/>
    <w:rsid w:val="002D32A3"/>
    <w:rsid w:val="002D394B"/>
    <w:rsid w:val="002D4153"/>
    <w:rsid w:val="002D516A"/>
    <w:rsid w:val="002D68C0"/>
    <w:rsid w:val="002D7C21"/>
    <w:rsid w:val="002D7FBB"/>
    <w:rsid w:val="002E1DB8"/>
    <w:rsid w:val="002E5E28"/>
    <w:rsid w:val="002F06E0"/>
    <w:rsid w:val="002F115D"/>
    <w:rsid w:val="00300B2C"/>
    <w:rsid w:val="003057AC"/>
    <w:rsid w:val="00312996"/>
    <w:rsid w:val="00313713"/>
    <w:rsid w:val="00315598"/>
    <w:rsid w:val="00315AFA"/>
    <w:rsid w:val="0031684D"/>
    <w:rsid w:val="00317953"/>
    <w:rsid w:val="00321EDC"/>
    <w:rsid w:val="003245F1"/>
    <w:rsid w:val="0032473C"/>
    <w:rsid w:val="003264EF"/>
    <w:rsid w:val="00327F3C"/>
    <w:rsid w:val="003316ED"/>
    <w:rsid w:val="00332DAC"/>
    <w:rsid w:val="00340025"/>
    <w:rsid w:val="00344386"/>
    <w:rsid w:val="00350FF5"/>
    <w:rsid w:val="00351382"/>
    <w:rsid w:val="0035233B"/>
    <w:rsid w:val="00353A7B"/>
    <w:rsid w:val="00353F33"/>
    <w:rsid w:val="00356B3B"/>
    <w:rsid w:val="003607C5"/>
    <w:rsid w:val="003728EB"/>
    <w:rsid w:val="00373C0F"/>
    <w:rsid w:val="00374157"/>
    <w:rsid w:val="00377627"/>
    <w:rsid w:val="003814A7"/>
    <w:rsid w:val="00381663"/>
    <w:rsid w:val="003817F9"/>
    <w:rsid w:val="0038268E"/>
    <w:rsid w:val="00384555"/>
    <w:rsid w:val="00393ECA"/>
    <w:rsid w:val="00393FCD"/>
    <w:rsid w:val="00394C50"/>
    <w:rsid w:val="0039652D"/>
    <w:rsid w:val="00397023"/>
    <w:rsid w:val="0039754E"/>
    <w:rsid w:val="003A0AAB"/>
    <w:rsid w:val="003A0D95"/>
    <w:rsid w:val="003A5D2D"/>
    <w:rsid w:val="003A6FAF"/>
    <w:rsid w:val="003A78A2"/>
    <w:rsid w:val="003B0B1F"/>
    <w:rsid w:val="003B27E3"/>
    <w:rsid w:val="003B43D2"/>
    <w:rsid w:val="003B687A"/>
    <w:rsid w:val="003C0806"/>
    <w:rsid w:val="003C4067"/>
    <w:rsid w:val="003C4BE4"/>
    <w:rsid w:val="003C5CB1"/>
    <w:rsid w:val="003C5EB1"/>
    <w:rsid w:val="003C719C"/>
    <w:rsid w:val="003D27AE"/>
    <w:rsid w:val="003D43D2"/>
    <w:rsid w:val="003D5A48"/>
    <w:rsid w:val="003D62D2"/>
    <w:rsid w:val="003E11A5"/>
    <w:rsid w:val="003E18DC"/>
    <w:rsid w:val="003E5D13"/>
    <w:rsid w:val="003E5DC8"/>
    <w:rsid w:val="003E77C1"/>
    <w:rsid w:val="003F1FDB"/>
    <w:rsid w:val="004019CC"/>
    <w:rsid w:val="00401CAB"/>
    <w:rsid w:val="00403442"/>
    <w:rsid w:val="00404B91"/>
    <w:rsid w:val="00406033"/>
    <w:rsid w:val="00406AF3"/>
    <w:rsid w:val="00406E89"/>
    <w:rsid w:val="004130E4"/>
    <w:rsid w:val="00413160"/>
    <w:rsid w:val="00414ECB"/>
    <w:rsid w:val="00415B27"/>
    <w:rsid w:val="00420413"/>
    <w:rsid w:val="0042227B"/>
    <w:rsid w:val="00424380"/>
    <w:rsid w:val="00425B3F"/>
    <w:rsid w:val="00431F7F"/>
    <w:rsid w:val="004356A0"/>
    <w:rsid w:val="00437492"/>
    <w:rsid w:val="0044099A"/>
    <w:rsid w:val="004411E0"/>
    <w:rsid w:val="004439A9"/>
    <w:rsid w:val="00446E98"/>
    <w:rsid w:val="00450A6B"/>
    <w:rsid w:val="00451255"/>
    <w:rsid w:val="00451FBF"/>
    <w:rsid w:val="00453438"/>
    <w:rsid w:val="00453A6E"/>
    <w:rsid w:val="00453FB2"/>
    <w:rsid w:val="004551B7"/>
    <w:rsid w:val="00457394"/>
    <w:rsid w:val="004611A8"/>
    <w:rsid w:val="00461C24"/>
    <w:rsid w:val="00462E47"/>
    <w:rsid w:val="00464748"/>
    <w:rsid w:val="00464CE3"/>
    <w:rsid w:val="00465C2C"/>
    <w:rsid w:val="00465F00"/>
    <w:rsid w:val="00472EB6"/>
    <w:rsid w:val="0047630B"/>
    <w:rsid w:val="00480A22"/>
    <w:rsid w:val="00481977"/>
    <w:rsid w:val="00482BB0"/>
    <w:rsid w:val="00482C68"/>
    <w:rsid w:val="004845F6"/>
    <w:rsid w:val="0049370E"/>
    <w:rsid w:val="0049433A"/>
    <w:rsid w:val="004A1F7D"/>
    <w:rsid w:val="004A3709"/>
    <w:rsid w:val="004B24C9"/>
    <w:rsid w:val="004B26FC"/>
    <w:rsid w:val="004B2EAB"/>
    <w:rsid w:val="004B2EC8"/>
    <w:rsid w:val="004B4F7C"/>
    <w:rsid w:val="004B59A4"/>
    <w:rsid w:val="004C17CF"/>
    <w:rsid w:val="004C2006"/>
    <w:rsid w:val="004C4AF2"/>
    <w:rsid w:val="004C613C"/>
    <w:rsid w:val="004C6514"/>
    <w:rsid w:val="004C68EE"/>
    <w:rsid w:val="004D6017"/>
    <w:rsid w:val="004E5080"/>
    <w:rsid w:val="004F05CF"/>
    <w:rsid w:val="004F29AF"/>
    <w:rsid w:val="004F4BE3"/>
    <w:rsid w:val="004F4F97"/>
    <w:rsid w:val="004F5CE3"/>
    <w:rsid w:val="004F6193"/>
    <w:rsid w:val="00500193"/>
    <w:rsid w:val="00502645"/>
    <w:rsid w:val="00502F24"/>
    <w:rsid w:val="00502FD8"/>
    <w:rsid w:val="005030E9"/>
    <w:rsid w:val="0050391B"/>
    <w:rsid w:val="00503E47"/>
    <w:rsid w:val="00505769"/>
    <w:rsid w:val="00510574"/>
    <w:rsid w:val="00512C06"/>
    <w:rsid w:val="00514083"/>
    <w:rsid w:val="0051527F"/>
    <w:rsid w:val="00516C6E"/>
    <w:rsid w:val="00517447"/>
    <w:rsid w:val="00520D11"/>
    <w:rsid w:val="00520EED"/>
    <w:rsid w:val="00521A96"/>
    <w:rsid w:val="00522D9C"/>
    <w:rsid w:val="00524454"/>
    <w:rsid w:val="00524DDA"/>
    <w:rsid w:val="00527646"/>
    <w:rsid w:val="0053261E"/>
    <w:rsid w:val="005333BD"/>
    <w:rsid w:val="00533C8A"/>
    <w:rsid w:val="00533FDB"/>
    <w:rsid w:val="005346DC"/>
    <w:rsid w:val="0054182E"/>
    <w:rsid w:val="00543B3F"/>
    <w:rsid w:val="005458F4"/>
    <w:rsid w:val="00546BD5"/>
    <w:rsid w:val="00546F00"/>
    <w:rsid w:val="00550E8D"/>
    <w:rsid w:val="00553CEE"/>
    <w:rsid w:val="00554E2B"/>
    <w:rsid w:val="00556C77"/>
    <w:rsid w:val="00556C88"/>
    <w:rsid w:val="00563368"/>
    <w:rsid w:val="00565243"/>
    <w:rsid w:val="0057100A"/>
    <w:rsid w:val="0057284F"/>
    <w:rsid w:val="00580991"/>
    <w:rsid w:val="005818A8"/>
    <w:rsid w:val="0058303E"/>
    <w:rsid w:val="0058421A"/>
    <w:rsid w:val="00585574"/>
    <w:rsid w:val="00591C8E"/>
    <w:rsid w:val="00592D21"/>
    <w:rsid w:val="00592F2B"/>
    <w:rsid w:val="00596BC6"/>
    <w:rsid w:val="005A6E53"/>
    <w:rsid w:val="005B1056"/>
    <w:rsid w:val="005B1C96"/>
    <w:rsid w:val="005B2D32"/>
    <w:rsid w:val="005B4A37"/>
    <w:rsid w:val="005B50D4"/>
    <w:rsid w:val="005C16CF"/>
    <w:rsid w:val="005C1BA1"/>
    <w:rsid w:val="005C2962"/>
    <w:rsid w:val="005C4476"/>
    <w:rsid w:val="005C5107"/>
    <w:rsid w:val="005D07A6"/>
    <w:rsid w:val="005D3D89"/>
    <w:rsid w:val="005D463B"/>
    <w:rsid w:val="005E1719"/>
    <w:rsid w:val="005E30C3"/>
    <w:rsid w:val="005E40E9"/>
    <w:rsid w:val="005E476E"/>
    <w:rsid w:val="005E5515"/>
    <w:rsid w:val="005E5F5C"/>
    <w:rsid w:val="005E64BA"/>
    <w:rsid w:val="005F0289"/>
    <w:rsid w:val="005F2DE6"/>
    <w:rsid w:val="005F7A3F"/>
    <w:rsid w:val="00601821"/>
    <w:rsid w:val="00602926"/>
    <w:rsid w:val="00615E8C"/>
    <w:rsid w:val="0061717A"/>
    <w:rsid w:val="006177A5"/>
    <w:rsid w:val="00617BB4"/>
    <w:rsid w:val="0062027C"/>
    <w:rsid w:val="0063349B"/>
    <w:rsid w:val="00634262"/>
    <w:rsid w:val="006347D0"/>
    <w:rsid w:val="00635A36"/>
    <w:rsid w:val="006402C9"/>
    <w:rsid w:val="0064441C"/>
    <w:rsid w:val="006464DE"/>
    <w:rsid w:val="006469EC"/>
    <w:rsid w:val="006517C5"/>
    <w:rsid w:val="00652EBB"/>
    <w:rsid w:val="006557CC"/>
    <w:rsid w:val="006575F0"/>
    <w:rsid w:val="00657DAB"/>
    <w:rsid w:val="006614C9"/>
    <w:rsid w:val="006614E4"/>
    <w:rsid w:val="00662EEF"/>
    <w:rsid w:val="00664C50"/>
    <w:rsid w:val="006653CE"/>
    <w:rsid w:val="00665B9A"/>
    <w:rsid w:val="006662F2"/>
    <w:rsid w:val="006706D7"/>
    <w:rsid w:val="00672A3E"/>
    <w:rsid w:val="00675AFE"/>
    <w:rsid w:val="0067687D"/>
    <w:rsid w:val="006803FC"/>
    <w:rsid w:val="006804D8"/>
    <w:rsid w:val="00680AF7"/>
    <w:rsid w:val="00686652"/>
    <w:rsid w:val="00694FCC"/>
    <w:rsid w:val="006A13D4"/>
    <w:rsid w:val="006A2071"/>
    <w:rsid w:val="006A4045"/>
    <w:rsid w:val="006A79C9"/>
    <w:rsid w:val="006B7EFA"/>
    <w:rsid w:val="006C1003"/>
    <w:rsid w:val="006C293E"/>
    <w:rsid w:val="006C5D37"/>
    <w:rsid w:val="006C5F26"/>
    <w:rsid w:val="006C6064"/>
    <w:rsid w:val="006C60C6"/>
    <w:rsid w:val="006E516A"/>
    <w:rsid w:val="006E5B44"/>
    <w:rsid w:val="006E5C48"/>
    <w:rsid w:val="006E64A3"/>
    <w:rsid w:val="006E6736"/>
    <w:rsid w:val="006E6A64"/>
    <w:rsid w:val="006F1FFA"/>
    <w:rsid w:val="006F24F3"/>
    <w:rsid w:val="006F45D4"/>
    <w:rsid w:val="006F61CB"/>
    <w:rsid w:val="006F70A8"/>
    <w:rsid w:val="00701DB6"/>
    <w:rsid w:val="00701E08"/>
    <w:rsid w:val="007041A9"/>
    <w:rsid w:val="00704DE9"/>
    <w:rsid w:val="00705812"/>
    <w:rsid w:val="00706AC0"/>
    <w:rsid w:val="00707020"/>
    <w:rsid w:val="0071194D"/>
    <w:rsid w:val="00712463"/>
    <w:rsid w:val="00713DC6"/>
    <w:rsid w:val="0071764F"/>
    <w:rsid w:val="00720E92"/>
    <w:rsid w:val="007241F5"/>
    <w:rsid w:val="007256BE"/>
    <w:rsid w:val="007308D9"/>
    <w:rsid w:val="0073200A"/>
    <w:rsid w:val="0073589C"/>
    <w:rsid w:val="00735D09"/>
    <w:rsid w:val="00737C83"/>
    <w:rsid w:val="007414AD"/>
    <w:rsid w:val="00742718"/>
    <w:rsid w:val="007469F8"/>
    <w:rsid w:val="00750071"/>
    <w:rsid w:val="00760AB4"/>
    <w:rsid w:val="0076154C"/>
    <w:rsid w:val="00763DE3"/>
    <w:rsid w:val="0076503C"/>
    <w:rsid w:val="00767D95"/>
    <w:rsid w:val="0077301F"/>
    <w:rsid w:val="007733C3"/>
    <w:rsid w:val="007739AB"/>
    <w:rsid w:val="00776BFC"/>
    <w:rsid w:val="00777B0E"/>
    <w:rsid w:val="00782257"/>
    <w:rsid w:val="007829EB"/>
    <w:rsid w:val="00784DE1"/>
    <w:rsid w:val="00787FEF"/>
    <w:rsid w:val="007A1A01"/>
    <w:rsid w:val="007A2FAA"/>
    <w:rsid w:val="007A4699"/>
    <w:rsid w:val="007A4DB6"/>
    <w:rsid w:val="007A5795"/>
    <w:rsid w:val="007A6CD4"/>
    <w:rsid w:val="007A6DCE"/>
    <w:rsid w:val="007B3F29"/>
    <w:rsid w:val="007B65DB"/>
    <w:rsid w:val="007B6F59"/>
    <w:rsid w:val="007C1FBA"/>
    <w:rsid w:val="007C4FE3"/>
    <w:rsid w:val="007C663D"/>
    <w:rsid w:val="007C79D9"/>
    <w:rsid w:val="007D135B"/>
    <w:rsid w:val="007D2579"/>
    <w:rsid w:val="007D3CEA"/>
    <w:rsid w:val="007D647C"/>
    <w:rsid w:val="007D6BB2"/>
    <w:rsid w:val="007E1088"/>
    <w:rsid w:val="007E347E"/>
    <w:rsid w:val="007E3F3B"/>
    <w:rsid w:val="007E4175"/>
    <w:rsid w:val="007E4F5C"/>
    <w:rsid w:val="007E50B6"/>
    <w:rsid w:val="007E54D2"/>
    <w:rsid w:val="007E62EF"/>
    <w:rsid w:val="007E6CD9"/>
    <w:rsid w:val="007E6F4E"/>
    <w:rsid w:val="007E7ABB"/>
    <w:rsid w:val="007F2050"/>
    <w:rsid w:val="0080226D"/>
    <w:rsid w:val="00804C56"/>
    <w:rsid w:val="00811ADF"/>
    <w:rsid w:val="00811DE4"/>
    <w:rsid w:val="00812095"/>
    <w:rsid w:val="00812520"/>
    <w:rsid w:val="00814E6D"/>
    <w:rsid w:val="00814F0F"/>
    <w:rsid w:val="00817A1D"/>
    <w:rsid w:val="00822685"/>
    <w:rsid w:val="00824496"/>
    <w:rsid w:val="0082659B"/>
    <w:rsid w:val="008265F5"/>
    <w:rsid w:val="00831D7E"/>
    <w:rsid w:val="00831DF7"/>
    <w:rsid w:val="008324DD"/>
    <w:rsid w:val="00835C55"/>
    <w:rsid w:val="008379F7"/>
    <w:rsid w:val="008427CD"/>
    <w:rsid w:val="00843468"/>
    <w:rsid w:val="00844D18"/>
    <w:rsid w:val="0085160A"/>
    <w:rsid w:val="008579E0"/>
    <w:rsid w:val="00860015"/>
    <w:rsid w:val="0086338E"/>
    <w:rsid w:val="00871775"/>
    <w:rsid w:val="00875947"/>
    <w:rsid w:val="0088108C"/>
    <w:rsid w:val="00882F76"/>
    <w:rsid w:val="0088775C"/>
    <w:rsid w:val="00890190"/>
    <w:rsid w:val="00890EED"/>
    <w:rsid w:val="0089191B"/>
    <w:rsid w:val="0089326E"/>
    <w:rsid w:val="008940A4"/>
    <w:rsid w:val="00896A9B"/>
    <w:rsid w:val="008972E6"/>
    <w:rsid w:val="008979C8"/>
    <w:rsid w:val="00897FB9"/>
    <w:rsid w:val="008A256A"/>
    <w:rsid w:val="008A4632"/>
    <w:rsid w:val="008A5E07"/>
    <w:rsid w:val="008A649A"/>
    <w:rsid w:val="008B693F"/>
    <w:rsid w:val="008B7303"/>
    <w:rsid w:val="008C07BA"/>
    <w:rsid w:val="008C2592"/>
    <w:rsid w:val="008C3D90"/>
    <w:rsid w:val="008C4954"/>
    <w:rsid w:val="008C55FC"/>
    <w:rsid w:val="008D2DBA"/>
    <w:rsid w:val="008D2F7A"/>
    <w:rsid w:val="008D3F85"/>
    <w:rsid w:val="008D478D"/>
    <w:rsid w:val="008D6245"/>
    <w:rsid w:val="008E5024"/>
    <w:rsid w:val="008E59B7"/>
    <w:rsid w:val="008E5C5A"/>
    <w:rsid w:val="008F15EF"/>
    <w:rsid w:val="008F16C7"/>
    <w:rsid w:val="008F1B30"/>
    <w:rsid w:val="008F3F00"/>
    <w:rsid w:val="008F3F1C"/>
    <w:rsid w:val="008F75EA"/>
    <w:rsid w:val="009016B5"/>
    <w:rsid w:val="00901926"/>
    <w:rsid w:val="0090245E"/>
    <w:rsid w:val="00904C4C"/>
    <w:rsid w:val="00904F5E"/>
    <w:rsid w:val="00907CDA"/>
    <w:rsid w:val="00907DE2"/>
    <w:rsid w:val="009121F5"/>
    <w:rsid w:val="00914C97"/>
    <w:rsid w:val="00917853"/>
    <w:rsid w:val="009215AC"/>
    <w:rsid w:val="009218B3"/>
    <w:rsid w:val="00922352"/>
    <w:rsid w:val="00923FA5"/>
    <w:rsid w:val="00924CEB"/>
    <w:rsid w:val="00926C92"/>
    <w:rsid w:val="00927D5F"/>
    <w:rsid w:val="009301D0"/>
    <w:rsid w:val="00930C5B"/>
    <w:rsid w:val="009354F3"/>
    <w:rsid w:val="00945F6A"/>
    <w:rsid w:val="00947A31"/>
    <w:rsid w:val="00952198"/>
    <w:rsid w:val="0095399E"/>
    <w:rsid w:val="00955531"/>
    <w:rsid w:val="00957E62"/>
    <w:rsid w:val="00960A8B"/>
    <w:rsid w:val="00961CD4"/>
    <w:rsid w:val="0096223A"/>
    <w:rsid w:val="00964047"/>
    <w:rsid w:val="00964695"/>
    <w:rsid w:val="00966FC3"/>
    <w:rsid w:val="0097239C"/>
    <w:rsid w:val="00973614"/>
    <w:rsid w:val="00976635"/>
    <w:rsid w:val="009771B4"/>
    <w:rsid w:val="009775F6"/>
    <w:rsid w:val="009812D7"/>
    <w:rsid w:val="00981501"/>
    <w:rsid w:val="0098404B"/>
    <w:rsid w:val="00990D4B"/>
    <w:rsid w:val="00991140"/>
    <w:rsid w:val="009911D5"/>
    <w:rsid w:val="00991E09"/>
    <w:rsid w:val="00993A5E"/>
    <w:rsid w:val="009949E3"/>
    <w:rsid w:val="00994BD6"/>
    <w:rsid w:val="00995F9C"/>
    <w:rsid w:val="00996034"/>
    <w:rsid w:val="00996A68"/>
    <w:rsid w:val="009A4B61"/>
    <w:rsid w:val="009A5FB0"/>
    <w:rsid w:val="009B0BFD"/>
    <w:rsid w:val="009B11A3"/>
    <w:rsid w:val="009B2D1A"/>
    <w:rsid w:val="009B4703"/>
    <w:rsid w:val="009B5DEF"/>
    <w:rsid w:val="009B6EA5"/>
    <w:rsid w:val="009C3767"/>
    <w:rsid w:val="009C3E4D"/>
    <w:rsid w:val="009C53FA"/>
    <w:rsid w:val="009C76B0"/>
    <w:rsid w:val="009D1CD5"/>
    <w:rsid w:val="009D592F"/>
    <w:rsid w:val="009E4A43"/>
    <w:rsid w:val="009F1D33"/>
    <w:rsid w:val="009F442D"/>
    <w:rsid w:val="00A0478C"/>
    <w:rsid w:val="00A053A0"/>
    <w:rsid w:val="00A107A5"/>
    <w:rsid w:val="00A122AB"/>
    <w:rsid w:val="00A12F01"/>
    <w:rsid w:val="00A1512F"/>
    <w:rsid w:val="00A153AD"/>
    <w:rsid w:val="00A156B4"/>
    <w:rsid w:val="00A16C79"/>
    <w:rsid w:val="00A2040F"/>
    <w:rsid w:val="00A21B5D"/>
    <w:rsid w:val="00A2241C"/>
    <w:rsid w:val="00A235ED"/>
    <w:rsid w:val="00A2715D"/>
    <w:rsid w:val="00A27B3F"/>
    <w:rsid w:val="00A339E7"/>
    <w:rsid w:val="00A34138"/>
    <w:rsid w:val="00A355D5"/>
    <w:rsid w:val="00A423C7"/>
    <w:rsid w:val="00A4273C"/>
    <w:rsid w:val="00A42D81"/>
    <w:rsid w:val="00A44241"/>
    <w:rsid w:val="00A47402"/>
    <w:rsid w:val="00A47FA2"/>
    <w:rsid w:val="00A55A5B"/>
    <w:rsid w:val="00A56D14"/>
    <w:rsid w:val="00A64C78"/>
    <w:rsid w:val="00A64E0F"/>
    <w:rsid w:val="00A64E16"/>
    <w:rsid w:val="00A700DF"/>
    <w:rsid w:val="00A72F2D"/>
    <w:rsid w:val="00A76AB5"/>
    <w:rsid w:val="00A76D54"/>
    <w:rsid w:val="00A76FD3"/>
    <w:rsid w:val="00A77277"/>
    <w:rsid w:val="00A83160"/>
    <w:rsid w:val="00A847CC"/>
    <w:rsid w:val="00A90801"/>
    <w:rsid w:val="00A91B7A"/>
    <w:rsid w:val="00A91C73"/>
    <w:rsid w:val="00A94341"/>
    <w:rsid w:val="00A95B38"/>
    <w:rsid w:val="00A96A7A"/>
    <w:rsid w:val="00A97098"/>
    <w:rsid w:val="00AA0FD2"/>
    <w:rsid w:val="00AA1786"/>
    <w:rsid w:val="00AB05EC"/>
    <w:rsid w:val="00AB084D"/>
    <w:rsid w:val="00AB0989"/>
    <w:rsid w:val="00AB0AED"/>
    <w:rsid w:val="00AB3BEB"/>
    <w:rsid w:val="00AB4EE4"/>
    <w:rsid w:val="00AB7A6B"/>
    <w:rsid w:val="00AC3344"/>
    <w:rsid w:val="00AC4CB2"/>
    <w:rsid w:val="00AC7386"/>
    <w:rsid w:val="00AC7450"/>
    <w:rsid w:val="00AD1458"/>
    <w:rsid w:val="00AD23C4"/>
    <w:rsid w:val="00AD2FAC"/>
    <w:rsid w:val="00AD347C"/>
    <w:rsid w:val="00AD3737"/>
    <w:rsid w:val="00AD51E9"/>
    <w:rsid w:val="00AE0BF5"/>
    <w:rsid w:val="00AE1F9F"/>
    <w:rsid w:val="00AE28D0"/>
    <w:rsid w:val="00AE45F8"/>
    <w:rsid w:val="00AE48A6"/>
    <w:rsid w:val="00AE5F1E"/>
    <w:rsid w:val="00AE6926"/>
    <w:rsid w:val="00AE7CDE"/>
    <w:rsid w:val="00AF1B7C"/>
    <w:rsid w:val="00AF24DF"/>
    <w:rsid w:val="00AF3952"/>
    <w:rsid w:val="00AF6570"/>
    <w:rsid w:val="00B00ABB"/>
    <w:rsid w:val="00B03EA1"/>
    <w:rsid w:val="00B04B1F"/>
    <w:rsid w:val="00B04EC8"/>
    <w:rsid w:val="00B05B78"/>
    <w:rsid w:val="00B05E8C"/>
    <w:rsid w:val="00B16508"/>
    <w:rsid w:val="00B16B3E"/>
    <w:rsid w:val="00B2077C"/>
    <w:rsid w:val="00B2441C"/>
    <w:rsid w:val="00B25490"/>
    <w:rsid w:val="00B3065B"/>
    <w:rsid w:val="00B31511"/>
    <w:rsid w:val="00B33739"/>
    <w:rsid w:val="00B33973"/>
    <w:rsid w:val="00B34235"/>
    <w:rsid w:val="00B36641"/>
    <w:rsid w:val="00B4173F"/>
    <w:rsid w:val="00B425E3"/>
    <w:rsid w:val="00B45256"/>
    <w:rsid w:val="00B47935"/>
    <w:rsid w:val="00B47B92"/>
    <w:rsid w:val="00B47CC0"/>
    <w:rsid w:val="00B51453"/>
    <w:rsid w:val="00B51574"/>
    <w:rsid w:val="00B51B76"/>
    <w:rsid w:val="00B544F7"/>
    <w:rsid w:val="00B57A52"/>
    <w:rsid w:val="00B60423"/>
    <w:rsid w:val="00B64208"/>
    <w:rsid w:val="00B64455"/>
    <w:rsid w:val="00B6607C"/>
    <w:rsid w:val="00B66A0F"/>
    <w:rsid w:val="00B70190"/>
    <w:rsid w:val="00B72AFE"/>
    <w:rsid w:val="00B73BB0"/>
    <w:rsid w:val="00B75301"/>
    <w:rsid w:val="00B77FB0"/>
    <w:rsid w:val="00B80FB2"/>
    <w:rsid w:val="00B81C46"/>
    <w:rsid w:val="00B838FD"/>
    <w:rsid w:val="00B83FE0"/>
    <w:rsid w:val="00B84141"/>
    <w:rsid w:val="00B85F67"/>
    <w:rsid w:val="00B91E12"/>
    <w:rsid w:val="00B92410"/>
    <w:rsid w:val="00B924FB"/>
    <w:rsid w:val="00B92E4C"/>
    <w:rsid w:val="00B94582"/>
    <w:rsid w:val="00B946CB"/>
    <w:rsid w:val="00B95518"/>
    <w:rsid w:val="00B962C2"/>
    <w:rsid w:val="00B967D7"/>
    <w:rsid w:val="00B96BA5"/>
    <w:rsid w:val="00BA0C02"/>
    <w:rsid w:val="00BA2976"/>
    <w:rsid w:val="00BA3821"/>
    <w:rsid w:val="00BA64D6"/>
    <w:rsid w:val="00BA686D"/>
    <w:rsid w:val="00BB0B96"/>
    <w:rsid w:val="00BB11C8"/>
    <w:rsid w:val="00BB7684"/>
    <w:rsid w:val="00BC0190"/>
    <w:rsid w:val="00BC5F46"/>
    <w:rsid w:val="00BD0622"/>
    <w:rsid w:val="00BD27EB"/>
    <w:rsid w:val="00BD6830"/>
    <w:rsid w:val="00BE00D5"/>
    <w:rsid w:val="00BE4FE6"/>
    <w:rsid w:val="00BE55A9"/>
    <w:rsid w:val="00BE6789"/>
    <w:rsid w:val="00BE7A22"/>
    <w:rsid w:val="00BF490B"/>
    <w:rsid w:val="00BF6C29"/>
    <w:rsid w:val="00BF700D"/>
    <w:rsid w:val="00C046CA"/>
    <w:rsid w:val="00C057D9"/>
    <w:rsid w:val="00C062D6"/>
    <w:rsid w:val="00C063D0"/>
    <w:rsid w:val="00C07A0D"/>
    <w:rsid w:val="00C1005C"/>
    <w:rsid w:val="00C100B6"/>
    <w:rsid w:val="00C11EAC"/>
    <w:rsid w:val="00C13533"/>
    <w:rsid w:val="00C13CFC"/>
    <w:rsid w:val="00C1482B"/>
    <w:rsid w:val="00C1517C"/>
    <w:rsid w:val="00C17A03"/>
    <w:rsid w:val="00C17D74"/>
    <w:rsid w:val="00C20667"/>
    <w:rsid w:val="00C212D0"/>
    <w:rsid w:val="00C21C07"/>
    <w:rsid w:val="00C22CE6"/>
    <w:rsid w:val="00C231AD"/>
    <w:rsid w:val="00C2468A"/>
    <w:rsid w:val="00C2595F"/>
    <w:rsid w:val="00C31BFE"/>
    <w:rsid w:val="00C31CA2"/>
    <w:rsid w:val="00C335A9"/>
    <w:rsid w:val="00C35116"/>
    <w:rsid w:val="00C36DD0"/>
    <w:rsid w:val="00C374B6"/>
    <w:rsid w:val="00C418A8"/>
    <w:rsid w:val="00C41A83"/>
    <w:rsid w:val="00C4387F"/>
    <w:rsid w:val="00C448BC"/>
    <w:rsid w:val="00C44DEF"/>
    <w:rsid w:val="00C52B9A"/>
    <w:rsid w:val="00C5458B"/>
    <w:rsid w:val="00C56B32"/>
    <w:rsid w:val="00C60722"/>
    <w:rsid w:val="00C607E3"/>
    <w:rsid w:val="00C6553B"/>
    <w:rsid w:val="00C65A69"/>
    <w:rsid w:val="00C711F7"/>
    <w:rsid w:val="00C71301"/>
    <w:rsid w:val="00C71C4F"/>
    <w:rsid w:val="00C724FD"/>
    <w:rsid w:val="00C7398B"/>
    <w:rsid w:val="00C8164D"/>
    <w:rsid w:val="00C829BD"/>
    <w:rsid w:val="00C82FE8"/>
    <w:rsid w:val="00C84012"/>
    <w:rsid w:val="00C86BBB"/>
    <w:rsid w:val="00C91091"/>
    <w:rsid w:val="00C94E56"/>
    <w:rsid w:val="00CA0343"/>
    <w:rsid w:val="00CA0360"/>
    <w:rsid w:val="00CA75AB"/>
    <w:rsid w:val="00CB287C"/>
    <w:rsid w:val="00CB3FD0"/>
    <w:rsid w:val="00CB4359"/>
    <w:rsid w:val="00CB4C80"/>
    <w:rsid w:val="00CC2B80"/>
    <w:rsid w:val="00CC3978"/>
    <w:rsid w:val="00CC6FE3"/>
    <w:rsid w:val="00CC7FD4"/>
    <w:rsid w:val="00CD324C"/>
    <w:rsid w:val="00CD3AAA"/>
    <w:rsid w:val="00CD47D8"/>
    <w:rsid w:val="00CD51E5"/>
    <w:rsid w:val="00CD58C2"/>
    <w:rsid w:val="00CE1148"/>
    <w:rsid w:val="00CE6DCA"/>
    <w:rsid w:val="00CE7712"/>
    <w:rsid w:val="00CE7EF3"/>
    <w:rsid w:val="00CF13D9"/>
    <w:rsid w:val="00CF3F4F"/>
    <w:rsid w:val="00CF47FF"/>
    <w:rsid w:val="00CF4A29"/>
    <w:rsid w:val="00CF4A31"/>
    <w:rsid w:val="00CF4B52"/>
    <w:rsid w:val="00CF51B4"/>
    <w:rsid w:val="00D10613"/>
    <w:rsid w:val="00D1067E"/>
    <w:rsid w:val="00D12A30"/>
    <w:rsid w:val="00D162D4"/>
    <w:rsid w:val="00D17124"/>
    <w:rsid w:val="00D203AE"/>
    <w:rsid w:val="00D24474"/>
    <w:rsid w:val="00D26503"/>
    <w:rsid w:val="00D3370B"/>
    <w:rsid w:val="00D362A1"/>
    <w:rsid w:val="00D370D9"/>
    <w:rsid w:val="00D37B09"/>
    <w:rsid w:val="00D37CD3"/>
    <w:rsid w:val="00D40242"/>
    <w:rsid w:val="00D4271A"/>
    <w:rsid w:val="00D4289C"/>
    <w:rsid w:val="00D43369"/>
    <w:rsid w:val="00D4626D"/>
    <w:rsid w:val="00D46546"/>
    <w:rsid w:val="00D55433"/>
    <w:rsid w:val="00D55ADB"/>
    <w:rsid w:val="00D55E2F"/>
    <w:rsid w:val="00D57055"/>
    <w:rsid w:val="00D601AE"/>
    <w:rsid w:val="00D60240"/>
    <w:rsid w:val="00D60600"/>
    <w:rsid w:val="00D6438A"/>
    <w:rsid w:val="00D6760F"/>
    <w:rsid w:val="00D709A5"/>
    <w:rsid w:val="00D71052"/>
    <w:rsid w:val="00D7122F"/>
    <w:rsid w:val="00D7566B"/>
    <w:rsid w:val="00D8039C"/>
    <w:rsid w:val="00D80BF7"/>
    <w:rsid w:val="00D84243"/>
    <w:rsid w:val="00D85A13"/>
    <w:rsid w:val="00D860D0"/>
    <w:rsid w:val="00D91A5C"/>
    <w:rsid w:val="00D929E0"/>
    <w:rsid w:val="00D93F3B"/>
    <w:rsid w:val="00DA0CD2"/>
    <w:rsid w:val="00DA130E"/>
    <w:rsid w:val="00DA38D8"/>
    <w:rsid w:val="00DA48C0"/>
    <w:rsid w:val="00DA6F46"/>
    <w:rsid w:val="00DB0862"/>
    <w:rsid w:val="00DB1803"/>
    <w:rsid w:val="00DB18B1"/>
    <w:rsid w:val="00DB4E07"/>
    <w:rsid w:val="00DC2A85"/>
    <w:rsid w:val="00DC692C"/>
    <w:rsid w:val="00DD02B4"/>
    <w:rsid w:val="00DD1E8A"/>
    <w:rsid w:val="00DD3DDA"/>
    <w:rsid w:val="00DD6A30"/>
    <w:rsid w:val="00DD7317"/>
    <w:rsid w:val="00DE7521"/>
    <w:rsid w:val="00DF02B2"/>
    <w:rsid w:val="00DF234C"/>
    <w:rsid w:val="00DF28D0"/>
    <w:rsid w:val="00DF359A"/>
    <w:rsid w:val="00DF35F3"/>
    <w:rsid w:val="00DF3A6A"/>
    <w:rsid w:val="00DF6CD2"/>
    <w:rsid w:val="00DF7178"/>
    <w:rsid w:val="00DF7703"/>
    <w:rsid w:val="00E00DEE"/>
    <w:rsid w:val="00E017B6"/>
    <w:rsid w:val="00E019FD"/>
    <w:rsid w:val="00E03590"/>
    <w:rsid w:val="00E07507"/>
    <w:rsid w:val="00E122BA"/>
    <w:rsid w:val="00E12500"/>
    <w:rsid w:val="00E130F9"/>
    <w:rsid w:val="00E15F42"/>
    <w:rsid w:val="00E2091B"/>
    <w:rsid w:val="00E20BFB"/>
    <w:rsid w:val="00E21088"/>
    <w:rsid w:val="00E21A8D"/>
    <w:rsid w:val="00E24277"/>
    <w:rsid w:val="00E27F65"/>
    <w:rsid w:val="00E305BA"/>
    <w:rsid w:val="00E3239E"/>
    <w:rsid w:val="00E32517"/>
    <w:rsid w:val="00E32599"/>
    <w:rsid w:val="00E34C44"/>
    <w:rsid w:val="00E35754"/>
    <w:rsid w:val="00E35E2F"/>
    <w:rsid w:val="00E40418"/>
    <w:rsid w:val="00E42CF2"/>
    <w:rsid w:val="00E4488A"/>
    <w:rsid w:val="00E45591"/>
    <w:rsid w:val="00E50CAD"/>
    <w:rsid w:val="00E51B65"/>
    <w:rsid w:val="00E52985"/>
    <w:rsid w:val="00E561EE"/>
    <w:rsid w:val="00E661C2"/>
    <w:rsid w:val="00E666AA"/>
    <w:rsid w:val="00E66996"/>
    <w:rsid w:val="00E672EF"/>
    <w:rsid w:val="00E704D9"/>
    <w:rsid w:val="00E71594"/>
    <w:rsid w:val="00E74DC4"/>
    <w:rsid w:val="00E75D6A"/>
    <w:rsid w:val="00E82D20"/>
    <w:rsid w:val="00E83E23"/>
    <w:rsid w:val="00E841CF"/>
    <w:rsid w:val="00E84B09"/>
    <w:rsid w:val="00E90122"/>
    <w:rsid w:val="00E920D8"/>
    <w:rsid w:val="00E94A92"/>
    <w:rsid w:val="00E97873"/>
    <w:rsid w:val="00E97E77"/>
    <w:rsid w:val="00EA1AEF"/>
    <w:rsid w:val="00EA5FEE"/>
    <w:rsid w:val="00EA6685"/>
    <w:rsid w:val="00EB3079"/>
    <w:rsid w:val="00EB32E0"/>
    <w:rsid w:val="00EB527B"/>
    <w:rsid w:val="00EC30A1"/>
    <w:rsid w:val="00EC3CE9"/>
    <w:rsid w:val="00EC4011"/>
    <w:rsid w:val="00EC45D3"/>
    <w:rsid w:val="00ED0B05"/>
    <w:rsid w:val="00ED2C3A"/>
    <w:rsid w:val="00ED3512"/>
    <w:rsid w:val="00ED3B23"/>
    <w:rsid w:val="00ED3CFC"/>
    <w:rsid w:val="00EE0293"/>
    <w:rsid w:val="00EE12D6"/>
    <w:rsid w:val="00EE3C34"/>
    <w:rsid w:val="00EF15B7"/>
    <w:rsid w:val="00EF7C77"/>
    <w:rsid w:val="00F0171D"/>
    <w:rsid w:val="00F0174A"/>
    <w:rsid w:val="00F04DF3"/>
    <w:rsid w:val="00F10E5F"/>
    <w:rsid w:val="00F14415"/>
    <w:rsid w:val="00F16C5E"/>
    <w:rsid w:val="00F22309"/>
    <w:rsid w:val="00F2235D"/>
    <w:rsid w:val="00F23FA7"/>
    <w:rsid w:val="00F25ACB"/>
    <w:rsid w:val="00F25ED6"/>
    <w:rsid w:val="00F27C2D"/>
    <w:rsid w:val="00F30E9D"/>
    <w:rsid w:val="00F325CF"/>
    <w:rsid w:val="00F35FB8"/>
    <w:rsid w:val="00F50BDE"/>
    <w:rsid w:val="00F511B6"/>
    <w:rsid w:val="00F51AAA"/>
    <w:rsid w:val="00F52C1E"/>
    <w:rsid w:val="00F540A0"/>
    <w:rsid w:val="00F546D5"/>
    <w:rsid w:val="00F54707"/>
    <w:rsid w:val="00F555E6"/>
    <w:rsid w:val="00F6550E"/>
    <w:rsid w:val="00F665F1"/>
    <w:rsid w:val="00F66654"/>
    <w:rsid w:val="00F733B9"/>
    <w:rsid w:val="00F76410"/>
    <w:rsid w:val="00F80288"/>
    <w:rsid w:val="00F811A2"/>
    <w:rsid w:val="00F8173C"/>
    <w:rsid w:val="00F864BD"/>
    <w:rsid w:val="00F869C9"/>
    <w:rsid w:val="00F91959"/>
    <w:rsid w:val="00F93571"/>
    <w:rsid w:val="00F940BE"/>
    <w:rsid w:val="00F94A6C"/>
    <w:rsid w:val="00F95817"/>
    <w:rsid w:val="00FA15A6"/>
    <w:rsid w:val="00FA24E0"/>
    <w:rsid w:val="00FA2643"/>
    <w:rsid w:val="00FA2A25"/>
    <w:rsid w:val="00FA3086"/>
    <w:rsid w:val="00FA3209"/>
    <w:rsid w:val="00FA6B78"/>
    <w:rsid w:val="00FB4758"/>
    <w:rsid w:val="00FB48FD"/>
    <w:rsid w:val="00FB6BB0"/>
    <w:rsid w:val="00FB7C9D"/>
    <w:rsid w:val="00FB7F02"/>
    <w:rsid w:val="00FB7FB8"/>
    <w:rsid w:val="00FC1128"/>
    <w:rsid w:val="00FC2E7A"/>
    <w:rsid w:val="00FC2FEF"/>
    <w:rsid w:val="00FC4F00"/>
    <w:rsid w:val="00FC6848"/>
    <w:rsid w:val="00FD096A"/>
    <w:rsid w:val="00FD0EDE"/>
    <w:rsid w:val="00FD3218"/>
    <w:rsid w:val="00FD465F"/>
    <w:rsid w:val="00FD49F0"/>
    <w:rsid w:val="00FD547D"/>
    <w:rsid w:val="00FD575A"/>
    <w:rsid w:val="00FD62D6"/>
    <w:rsid w:val="00FD666F"/>
    <w:rsid w:val="00FD696C"/>
    <w:rsid w:val="00FD6C73"/>
    <w:rsid w:val="00FE0393"/>
    <w:rsid w:val="00FE25A2"/>
    <w:rsid w:val="00FE3ACD"/>
    <w:rsid w:val="00FE3DB5"/>
    <w:rsid w:val="00FF4418"/>
    <w:rsid w:val="00FF56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rsid w:val="00C84012"/>
    <w:pPr>
      <w:keepNext/>
      <w:numPr>
        <w:numId w:val="3"/>
      </w:numPr>
      <w:spacing w:before="240"/>
      <w:outlineLvl w:val="0"/>
    </w:pPr>
    <w:rPr>
      <w:b/>
      <w:smallCaps/>
    </w:rPr>
  </w:style>
  <w:style w:type="paragraph" w:styleId="Heading2">
    <w:name w:val="heading 2"/>
    <w:basedOn w:val="Normal"/>
    <w:next w:val="Text2"/>
    <w:qFormat/>
    <w:rsid w:val="00C84012"/>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link w:val="Heading4Char"/>
    <w:qFormat/>
    <w:rsid w:val="00C84012"/>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C84012"/>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5D07A6"/>
    <w:rPr>
      <w:rFonts w:ascii="Arial" w:hAnsi="Arial"/>
      <w:sz w:val="16"/>
      <w:lang w:eastAsia="en-US"/>
    </w:rPr>
  </w:style>
  <w:style w:type="character" w:customStyle="1" w:styleId="DateChar">
    <w:name w:val="Date Char"/>
    <w:basedOn w:val="DefaultParagraphFont"/>
    <w:link w:val="Date"/>
    <w:uiPriority w:val="99"/>
    <w:locked/>
    <w:rsid w:val="005D07A6"/>
    <w:rPr>
      <w:sz w:val="24"/>
      <w:lang w:eastAsia="en-US"/>
    </w:rPr>
  </w:style>
  <w:style w:type="paragraph" w:customStyle="1" w:styleId="ZCom">
    <w:name w:val="Z_Com"/>
    <w:basedOn w:val="Normal"/>
    <w:next w:val="ZDGName"/>
    <w:uiPriority w:val="99"/>
    <w:rsid w:val="005D07A6"/>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5D07A6"/>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5D07A6"/>
    <w:rPr>
      <w:sz w:val="24"/>
      <w:lang w:eastAsia="en-US"/>
    </w:rPr>
  </w:style>
  <w:style w:type="character" w:styleId="FootnoteReference">
    <w:name w:val="footnote reference"/>
    <w:aliases w:val="(NECG) Footnote Reference,fr,o"/>
    <w:uiPriority w:val="99"/>
    <w:rsid w:val="005D07A6"/>
    <w:rPr>
      <w:rFonts w:ascii="TimesNewRomanPS" w:hAnsi="TimesNewRomanPS"/>
      <w:position w:val="6"/>
      <w:sz w:val="16"/>
    </w:rPr>
  </w:style>
  <w:style w:type="character" w:styleId="Hyperlink">
    <w:name w:val="Hyperlink"/>
    <w:uiPriority w:val="99"/>
    <w:rsid w:val="005D07A6"/>
    <w:rPr>
      <w:color w:val="0000FF"/>
      <w:u w:val="single"/>
    </w:rPr>
  </w:style>
  <w:style w:type="character" w:customStyle="1" w:styleId="FootnoteTextChar">
    <w:name w:val="Footnote Text Char"/>
    <w:aliases w:val="fn Char"/>
    <w:basedOn w:val="DefaultParagraphFont"/>
    <w:link w:val="FootnoteText"/>
    <w:uiPriority w:val="99"/>
    <w:semiHidden/>
    <w:rsid w:val="002D2887"/>
    <w:rPr>
      <w:lang w:eastAsia="en-US"/>
    </w:rPr>
  </w:style>
  <w:style w:type="character" w:customStyle="1" w:styleId="NumPar1Char">
    <w:name w:val="NumPar 1 Char"/>
    <w:link w:val="NumPar1"/>
    <w:rsid w:val="002D2887"/>
    <w:rPr>
      <w:sz w:val="24"/>
      <w:lang w:eastAsia="en-US"/>
    </w:rPr>
  </w:style>
  <w:style w:type="character" w:customStyle="1" w:styleId="Heading4Char">
    <w:name w:val="Heading 4 Char"/>
    <w:basedOn w:val="DefaultParagraphFont"/>
    <w:link w:val="Heading4"/>
    <w:rsid w:val="006F61CB"/>
    <w:rPr>
      <w:sz w:val="24"/>
      <w:lang w:eastAsia="en-US"/>
    </w:rPr>
  </w:style>
  <w:style w:type="paragraph" w:styleId="BalloonText">
    <w:name w:val="Balloon Text"/>
    <w:basedOn w:val="Normal"/>
    <w:link w:val="BalloonTextChar"/>
    <w:uiPriority w:val="99"/>
    <w:semiHidden/>
    <w:unhideWhenUsed/>
    <w:rsid w:val="002723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357"/>
    <w:rPr>
      <w:rFonts w:ascii="Tahoma" w:hAnsi="Tahoma" w:cs="Tahoma"/>
      <w:sz w:val="16"/>
      <w:szCs w:val="16"/>
      <w:lang w:eastAsia="en-US"/>
    </w:rPr>
  </w:style>
  <w:style w:type="paragraph" w:customStyle="1" w:styleId="Default">
    <w:name w:val="Default"/>
    <w:rsid w:val="008C07BA"/>
    <w:pPr>
      <w:autoSpaceDE w:val="0"/>
      <w:autoSpaceDN w:val="0"/>
      <w:adjustRightInd w:val="0"/>
    </w:pPr>
    <w:rPr>
      <w:color w:val="000000"/>
      <w:sz w:val="24"/>
      <w:szCs w:val="24"/>
    </w:rPr>
  </w:style>
  <w:style w:type="table" w:styleId="TableGrid">
    <w:name w:val="Table Grid"/>
    <w:basedOn w:val="TableNormal"/>
    <w:uiPriority w:val="39"/>
    <w:rsid w:val="00D1061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256"/>
    <w:pPr>
      <w:spacing w:after="0"/>
      <w:ind w:left="720"/>
      <w:contextualSpacing/>
      <w:jc w:val="left"/>
    </w:pPr>
    <w:rPr>
      <w:rFonts w:asciiTheme="minorHAnsi" w:eastAsiaTheme="minorHAnsi" w:hAnsiTheme="minorHAnsi" w:cstheme="minorBidi"/>
      <w:szCs w:val="24"/>
      <w:lang w:val="en-US"/>
    </w:rPr>
  </w:style>
  <w:style w:type="table" w:customStyle="1" w:styleId="TableGrid1">
    <w:name w:val="Table Grid1"/>
    <w:basedOn w:val="TableNormal"/>
    <w:next w:val="TableGrid"/>
    <w:uiPriority w:val="39"/>
    <w:rsid w:val="006662F2"/>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3571"/>
    <w:rPr>
      <w:sz w:val="24"/>
      <w:lang w:eastAsia="en-US"/>
    </w:rPr>
  </w:style>
  <w:style w:type="character" w:styleId="CommentReference">
    <w:name w:val="annotation reference"/>
    <w:basedOn w:val="DefaultParagraphFont"/>
    <w:uiPriority w:val="99"/>
    <w:semiHidden/>
    <w:unhideWhenUsed/>
    <w:rsid w:val="007A4699"/>
    <w:rPr>
      <w:sz w:val="16"/>
      <w:szCs w:val="16"/>
    </w:rPr>
  </w:style>
  <w:style w:type="paragraph" w:styleId="CommentSubject">
    <w:name w:val="annotation subject"/>
    <w:basedOn w:val="CommentText"/>
    <w:next w:val="CommentText"/>
    <w:link w:val="CommentSubjectChar"/>
    <w:uiPriority w:val="99"/>
    <w:semiHidden/>
    <w:unhideWhenUsed/>
    <w:rsid w:val="007A4699"/>
    <w:rPr>
      <w:b/>
      <w:bCs/>
    </w:rPr>
  </w:style>
  <w:style w:type="character" w:customStyle="1" w:styleId="CommentTextChar">
    <w:name w:val="Comment Text Char"/>
    <w:basedOn w:val="DefaultParagraphFont"/>
    <w:link w:val="CommentText"/>
    <w:semiHidden/>
    <w:rsid w:val="007A4699"/>
    <w:rPr>
      <w:lang w:eastAsia="en-US"/>
    </w:rPr>
  </w:style>
  <w:style w:type="character" w:customStyle="1" w:styleId="CommentSubjectChar">
    <w:name w:val="Comment Subject Char"/>
    <w:basedOn w:val="CommentTextChar"/>
    <w:link w:val="CommentSubject"/>
    <w:uiPriority w:val="99"/>
    <w:semiHidden/>
    <w:rsid w:val="007A469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rsid w:val="00C84012"/>
    <w:pPr>
      <w:keepNext/>
      <w:numPr>
        <w:numId w:val="3"/>
      </w:numPr>
      <w:spacing w:before="240"/>
      <w:outlineLvl w:val="0"/>
    </w:pPr>
    <w:rPr>
      <w:b/>
      <w:smallCaps/>
    </w:rPr>
  </w:style>
  <w:style w:type="paragraph" w:styleId="Heading2">
    <w:name w:val="heading 2"/>
    <w:basedOn w:val="Normal"/>
    <w:next w:val="Text2"/>
    <w:qFormat/>
    <w:rsid w:val="00C84012"/>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link w:val="Heading4Char"/>
    <w:qFormat/>
    <w:rsid w:val="00C84012"/>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C84012"/>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5D07A6"/>
    <w:rPr>
      <w:rFonts w:ascii="Arial" w:hAnsi="Arial"/>
      <w:sz w:val="16"/>
      <w:lang w:eastAsia="en-US"/>
    </w:rPr>
  </w:style>
  <w:style w:type="character" w:customStyle="1" w:styleId="DateChar">
    <w:name w:val="Date Char"/>
    <w:basedOn w:val="DefaultParagraphFont"/>
    <w:link w:val="Date"/>
    <w:uiPriority w:val="99"/>
    <w:locked/>
    <w:rsid w:val="005D07A6"/>
    <w:rPr>
      <w:sz w:val="24"/>
      <w:lang w:eastAsia="en-US"/>
    </w:rPr>
  </w:style>
  <w:style w:type="paragraph" w:customStyle="1" w:styleId="ZCom">
    <w:name w:val="Z_Com"/>
    <w:basedOn w:val="Normal"/>
    <w:next w:val="ZDGName"/>
    <w:uiPriority w:val="99"/>
    <w:rsid w:val="005D07A6"/>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5D07A6"/>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5D07A6"/>
    <w:rPr>
      <w:sz w:val="24"/>
      <w:lang w:eastAsia="en-US"/>
    </w:rPr>
  </w:style>
  <w:style w:type="character" w:styleId="FootnoteReference">
    <w:name w:val="footnote reference"/>
    <w:aliases w:val="(NECG) Footnote Reference,fr,o"/>
    <w:uiPriority w:val="99"/>
    <w:rsid w:val="005D07A6"/>
    <w:rPr>
      <w:rFonts w:ascii="TimesNewRomanPS" w:hAnsi="TimesNewRomanPS"/>
      <w:position w:val="6"/>
      <w:sz w:val="16"/>
    </w:rPr>
  </w:style>
  <w:style w:type="character" w:styleId="Hyperlink">
    <w:name w:val="Hyperlink"/>
    <w:uiPriority w:val="99"/>
    <w:rsid w:val="005D07A6"/>
    <w:rPr>
      <w:color w:val="0000FF"/>
      <w:u w:val="single"/>
    </w:rPr>
  </w:style>
  <w:style w:type="character" w:customStyle="1" w:styleId="FootnoteTextChar">
    <w:name w:val="Footnote Text Char"/>
    <w:aliases w:val="fn Char"/>
    <w:basedOn w:val="DefaultParagraphFont"/>
    <w:link w:val="FootnoteText"/>
    <w:uiPriority w:val="99"/>
    <w:semiHidden/>
    <w:rsid w:val="002D2887"/>
    <w:rPr>
      <w:lang w:eastAsia="en-US"/>
    </w:rPr>
  </w:style>
  <w:style w:type="character" w:customStyle="1" w:styleId="NumPar1Char">
    <w:name w:val="NumPar 1 Char"/>
    <w:link w:val="NumPar1"/>
    <w:rsid w:val="002D2887"/>
    <w:rPr>
      <w:sz w:val="24"/>
      <w:lang w:eastAsia="en-US"/>
    </w:rPr>
  </w:style>
  <w:style w:type="character" w:customStyle="1" w:styleId="Heading4Char">
    <w:name w:val="Heading 4 Char"/>
    <w:basedOn w:val="DefaultParagraphFont"/>
    <w:link w:val="Heading4"/>
    <w:rsid w:val="006F61CB"/>
    <w:rPr>
      <w:sz w:val="24"/>
      <w:lang w:eastAsia="en-US"/>
    </w:rPr>
  </w:style>
  <w:style w:type="paragraph" w:styleId="BalloonText">
    <w:name w:val="Balloon Text"/>
    <w:basedOn w:val="Normal"/>
    <w:link w:val="BalloonTextChar"/>
    <w:uiPriority w:val="99"/>
    <w:semiHidden/>
    <w:unhideWhenUsed/>
    <w:rsid w:val="002723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357"/>
    <w:rPr>
      <w:rFonts w:ascii="Tahoma" w:hAnsi="Tahoma" w:cs="Tahoma"/>
      <w:sz w:val="16"/>
      <w:szCs w:val="16"/>
      <w:lang w:eastAsia="en-US"/>
    </w:rPr>
  </w:style>
  <w:style w:type="paragraph" w:customStyle="1" w:styleId="Default">
    <w:name w:val="Default"/>
    <w:rsid w:val="008C07BA"/>
    <w:pPr>
      <w:autoSpaceDE w:val="0"/>
      <w:autoSpaceDN w:val="0"/>
      <w:adjustRightInd w:val="0"/>
    </w:pPr>
    <w:rPr>
      <w:color w:val="000000"/>
      <w:sz w:val="24"/>
      <w:szCs w:val="24"/>
    </w:rPr>
  </w:style>
  <w:style w:type="table" w:styleId="TableGrid">
    <w:name w:val="Table Grid"/>
    <w:basedOn w:val="TableNormal"/>
    <w:uiPriority w:val="39"/>
    <w:rsid w:val="00D1061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256"/>
    <w:pPr>
      <w:spacing w:after="0"/>
      <w:ind w:left="720"/>
      <w:contextualSpacing/>
      <w:jc w:val="left"/>
    </w:pPr>
    <w:rPr>
      <w:rFonts w:asciiTheme="minorHAnsi" w:eastAsiaTheme="minorHAnsi" w:hAnsiTheme="minorHAnsi" w:cstheme="minorBidi"/>
      <w:szCs w:val="24"/>
      <w:lang w:val="en-US"/>
    </w:rPr>
  </w:style>
  <w:style w:type="table" w:customStyle="1" w:styleId="TableGrid1">
    <w:name w:val="Table Grid1"/>
    <w:basedOn w:val="TableNormal"/>
    <w:next w:val="TableGrid"/>
    <w:uiPriority w:val="39"/>
    <w:rsid w:val="006662F2"/>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3571"/>
    <w:rPr>
      <w:sz w:val="24"/>
      <w:lang w:eastAsia="en-US"/>
    </w:rPr>
  </w:style>
  <w:style w:type="character" w:styleId="CommentReference">
    <w:name w:val="annotation reference"/>
    <w:basedOn w:val="DefaultParagraphFont"/>
    <w:uiPriority w:val="99"/>
    <w:semiHidden/>
    <w:unhideWhenUsed/>
    <w:rsid w:val="007A4699"/>
    <w:rPr>
      <w:sz w:val="16"/>
      <w:szCs w:val="16"/>
    </w:rPr>
  </w:style>
  <w:style w:type="paragraph" w:styleId="CommentSubject">
    <w:name w:val="annotation subject"/>
    <w:basedOn w:val="CommentText"/>
    <w:next w:val="CommentText"/>
    <w:link w:val="CommentSubjectChar"/>
    <w:uiPriority w:val="99"/>
    <w:semiHidden/>
    <w:unhideWhenUsed/>
    <w:rsid w:val="007A4699"/>
    <w:rPr>
      <w:b/>
      <w:bCs/>
    </w:rPr>
  </w:style>
  <w:style w:type="character" w:customStyle="1" w:styleId="CommentTextChar">
    <w:name w:val="Comment Text Char"/>
    <w:basedOn w:val="DefaultParagraphFont"/>
    <w:link w:val="CommentText"/>
    <w:semiHidden/>
    <w:rsid w:val="007A4699"/>
    <w:rPr>
      <w:lang w:eastAsia="en-US"/>
    </w:rPr>
  </w:style>
  <w:style w:type="character" w:customStyle="1" w:styleId="CommentSubjectChar">
    <w:name w:val="Comment Subject Char"/>
    <w:basedOn w:val="CommentTextChar"/>
    <w:link w:val="CommentSubject"/>
    <w:uiPriority w:val="99"/>
    <w:semiHidden/>
    <w:rsid w:val="007A469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83295">
      <w:bodyDiv w:val="1"/>
      <w:marLeft w:val="0"/>
      <w:marRight w:val="0"/>
      <w:marTop w:val="0"/>
      <w:marBottom w:val="0"/>
      <w:divBdr>
        <w:top w:val="none" w:sz="0" w:space="0" w:color="auto"/>
        <w:left w:val="none" w:sz="0" w:space="0" w:color="auto"/>
        <w:bottom w:val="none" w:sz="0" w:space="0" w:color="auto"/>
        <w:right w:val="none" w:sz="0" w:space="0" w:color="auto"/>
      </w:divBdr>
    </w:div>
    <w:div w:id="8131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MP-MERGER-REGISTRY@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nual of Procedures Document" ma:contentTypeID="0x010100DF82C8C3126F4D44AEE14944E5FD59730032D1C28E38EBDE499CCBCDFC05C4B9C2" ma:contentTypeVersion="4" ma:contentTypeDescription="Manual of Procedures Document is a Local Document Type tailored to this Workspace." ma:contentTypeScope="" ma:versionID="45f9829f2033a12dcceb32e9b64d3ef7">
  <xsd:schema xmlns:xsd="http://www.w3.org/2001/XMLSchema" xmlns:xs="http://www.w3.org/2001/XMLSchema" xmlns:p="http://schemas.microsoft.com/office/2006/metadata/properties" xmlns:ns1="088202b7-44b3-4308-8cbe-2486e2aff631" xmlns:ns2="104bc713-7594-423e-b1eb-874a2b485756" xmlns:ns3="6a878fbf-7df5-4c38-bee2-6a2228332470" targetNamespace="http://schemas.microsoft.com/office/2006/metadata/properties" ma:root="true" ma:fieldsID="f92680fcbcd1093bea95aa55915bee1f" ns1:_="" ns2:_="" ns3:_="">
    <xsd:import namespace="088202b7-44b3-4308-8cbe-2486e2aff631"/>
    <xsd:import namespace="104bc713-7594-423e-b1eb-874a2b485756"/>
    <xsd:import namespace="6a878fbf-7df5-4c38-bee2-6a2228332470"/>
    <xsd:element name="properties">
      <xsd:complexType>
        <xsd:sequence>
          <xsd:element name="documentManagement">
            <xsd:complexType>
              <xsd:all>
                <xsd:element ref="ns1:documentTitle" minOccurs="0"/>
                <xsd:element ref="ns1:documentSummary" minOccurs="0"/>
                <xsd:element ref="ns1:documentComments" minOccurs="0"/>
                <xsd:element ref="ns1:documentFollowUp" minOccurs="0"/>
                <xsd:element ref="ns1:documentTemplate" minOccurs="0"/>
                <xsd:element ref="ns1:documentDeploy" minOccurs="0"/>
                <xsd:element ref="ns2:le163f84aeac4c978e8c8f59becf4c6c" minOccurs="0"/>
                <xsd:element ref="ns3:TaxCatchAll" minOccurs="0"/>
                <xsd:element ref="ns3:TaxCatchAllLabel" minOccurs="0"/>
                <xsd:element ref="ns2:k07f1fd1eeea4e02b680e7f403dab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202b7-44b3-4308-8cbe-2486e2aff631" elementFormDefault="qualified">
    <xsd:import namespace="http://schemas.microsoft.com/office/2006/documentManagement/types"/>
    <xsd:import namespace="http://schemas.microsoft.com/office/infopath/2007/PartnerControls"/>
    <xsd:element name="documentTitle" ma:index="0" nillable="true" ma:displayName="Title" ma:description="The Title of the Document is different than the Filename." ma:internalName="documentTitle">
      <xsd:simpleType>
        <xsd:restriction base="dms:Text">
          <xsd:maxLength value="255"/>
        </xsd:restriction>
      </xsd:simpleType>
    </xsd:element>
    <xsd:element name="documentSummary" ma:index="1" nillable="true" ma:displayName="Summary" ma:description="A good Summary may be useful to search for the Document easily." ma:internalName="documentSummary">
      <xsd:simpleType>
        <xsd:restriction base="dms:Note">
          <xsd:maxLength value="255"/>
        </xsd:restriction>
      </xsd:simpleType>
    </xsd:element>
    <xsd:element name="documentComments" ma:index="2" nillable="true" ma:displayName="Comments" ma:description="Comments have Historical Approach by User and Date." ma:internalName="documentComments">
      <xsd:simpleType>
        <xsd:restriction base="dms:Note">
          <xsd:maxLength value="255"/>
        </xsd:restriction>
      </xsd:simpleType>
    </xsd:element>
    <xsd:element name="documentFollowUp" ma:index="3" nillable="true" ma:displayName="Follow Up" ma:description="Any pertinent Information regarding Workflow." ma:internalName="documentFollowUp">
      <xsd:simpleType>
        <xsd:restriction base="dms:Note">
          <xsd:maxLength value="255"/>
        </xsd:restriction>
      </xsd:simpleType>
    </xsd:element>
    <xsd:element name="documentTemplate" ma:index="4" nillable="true" ma:displayName="Document Template" ma:default="No" ma:description="Whether the document is to be used as Template in the Collaborative Platform." ma:format="RadioButtons" ma:internalName="documentTemplate">
      <xsd:simpleType>
        <xsd:restriction base="dms:Choice">
          <xsd:enumeration value="Yes"/>
          <xsd:enumeration value="No"/>
        </xsd:restriction>
      </xsd:simpleType>
    </xsd:element>
    <xsd:element name="documentDeploy" ma:index="5" nillable="true" ma:displayName="Deployed" ma:default="No" ma:description="Whether the Document is deployed to a Case Template. This triggers the deployment workflow." ma:format="RadioButtons" ma:internalName="documentDeploy">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04bc713-7594-423e-b1eb-874a2b485756" elementFormDefault="qualified">
    <xsd:import namespace="http://schemas.microsoft.com/office/2006/documentManagement/types"/>
    <xsd:import namespace="http://schemas.microsoft.com/office/infopath/2007/PartnerControls"/>
    <xsd:element name="le163f84aeac4c978e8c8f59becf4c6c" ma:index="6" nillable="true" ma:taxonomy="true" ma:internalName="le163f84aeac4c978e8c8f59becf4c6c" ma:taxonomyFieldName="documentLanguages" ma:displayName="Languages" ma:default="" ma:fieldId="{5e163f84-aeac-4c97-8e8c-8f59becf4c6c}" ma:taxonomyMulti="true" ma:sspId="0b3cc5dc-dc2a-4346-9392-57628a0b46cb" ma:termSetId="7637b186-40ec-4d6c-9efc-5eb2c54d48c1" ma:anchorId="00000000-0000-0000-0000-000000000000" ma:open="false" ma:isKeyword="false">
      <xsd:complexType>
        <xsd:sequence>
          <xsd:element ref="pc:Terms" minOccurs="0" maxOccurs="1"/>
        </xsd:sequence>
      </xsd:complexType>
    </xsd:element>
    <xsd:element name="k07f1fd1eeea4e02b680e7f403dab53b" ma:index="10" nillable="true" ma:taxonomy="true" ma:internalName="k07f1fd1eeea4e02b680e7f403dab53b" ma:taxonomyFieldName="caseInstrument" ma:displayName="Template" ma:fieldId="{407f1fd1-eeea-4e02-b680-e7f403dab53b}" ma:taxonomyMulti="true" ma:sspId="ec101830-7bfe-4cd7-a36a-75e62b3f08e3" ma:termSetId="e182b946-2613-4522-a4f9-29950df1c1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878fbf-7df5-4c38-bee2-6a222833247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e567e574-e984-426f-90ef-04637e47a560}" ma:internalName="TaxCatchAll" ma:showField="CatchAllData" ma:web="6a878fbf-7df5-4c38-bee2-6a222833247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e567e574-e984-426f-90ef-04637e47a560}" ma:internalName="TaxCatchAllLabel" ma:readOnly="true" ma:showField="CatchAllDataLabel" ma:web="6a878fbf-7df5-4c38-bee2-6a2228332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emplate xmlns="088202b7-44b3-4308-8cbe-2486e2aff631">No</documentTemplate>
    <TaxCatchAll xmlns="6a878fbf-7df5-4c38-bee2-6a2228332470"/>
    <k07f1fd1eeea4e02b680e7f403dab53b xmlns="104bc713-7594-423e-b1eb-874a2b485756">
      <Terms xmlns="http://schemas.microsoft.com/office/infopath/2007/PartnerControls"/>
    </k07f1fd1eeea4e02b680e7f403dab53b>
    <documentFollowUp xmlns="088202b7-44b3-4308-8cbe-2486e2aff631" xsi:nil="true"/>
    <documentSummary xmlns="088202b7-44b3-4308-8cbe-2486e2aff631" xsi:nil="true"/>
    <le163f84aeac4c978e8c8f59becf4c6c xmlns="104bc713-7594-423e-b1eb-874a2b485756">
      <Terms xmlns="http://schemas.microsoft.com/office/infopath/2007/PartnerControls"/>
    </le163f84aeac4c978e8c8f59becf4c6c>
    <documentComments xmlns="088202b7-44b3-4308-8cbe-2486e2aff631" xsi:nil="true"/>
    <documentDeploy xmlns="088202b7-44b3-4308-8cbe-2486e2aff631">No</documentDeploy>
    <documentTitle xmlns="088202b7-44b3-4308-8cbe-2486e2aff63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C7B62-0F68-4FB3-A9AF-415CC1DB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202b7-44b3-4308-8cbe-2486e2aff631"/>
    <ds:schemaRef ds:uri="104bc713-7594-423e-b1eb-874a2b485756"/>
    <ds:schemaRef ds:uri="6a878fbf-7df5-4c38-bee2-6a2228332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FC23B-28C3-4220-9B8F-9913FC34B328}">
  <ds:schemaRefs>
    <ds:schemaRef ds:uri="http://www.w3.org/XML/1998/namespace"/>
    <ds:schemaRef ds:uri="http://purl.org/dc/dcmitype/"/>
    <ds:schemaRef ds:uri="http://schemas.microsoft.com/office/2006/documentManagement/types"/>
    <ds:schemaRef ds:uri="http://schemas.openxmlformats.org/package/2006/metadata/core-properties"/>
    <ds:schemaRef ds:uri="6a878fbf-7df5-4c38-bee2-6a2228332470"/>
    <ds:schemaRef ds:uri="088202b7-44b3-4308-8cbe-2486e2aff631"/>
    <ds:schemaRef ds:uri="http://purl.org/dc/terms/"/>
    <ds:schemaRef ds:uri="http://purl.org/dc/elements/1.1/"/>
    <ds:schemaRef ds:uri="http://schemas.microsoft.com/office/infopath/2007/PartnerControls"/>
    <ds:schemaRef ds:uri="104bc713-7594-423e-b1eb-874a2b485756"/>
    <ds:schemaRef ds:uri="http://schemas.microsoft.com/office/2006/metadata/properties"/>
  </ds:schemaRefs>
</ds:datastoreItem>
</file>

<file path=customXml/itemProps3.xml><?xml version="1.0" encoding="utf-8"?>
<ds:datastoreItem xmlns:ds="http://schemas.openxmlformats.org/officeDocument/2006/customXml" ds:itemID="{94870EB1-8ACD-449B-8684-4F9B52CB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TotalTime>
  <Pages>38</Pages>
  <Words>12315</Words>
  <Characters>76232</Characters>
  <Application>Microsoft Office Word</Application>
  <DocSecurity>4</DocSecurity>
  <PresentationFormat>Microsoft Word 14.0</PresentationFormat>
  <Lines>1815</Lines>
  <Paragraphs>835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Dekeyser</dc:creator>
  <cp:keywords>EL4</cp:keywords>
  <cp:lastModifiedBy>WOJCIK Magdalena (COMP)</cp:lastModifiedBy>
  <cp:revision>2</cp:revision>
  <cp:lastPrinted>2018-09-17T14:34:00Z</cp:lastPrinted>
  <dcterms:created xsi:type="dcterms:W3CDTF">2018-09-28T14:03:00Z</dcterms:created>
  <dcterms:modified xsi:type="dcterms:W3CDTF">2018-09-28T14:03:00Z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Kris Dekeyser</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0x01010400988603A364794F7AA753E65AAE73280500672940C3C9E87848A5891410FBCB003B</vt:lpwstr>
  </property>
  <property fmtid="{D5CDD505-2E9C-101B-9397-08002B2CF9AE}" pid="14" name="caseInstrument">
    <vt:lpwstr/>
  </property>
  <property fmtid="{D5CDD505-2E9C-101B-9397-08002B2CF9AE}" pid="15" name="documentLanguages">
    <vt:lpwstr/>
  </property>
  <property fmtid="{D5CDD505-2E9C-101B-9397-08002B2CF9AE}" pid="16" name="_dlc_DocId">
    <vt:lpwstr>COMPCOLLAB-445599683-58</vt:lpwstr>
  </property>
  <property fmtid="{D5CDD505-2E9C-101B-9397-08002B2CF9AE}" pid="17" name="_dlc_DocIdUrl">
    <vt:lpwstr>https://workspace.comp.cec.eu.int/cases/M.8889/_layouts/15/DocIdRedir.aspx?ID=COMPCOLLAB-445599683-58, COMPCOLLAB-445599683-58</vt:lpwstr>
  </property>
  <property fmtid="{D5CDD505-2E9C-101B-9397-08002B2CF9AE}" pid="18" name="_dlc_DocIdItemGuid">
    <vt:lpwstr>42aa6443-becf-40e1-8fdf-eaaae79b0553</vt:lpwstr>
  </property>
</Properties>
</file>