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1763DC" w14:paraId="5F765AEC" w14:textId="77777777" w:rsidTr="00FC0713">
        <w:trPr>
          <w:trHeight w:val="1440"/>
        </w:trPr>
        <w:tc>
          <w:tcPr>
            <w:tcW w:w="2381" w:type="dxa"/>
            <w:tcBorders>
              <w:top w:val="nil"/>
              <w:left w:val="nil"/>
              <w:bottom w:val="nil"/>
              <w:right w:val="nil"/>
            </w:tcBorders>
          </w:tcPr>
          <w:p w14:paraId="5F765AEA" w14:textId="0085935A" w:rsidR="001763DC" w:rsidRDefault="00AA3BD4">
            <w:pPr>
              <w:pStyle w:val="ZCom"/>
            </w:pPr>
            <w:bookmarkStart w:id="0" w:name="_GoBack"/>
            <w:bookmarkEnd w:id="0"/>
            <w:r>
              <w:rPr>
                <w:noProof/>
                <w:sz w:val="20"/>
              </w:rPr>
              <w:drawing>
                <wp:inline distT="0" distB="0" distL="0" distR="0" wp14:anchorId="5F765B94" wp14:editId="5F765B95">
                  <wp:extent cx="1371600" cy="676275"/>
                  <wp:effectExtent l="0" t="0" r="0" b="9525"/>
                  <wp:docPr id="2" name="Picture 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c_17_colors_300dp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14:paraId="5F765AEB" w14:textId="77777777" w:rsidR="001763DC" w:rsidRDefault="001763DC" w:rsidP="00FD45D5">
            <w:pPr>
              <w:pStyle w:val="ZCom"/>
              <w:spacing w:before="90"/>
            </w:pPr>
            <w:r>
              <w:t>EUROPEAN COMMISSION</w:t>
            </w:r>
          </w:p>
        </w:tc>
      </w:tr>
    </w:tbl>
    <w:p w14:paraId="5F765AED" w14:textId="3CB01D9F" w:rsidR="00D13D3D" w:rsidRDefault="00D13D3D">
      <w:pPr>
        <w:pStyle w:val="Date"/>
      </w:pPr>
      <w:r>
        <w:t xml:space="preserve">Brussels, </w:t>
      </w:r>
      <w:r w:rsidR="004E2313">
        <w:t>15.11.2016</w:t>
      </w:r>
    </w:p>
    <w:p w14:paraId="3081E9DA" w14:textId="4F1BCF26" w:rsidR="00CE4EEC" w:rsidRDefault="006170AD" w:rsidP="00CE4EEC">
      <w:pPr>
        <w:ind w:left="5040" w:firstLine="63"/>
        <w:jc w:val="left"/>
      </w:pPr>
      <w:r>
        <w:t>C</w:t>
      </w:r>
      <w:r w:rsidR="00CE4EEC">
        <w:t xml:space="preserve"> </w:t>
      </w:r>
      <w:r>
        <w:t>(2016</w:t>
      </w:r>
      <w:r w:rsidR="002E2D9B">
        <w:t>)</w:t>
      </w:r>
      <w:r w:rsidR="00CE4EEC">
        <w:t xml:space="preserve"> 7435 </w:t>
      </w:r>
      <w:r w:rsidR="004E2313">
        <w:t>final</w:t>
      </w:r>
      <w:r w:rsidR="00325F5E">
        <w:br/>
      </w:r>
      <w:r w:rsidR="00B84177">
        <w:br/>
      </w:r>
    </w:p>
    <w:p w14:paraId="09A32D4F" w14:textId="391B411E" w:rsidR="00413D63" w:rsidRDefault="004B2CA2" w:rsidP="004E2313">
      <w:pPr>
        <w:pStyle w:val="References"/>
        <w:rPr>
          <w:sz w:val="24"/>
        </w:rPr>
      </w:pPr>
      <w:r>
        <w:rPr>
          <w:noProof/>
        </w:rPr>
        <mc:AlternateContent>
          <mc:Choice Requires="wps">
            <w:drawing>
              <wp:anchor distT="0" distB="0" distL="114300" distR="114300" simplePos="0" relativeHeight="251661312" behindDoc="0" locked="0" layoutInCell="1" allowOverlap="1" wp14:anchorId="126B56E6" wp14:editId="0E8DB084">
                <wp:simplePos x="0" y="0"/>
                <wp:positionH relativeFrom="column">
                  <wp:posOffset>119380</wp:posOffset>
                </wp:positionH>
                <wp:positionV relativeFrom="paragraph">
                  <wp:posOffset>-2159</wp:posOffset>
                </wp:positionV>
                <wp:extent cx="2828290" cy="1402080"/>
                <wp:effectExtent l="0" t="0" r="1016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1402080"/>
                        </a:xfrm>
                        <a:prstGeom prst="rect">
                          <a:avLst/>
                        </a:prstGeom>
                        <a:solidFill>
                          <a:srgbClr val="FFFFFF"/>
                        </a:solidFill>
                        <a:ln w="9525">
                          <a:solidFill>
                            <a:srgbClr val="000000"/>
                          </a:solidFill>
                          <a:miter lim="800000"/>
                          <a:headEnd/>
                          <a:tailEnd/>
                        </a:ln>
                      </wps:spPr>
                      <wps:txbx>
                        <w:txbxContent>
                          <w:p w14:paraId="102880CC" w14:textId="77777777" w:rsidR="00CE4EEC" w:rsidRPr="00CE4EEC" w:rsidRDefault="00CE4EEC" w:rsidP="00CE4EEC">
                            <w:pPr>
                              <w:overflowPunct w:val="0"/>
                              <w:autoSpaceDE w:val="0"/>
                              <w:autoSpaceDN w:val="0"/>
                              <w:adjustRightInd w:val="0"/>
                              <w:spacing w:after="0"/>
                              <w:ind w:left="142" w:right="210"/>
                              <w:textAlignment w:val="baseline"/>
                              <w:rPr>
                                <w:sz w:val="20"/>
                              </w:rPr>
                            </w:pPr>
                            <w:r w:rsidRPr="00CE4EEC">
                              <w:rPr>
                                <w:sz w:val="20"/>
                              </w:rPr>
                              <w:t>In the published version of this decision, some information has been omitted pursuant to Article 17(2) of Council Regulation (EC) No 139/2004 concerning non-disclosure of business secrets and other confidential information. The omissions are shown thus […]. Where possible the information omitted has been replaced by ranges of figures or a general description.</w:t>
                            </w:r>
                          </w:p>
                          <w:p w14:paraId="4B2F2636" w14:textId="08D362CC" w:rsidR="00CE4EEC" w:rsidRDefault="00CE4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pt;margin-top:-.15pt;width:222.7pt;height:1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">
                <v:textbox>
                  <w:txbxContent>
                    <w:p w14:paraId="102880CC" w14:textId="77777777" w:rsidR="00CE4EEC" w:rsidRPr="00CE4EEC" w:rsidRDefault="00CE4EEC" w:rsidP="00CE4EEC">
                      <w:pPr>
                        <w:overflowPunct w:val="0"/>
                        <w:autoSpaceDE w:val="0"/>
                        <w:autoSpaceDN w:val="0"/>
                        <w:adjustRightInd w:val="0"/>
                        <w:spacing w:after="0"/>
                        <w:ind w:left="142" w:right="210"/>
                        <w:textAlignment w:val="baseline"/>
                        <w:rPr>
                          <w:sz w:val="20"/>
                        </w:rPr>
                      </w:pPr>
                      <w:r w:rsidRPr="00CE4EEC">
                        <w:rPr>
                          <w:sz w:val="20"/>
                        </w:rPr>
                        <w:t>In the published version of this decision, some information has been omitted pursuant to Article 17(2) of Council Regulation (EC) No 139/2004 concerning non-disclosure of business secrets and other confidential information. The omissions are shown thus […]. Where possible the information omitted has been replaced by ranges of figures or a general description.</w:t>
                      </w:r>
                    </w:p>
                    <w:p w14:paraId="4B2F2636" w14:textId="08D362CC" w:rsidR="00CE4EEC" w:rsidRDefault="00CE4EEC"/>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E4C05E9" wp14:editId="659DE0AE">
                <wp:simplePos x="0" y="0"/>
                <wp:positionH relativeFrom="column">
                  <wp:posOffset>3240532</wp:posOffset>
                </wp:positionH>
                <wp:positionV relativeFrom="paragraph">
                  <wp:posOffset>156337</wp:posOffset>
                </wp:positionV>
                <wp:extent cx="2106295" cy="268605"/>
                <wp:effectExtent l="0" t="0" r="2730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268605"/>
                        </a:xfrm>
                        <a:prstGeom prst="rect">
                          <a:avLst/>
                        </a:prstGeom>
                        <a:solidFill>
                          <a:srgbClr val="FFFFFF"/>
                        </a:solidFill>
                        <a:ln w="9525">
                          <a:solidFill>
                            <a:srgbClr val="000000"/>
                          </a:solidFill>
                          <a:miter lim="800000"/>
                          <a:headEnd/>
                          <a:tailEnd/>
                        </a:ln>
                      </wps:spPr>
                      <wps:txbx>
                        <w:txbxContent>
                          <w:p w14:paraId="39736091" w14:textId="2F6F25CD" w:rsidR="00413D63" w:rsidRDefault="00413D63" w:rsidP="00413D63">
                            <w:pPr>
                              <w:jc w:val="center"/>
                            </w:pPr>
                            <w:r>
                              <w:t>PUBLIC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5.15pt;margin-top:12.3pt;width:165.8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2vJwIAAE0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">
                <v:textbox>
                  <w:txbxContent>
                    <w:p w14:paraId="39736091" w14:textId="2F6F25CD" w:rsidR="00413D63" w:rsidRDefault="00413D63" w:rsidP="00413D63">
                      <w:pPr>
                        <w:jc w:val="center"/>
                      </w:pPr>
                      <w:r>
                        <w:t>PUBLIC VERSION</w:t>
                      </w:r>
                    </w:p>
                  </w:txbxContent>
                </v:textbox>
              </v:shape>
            </w:pict>
          </mc:Fallback>
        </mc:AlternateContent>
      </w:r>
    </w:p>
    <w:p w14:paraId="5F765AEF" w14:textId="498D44AC" w:rsidR="00D13D3D" w:rsidRDefault="006F64FF" w:rsidP="004E2313">
      <w:pPr>
        <w:pStyle w:val="References"/>
      </w:pPr>
      <w:r>
        <w:br/>
      </w:r>
    </w:p>
    <w:tbl>
      <w:tblPr>
        <w:tblW w:w="9606" w:type="dxa"/>
        <w:tblLook w:val="01E0" w:firstRow="1" w:lastRow="1" w:firstColumn="1" w:lastColumn="1" w:noHBand="0" w:noVBand="0"/>
      </w:tblPr>
      <w:tblGrid>
        <w:gridCol w:w="4803"/>
        <w:gridCol w:w="4803"/>
      </w:tblGrid>
      <w:tr w:rsidR="00A5414B" w14:paraId="5F765AFB" w14:textId="77777777" w:rsidTr="004072DC">
        <w:trPr>
          <w:trHeight w:val="300"/>
        </w:trPr>
        <w:tc>
          <w:tcPr>
            <w:tcW w:w="4803" w:type="dxa"/>
            <w:shd w:val="clear" w:color="auto" w:fill="auto"/>
          </w:tcPr>
          <w:p w14:paraId="5F765AF9" w14:textId="66211237" w:rsidR="00A5414B" w:rsidRDefault="00A5414B" w:rsidP="00FD45D5">
            <w:pPr>
              <w:jc w:val="left"/>
            </w:pPr>
          </w:p>
        </w:tc>
        <w:tc>
          <w:tcPr>
            <w:tcW w:w="4803" w:type="dxa"/>
            <w:shd w:val="clear" w:color="auto" w:fill="auto"/>
          </w:tcPr>
          <w:p w14:paraId="38BC7E23" w14:textId="77777777" w:rsidR="00A5414B" w:rsidRDefault="004B2CA2" w:rsidP="004B2CA2">
            <w:pPr>
              <w:spacing w:after="120"/>
              <w:ind w:left="301"/>
              <w:jc w:val="left"/>
              <w:rPr>
                <w:i/>
                <w:highlight w:val="yellow"/>
              </w:rPr>
            </w:pPr>
            <w:r>
              <w:rPr>
                <w:noProof/>
              </w:rPr>
              <mc:AlternateContent>
                <mc:Choice Requires="wps">
                  <w:drawing>
                    <wp:inline distT="0" distB="0" distL="0" distR="0" wp14:anchorId="5FBB13B6" wp14:editId="26F01C2A">
                      <wp:extent cx="2106295" cy="322580"/>
                      <wp:effectExtent l="0" t="0" r="27305" b="2032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3225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530B71" w14:textId="77777777" w:rsidR="004B2CA2" w:rsidRDefault="004B2CA2" w:rsidP="004B2CA2">
                                  <w:pPr>
                                    <w:spacing w:after="0"/>
                                    <w:jc w:val="center"/>
                                  </w:pPr>
                                  <w:r>
                                    <w:t>MERGER PROCEDURE</w:t>
                                  </w:r>
                                </w:p>
                              </w:txbxContent>
                            </wps:txbx>
                            <wps:bodyPr rot="0" vert="horz" wrap="square" lIns="0" tIns="0" rIns="0" bIns="0" anchor="t" anchorCtr="0" upright="1">
                              <a:noAutofit/>
                            </wps:bodyPr>
                          </wps:wsp>
                        </a:graphicData>
                      </a:graphic>
                    </wp:inline>
                  </w:drawing>
                </mc:Choice>
                <mc:Fallback>
                  <w:pict>
                    <v:rect id="Rectangle 2" o:spid="_x0000_s1028" style="width:165.85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">
                      <v:textbox inset="0,0,0,0">
                        <w:txbxContent>
                          <w:p w14:paraId="78530B71" w14:textId="77777777" w:rsidR="004B2CA2" w:rsidRDefault="004B2CA2" w:rsidP="004B2CA2">
                            <w:pPr>
                              <w:spacing w:after="0"/>
                              <w:jc w:val="center"/>
                            </w:pPr>
                            <w:r>
                              <w:t>MERGER PROCEDURE</w:t>
                            </w:r>
                          </w:p>
                        </w:txbxContent>
                      </v:textbox>
                      <w10:anchorlock/>
                    </v:rect>
                  </w:pict>
                </mc:Fallback>
              </mc:AlternateContent>
            </w:r>
            <w:r w:rsidR="006F64FF">
              <w:rPr>
                <w:b/>
                <w:u w:val="single"/>
              </w:rPr>
              <w:br/>
            </w:r>
            <w:r w:rsidR="006F64FF">
              <w:rPr>
                <w:b/>
                <w:u w:val="single"/>
              </w:rPr>
              <w:br/>
            </w:r>
          </w:p>
          <w:p w14:paraId="323FD21E" w14:textId="77777777" w:rsidR="00914062" w:rsidRDefault="00914062" w:rsidP="004B2CA2">
            <w:pPr>
              <w:spacing w:after="120"/>
              <w:ind w:left="301"/>
              <w:jc w:val="left"/>
              <w:rPr>
                <w:i/>
                <w:highlight w:val="yellow"/>
              </w:rPr>
            </w:pPr>
          </w:p>
          <w:p w14:paraId="5F765AFA" w14:textId="24EAD35B" w:rsidR="00914062" w:rsidRPr="00573800" w:rsidRDefault="00914062" w:rsidP="004B2CA2">
            <w:pPr>
              <w:spacing w:after="120"/>
              <w:ind w:left="301"/>
              <w:jc w:val="left"/>
              <w:rPr>
                <w:i/>
                <w:highlight w:val="yellow"/>
              </w:rPr>
            </w:pPr>
          </w:p>
        </w:tc>
      </w:tr>
      <w:tr w:rsidR="004072DC" w14:paraId="5F765AFE" w14:textId="77777777" w:rsidTr="001819C7">
        <w:trPr>
          <w:trHeight w:val="780"/>
        </w:trPr>
        <w:tc>
          <w:tcPr>
            <w:tcW w:w="4803" w:type="dxa"/>
            <w:shd w:val="clear" w:color="auto" w:fill="auto"/>
          </w:tcPr>
          <w:p w14:paraId="5F765AFC" w14:textId="57238E9E" w:rsidR="004072DC" w:rsidRPr="00573800" w:rsidRDefault="004072DC" w:rsidP="00FD45D5">
            <w:pPr>
              <w:jc w:val="left"/>
              <w:rPr>
                <w:b/>
                <w:u w:val="single"/>
              </w:rPr>
            </w:pPr>
          </w:p>
        </w:tc>
        <w:tc>
          <w:tcPr>
            <w:tcW w:w="4803" w:type="dxa"/>
            <w:shd w:val="clear" w:color="auto" w:fill="auto"/>
          </w:tcPr>
          <w:p w14:paraId="5F765AFD" w14:textId="556C94BA" w:rsidR="004072DC" w:rsidRPr="00914062" w:rsidRDefault="004636B0" w:rsidP="00914062">
            <w:pPr>
              <w:ind w:left="300"/>
              <w:jc w:val="left"/>
              <w:rPr>
                <w:u w:val="single"/>
              </w:rPr>
            </w:pPr>
            <w:r w:rsidRPr="00914062">
              <w:rPr>
                <w:u w:val="single"/>
              </w:rPr>
              <w:t>To the notifying party:</w:t>
            </w:r>
          </w:p>
        </w:tc>
      </w:tr>
    </w:tbl>
    <w:p w14:paraId="5F765AFF" w14:textId="4FBA1C7E" w:rsidR="00D13D3D" w:rsidRPr="009A5295" w:rsidRDefault="008D7F80" w:rsidP="00FD45D5">
      <w:pPr>
        <w:tabs>
          <w:tab w:val="left" w:pos="510"/>
          <w:tab w:val="left" w:pos="964"/>
          <w:tab w:val="left" w:pos="5273"/>
        </w:tabs>
        <w:suppressAutoHyphens/>
        <w:spacing w:before="240"/>
        <w:rPr>
          <w:spacing w:val="-3"/>
        </w:rPr>
      </w:pPr>
      <w:r>
        <w:rPr>
          <w:spacing w:val="-3"/>
        </w:rPr>
        <w:t>Dear Sir</w:t>
      </w:r>
      <w:r w:rsidR="00D13D3D" w:rsidRPr="009A5295">
        <w:rPr>
          <w:spacing w:val="-3"/>
        </w:rPr>
        <w:t>,</w:t>
      </w:r>
    </w:p>
    <w:p w14:paraId="5F765B00" w14:textId="3CC471E9" w:rsidR="00202AF3" w:rsidRDefault="00D13D3D" w:rsidP="00202AF3">
      <w:pPr>
        <w:pStyle w:val="Subject"/>
        <w:spacing w:after="0"/>
      </w:pPr>
      <w:r>
        <w:rPr>
          <w:u w:val="single"/>
        </w:rPr>
        <w:t>Subject</w:t>
      </w:r>
      <w:r>
        <w:t>:</w:t>
      </w:r>
      <w:r>
        <w:tab/>
      </w:r>
      <w:r w:rsidR="002C04A3">
        <w:t>Case M.</w:t>
      </w:r>
      <w:r w:rsidR="00D9693C">
        <w:t>8231</w:t>
      </w:r>
      <w:r w:rsidR="00202AF3" w:rsidRPr="00202AF3">
        <w:t xml:space="preserve"> </w:t>
      </w:r>
      <w:r w:rsidR="002C18E7">
        <w:t>-</w:t>
      </w:r>
      <w:r w:rsidR="00202AF3" w:rsidRPr="00202AF3">
        <w:t xml:space="preserve"> </w:t>
      </w:r>
      <w:proofErr w:type="spellStart"/>
      <w:r w:rsidR="00D9693C">
        <w:t>Kuoni</w:t>
      </w:r>
      <w:proofErr w:type="spellEnd"/>
      <w:r w:rsidR="00D9693C">
        <w:t xml:space="preserve"> Travel Holding / MTS Globe</w:t>
      </w:r>
      <w:r w:rsidR="00202AF3" w:rsidRPr="00202AF3">
        <w:t xml:space="preserve"> </w:t>
      </w:r>
    </w:p>
    <w:p w14:paraId="5F765B01" w14:textId="77777777" w:rsidR="00D13D3D" w:rsidRDefault="00474D2E" w:rsidP="00202AF3">
      <w:pPr>
        <w:pStyle w:val="Subject"/>
        <w:ind w:firstLine="0"/>
      </w:pPr>
      <w:r>
        <w:t xml:space="preserve">Commission decision </w:t>
      </w:r>
      <w:r w:rsidR="00D13D3D">
        <w:t xml:space="preserve">pursuant to Article </w:t>
      </w:r>
      <w:r w:rsidR="004A4EB9" w:rsidRPr="004A4EB9">
        <w:t>6(1</w:t>
      </w:r>
      <w:proofErr w:type="gramStart"/>
      <w:r w:rsidR="004A4EB9" w:rsidRPr="004A4EB9">
        <w:t>)(</w:t>
      </w:r>
      <w:proofErr w:type="gramEnd"/>
      <w:r w:rsidR="004A4EB9" w:rsidRPr="004A4EB9">
        <w:t xml:space="preserve">b) </w:t>
      </w:r>
      <w:r w:rsidR="00D13D3D">
        <w:t>of Council Regulation No </w:t>
      </w:r>
      <w:r w:rsidR="00035422">
        <w:t>139</w:t>
      </w:r>
      <w:r w:rsidR="00035422" w:rsidRPr="000D5C08">
        <w:t>/2004</w:t>
      </w:r>
      <w:r w:rsidR="00D13D3D" w:rsidRPr="000D5C08">
        <w:rPr>
          <w:rStyle w:val="FootnoteReference"/>
          <w:spacing w:val="-3"/>
        </w:rPr>
        <w:footnoteReference w:id="2"/>
      </w:r>
      <w:r w:rsidR="000D5C08" w:rsidRPr="000D5C08">
        <w:t xml:space="preserve"> </w:t>
      </w:r>
      <w:r w:rsidR="009118E7" w:rsidRPr="000D5C08">
        <w:rPr>
          <w:spacing w:val="-3"/>
        </w:rPr>
        <w:t>and Article 57 of the Agreement on the European Economic Area</w:t>
      </w:r>
      <w:r w:rsidR="009118E7" w:rsidRPr="000D5C08">
        <w:rPr>
          <w:rStyle w:val="FootnoteReference"/>
          <w:spacing w:val="-3"/>
        </w:rPr>
        <w:footnoteReference w:id="3"/>
      </w:r>
    </w:p>
    <w:p w14:paraId="3E0D1944" w14:textId="24CE5896" w:rsidR="00D9693C" w:rsidRDefault="00D9693C" w:rsidP="00F43458">
      <w:pPr>
        <w:pStyle w:val="ListNumber"/>
        <w:numPr>
          <w:ilvl w:val="0"/>
          <w:numId w:val="2"/>
        </w:numPr>
        <w:tabs>
          <w:tab w:val="num" w:pos="709"/>
        </w:tabs>
        <w:ind w:left="709" w:hanging="709"/>
      </w:pPr>
      <w:r>
        <w:t xml:space="preserve">On 12 October 2016, the Commission received a notification of a proposed concentration pursuant to Article 4 of Council Regulation (EC) No 139/2004 by which </w:t>
      </w:r>
      <w:proofErr w:type="spellStart"/>
      <w:r>
        <w:t>Kuoni</w:t>
      </w:r>
      <w:proofErr w:type="spellEnd"/>
      <w:r>
        <w:t xml:space="preserve"> Travel Holding Ltd. ("</w:t>
      </w:r>
      <w:proofErr w:type="spellStart"/>
      <w:r>
        <w:t>Kuoni</w:t>
      </w:r>
      <w:proofErr w:type="spellEnd"/>
      <w:r>
        <w:t>", Switzerland), controlled by EQT VII, belonging to the EQT group of private investments funds, acquires within the meaning of Article 3(1)(b) of the Merger Regulation sole control over M</w:t>
      </w:r>
      <w:r w:rsidR="00187A98">
        <w:t xml:space="preserve">editerranean </w:t>
      </w:r>
      <w:r>
        <w:lastRenderedPageBreak/>
        <w:t>T</w:t>
      </w:r>
      <w:r w:rsidR="00187A98">
        <w:t xml:space="preserve">ravel </w:t>
      </w:r>
      <w:r>
        <w:t>S</w:t>
      </w:r>
      <w:r w:rsidR="00187A98">
        <w:t>ervice</w:t>
      </w:r>
      <w:r>
        <w:t xml:space="preserve"> </w:t>
      </w:r>
      <w:r w:rsidR="00187A98">
        <w:t>("</w:t>
      </w:r>
      <w:r>
        <w:t>MTS</w:t>
      </w:r>
      <w:r w:rsidR="00187A98">
        <w:t>")</w:t>
      </w:r>
      <w:r>
        <w:t xml:space="preserve"> Globe of Spain, by way of purchase of shares</w:t>
      </w:r>
      <w:r w:rsidR="00CF5307">
        <w:rPr>
          <w:rStyle w:val="FootnoteReference"/>
        </w:rPr>
        <w:footnoteReference w:id="4"/>
      </w:r>
      <w:r>
        <w:t xml:space="preserve"> (the "Transaction"). </w:t>
      </w:r>
      <w:proofErr w:type="spellStart"/>
      <w:r>
        <w:rPr>
          <w:rFonts w:eastAsia="Calibri"/>
        </w:rPr>
        <w:t>Kuoni</w:t>
      </w:r>
      <w:proofErr w:type="spellEnd"/>
      <w:r w:rsidRPr="00D12D9F">
        <w:rPr>
          <w:rFonts w:eastAsia="Calibri"/>
        </w:rPr>
        <w:t xml:space="preserve"> </w:t>
      </w:r>
      <w:r>
        <w:rPr>
          <w:rFonts w:eastAsia="Calibri"/>
        </w:rPr>
        <w:t xml:space="preserve">and MTS Globe </w:t>
      </w:r>
      <w:r w:rsidRPr="00D12D9F">
        <w:rPr>
          <w:rFonts w:eastAsia="Calibri"/>
        </w:rPr>
        <w:t>are collectively referred to as "</w:t>
      </w:r>
      <w:r>
        <w:rPr>
          <w:rFonts w:eastAsia="Calibri"/>
        </w:rPr>
        <w:t xml:space="preserve">the </w:t>
      </w:r>
      <w:r w:rsidRPr="00D12D9F">
        <w:rPr>
          <w:rFonts w:eastAsia="Calibri"/>
        </w:rPr>
        <w:t>Parties".</w:t>
      </w:r>
      <w:r>
        <w:rPr>
          <w:rFonts w:eastAsia="Calibri"/>
        </w:rPr>
        <w:t xml:space="preserve"> </w:t>
      </w:r>
    </w:p>
    <w:p w14:paraId="5F765B03" w14:textId="77777777" w:rsidR="00626664" w:rsidRDefault="00626664" w:rsidP="00211121">
      <w:pPr>
        <w:pStyle w:val="Heading1"/>
      </w:pPr>
      <w:r w:rsidRPr="00C9265A">
        <w:t>THE PARTIES</w:t>
      </w:r>
      <w:r w:rsidR="00202AF3">
        <w:t xml:space="preserve"> </w:t>
      </w:r>
    </w:p>
    <w:p w14:paraId="4EA76A91" w14:textId="676DB84C" w:rsidR="00D9693C" w:rsidRDefault="00D9693C" w:rsidP="00D9693C">
      <w:pPr>
        <w:pStyle w:val="ListNumber"/>
        <w:numPr>
          <w:ilvl w:val="0"/>
          <w:numId w:val="2"/>
        </w:numPr>
        <w:tabs>
          <w:tab w:val="num" w:pos="709"/>
        </w:tabs>
        <w:ind w:left="709" w:hanging="709"/>
      </w:pPr>
      <w:proofErr w:type="spellStart"/>
      <w:r w:rsidRPr="00D9693C">
        <w:t>Kuoni</w:t>
      </w:r>
      <w:proofErr w:type="spellEnd"/>
      <w:r w:rsidRPr="00D9693C">
        <w:t xml:space="preserve"> is a service provider to the global travel industry and governments, mainly active in three areas</w:t>
      </w:r>
      <w:r>
        <w:t xml:space="preserve">: </w:t>
      </w:r>
    </w:p>
    <w:p w14:paraId="1B2C431E" w14:textId="2D2E1D4F" w:rsidR="00D9693C" w:rsidRPr="00D9693C" w:rsidRDefault="00D9693C" w:rsidP="00D9693C">
      <w:pPr>
        <w:pStyle w:val="NumPar1"/>
        <w:numPr>
          <w:ilvl w:val="0"/>
          <w:numId w:val="24"/>
        </w:numPr>
        <w:rPr>
          <w:rFonts w:ascii="Times New Roman" w:hAnsi="Times New Roman"/>
          <w:lang w:eastAsia="en-US"/>
        </w:rPr>
      </w:pPr>
      <w:r w:rsidRPr="00D9693C">
        <w:rPr>
          <w:rFonts w:ascii="Times New Roman" w:hAnsi="Times New Roman"/>
          <w:lang w:eastAsia="en-US"/>
        </w:rPr>
        <w:t xml:space="preserve">Global Travel Distribution ("GTD"), whereby </w:t>
      </w:r>
      <w:proofErr w:type="spellStart"/>
      <w:r w:rsidRPr="00D9693C">
        <w:rPr>
          <w:rFonts w:ascii="Times New Roman" w:hAnsi="Times New Roman"/>
          <w:lang w:eastAsia="en-US"/>
        </w:rPr>
        <w:t>Kuoni</w:t>
      </w:r>
      <w:proofErr w:type="spellEnd"/>
      <w:r w:rsidRPr="00D9693C">
        <w:rPr>
          <w:rFonts w:ascii="Times New Roman" w:hAnsi="Times New Roman"/>
          <w:lang w:eastAsia="en-US"/>
        </w:rPr>
        <w:t xml:space="preserve"> is active as a </w:t>
      </w:r>
      <w:r w:rsidR="001D7986">
        <w:rPr>
          <w:rFonts w:ascii="Times New Roman" w:hAnsi="Times New Roman"/>
          <w:lang w:eastAsia="en-US"/>
        </w:rPr>
        <w:t>business to business ("</w:t>
      </w:r>
      <w:r w:rsidRPr="00D9693C">
        <w:rPr>
          <w:rFonts w:ascii="Times New Roman" w:hAnsi="Times New Roman"/>
          <w:lang w:eastAsia="en-US"/>
        </w:rPr>
        <w:t>B2B</w:t>
      </w:r>
      <w:r w:rsidR="001D7986" w:rsidRPr="004D25F2">
        <w:rPr>
          <w:rFonts w:ascii="Times New Roman" w:hAnsi="Times New Roman"/>
          <w:lang w:eastAsia="en-US"/>
        </w:rPr>
        <w:t>")</w:t>
      </w:r>
      <w:r w:rsidRPr="00D9693C">
        <w:rPr>
          <w:rFonts w:ascii="Times New Roman" w:hAnsi="Times New Roman"/>
          <w:lang w:eastAsia="en-US"/>
        </w:rPr>
        <w:t xml:space="preserve"> wholesaler and service provider of hotel accommodation and land services to travel agents, tour oper</w:t>
      </w:r>
      <w:r w:rsidR="008D04F3">
        <w:rPr>
          <w:rFonts w:ascii="Times New Roman" w:hAnsi="Times New Roman"/>
          <w:lang w:eastAsia="en-US"/>
        </w:rPr>
        <w:t>ators and other intermediaries;</w:t>
      </w:r>
    </w:p>
    <w:p w14:paraId="0C179A16" w14:textId="2355EFF3" w:rsidR="00D9693C" w:rsidRPr="00D9693C" w:rsidRDefault="00D9693C" w:rsidP="00D9693C">
      <w:pPr>
        <w:pStyle w:val="NumPar1"/>
        <w:numPr>
          <w:ilvl w:val="0"/>
          <w:numId w:val="24"/>
        </w:numPr>
        <w:rPr>
          <w:rFonts w:ascii="Times New Roman" w:hAnsi="Times New Roman"/>
          <w:lang w:eastAsia="en-US"/>
        </w:rPr>
      </w:pPr>
      <w:r w:rsidRPr="00D9693C">
        <w:rPr>
          <w:rFonts w:ascii="Times New Roman" w:hAnsi="Times New Roman"/>
          <w:lang w:eastAsia="en-US"/>
        </w:rPr>
        <w:t xml:space="preserve">Global Travel Services ("GTS"), whereby </w:t>
      </w:r>
      <w:proofErr w:type="spellStart"/>
      <w:r w:rsidRPr="00D9693C">
        <w:rPr>
          <w:rFonts w:ascii="Times New Roman" w:hAnsi="Times New Roman"/>
          <w:lang w:eastAsia="en-US"/>
        </w:rPr>
        <w:t>Kuoni</w:t>
      </w:r>
      <w:proofErr w:type="spellEnd"/>
      <w:r w:rsidRPr="00D9693C">
        <w:rPr>
          <w:rFonts w:ascii="Times New Roman" w:hAnsi="Times New Roman"/>
          <w:lang w:eastAsia="en-US"/>
        </w:rPr>
        <w:t xml:space="preserve"> provides </w:t>
      </w:r>
      <w:r w:rsidR="00AA068B">
        <w:rPr>
          <w:rFonts w:ascii="Times New Roman" w:hAnsi="Times New Roman"/>
          <w:lang w:eastAsia="en-US"/>
        </w:rPr>
        <w:t>group tour</w:t>
      </w:r>
      <w:r w:rsidRPr="00D9693C">
        <w:rPr>
          <w:rFonts w:ascii="Times New Roman" w:hAnsi="Times New Roman"/>
          <w:lang w:eastAsia="en-US"/>
        </w:rPr>
        <w:t xml:space="preserve"> packages </w:t>
      </w:r>
      <w:r w:rsidR="00AA068B">
        <w:rPr>
          <w:rFonts w:ascii="Times New Roman" w:hAnsi="Times New Roman"/>
          <w:lang w:eastAsia="en-US"/>
        </w:rPr>
        <w:t xml:space="preserve">including </w:t>
      </w:r>
      <w:r w:rsidRPr="00D9693C">
        <w:rPr>
          <w:rFonts w:ascii="Times New Roman" w:hAnsi="Times New Roman"/>
          <w:lang w:eastAsia="en-US"/>
        </w:rPr>
        <w:t xml:space="preserve">hotels and </w:t>
      </w:r>
      <w:r w:rsidR="00AA068B">
        <w:rPr>
          <w:rFonts w:ascii="Times New Roman" w:hAnsi="Times New Roman"/>
          <w:lang w:eastAsia="en-US"/>
        </w:rPr>
        <w:t xml:space="preserve">services such as restaurant, sightseeing and expert guides as well as </w:t>
      </w:r>
      <w:r w:rsidRPr="00D9693C">
        <w:rPr>
          <w:rFonts w:ascii="Times New Roman" w:hAnsi="Times New Roman"/>
          <w:lang w:eastAsia="en-US"/>
        </w:rPr>
        <w:t xml:space="preserve"> local destination </w:t>
      </w:r>
      <w:r w:rsidR="00CA310F">
        <w:rPr>
          <w:rFonts w:ascii="Times New Roman" w:hAnsi="Times New Roman"/>
          <w:lang w:eastAsia="en-US"/>
        </w:rPr>
        <w:t xml:space="preserve">management </w:t>
      </w:r>
      <w:r w:rsidRPr="00D9693C">
        <w:rPr>
          <w:rFonts w:ascii="Times New Roman" w:hAnsi="Times New Roman"/>
          <w:lang w:eastAsia="en-US"/>
        </w:rPr>
        <w:t>services</w:t>
      </w:r>
      <w:r w:rsidR="00AA068B">
        <w:rPr>
          <w:rFonts w:ascii="Times New Roman" w:hAnsi="Times New Roman"/>
          <w:lang w:eastAsia="en-US"/>
        </w:rPr>
        <w:t xml:space="preserve"> (</w:t>
      </w:r>
      <w:proofErr w:type="spellStart"/>
      <w:r w:rsidR="00AA068B">
        <w:rPr>
          <w:rFonts w:ascii="Times New Roman" w:hAnsi="Times New Roman"/>
          <w:lang w:eastAsia="en-US"/>
        </w:rPr>
        <w:t>e.g</w:t>
      </w:r>
      <w:proofErr w:type="spellEnd"/>
      <w:r w:rsidR="00AA068B">
        <w:rPr>
          <w:rFonts w:ascii="Times New Roman" w:hAnsi="Times New Roman"/>
          <w:lang w:eastAsia="en-US"/>
        </w:rPr>
        <w:t xml:space="preserve"> safari experiences or desert overnight stays)</w:t>
      </w:r>
      <w:r w:rsidRPr="00D9693C">
        <w:rPr>
          <w:rFonts w:ascii="Times New Roman" w:hAnsi="Times New Roman"/>
          <w:lang w:eastAsia="en-US"/>
        </w:rPr>
        <w:t xml:space="preserve">  to to</w:t>
      </w:r>
      <w:r w:rsidR="008D04F3">
        <w:rPr>
          <w:rFonts w:ascii="Times New Roman" w:hAnsi="Times New Roman"/>
          <w:lang w:eastAsia="en-US"/>
        </w:rPr>
        <w:t xml:space="preserve">ur operators and </w:t>
      </w:r>
      <w:r w:rsidR="00AA068B">
        <w:rPr>
          <w:rFonts w:ascii="Times New Roman" w:hAnsi="Times New Roman"/>
          <w:lang w:eastAsia="en-US"/>
        </w:rPr>
        <w:t xml:space="preserve">(online) </w:t>
      </w:r>
      <w:r w:rsidR="008D04F3">
        <w:rPr>
          <w:rFonts w:ascii="Times New Roman" w:hAnsi="Times New Roman"/>
          <w:lang w:eastAsia="en-US"/>
        </w:rPr>
        <w:t>travel agents;</w:t>
      </w:r>
    </w:p>
    <w:p w14:paraId="007EFCB6" w14:textId="7C28EDDD" w:rsidR="00D9693C" w:rsidRPr="00D9693C" w:rsidRDefault="00D9693C" w:rsidP="00D9693C">
      <w:pPr>
        <w:pStyle w:val="NumPar1"/>
        <w:numPr>
          <w:ilvl w:val="0"/>
          <w:numId w:val="24"/>
        </w:numPr>
        <w:rPr>
          <w:rFonts w:ascii="Times New Roman" w:hAnsi="Times New Roman"/>
          <w:lang w:eastAsia="en-US"/>
        </w:rPr>
      </w:pPr>
      <w:r w:rsidRPr="00D9693C">
        <w:rPr>
          <w:rFonts w:ascii="Times New Roman" w:hAnsi="Times New Roman"/>
          <w:lang w:eastAsia="en-US"/>
        </w:rPr>
        <w:t>V</w:t>
      </w:r>
      <w:r>
        <w:rPr>
          <w:rFonts w:ascii="Times New Roman" w:hAnsi="Times New Roman"/>
          <w:lang w:eastAsia="en-US"/>
        </w:rPr>
        <w:t xml:space="preserve">isa </w:t>
      </w:r>
      <w:r w:rsidRPr="00D9693C">
        <w:rPr>
          <w:rFonts w:ascii="Times New Roman" w:hAnsi="Times New Roman"/>
          <w:lang w:eastAsia="en-US"/>
        </w:rPr>
        <w:t>F</w:t>
      </w:r>
      <w:r>
        <w:rPr>
          <w:rFonts w:ascii="Times New Roman" w:hAnsi="Times New Roman"/>
          <w:lang w:eastAsia="en-US"/>
        </w:rPr>
        <w:t>acilitation Service</w:t>
      </w:r>
      <w:r w:rsidR="00960D7C">
        <w:rPr>
          <w:rFonts w:ascii="Times New Roman" w:hAnsi="Times New Roman"/>
          <w:lang w:eastAsia="en-US"/>
        </w:rPr>
        <w:t>s</w:t>
      </w:r>
      <w:r>
        <w:rPr>
          <w:rFonts w:ascii="Times New Roman" w:hAnsi="Times New Roman"/>
          <w:lang w:eastAsia="en-US"/>
        </w:rPr>
        <w:t xml:space="preserve"> ("VFS") </w:t>
      </w:r>
      <w:r w:rsidRPr="00D9693C">
        <w:rPr>
          <w:rFonts w:ascii="Times New Roman" w:hAnsi="Times New Roman"/>
          <w:lang w:eastAsia="en-US"/>
        </w:rPr>
        <w:t xml:space="preserve">Global, whereby </w:t>
      </w:r>
      <w:proofErr w:type="spellStart"/>
      <w:r w:rsidRPr="00D9693C">
        <w:rPr>
          <w:rFonts w:ascii="Times New Roman" w:hAnsi="Times New Roman"/>
          <w:lang w:eastAsia="en-US"/>
        </w:rPr>
        <w:t>Kuoni</w:t>
      </w:r>
      <w:proofErr w:type="spellEnd"/>
      <w:r w:rsidRPr="00D9693C">
        <w:rPr>
          <w:rFonts w:ascii="Times New Roman" w:hAnsi="Times New Roman"/>
          <w:lang w:eastAsia="en-US"/>
        </w:rPr>
        <w:t xml:space="preserve"> provides visa application outsourcing services to governments through the operation of visa application centres.</w:t>
      </w:r>
      <w:r>
        <w:rPr>
          <w:rStyle w:val="FootnoteReference"/>
          <w:lang w:eastAsia="en-US"/>
        </w:rPr>
        <w:footnoteReference w:id="5"/>
      </w:r>
    </w:p>
    <w:p w14:paraId="219B7173" w14:textId="11C9CB46" w:rsidR="00D9693C" w:rsidRPr="00D9693C" w:rsidRDefault="00D9693C" w:rsidP="00D9693C">
      <w:pPr>
        <w:pStyle w:val="ListNumber"/>
        <w:numPr>
          <w:ilvl w:val="0"/>
          <w:numId w:val="2"/>
        </w:numPr>
        <w:tabs>
          <w:tab w:val="num" w:pos="709"/>
        </w:tabs>
        <w:ind w:left="709" w:hanging="709"/>
      </w:pPr>
      <w:proofErr w:type="spellStart"/>
      <w:r w:rsidRPr="00D9693C">
        <w:t>Kuoni</w:t>
      </w:r>
      <w:proofErr w:type="spellEnd"/>
      <w:r w:rsidRPr="00D9693C">
        <w:t>, through GTD</w:t>
      </w:r>
      <w:r w:rsidR="00680FD0">
        <w:rPr>
          <w:rStyle w:val="FootnoteReference"/>
        </w:rPr>
        <w:footnoteReference w:id="6"/>
      </w:r>
      <w:r w:rsidRPr="00D9693C">
        <w:t xml:space="preserve"> and GTS</w:t>
      </w:r>
      <w:r w:rsidR="00D9344D">
        <w:t>,</w:t>
      </w:r>
      <w:r w:rsidRPr="00D9693C">
        <w:t xml:space="preserve"> is a global intermediary of travel services, including hotel accommodation services, to travel agents ("TA</w:t>
      </w:r>
      <w:r w:rsidR="00D9344D">
        <w:t>s</w:t>
      </w:r>
      <w:r w:rsidRPr="00D9693C">
        <w:t>"), online travel agents ("OTAs")</w:t>
      </w:r>
      <w:r w:rsidR="00773558">
        <w:t>,</w:t>
      </w:r>
      <w:r w:rsidRPr="00D9693C">
        <w:t xml:space="preserve"> tour operators ("TO</w:t>
      </w:r>
      <w:r w:rsidR="00D9344D">
        <w:t>s</w:t>
      </w:r>
      <w:r w:rsidRPr="00D9693C">
        <w:t>")</w:t>
      </w:r>
      <w:r w:rsidR="00773558">
        <w:t>,</w:t>
      </w:r>
      <w:r w:rsidRPr="00D9693C">
        <w:t xml:space="preserve"> and other intermediaries.</w:t>
      </w:r>
    </w:p>
    <w:p w14:paraId="7BA0C859" w14:textId="7BF60E96" w:rsidR="00456C31" w:rsidRDefault="00456C31" w:rsidP="0044042D">
      <w:pPr>
        <w:pStyle w:val="ListNumber"/>
        <w:numPr>
          <w:ilvl w:val="0"/>
          <w:numId w:val="2"/>
        </w:numPr>
        <w:tabs>
          <w:tab w:val="num" w:pos="709"/>
        </w:tabs>
        <w:ind w:left="709" w:hanging="709"/>
      </w:pPr>
      <w:r w:rsidRPr="00456C31">
        <w:t xml:space="preserve">MTS Globe consists of </w:t>
      </w:r>
      <w:proofErr w:type="spellStart"/>
      <w:r w:rsidRPr="00456C31">
        <w:t>Archorix</w:t>
      </w:r>
      <w:proofErr w:type="spellEnd"/>
      <w:r w:rsidRPr="00456C31">
        <w:t xml:space="preserve"> Holding AG ("AHAG"), OTS Open Travel S</w:t>
      </w:r>
      <w:r w:rsidR="00993512">
        <w:t>e</w:t>
      </w:r>
      <w:r w:rsidRPr="00456C31">
        <w:t>rvices Holding Malta Ltd. ("OTS Malta") and OTS Service and Holding Switzerland Ltd. ("OTS CH").</w:t>
      </w:r>
    </w:p>
    <w:p w14:paraId="5ED35C85" w14:textId="3B0C8E8B" w:rsidR="009724F3" w:rsidRDefault="00D9693C" w:rsidP="00D9693C">
      <w:pPr>
        <w:pStyle w:val="ListNumber"/>
        <w:numPr>
          <w:ilvl w:val="0"/>
          <w:numId w:val="2"/>
        </w:numPr>
        <w:tabs>
          <w:tab w:val="num" w:pos="709"/>
        </w:tabs>
        <w:ind w:left="709" w:hanging="709"/>
      </w:pPr>
      <w:r w:rsidRPr="00D9693C">
        <w:t>MTS Globe</w:t>
      </w:r>
      <w:r w:rsidR="009724F3">
        <w:t xml:space="preserve"> is a service provider to the travel industry focusing on beach destinations in the Mediterranean area. More specifically, MTS Globe focuses on two core activities: </w:t>
      </w:r>
    </w:p>
    <w:p w14:paraId="053DB8C2" w14:textId="1F69F76B" w:rsidR="009724F3" w:rsidRDefault="009724F3" w:rsidP="00B72327">
      <w:pPr>
        <w:pStyle w:val="ListNumber"/>
        <w:numPr>
          <w:ilvl w:val="0"/>
          <w:numId w:val="43"/>
        </w:numPr>
      </w:pPr>
      <w:r>
        <w:t xml:space="preserve">Destination management services </w:t>
      </w:r>
      <w:r w:rsidR="00D9693C" w:rsidRPr="00D9693C">
        <w:t xml:space="preserve">including tour guiding, bus &amp; shuttle transfers, excursions, car rentals and round trips </w:t>
      </w:r>
      <w:r>
        <w:t xml:space="preserve">(operating in 12 countries, mainly around the Mediterranean) provided at the place of destination to end customers through </w:t>
      </w:r>
      <w:r w:rsidR="00D9693C" w:rsidRPr="00D9693C">
        <w:t xml:space="preserve"> TOs, and OTAs</w:t>
      </w:r>
      <w:r w:rsidR="004F60CE">
        <w:t>;</w:t>
      </w:r>
      <w:r w:rsidR="00D9693C" w:rsidRPr="00D9693C">
        <w:t xml:space="preserve"> </w:t>
      </w:r>
    </w:p>
    <w:p w14:paraId="5D28016B" w14:textId="1452533C" w:rsidR="00D9693C" w:rsidRPr="00D9693C" w:rsidRDefault="009724F3" w:rsidP="00B72327">
      <w:pPr>
        <w:pStyle w:val="ListNumber"/>
        <w:numPr>
          <w:ilvl w:val="0"/>
          <w:numId w:val="43"/>
        </w:numPr>
      </w:pPr>
      <w:r>
        <w:t>Intermediation of hotel accommodation primarily to TOs and OTAs, t</w:t>
      </w:r>
      <w:r w:rsidR="00D9693C" w:rsidRPr="00D9693C">
        <w:t>hrough its O</w:t>
      </w:r>
      <w:r w:rsidR="003D4C4B">
        <w:t xml:space="preserve">pen </w:t>
      </w:r>
      <w:r w:rsidR="00D9693C" w:rsidRPr="00D9693C">
        <w:t>T</w:t>
      </w:r>
      <w:r w:rsidR="003D4C4B">
        <w:t xml:space="preserve">ravel </w:t>
      </w:r>
      <w:r w:rsidR="00D9693C" w:rsidRPr="00D9693C">
        <w:t>S</w:t>
      </w:r>
      <w:r w:rsidR="003D4C4B">
        <w:t>ervice</w:t>
      </w:r>
      <w:r w:rsidR="00D9693C" w:rsidRPr="00D9693C">
        <w:t xml:space="preserve"> division ("MTS OTS</w:t>
      </w:r>
      <w:r w:rsidR="00EB7F29">
        <w:t>"</w:t>
      </w:r>
      <w:r w:rsidR="00D9693C" w:rsidRPr="00D9693C">
        <w:t>)</w:t>
      </w:r>
      <w:r>
        <w:t>.</w:t>
      </w:r>
      <w:r w:rsidR="00D9693C" w:rsidRPr="00D9693C">
        <w:t xml:space="preserve">  </w:t>
      </w:r>
    </w:p>
    <w:p w14:paraId="5F765B06" w14:textId="46F3AE9F" w:rsidR="00626664" w:rsidRPr="00605611" w:rsidRDefault="00626664" w:rsidP="00FD45D5">
      <w:pPr>
        <w:pStyle w:val="Heading1"/>
      </w:pPr>
      <w:r w:rsidRPr="00605611">
        <w:t xml:space="preserve">THE </w:t>
      </w:r>
      <w:r w:rsidR="001D7986">
        <w:t>CONCENTRATION</w:t>
      </w:r>
    </w:p>
    <w:p w14:paraId="235906BD" w14:textId="64D1B85E" w:rsidR="00D9693C" w:rsidRPr="00CA58D0" w:rsidRDefault="00CA58D0" w:rsidP="00CA58D0">
      <w:pPr>
        <w:pStyle w:val="ListNumber"/>
        <w:numPr>
          <w:ilvl w:val="0"/>
          <w:numId w:val="2"/>
        </w:numPr>
        <w:tabs>
          <w:tab w:val="num" w:pos="709"/>
        </w:tabs>
        <w:autoSpaceDE w:val="0"/>
        <w:autoSpaceDN w:val="0"/>
        <w:adjustRightInd w:val="0"/>
        <w:spacing w:after="0"/>
        <w:ind w:left="709" w:hanging="709"/>
        <w:rPr>
          <w:szCs w:val="24"/>
        </w:rPr>
      </w:pPr>
      <w:r w:rsidRPr="00CA58D0">
        <w:rPr>
          <w:szCs w:val="24"/>
        </w:rPr>
        <w:t xml:space="preserve">The concentration will be implemented by means of a </w:t>
      </w:r>
      <w:r w:rsidR="00D9344D">
        <w:rPr>
          <w:szCs w:val="24"/>
        </w:rPr>
        <w:t>s</w:t>
      </w:r>
      <w:r w:rsidR="003D4C4B" w:rsidRPr="00162BD6">
        <w:rPr>
          <w:szCs w:val="24"/>
        </w:rPr>
        <w:t xml:space="preserve">hare </w:t>
      </w:r>
      <w:r w:rsidR="00D9344D">
        <w:rPr>
          <w:szCs w:val="24"/>
        </w:rPr>
        <w:t>p</w:t>
      </w:r>
      <w:r w:rsidR="003D4C4B" w:rsidRPr="00162BD6">
        <w:rPr>
          <w:szCs w:val="24"/>
        </w:rPr>
        <w:t xml:space="preserve">urchase </w:t>
      </w:r>
      <w:r w:rsidR="00D9344D">
        <w:rPr>
          <w:szCs w:val="24"/>
        </w:rPr>
        <w:t>a</w:t>
      </w:r>
      <w:r w:rsidR="003D4C4B" w:rsidRPr="00162BD6">
        <w:rPr>
          <w:szCs w:val="24"/>
        </w:rPr>
        <w:t>greement</w:t>
      </w:r>
      <w:r w:rsidR="00F77CAD" w:rsidRPr="00C24227">
        <w:rPr>
          <w:szCs w:val="24"/>
        </w:rPr>
        <w:t xml:space="preserve"> </w:t>
      </w:r>
      <w:r w:rsidRPr="00CA58D0">
        <w:rPr>
          <w:szCs w:val="24"/>
        </w:rPr>
        <w:t xml:space="preserve">entered into by an affiliated entity of </w:t>
      </w:r>
      <w:proofErr w:type="spellStart"/>
      <w:r w:rsidRPr="00CA58D0">
        <w:rPr>
          <w:szCs w:val="24"/>
        </w:rPr>
        <w:t>Kuoni</w:t>
      </w:r>
      <w:proofErr w:type="spellEnd"/>
      <w:r w:rsidRPr="00CA58D0">
        <w:rPr>
          <w:szCs w:val="24"/>
        </w:rPr>
        <w:t xml:space="preserve">, </w:t>
      </w:r>
      <w:proofErr w:type="spellStart"/>
      <w:r w:rsidRPr="00CA58D0">
        <w:rPr>
          <w:szCs w:val="24"/>
        </w:rPr>
        <w:t>Kuoni</w:t>
      </w:r>
      <w:proofErr w:type="spellEnd"/>
      <w:r w:rsidRPr="00CA58D0">
        <w:rPr>
          <w:szCs w:val="24"/>
        </w:rPr>
        <w:t xml:space="preserve"> Global Travel Services AG ("</w:t>
      </w:r>
      <w:proofErr w:type="spellStart"/>
      <w:r w:rsidRPr="00CA58D0">
        <w:rPr>
          <w:szCs w:val="24"/>
        </w:rPr>
        <w:t>Kuoni</w:t>
      </w:r>
      <w:proofErr w:type="spellEnd"/>
      <w:r w:rsidRPr="00CA58D0">
        <w:rPr>
          <w:szCs w:val="24"/>
        </w:rPr>
        <w:t xml:space="preserve"> GTS AG"). </w:t>
      </w:r>
      <w:proofErr w:type="spellStart"/>
      <w:r w:rsidRPr="00CA58D0">
        <w:rPr>
          <w:szCs w:val="24"/>
        </w:rPr>
        <w:t>Kuoni</w:t>
      </w:r>
      <w:proofErr w:type="spellEnd"/>
      <w:r w:rsidRPr="00CA58D0">
        <w:rPr>
          <w:szCs w:val="24"/>
        </w:rPr>
        <w:t xml:space="preserve"> GTS AG will acquire 100 % of the shares in AHAG, </w:t>
      </w:r>
      <w:r w:rsidRPr="00CA58D0">
        <w:rPr>
          <w:szCs w:val="24"/>
        </w:rPr>
        <w:lastRenderedPageBreak/>
        <w:t xml:space="preserve">99,91 % of the shares in OTS Malta and 70 % of the shares </w:t>
      </w:r>
      <w:r>
        <w:rPr>
          <w:szCs w:val="24"/>
        </w:rPr>
        <w:t xml:space="preserve">in </w:t>
      </w:r>
      <w:r w:rsidRPr="00CA58D0">
        <w:rPr>
          <w:szCs w:val="24"/>
        </w:rPr>
        <w:t xml:space="preserve">OTS CH from </w:t>
      </w:r>
      <w:proofErr w:type="spellStart"/>
      <w:r w:rsidRPr="00CA58D0">
        <w:rPr>
          <w:szCs w:val="24"/>
        </w:rPr>
        <w:t>Toreto</w:t>
      </w:r>
      <w:proofErr w:type="spellEnd"/>
      <w:r w:rsidRPr="00CA58D0">
        <w:rPr>
          <w:szCs w:val="24"/>
        </w:rPr>
        <w:t xml:space="preserve"> Holding AG and Mr Rembert </w:t>
      </w:r>
      <w:proofErr w:type="spellStart"/>
      <w:r w:rsidRPr="00CA58D0">
        <w:rPr>
          <w:szCs w:val="24"/>
        </w:rPr>
        <w:t>Euling</w:t>
      </w:r>
      <w:proofErr w:type="spellEnd"/>
      <w:r w:rsidRPr="00CA58D0">
        <w:rPr>
          <w:szCs w:val="24"/>
        </w:rPr>
        <w:t xml:space="preserve"> (together the "Seller"). Since OTS Malta is the owner of the remaining 30 % of the shares in OTS CH, </w:t>
      </w:r>
      <w:proofErr w:type="spellStart"/>
      <w:r w:rsidRPr="00CA58D0">
        <w:rPr>
          <w:szCs w:val="24"/>
        </w:rPr>
        <w:t>Kuoni</w:t>
      </w:r>
      <w:proofErr w:type="spellEnd"/>
      <w:r w:rsidRPr="00CA58D0">
        <w:rPr>
          <w:szCs w:val="24"/>
        </w:rPr>
        <w:t xml:space="preserve"> GTS AG will indirectly own all shares in OTS CH.</w:t>
      </w:r>
    </w:p>
    <w:p w14:paraId="70370632" w14:textId="77777777" w:rsidR="00CA58D0" w:rsidRPr="00D9693C" w:rsidRDefault="00CA58D0" w:rsidP="00CA58D0">
      <w:pPr>
        <w:autoSpaceDE w:val="0"/>
        <w:autoSpaceDN w:val="0"/>
        <w:adjustRightInd w:val="0"/>
        <w:spacing w:after="0"/>
        <w:jc w:val="left"/>
        <w:rPr>
          <w:highlight w:val="yellow"/>
        </w:rPr>
      </w:pPr>
    </w:p>
    <w:p w14:paraId="7EA9649F" w14:textId="567B8D4D" w:rsidR="00D9693C" w:rsidRPr="00D9693C" w:rsidRDefault="00D9693C" w:rsidP="00F77CAD">
      <w:pPr>
        <w:pStyle w:val="ListNumber"/>
        <w:numPr>
          <w:ilvl w:val="0"/>
          <w:numId w:val="2"/>
        </w:numPr>
        <w:tabs>
          <w:tab w:val="num" w:pos="709"/>
        </w:tabs>
        <w:ind w:left="709" w:hanging="709"/>
      </w:pPr>
      <w:r w:rsidRPr="00D9693C">
        <w:t>The</w:t>
      </w:r>
      <w:r w:rsidR="00F77CAD">
        <w:t>refore, the</w:t>
      </w:r>
      <w:r w:rsidRPr="00D9693C">
        <w:t xml:space="preserve"> Transaction constitutes a concentration within the meaning of Article 3(1</w:t>
      </w:r>
      <w:proofErr w:type="gramStart"/>
      <w:r w:rsidRPr="00D9693C">
        <w:t>)(</w:t>
      </w:r>
      <w:proofErr w:type="gramEnd"/>
      <w:r w:rsidRPr="00D9693C">
        <w:t>b) of the Merger Regulation.</w:t>
      </w:r>
    </w:p>
    <w:p w14:paraId="5F765B09" w14:textId="77777777" w:rsidR="00626664" w:rsidRPr="00605611" w:rsidRDefault="00605611" w:rsidP="00605611">
      <w:pPr>
        <w:pStyle w:val="Heading1"/>
      </w:pPr>
      <w:r>
        <w:t>EU</w:t>
      </w:r>
      <w:r w:rsidR="00626664" w:rsidRPr="00605611">
        <w:t xml:space="preserve"> DIMENSION</w:t>
      </w:r>
    </w:p>
    <w:p w14:paraId="66929883" w14:textId="1425E4C7" w:rsidR="00D9693C" w:rsidRPr="00D9693C" w:rsidRDefault="00D9693C" w:rsidP="004060EA">
      <w:pPr>
        <w:pStyle w:val="ListNumber"/>
        <w:numPr>
          <w:ilvl w:val="0"/>
          <w:numId w:val="2"/>
        </w:numPr>
        <w:tabs>
          <w:tab w:val="num" w:pos="709"/>
        </w:tabs>
        <w:ind w:left="709" w:hanging="709"/>
      </w:pPr>
      <w:r w:rsidRPr="00D9693C">
        <w:t xml:space="preserve">The undertakings concerned have a combined aggregate world-wide turnover </w:t>
      </w:r>
      <w:r w:rsidR="004060EA">
        <w:t xml:space="preserve">of more than EUR 5 000 million </w:t>
      </w:r>
      <w:r w:rsidR="0030143A">
        <w:t>(</w:t>
      </w:r>
      <w:proofErr w:type="spellStart"/>
      <w:r w:rsidR="0030143A">
        <w:t>Kuoni</w:t>
      </w:r>
      <w:proofErr w:type="spellEnd"/>
      <w:r w:rsidR="0030143A">
        <w:t xml:space="preserve">: EUR </w:t>
      </w:r>
      <w:r w:rsidR="00057DAE" w:rsidRPr="00057DAE">
        <w:rPr>
          <w:iCs/>
          <w:sz w:val="23"/>
          <w:szCs w:val="23"/>
        </w:rPr>
        <w:t>[…</w:t>
      </w:r>
      <w:r w:rsidR="0030143A" w:rsidRPr="00057DAE">
        <w:rPr>
          <w:iCs/>
          <w:sz w:val="23"/>
          <w:szCs w:val="23"/>
        </w:rPr>
        <w:t>]</w:t>
      </w:r>
      <w:r w:rsidR="0030143A">
        <w:t xml:space="preserve">; MTS Globe: EUR </w:t>
      </w:r>
      <w:r w:rsidR="00057DAE" w:rsidRPr="00057DAE">
        <w:rPr>
          <w:iCs/>
          <w:sz w:val="23"/>
          <w:szCs w:val="23"/>
        </w:rPr>
        <w:t>[…]</w:t>
      </w:r>
      <w:r w:rsidRPr="00D9693C">
        <w:t>). Each of them has an EU-wide turnover in excess of EUR 25</w:t>
      </w:r>
      <w:r w:rsidR="0030143A">
        <w:t>0 million (</w:t>
      </w:r>
      <w:proofErr w:type="spellStart"/>
      <w:r w:rsidR="0030143A">
        <w:t>Kuoni</w:t>
      </w:r>
      <w:proofErr w:type="spellEnd"/>
      <w:r w:rsidR="0030143A">
        <w:t xml:space="preserve">: EUR </w:t>
      </w:r>
      <w:r w:rsidR="00057DAE" w:rsidRPr="00057DAE">
        <w:rPr>
          <w:iCs/>
          <w:sz w:val="23"/>
          <w:szCs w:val="23"/>
        </w:rPr>
        <w:t>[…]</w:t>
      </w:r>
      <w:r w:rsidR="0030143A">
        <w:t xml:space="preserve">; MTS Globe: EUR </w:t>
      </w:r>
      <w:r w:rsidR="00057DAE" w:rsidRPr="00057DAE">
        <w:rPr>
          <w:iCs/>
          <w:sz w:val="23"/>
          <w:szCs w:val="23"/>
        </w:rPr>
        <w:t>[…]</w:t>
      </w:r>
      <w:r w:rsidRPr="00D9693C">
        <w:t xml:space="preserve">), but they do not achieve more than two-thirds of their aggregate EU-wide turnover within one and the same Member State. </w:t>
      </w:r>
    </w:p>
    <w:p w14:paraId="20F1D7B2" w14:textId="77777777" w:rsidR="00D9693C" w:rsidRPr="00D9693C" w:rsidRDefault="00D9693C" w:rsidP="00D9693C">
      <w:pPr>
        <w:pStyle w:val="ListNumber"/>
        <w:numPr>
          <w:ilvl w:val="0"/>
          <w:numId w:val="2"/>
        </w:numPr>
        <w:tabs>
          <w:tab w:val="num" w:pos="709"/>
        </w:tabs>
        <w:ind w:left="709" w:hanging="709"/>
      </w:pPr>
      <w:r w:rsidRPr="00D9693C">
        <w:t>The Transaction therefore has an EU dimension within the meaning of Article 1(2) of the Merger Regulation.</w:t>
      </w:r>
    </w:p>
    <w:p w14:paraId="5F765B0B" w14:textId="77777777" w:rsidR="006B4781" w:rsidRDefault="006B4781" w:rsidP="00605611">
      <w:pPr>
        <w:pStyle w:val="Heading1"/>
      </w:pPr>
      <w:r w:rsidRPr="00605611">
        <w:t>COMPETITIVE ASSESSMENT</w:t>
      </w:r>
    </w:p>
    <w:p w14:paraId="5F765B0C" w14:textId="354FF1E6" w:rsidR="00C7539C" w:rsidRDefault="002C18E7" w:rsidP="00C7539C">
      <w:pPr>
        <w:pStyle w:val="Heading2"/>
      </w:pPr>
      <w:r>
        <w:t xml:space="preserve">Relevant </w:t>
      </w:r>
      <w:r w:rsidR="0012600A">
        <w:t>m</w:t>
      </w:r>
      <w:r w:rsidR="00E77B6F">
        <w:t>arket definition</w:t>
      </w:r>
    </w:p>
    <w:p w14:paraId="6527A2C7" w14:textId="61F19373" w:rsidR="00D9693C" w:rsidRPr="00F02470" w:rsidRDefault="00C00599" w:rsidP="00683083">
      <w:pPr>
        <w:pStyle w:val="Heading3"/>
        <w:rPr>
          <w:b/>
          <w:i w:val="0"/>
        </w:rPr>
      </w:pPr>
      <w:r w:rsidRPr="00F02470">
        <w:rPr>
          <w:b/>
          <w:i w:val="0"/>
        </w:rPr>
        <w:t>B2B supply of d</w:t>
      </w:r>
      <w:r w:rsidR="00D9693C" w:rsidRPr="00F02470">
        <w:rPr>
          <w:b/>
          <w:i w:val="0"/>
        </w:rPr>
        <w:t>estination management services</w:t>
      </w:r>
      <w:r w:rsidR="00AB072C" w:rsidRPr="00F02470">
        <w:rPr>
          <w:b/>
          <w:i w:val="0"/>
        </w:rPr>
        <w:t xml:space="preserve"> </w:t>
      </w:r>
    </w:p>
    <w:p w14:paraId="1F5D7E2E" w14:textId="12636BE0" w:rsidR="00D9693C" w:rsidRPr="00F02470" w:rsidRDefault="00D9693C" w:rsidP="00D9693C">
      <w:pPr>
        <w:pStyle w:val="ListNumber"/>
        <w:numPr>
          <w:ilvl w:val="0"/>
          <w:numId w:val="2"/>
        </w:numPr>
        <w:tabs>
          <w:tab w:val="num" w:pos="709"/>
        </w:tabs>
        <w:ind w:left="709" w:hanging="709"/>
      </w:pPr>
      <w:r w:rsidRPr="00F02470">
        <w:tab/>
        <w:t xml:space="preserve">The Commission has not previously assessed </w:t>
      </w:r>
      <w:r w:rsidR="001D7986" w:rsidRPr="00F02470">
        <w:t xml:space="preserve">the existence of </w:t>
      </w:r>
      <w:r w:rsidRPr="00F02470">
        <w:t>a</w:t>
      </w:r>
      <w:r w:rsidR="001D7986" w:rsidRPr="00F02470">
        <w:t xml:space="preserve"> possible</w:t>
      </w:r>
      <w:r w:rsidRPr="00F02470">
        <w:t xml:space="preserve"> market for the B2B supply of destination management services.</w:t>
      </w:r>
    </w:p>
    <w:p w14:paraId="049A2D4F" w14:textId="281AA18B" w:rsidR="00D9693C" w:rsidRPr="00F02470" w:rsidRDefault="00D9693C">
      <w:pPr>
        <w:pStyle w:val="ListNumber"/>
        <w:numPr>
          <w:ilvl w:val="0"/>
          <w:numId w:val="2"/>
        </w:numPr>
        <w:tabs>
          <w:tab w:val="num" w:pos="709"/>
        </w:tabs>
        <w:ind w:left="709" w:hanging="709"/>
      </w:pPr>
      <w:r w:rsidRPr="00F02470">
        <w:tab/>
        <w:t>The Parties submit that</w:t>
      </w:r>
      <w:r w:rsidR="001D7986" w:rsidRPr="00F02470">
        <w:t xml:space="preserve"> </w:t>
      </w:r>
      <w:r w:rsidR="00D9344D">
        <w:t xml:space="preserve">the </w:t>
      </w:r>
      <w:r w:rsidR="001D7986" w:rsidRPr="00F02470">
        <w:t>B2B supply of</w:t>
      </w:r>
      <w:r w:rsidRPr="00F02470">
        <w:t xml:space="preserve"> destination management services constitute</w:t>
      </w:r>
      <w:r w:rsidR="00D9344D">
        <w:t>s</w:t>
      </w:r>
      <w:r w:rsidRPr="00F02470">
        <w:t xml:space="preserve"> </w:t>
      </w:r>
      <w:r w:rsidR="00A74E3D">
        <w:t>the</w:t>
      </w:r>
      <w:r w:rsidRPr="00F02470">
        <w:t xml:space="preserve"> relevant </w:t>
      </w:r>
      <w:r w:rsidR="00A74E3D">
        <w:t xml:space="preserve">product </w:t>
      </w:r>
      <w:r w:rsidRPr="00F02470">
        <w:t>market for the assessment of the Transaction.</w:t>
      </w:r>
      <w:r w:rsidR="004060EA" w:rsidRPr="00F02470">
        <w:rPr>
          <w:rStyle w:val="FootnoteReference"/>
        </w:rPr>
        <w:footnoteReference w:id="7"/>
      </w:r>
      <w:r w:rsidRPr="00F02470">
        <w:t xml:space="preserve">  </w:t>
      </w:r>
      <w:r w:rsidR="001D7986" w:rsidRPr="00F02470">
        <w:t>Moreover,</w:t>
      </w:r>
      <w:r w:rsidR="00B7462E" w:rsidRPr="00F02470">
        <w:t xml:space="preserve"> </w:t>
      </w:r>
      <w:r w:rsidRPr="00F02470">
        <w:t>the</w:t>
      </w:r>
      <w:r w:rsidR="001D7986" w:rsidRPr="00F02470">
        <w:t xml:space="preserve"> geographic scope of </w:t>
      </w:r>
      <w:r w:rsidR="000D73C1">
        <w:t xml:space="preserve">the </w:t>
      </w:r>
      <w:r w:rsidRPr="00F02470">
        <w:t xml:space="preserve">market for B2B supply of destination management services </w:t>
      </w:r>
      <w:r w:rsidR="00D9344D">
        <w:t>is</w:t>
      </w:r>
      <w:r w:rsidR="00D9344D" w:rsidRPr="00F02470">
        <w:t xml:space="preserve"> </w:t>
      </w:r>
      <w:proofErr w:type="gramStart"/>
      <w:r w:rsidRPr="00F02470">
        <w:t>national,</w:t>
      </w:r>
      <w:proofErr w:type="gramEnd"/>
      <w:r w:rsidRPr="00F02470">
        <w:t xml:space="preserve"> or potentially even narrower in scope.</w:t>
      </w:r>
      <w:r w:rsidR="004060EA" w:rsidRPr="00F02470">
        <w:rPr>
          <w:rStyle w:val="FootnoteReference"/>
        </w:rPr>
        <w:footnoteReference w:id="8"/>
      </w:r>
      <w:r w:rsidRPr="00F02470">
        <w:t xml:space="preserve"> </w:t>
      </w:r>
    </w:p>
    <w:p w14:paraId="29C8DF0E" w14:textId="307C8071" w:rsidR="00D9693C" w:rsidRPr="00F02470" w:rsidRDefault="00D9693C" w:rsidP="00D9693C">
      <w:pPr>
        <w:pStyle w:val="ListNumber"/>
        <w:numPr>
          <w:ilvl w:val="0"/>
          <w:numId w:val="2"/>
        </w:numPr>
        <w:tabs>
          <w:tab w:val="num" w:pos="709"/>
        </w:tabs>
        <w:ind w:left="709" w:hanging="709"/>
      </w:pPr>
      <w:r w:rsidRPr="00F02470">
        <w:t>The</w:t>
      </w:r>
      <w:r w:rsidR="004060EA" w:rsidRPr="00F02470">
        <w:t xml:space="preserve"> Commission considers that for the purpose of this </w:t>
      </w:r>
      <w:r w:rsidR="00CD75A4">
        <w:t>decision</w:t>
      </w:r>
      <w:r w:rsidR="004060EA" w:rsidRPr="00F02470">
        <w:t>,</w:t>
      </w:r>
      <w:r w:rsidRPr="00F02470">
        <w:t xml:space="preserve"> </w:t>
      </w:r>
      <w:r w:rsidR="004060EA" w:rsidRPr="00F02470">
        <w:t xml:space="preserve">the </w:t>
      </w:r>
      <w:r w:rsidRPr="00F02470">
        <w:t xml:space="preserve">precise scope of the relevant product and geographic markets </w:t>
      </w:r>
      <w:r w:rsidR="00B7462E" w:rsidRPr="00F02470">
        <w:t xml:space="preserve">can </w:t>
      </w:r>
      <w:r w:rsidRPr="00F02470">
        <w:t xml:space="preserve">be left open, as the Transaction does not raise serious doubts </w:t>
      </w:r>
      <w:r w:rsidR="003B2B63">
        <w:t>under</w:t>
      </w:r>
      <w:r w:rsidRPr="00F02470">
        <w:t xml:space="preserve"> any plausible market</w:t>
      </w:r>
      <w:r w:rsidR="00BD060C">
        <w:t xml:space="preserve"> definition</w:t>
      </w:r>
      <w:r w:rsidRPr="00F02470">
        <w:t>.</w:t>
      </w:r>
    </w:p>
    <w:p w14:paraId="1A21EE23" w14:textId="389BEE08" w:rsidR="00D9693C" w:rsidRPr="00F02470" w:rsidRDefault="00D9693C" w:rsidP="00F02470">
      <w:pPr>
        <w:pStyle w:val="Heading3"/>
        <w:rPr>
          <w:b/>
        </w:rPr>
      </w:pPr>
      <w:r w:rsidRPr="00F02470">
        <w:rPr>
          <w:b/>
          <w:i w:val="0"/>
        </w:rPr>
        <w:t>Packaged group tours</w:t>
      </w:r>
      <w:r w:rsidRPr="00F02470">
        <w:t xml:space="preserve"> </w:t>
      </w:r>
    </w:p>
    <w:p w14:paraId="60BFF73F" w14:textId="72E25A53" w:rsidR="00D9344D" w:rsidRPr="00F02470" w:rsidRDefault="00D9693C" w:rsidP="0008058E">
      <w:pPr>
        <w:pStyle w:val="ListNumber"/>
        <w:numPr>
          <w:ilvl w:val="0"/>
          <w:numId w:val="2"/>
        </w:numPr>
        <w:tabs>
          <w:tab w:val="num" w:pos="709"/>
        </w:tabs>
        <w:ind w:left="709" w:hanging="709"/>
      </w:pPr>
      <w:r w:rsidRPr="00F02470">
        <w:tab/>
      </w:r>
      <w:r w:rsidR="001D7986" w:rsidRPr="00F02470">
        <w:t xml:space="preserve">In Case M.8046 </w:t>
      </w:r>
      <w:r w:rsidR="004F60CE">
        <w:t>-</w:t>
      </w:r>
      <w:r w:rsidR="001D7986" w:rsidRPr="00F02470">
        <w:t xml:space="preserve"> TUI/Transat France, the Commission considered a market for package holidays, but ultimately left open whether package holidays constitute a different market from independent holidays. </w:t>
      </w:r>
      <w:r w:rsidR="00D9344D">
        <w:t>I</w:t>
      </w:r>
      <w:r w:rsidR="001D7986" w:rsidRPr="00F02470">
        <w:t xml:space="preserve">n the same case, the Commission </w:t>
      </w:r>
      <w:r w:rsidR="00D9344D">
        <w:t xml:space="preserve">also </w:t>
      </w:r>
      <w:r w:rsidR="001D7986" w:rsidRPr="00F02470">
        <w:t xml:space="preserve">left open whether </w:t>
      </w:r>
      <w:r w:rsidR="00D9344D">
        <w:t>the hypothetical</w:t>
      </w:r>
      <w:r w:rsidR="001D7986" w:rsidRPr="00F02470">
        <w:t xml:space="preserve"> market for package holidays </w:t>
      </w:r>
      <w:r w:rsidR="00D9344D">
        <w:t>c</w:t>
      </w:r>
      <w:r w:rsidR="001D7986" w:rsidRPr="00F02470">
        <w:t>ould be further segmented by type (between club, stays, tour</w:t>
      </w:r>
      <w:r w:rsidR="00D9344D">
        <w:t xml:space="preserve"> and</w:t>
      </w:r>
      <w:r w:rsidR="001D7986" w:rsidRPr="00F02470">
        <w:t xml:space="preserve"> à la carte) or by destination (between domestic and foreign package holidays, between </w:t>
      </w:r>
      <w:r w:rsidR="00D9344D" w:rsidRPr="00F02470">
        <w:t xml:space="preserve">short/medium haul </w:t>
      </w:r>
      <w:r w:rsidR="00594BF3" w:rsidRPr="00F02470">
        <w:t>foreign</w:t>
      </w:r>
      <w:r w:rsidR="001D7986" w:rsidRPr="00F02470">
        <w:t xml:space="preserve"> package holidays and long haul </w:t>
      </w:r>
      <w:r w:rsidR="00D9344D" w:rsidRPr="00F02470">
        <w:t xml:space="preserve">foreign package holidays </w:t>
      </w:r>
      <w:r w:rsidR="001D7986" w:rsidRPr="00F02470">
        <w:t>or between package holidays by destination country</w:t>
      </w:r>
      <w:r w:rsidR="00D9344D">
        <w:t xml:space="preserve"> and </w:t>
      </w:r>
      <w:r w:rsidR="00D9344D" w:rsidRPr="00F02470">
        <w:t xml:space="preserve">package holidays by </w:t>
      </w:r>
      <w:r w:rsidR="001D7986" w:rsidRPr="00F02470">
        <w:t xml:space="preserve">groups of </w:t>
      </w:r>
      <w:r w:rsidR="001D7986" w:rsidRPr="00F02470">
        <w:lastRenderedPageBreak/>
        <w:t xml:space="preserve">destination countries </w:t>
      </w:r>
      <w:r w:rsidR="00D9344D">
        <w:t>such as</w:t>
      </w:r>
      <w:r w:rsidR="001D7986" w:rsidRPr="00F02470">
        <w:t xml:space="preserve"> Southern Europe</w:t>
      </w:r>
      <w:r w:rsidR="00D9344D">
        <w:t xml:space="preserve"> and </w:t>
      </w:r>
      <w:r w:rsidR="001D7986" w:rsidRPr="00F02470">
        <w:t>Northern Europe).</w:t>
      </w:r>
      <w:r w:rsidR="001D7986" w:rsidRPr="00F02470">
        <w:rPr>
          <w:rStyle w:val="FootnoteReference"/>
        </w:rPr>
        <w:footnoteReference w:id="9"/>
      </w:r>
      <w:r w:rsidR="001D7986" w:rsidRPr="00F02470">
        <w:t xml:space="preserve"> As regards the geographic scope</w:t>
      </w:r>
      <w:r w:rsidR="00B7462E" w:rsidRPr="00F02470">
        <w:t xml:space="preserve"> of the</w:t>
      </w:r>
      <w:r w:rsidR="00D9344D">
        <w:t xml:space="preserve"> hypothetical </w:t>
      </w:r>
      <w:r w:rsidR="00B7462E" w:rsidRPr="00F02470">
        <w:t xml:space="preserve">market for </w:t>
      </w:r>
      <w:r w:rsidR="00C00599" w:rsidRPr="00F02470">
        <w:t>package holidays</w:t>
      </w:r>
      <w:r w:rsidR="001D7986" w:rsidRPr="00F02470">
        <w:t>, the Commission has defined the market as national.</w:t>
      </w:r>
      <w:r w:rsidR="001D7986" w:rsidRPr="00F02470">
        <w:rPr>
          <w:rStyle w:val="FootnoteReference"/>
        </w:rPr>
        <w:footnoteReference w:id="10"/>
      </w:r>
      <w:r w:rsidR="001D7986" w:rsidRPr="00F02470">
        <w:t xml:space="preserve"> </w:t>
      </w:r>
    </w:p>
    <w:p w14:paraId="3D469854" w14:textId="5605B226" w:rsidR="00D9693C" w:rsidRPr="00F02470" w:rsidRDefault="00CF0B50" w:rsidP="00B72327">
      <w:pPr>
        <w:pStyle w:val="ListNumber"/>
        <w:numPr>
          <w:ilvl w:val="0"/>
          <w:numId w:val="2"/>
        </w:numPr>
        <w:tabs>
          <w:tab w:val="num" w:pos="709"/>
        </w:tabs>
        <w:ind w:left="709" w:hanging="709"/>
      </w:pPr>
      <w:r w:rsidRPr="00F02470">
        <w:t>T</w:t>
      </w:r>
      <w:r w:rsidR="00D9693C" w:rsidRPr="00F02470">
        <w:t>he Parties submit that</w:t>
      </w:r>
      <w:r w:rsidR="00B7462E" w:rsidRPr="00F02470">
        <w:t xml:space="preserve"> the B2B supply of group tour packages (excluding airline reservations) </w:t>
      </w:r>
      <w:r w:rsidR="00A74E3D">
        <w:t xml:space="preserve">constitutes the relevant product </w:t>
      </w:r>
      <w:r w:rsidR="00B7462E" w:rsidRPr="00F02470">
        <w:t>market for the purpose of the Transaction.</w:t>
      </w:r>
      <w:r w:rsidR="00B7462E" w:rsidRPr="00F02470">
        <w:rPr>
          <w:rStyle w:val="FootnoteReference"/>
        </w:rPr>
        <w:footnoteReference w:id="11"/>
      </w:r>
      <w:r w:rsidR="00B7462E" w:rsidRPr="00F02470">
        <w:t xml:space="preserve"> Moreover</w:t>
      </w:r>
      <w:r w:rsidR="00E562C4" w:rsidRPr="00F02470">
        <w:t>, the market for B2B supply of group tour packages (excluding airline</w:t>
      </w:r>
      <w:r w:rsidR="00D9344D">
        <w:t xml:space="preserve"> reservation</w:t>
      </w:r>
      <w:r w:rsidR="00E562C4" w:rsidRPr="00F02470">
        <w:t>s) is global in scope.</w:t>
      </w:r>
      <w:r w:rsidR="00915532" w:rsidRPr="00F02470">
        <w:t xml:space="preserve"> </w:t>
      </w:r>
    </w:p>
    <w:p w14:paraId="3CF1F91D" w14:textId="5D27C20B" w:rsidR="00D9693C" w:rsidRPr="00F02470" w:rsidRDefault="00D9693C">
      <w:pPr>
        <w:pStyle w:val="ListNumber"/>
        <w:numPr>
          <w:ilvl w:val="0"/>
          <w:numId w:val="2"/>
        </w:numPr>
        <w:tabs>
          <w:tab w:val="num" w:pos="709"/>
        </w:tabs>
        <w:ind w:left="709" w:hanging="709"/>
        <w:rPr>
          <w:i/>
        </w:rPr>
      </w:pPr>
      <w:r w:rsidRPr="00F02470">
        <w:tab/>
        <w:t>The</w:t>
      </w:r>
      <w:r w:rsidR="004060EA" w:rsidRPr="00F02470">
        <w:t xml:space="preserve"> Commission considers that for the purpose of this </w:t>
      </w:r>
      <w:r w:rsidR="002C18E7">
        <w:t>decision</w:t>
      </w:r>
      <w:r w:rsidR="004060EA" w:rsidRPr="00F02470">
        <w:t>, the</w:t>
      </w:r>
      <w:r w:rsidRPr="00F02470">
        <w:t xml:space="preserve"> precise scope of the relevant product and geographic markets </w:t>
      </w:r>
      <w:r w:rsidR="00B7462E" w:rsidRPr="00F02470">
        <w:t xml:space="preserve">can </w:t>
      </w:r>
      <w:r w:rsidRPr="00F02470">
        <w:t xml:space="preserve">be left open, as the Transaction does not raise serious doubts </w:t>
      </w:r>
      <w:r w:rsidR="00CD75A4">
        <w:t>under</w:t>
      </w:r>
      <w:r w:rsidRPr="00F02470">
        <w:t xml:space="preserve"> any plausible market</w:t>
      </w:r>
      <w:r w:rsidR="00CD75A4">
        <w:t xml:space="preserve"> definition</w:t>
      </w:r>
      <w:r w:rsidRPr="00F02470">
        <w:t>.</w:t>
      </w:r>
    </w:p>
    <w:p w14:paraId="5F765B14" w14:textId="70307139" w:rsidR="00FB4138" w:rsidRPr="00E16052" w:rsidRDefault="00AB072C" w:rsidP="00683083">
      <w:pPr>
        <w:pStyle w:val="Heading3"/>
        <w:rPr>
          <w:b/>
        </w:rPr>
      </w:pPr>
      <w:r>
        <w:rPr>
          <w:b/>
          <w:i w:val="0"/>
        </w:rPr>
        <w:t>H</w:t>
      </w:r>
      <w:r w:rsidR="00FB4138" w:rsidRPr="00E16052">
        <w:rPr>
          <w:b/>
          <w:i w:val="0"/>
        </w:rPr>
        <w:t>otel intermediation</w:t>
      </w:r>
    </w:p>
    <w:p w14:paraId="37AE24BF" w14:textId="526EBBE8" w:rsidR="00E16052" w:rsidRDefault="00E16052" w:rsidP="00E16052">
      <w:pPr>
        <w:pStyle w:val="ListNumber"/>
        <w:numPr>
          <w:ilvl w:val="0"/>
          <w:numId w:val="2"/>
        </w:numPr>
        <w:tabs>
          <w:tab w:val="num" w:pos="709"/>
        </w:tabs>
        <w:ind w:left="709" w:hanging="709"/>
      </w:pPr>
      <w:r>
        <w:tab/>
      </w:r>
      <w:r w:rsidR="00A74E3D">
        <w:t xml:space="preserve">In Case M.7968 </w:t>
      </w:r>
      <w:r w:rsidR="00A74E3D" w:rsidRPr="00A74E3D">
        <w:t>- EQT Service UK/</w:t>
      </w:r>
      <w:proofErr w:type="spellStart"/>
      <w:r w:rsidR="00A74E3D" w:rsidRPr="00A74E3D">
        <w:t>Kuoni</w:t>
      </w:r>
      <w:proofErr w:type="spellEnd"/>
      <w:r w:rsidR="00A74E3D" w:rsidRPr="00A74E3D">
        <w:t xml:space="preserve"> Travel Holding,</w:t>
      </w:r>
      <w:r w:rsidR="00A74E3D" w:rsidRPr="00A74E3D">
        <w:rPr>
          <w:rStyle w:val="FootnoteReference"/>
        </w:rPr>
        <w:footnoteReference w:id="12"/>
      </w:r>
      <w:r w:rsidR="00A74E3D">
        <w:t xml:space="preserve"> t</w:t>
      </w:r>
      <w:r>
        <w:t>he Commission considered</w:t>
      </w:r>
      <w:r w:rsidR="00A74E3D">
        <w:t xml:space="preserve">, but </w:t>
      </w:r>
      <w:r w:rsidR="007E74DC">
        <w:t>ultimately</w:t>
      </w:r>
      <w:r w:rsidR="00A74E3D">
        <w:t xml:space="preserve"> left open, the existence of </w:t>
      </w:r>
      <w:r>
        <w:t xml:space="preserve">a market for hotel intermediation. As to the geographic scope of </w:t>
      </w:r>
      <w:r w:rsidR="00AB072C">
        <w:t xml:space="preserve">the </w:t>
      </w:r>
      <w:r w:rsidR="00A74E3D">
        <w:t xml:space="preserve">hypothetical </w:t>
      </w:r>
      <w:r>
        <w:t>market</w:t>
      </w:r>
      <w:r w:rsidR="00AB072C">
        <w:t xml:space="preserve"> for hotel intermediation</w:t>
      </w:r>
      <w:r>
        <w:t xml:space="preserve">, the Commission </w:t>
      </w:r>
      <w:r w:rsidR="00A74E3D">
        <w:t xml:space="preserve">has </w:t>
      </w:r>
      <w:r w:rsidR="00B7462E">
        <w:t xml:space="preserve">previously considered </w:t>
      </w:r>
      <w:r>
        <w:t xml:space="preserve">that it is world-wide on the upstream side </w:t>
      </w:r>
      <w:r w:rsidR="00E34E5B">
        <w:t>(</w:t>
      </w:r>
      <w:r>
        <w:t>i.e. the provision of booking inventory by travel service providers, such as hotels</w:t>
      </w:r>
      <w:r w:rsidR="00E34E5B">
        <w:t>)</w:t>
      </w:r>
      <w:r>
        <w:t xml:space="preserve">, and at least national on the downstream side </w:t>
      </w:r>
      <w:r w:rsidR="00E34E5B">
        <w:t>(</w:t>
      </w:r>
      <w:r>
        <w:t xml:space="preserve">i.e. the provision of services to travel agents, tour operators, </w:t>
      </w:r>
      <w:proofErr w:type="spellStart"/>
      <w:r>
        <w:t>etc</w:t>
      </w:r>
      <w:proofErr w:type="spellEnd"/>
      <w:r w:rsidR="00E34E5B">
        <w:t>)</w:t>
      </w:r>
      <w:r>
        <w:t>.</w:t>
      </w:r>
      <w:r w:rsidR="00B42747">
        <w:rPr>
          <w:rStyle w:val="FootnoteReference"/>
        </w:rPr>
        <w:footnoteReference w:id="13"/>
      </w:r>
      <w:r>
        <w:t xml:space="preserve"> </w:t>
      </w:r>
    </w:p>
    <w:p w14:paraId="41518AF2" w14:textId="5D557403" w:rsidR="00E16052" w:rsidRDefault="00E16052">
      <w:pPr>
        <w:pStyle w:val="ListNumber"/>
        <w:numPr>
          <w:ilvl w:val="0"/>
          <w:numId w:val="2"/>
        </w:numPr>
        <w:tabs>
          <w:tab w:val="num" w:pos="709"/>
        </w:tabs>
        <w:ind w:left="709" w:hanging="709"/>
      </w:pPr>
      <w:r>
        <w:tab/>
        <w:t xml:space="preserve">The Parties submit that hotel </w:t>
      </w:r>
      <w:r w:rsidR="000D73C1">
        <w:t xml:space="preserve">intermediation </w:t>
      </w:r>
      <w:r w:rsidR="00A74E3D">
        <w:t>constitutes</w:t>
      </w:r>
      <w:r>
        <w:t xml:space="preserve"> the relevant product market for the purpose of the Transaction. This market could be further segmented into a market for (</w:t>
      </w:r>
      <w:proofErr w:type="spellStart"/>
      <w:r>
        <w:t>i</w:t>
      </w:r>
      <w:proofErr w:type="spellEnd"/>
      <w:r>
        <w:t xml:space="preserve">) B2B hotel intermediation (that is a market including B2B intermediaries, such as B2B wholesalers and Global Distribution Systems ("GDS") but excluding </w:t>
      </w:r>
      <w:r w:rsidR="00B7462E">
        <w:t>business to consumer ("</w:t>
      </w:r>
      <w:r>
        <w:t>B2C</w:t>
      </w:r>
      <w:r w:rsidR="00B7462E">
        <w:t>")</w:t>
      </w:r>
      <w:r>
        <w:t xml:space="preserve"> intermediaries, such as OTAs, TAs and TOs) and further into a market for (ii) intermediated hotel reservations by B2B wholesalers (that is a market excluding GDS).</w:t>
      </w:r>
      <w:r w:rsidR="00B42747">
        <w:rPr>
          <w:rStyle w:val="FootnoteReference"/>
        </w:rPr>
        <w:footnoteReference w:id="14"/>
      </w:r>
      <w:r>
        <w:t xml:space="preserve"> </w:t>
      </w:r>
      <w:r w:rsidR="00B7462E">
        <w:t>Moreover, t</w:t>
      </w:r>
      <w:r>
        <w:t xml:space="preserve">he geographic scope of </w:t>
      </w:r>
      <w:r w:rsidR="00B7462E">
        <w:t xml:space="preserve">the </w:t>
      </w:r>
      <w:r>
        <w:t xml:space="preserve">market </w:t>
      </w:r>
      <w:r w:rsidR="00B7462E">
        <w:t xml:space="preserve">for intermediated hotel reservations </w:t>
      </w:r>
      <w:r w:rsidR="00A74E3D">
        <w:t>is</w:t>
      </w:r>
      <w:r w:rsidR="00B7462E">
        <w:t xml:space="preserve"> </w:t>
      </w:r>
      <w:r>
        <w:t>world-wide or at least EEA-wide.</w:t>
      </w:r>
      <w:r w:rsidR="00B42747">
        <w:rPr>
          <w:rStyle w:val="FootnoteReference"/>
        </w:rPr>
        <w:footnoteReference w:id="15"/>
      </w:r>
      <w:r>
        <w:t xml:space="preserve">  </w:t>
      </w:r>
    </w:p>
    <w:p w14:paraId="5F765B15" w14:textId="64B8F67F" w:rsidR="00C7539C" w:rsidRDefault="00E16052" w:rsidP="00E16052">
      <w:pPr>
        <w:pStyle w:val="ListNumber"/>
        <w:numPr>
          <w:ilvl w:val="0"/>
          <w:numId w:val="2"/>
        </w:numPr>
        <w:tabs>
          <w:tab w:val="num" w:pos="709"/>
        </w:tabs>
        <w:ind w:left="709" w:hanging="709"/>
      </w:pPr>
      <w:r>
        <w:tab/>
        <w:t>The</w:t>
      </w:r>
      <w:r w:rsidR="00B42747" w:rsidRPr="00B42747">
        <w:t xml:space="preserve"> </w:t>
      </w:r>
      <w:r w:rsidR="00B42747">
        <w:t xml:space="preserve">Commission considers that for the purpose of this </w:t>
      </w:r>
      <w:r w:rsidR="00CD75A4">
        <w:t>decision</w:t>
      </w:r>
      <w:r w:rsidR="00B42747">
        <w:t>,</w:t>
      </w:r>
      <w:r w:rsidR="00B42747" w:rsidRPr="00D9693C">
        <w:t xml:space="preserve"> </w:t>
      </w:r>
      <w:r w:rsidR="00B42747">
        <w:t>the</w:t>
      </w:r>
      <w:r>
        <w:t xml:space="preserve"> precise scope of the relevant product and geographic markets </w:t>
      </w:r>
      <w:r w:rsidR="00B7462E">
        <w:t xml:space="preserve">can </w:t>
      </w:r>
      <w:r>
        <w:t xml:space="preserve">be left open, as the Transaction does not raise serious doubts </w:t>
      </w:r>
      <w:r w:rsidR="00CD75A4">
        <w:t xml:space="preserve">under </w:t>
      </w:r>
      <w:r>
        <w:t>any plausible market</w:t>
      </w:r>
      <w:r w:rsidR="00CD75A4">
        <w:t xml:space="preserve"> definition</w:t>
      </w:r>
      <w:r>
        <w:t>.</w:t>
      </w:r>
    </w:p>
    <w:p w14:paraId="14E52984" w14:textId="4F5F5310" w:rsidR="00E16052" w:rsidRDefault="00AB072C" w:rsidP="00E16052">
      <w:pPr>
        <w:pStyle w:val="Heading3"/>
        <w:rPr>
          <w:b/>
          <w:i w:val="0"/>
        </w:rPr>
      </w:pPr>
      <w:r>
        <w:rPr>
          <w:b/>
          <w:i w:val="0"/>
        </w:rPr>
        <w:t>H</w:t>
      </w:r>
      <w:r w:rsidR="00E16052" w:rsidRPr="00E16052">
        <w:rPr>
          <w:b/>
          <w:i w:val="0"/>
        </w:rPr>
        <w:t xml:space="preserve">otel </w:t>
      </w:r>
      <w:r w:rsidR="00E16052">
        <w:rPr>
          <w:b/>
          <w:i w:val="0"/>
        </w:rPr>
        <w:t>accommodation</w:t>
      </w:r>
    </w:p>
    <w:p w14:paraId="6699318C" w14:textId="56D93984" w:rsidR="00E16052" w:rsidRPr="004D25F2" w:rsidRDefault="00A74E3D">
      <w:pPr>
        <w:pStyle w:val="ListNumber"/>
        <w:numPr>
          <w:ilvl w:val="0"/>
          <w:numId w:val="2"/>
        </w:numPr>
        <w:tabs>
          <w:tab w:val="num" w:pos="709"/>
        </w:tabs>
        <w:ind w:left="709" w:hanging="709"/>
      </w:pPr>
      <w:r w:rsidRPr="004D25F2">
        <w:t xml:space="preserve">The Commission has previously considered hotel accommodation services constitute a separate product market and that such a market comprises both chain and </w:t>
      </w:r>
      <w:r w:rsidRPr="004D25F2">
        <w:lastRenderedPageBreak/>
        <w:t>independent hotels.</w:t>
      </w:r>
      <w:r w:rsidRPr="004D25F2">
        <w:rPr>
          <w:rStyle w:val="FootnoteReference"/>
        </w:rPr>
        <w:footnoteReference w:id="16"/>
      </w:r>
      <w:r w:rsidRPr="004D25F2">
        <w:t xml:space="preserve"> </w:t>
      </w:r>
      <w:r w:rsidR="00E16052" w:rsidRPr="004D25F2">
        <w:t xml:space="preserve">The Commission has </w:t>
      </w:r>
      <w:r w:rsidRPr="004D25F2">
        <w:t xml:space="preserve">also </w:t>
      </w:r>
      <w:r w:rsidR="00E16052" w:rsidRPr="004D25F2">
        <w:t>previously considered</w:t>
      </w:r>
      <w:r w:rsidR="00B7462E" w:rsidRPr="004D25F2">
        <w:t>, but ultimately left open,</w:t>
      </w:r>
      <w:r w:rsidR="00E16052" w:rsidRPr="004D25F2">
        <w:t xml:space="preserve"> </w:t>
      </w:r>
      <w:r w:rsidR="00B7462E" w:rsidRPr="004D25F2">
        <w:t xml:space="preserve">whether </w:t>
      </w:r>
      <w:r w:rsidR="00E16052" w:rsidRPr="004D25F2">
        <w:t xml:space="preserve">the market for hotel accommodation </w:t>
      </w:r>
      <w:r w:rsidRPr="004D25F2">
        <w:t xml:space="preserve">services </w:t>
      </w:r>
      <w:r w:rsidR="00E16052" w:rsidRPr="004D25F2">
        <w:t>could be segmented</w:t>
      </w:r>
      <w:r w:rsidR="00535ECA">
        <w:t xml:space="preserve"> on the basis of</w:t>
      </w:r>
      <w:r w:rsidR="00E16052" w:rsidRPr="004D25F2">
        <w:t>: (</w:t>
      </w:r>
      <w:proofErr w:type="spellStart"/>
      <w:r w:rsidR="00E16052" w:rsidRPr="004D25F2">
        <w:t>i</w:t>
      </w:r>
      <w:proofErr w:type="spellEnd"/>
      <w:r w:rsidR="00E16052" w:rsidRPr="004D25F2">
        <w:t xml:space="preserve">) price/comfort level </w:t>
      </w:r>
      <w:r w:rsidR="00227750" w:rsidRPr="004D25F2">
        <w:t>(</w:t>
      </w:r>
      <w:r w:rsidR="00E16052" w:rsidRPr="004D25F2">
        <w:t xml:space="preserve">based </w:t>
      </w:r>
      <w:r w:rsidR="00227750" w:rsidRPr="004D25F2">
        <w:t xml:space="preserve">in particular </w:t>
      </w:r>
      <w:r w:rsidR="00E16052" w:rsidRPr="004D25F2">
        <w:t>on the stars awarded to the particular hotel</w:t>
      </w:r>
      <w:r w:rsidR="00227750" w:rsidRPr="004D25F2">
        <w:t>)</w:t>
      </w:r>
      <w:r w:rsidR="00E16052" w:rsidRPr="004D25F2">
        <w:t>, which indicates the standard and facilities the customer may expect; and/or (ii) ownership</w:t>
      </w:r>
      <w:r w:rsidR="007C51CE" w:rsidRPr="004D25F2">
        <w:t xml:space="preserve"> type (that is, </w:t>
      </w:r>
      <w:r w:rsidR="00E16052" w:rsidRPr="004D25F2">
        <w:t>chain hotels and independent hotels</w:t>
      </w:r>
      <w:r w:rsidR="007C51CE" w:rsidRPr="004D25F2">
        <w:t>)</w:t>
      </w:r>
      <w:r w:rsidR="00B7462E" w:rsidRPr="004D25F2">
        <w:t>.</w:t>
      </w:r>
      <w:r w:rsidR="007C51CE" w:rsidRPr="004D25F2">
        <w:rPr>
          <w:rStyle w:val="FootnoteReference"/>
        </w:rPr>
        <w:footnoteReference w:id="17"/>
      </w:r>
      <w:r w:rsidR="00B7462E">
        <w:t xml:space="preserve"> </w:t>
      </w:r>
      <w:r w:rsidR="00AB072C" w:rsidRPr="004D25F2">
        <w:t>As to the geographic scope of the market for hotel accom</w:t>
      </w:r>
      <w:r w:rsidR="000D73C1" w:rsidRPr="004D25F2">
        <w:t>m</w:t>
      </w:r>
      <w:r w:rsidR="00AB072C" w:rsidRPr="004D25F2">
        <w:t>odation</w:t>
      </w:r>
      <w:r w:rsidR="00E16052" w:rsidRPr="004D25F2">
        <w:t xml:space="preserve">, the Commission </w:t>
      </w:r>
      <w:r w:rsidR="007E74DC" w:rsidRPr="004D25F2">
        <w:t xml:space="preserve">has previously considered, but ultimately left open, whether it may be </w:t>
      </w:r>
      <w:r w:rsidR="00E16052" w:rsidRPr="004D25F2">
        <w:t>both national and local.</w:t>
      </w:r>
      <w:r w:rsidR="00261471" w:rsidRPr="004D25F2">
        <w:rPr>
          <w:rStyle w:val="FootnoteReference"/>
        </w:rPr>
        <w:footnoteReference w:id="18"/>
      </w:r>
    </w:p>
    <w:p w14:paraId="1E0EB81B" w14:textId="7C1C5B89" w:rsidR="00E16052" w:rsidRDefault="00A74E3D">
      <w:pPr>
        <w:pStyle w:val="ListNumber"/>
        <w:numPr>
          <w:ilvl w:val="0"/>
          <w:numId w:val="2"/>
        </w:numPr>
        <w:tabs>
          <w:tab w:val="num" w:pos="709"/>
        </w:tabs>
        <w:ind w:left="709" w:hanging="709"/>
      </w:pPr>
      <w:r>
        <w:t>T</w:t>
      </w:r>
      <w:r w:rsidR="00E16052" w:rsidRPr="00F02470">
        <w:t>he Parties</w:t>
      </w:r>
      <w:r>
        <w:t xml:space="preserve"> submit that hotel accommodation constitutes the relevant product market for the purpose of the Transaction</w:t>
      </w:r>
      <w:r w:rsidR="00FF1855">
        <w:t>.</w:t>
      </w:r>
      <w:r>
        <w:t xml:space="preserve"> A further</w:t>
      </w:r>
      <w:r w:rsidR="00E16052" w:rsidRPr="00F02470">
        <w:t xml:space="preserve"> segmentation based on price/comfort level and grading of stars is </w:t>
      </w:r>
      <w:r>
        <w:t>in</w:t>
      </w:r>
      <w:r w:rsidR="00E16052" w:rsidRPr="00F02470">
        <w:t xml:space="preserve">appropriate since overlaps in prices and facilities among hotels in different star categories lead to a continuous chain of substitution among hotels. </w:t>
      </w:r>
      <w:r>
        <w:t xml:space="preserve">A further </w:t>
      </w:r>
      <w:r w:rsidR="00E16052" w:rsidRPr="00F02470">
        <w:t>segmentation based on ownership</w:t>
      </w:r>
      <w:r>
        <w:t xml:space="preserve"> is also inappropriate because </w:t>
      </w:r>
      <w:r w:rsidR="00E16052" w:rsidRPr="00F02470">
        <w:t xml:space="preserve">independent and chain hotels are entirely substitutable from a demand </w:t>
      </w:r>
      <w:r w:rsidR="000D73C1" w:rsidRPr="00F02470">
        <w:t>perspective</w:t>
      </w:r>
      <w:r w:rsidR="00E16052" w:rsidRPr="00F02470">
        <w:t>.</w:t>
      </w:r>
      <w:r w:rsidR="00E16052">
        <w:t xml:space="preserve"> </w:t>
      </w:r>
      <w:r w:rsidR="00B7462E">
        <w:t>Moreover,</w:t>
      </w:r>
      <w:r w:rsidR="00E16052">
        <w:t xml:space="preserve"> the </w:t>
      </w:r>
      <w:r w:rsidR="00AB072C">
        <w:t xml:space="preserve">geographic scope of the </w:t>
      </w:r>
      <w:r w:rsidR="00E16052">
        <w:t xml:space="preserve">market for the provision of hotel accommodation </w:t>
      </w:r>
      <w:r>
        <w:t xml:space="preserve">is </w:t>
      </w:r>
      <w:r w:rsidR="00E16052">
        <w:t>EEA</w:t>
      </w:r>
      <w:r w:rsidR="00AB072C">
        <w:t>-wide</w:t>
      </w:r>
      <w:r w:rsidR="00E16052">
        <w:t xml:space="preserve"> or national.</w:t>
      </w:r>
      <w:r w:rsidR="00261471">
        <w:rPr>
          <w:rStyle w:val="FootnoteReference"/>
        </w:rPr>
        <w:footnoteReference w:id="19"/>
      </w:r>
      <w:r w:rsidR="00E16052">
        <w:t xml:space="preserve"> </w:t>
      </w:r>
    </w:p>
    <w:p w14:paraId="35B99B08" w14:textId="668073DD" w:rsidR="00E16052" w:rsidRDefault="00FE08C8" w:rsidP="00E16052">
      <w:pPr>
        <w:pStyle w:val="ListNumber"/>
        <w:numPr>
          <w:ilvl w:val="0"/>
          <w:numId w:val="2"/>
        </w:numPr>
        <w:tabs>
          <w:tab w:val="num" w:pos="709"/>
        </w:tabs>
        <w:ind w:left="709" w:hanging="709"/>
      </w:pPr>
      <w:r>
        <w:t xml:space="preserve">The </w:t>
      </w:r>
      <w:r w:rsidR="001B0FBA">
        <w:t>Commission considers that f</w:t>
      </w:r>
      <w:r w:rsidR="00E16052">
        <w:t xml:space="preserve">or the purpose of this </w:t>
      </w:r>
      <w:r w:rsidR="00CD75A4">
        <w:t>decision</w:t>
      </w:r>
      <w:r w:rsidR="00E16052">
        <w:t xml:space="preserve">, the precise product and geographic market definition can be left open, since the Transaction does not raise serious doubts under any plausible market definition. </w:t>
      </w:r>
    </w:p>
    <w:p w14:paraId="5F765B20" w14:textId="77777777" w:rsidR="00937B29" w:rsidRDefault="00FB4138" w:rsidP="00FB4138">
      <w:pPr>
        <w:pStyle w:val="Heading2"/>
      </w:pPr>
      <w:r>
        <w:t>Competitive assessment</w:t>
      </w:r>
    </w:p>
    <w:p w14:paraId="6F465E02" w14:textId="77BDFE1D" w:rsidR="00E16052" w:rsidRDefault="00E16052" w:rsidP="00E16052">
      <w:pPr>
        <w:pStyle w:val="ListNumber"/>
        <w:numPr>
          <w:ilvl w:val="0"/>
          <w:numId w:val="2"/>
        </w:numPr>
        <w:tabs>
          <w:tab w:val="num" w:pos="709"/>
        </w:tabs>
        <w:ind w:left="709" w:hanging="709"/>
      </w:pPr>
      <w:r>
        <w:t xml:space="preserve">The Transaction will not give rise to any </w:t>
      </w:r>
      <w:r w:rsidR="000D73C1">
        <w:t>horizontally</w:t>
      </w:r>
      <w:r>
        <w:t xml:space="preserve"> affected market.</w:t>
      </w:r>
      <w:r>
        <w:rPr>
          <w:rStyle w:val="FootnoteReference"/>
        </w:rPr>
        <w:footnoteReference w:id="20"/>
      </w:r>
      <w:r>
        <w:t xml:space="preserve"> </w:t>
      </w:r>
    </w:p>
    <w:p w14:paraId="7991770C" w14:textId="77807020" w:rsidR="00E16052" w:rsidRDefault="00E16052" w:rsidP="00E16052">
      <w:pPr>
        <w:pStyle w:val="ListNumber"/>
        <w:numPr>
          <w:ilvl w:val="0"/>
          <w:numId w:val="2"/>
        </w:numPr>
        <w:tabs>
          <w:tab w:val="num" w:pos="709"/>
        </w:tabs>
        <w:ind w:left="709" w:hanging="709"/>
      </w:pPr>
      <w:r>
        <w:t>The Transaction will</w:t>
      </w:r>
      <w:r w:rsidR="007E74DC">
        <w:t>, however,</w:t>
      </w:r>
      <w:r>
        <w:t xml:space="preserve"> lead to a vertical relationship between </w:t>
      </w:r>
      <w:r w:rsidR="00D9344D">
        <w:t xml:space="preserve">the </w:t>
      </w:r>
      <w:r>
        <w:t xml:space="preserve">upstream activities in hotel </w:t>
      </w:r>
      <w:r w:rsidR="000D73C1">
        <w:t>accommodation</w:t>
      </w:r>
      <w:r>
        <w:t xml:space="preserve"> services</w:t>
      </w:r>
      <w:r w:rsidR="00D9344D">
        <w:t xml:space="preserve"> of </w:t>
      </w:r>
      <w:proofErr w:type="spellStart"/>
      <w:r w:rsidR="00D9344D" w:rsidRPr="00F02470">
        <w:t>Scandic</w:t>
      </w:r>
      <w:proofErr w:type="spellEnd"/>
      <w:r w:rsidR="00D9344D" w:rsidRPr="00F02470">
        <w:t xml:space="preserve"> Hotel Groups ("</w:t>
      </w:r>
      <w:proofErr w:type="spellStart"/>
      <w:r w:rsidR="00D9344D" w:rsidRPr="00F02470">
        <w:t>Scandic</w:t>
      </w:r>
      <w:proofErr w:type="spellEnd"/>
      <w:r w:rsidR="00D9344D" w:rsidRPr="00F02470">
        <w:t>")</w:t>
      </w:r>
      <w:r w:rsidR="00D9344D">
        <w:t xml:space="preserve">, a hotel chain controlled by EQT </w:t>
      </w:r>
      <w:r>
        <w:t xml:space="preserve">and MTS OTS in downstream hotel intermediation </w:t>
      </w:r>
      <w:r>
        <w:lastRenderedPageBreak/>
        <w:t xml:space="preserve">business services, which could source room inventory from </w:t>
      </w:r>
      <w:proofErr w:type="spellStart"/>
      <w:r>
        <w:t>Scandic</w:t>
      </w:r>
      <w:proofErr w:type="spellEnd"/>
      <w:r>
        <w:t xml:space="preserve"> and resell such inventory as part of the B2B services they provide to the travel industry.</w:t>
      </w:r>
      <w:r>
        <w:rPr>
          <w:rStyle w:val="FootnoteReference"/>
        </w:rPr>
        <w:footnoteReference w:id="21"/>
      </w:r>
      <w:r>
        <w:t xml:space="preserve">  </w:t>
      </w:r>
    </w:p>
    <w:p w14:paraId="03EA7953" w14:textId="5B2EFC07" w:rsidR="00762870" w:rsidRPr="00E16052" w:rsidRDefault="00E16052" w:rsidP="00E16052">
      <w:pPr>
        <w:pStyle w:val="ListNumber"/>
        <w:numPr>
          <w:ilvl w:val="0"/>
          <w:numId w:val="2"/>
        </w:numPr>
        <w:tabs>
          <w:tab w:val="num" w:pos="709"/>
        </w:tabs>
        <w:ind w:left="709" w:hanging="709"/>
      </w:pPr>
      <w:r>
        <w:t xml:space="preserve">Such </w:t>
      </w:r>
      <w:r w:rsidR="00AB072C">
        <w:t xml:space="preserve">a </w:t>
      </w:r>
      <w:r>
        <w:t>vertical relationship give</w:t>
      </w:r>
      <w:r w:rsidR="00AB072C">
        <w:t>s</w:t>
      </w:r>
      <w:r>
        <w:t xml:space="preserve"> rise to affected markets because of </w:t>
      </w:r>
      <w:proofErr w:type="spellStart"/>
      <w:r>
        <w:t>Scandic's</w:t>
      </w:r>
      <w:proofErr w:type="spellEnd"/>
      <w:r>
        <w:t xml:space="preserve"> estimated shares exceeding 30% on the </w:t>
      </w:r>
      <w:r w:rsidR="00AB072C">
        <w:t xml:space="preserve">possible </w:t>
      </w:r>
      <w:r>
        <w:t>upstream market for hotel accommodation based on hotel chains in Sweden and in 18 local markets for hotel accommodation in Sweden, Finland and Norway as set out in the table below.</w:t>
      </w:r>
      <w:r w:rsidR="00D46A10">
        <w:rPr>
          <w:rStyle w:val="FootnoteReference"/>
        </w:rPr>
        <w:footnoteReference w:id="22"/>
      </w:r>
      <w:r>
        <w:t xml:space="preserve">   </w:t>
      </w:r>
    </w:p>
    <w:tbl>
      <w:tblPr>
        <w:tblW w:w="5152" w:type="dxa"/>
        <w:tblInd w:w="1748" w:type="dxa"/>
        <w:tblCellMar>
          <w:left w:w="70" w:type="dxa"/>
          <w:right w:w="70" w:type="dxa"/>
        </w:tblCellMar>
        <w:tblLook w:val="04A0" w:firstRow="1" w:lastRow="0" w:firstColumn="1" w:lastColumn="0" w:noHBand="0" w:noVBand="1"/>
      </w:tblPr>
      <w:tblGrid>
        <w:gridCol w:w="2319"/>
        <w:gridCol w:w="2833"/>
      </w:tblGrid>
      <w:tr w:rsidR="001B7D9F" w:rsidRPr="00211FC8" w14:paraId="5F765B26" w14:textId="77777777" w:rsidTr="004F4884">
        <w:trPr>
          <w:trHeight w:val="994"/>
        </w:trPr>
        <w:tc>
          <w:tcPr>
            <w:tcW w:w="2319" w:type="dxa"/>
            <w:tcBorders>
              <w:top w:val="single" w:sz="8" w:space="0" w:color="auto"/>
              <w:left w:val="single" w:sz="4" w:space="0" w:color="auto"/>
              <w:bottom w:val="single" w:sz="4" w:space="0" w:color="auto"/>
              <w:right w:val="single" w:sz="4" w:space="0" w:color="auto"/>
            </w:tcBorders>
            <w:shd w:val="clear" w:color="000000" w:fill="EBECDF"/>
            <w:noWrap/>
            <w:vAlign w:val="center"/>
            <w:hideMark/>
          </w:tcPr>
          <w:p w14:paraId="5F765B23" w14:textId="77777777" w:rsidR="001B7D9F" w:rsidRPr="00211FC8" w:rsidRDefault="001B7D9F" w:rsidP="00C7454E">
            <w:pPr>
              <w:spacing w:after="0"/>
              <w:jc w:val="center"/>
              <w:rPr>
                <w:b/>
                <w:bCs/>
                <w:color w:val="000000"/>
                <w:sz w:val="16"/>
                <w:szCs w:val="16"/>
                <w:lang w:eastAsia="sv-SE"/>
              </w:rPr>
            </w:pPr>
            <w:r w:rsidRPr="00211FC8">
              <w:rPr>
                <w:b/>
                <w:bCs/>
                <w:color w:val="000000"/>
                <w:sz w:val="16"/>
                <w:szCs w:val="16"/>
                <w:lang w:eastAsia="sv-SE"/>
              </w:rPr>
              <w:t>Local</w:t>
            </w:r>
            <w:r>
              <w:rPr>
                <w:rStyle w:val="FootnoteReference"/>
                <w:b/>
                <w:bCs/>
                <w:color w:val="000000"/>
                <w:szCs w:val="16"/>
                <w:lang w:eastAsia="sv-SE"/>
              </w:rPr>
              <w:footnoteReference w:id="23"/>
            </w:r>
            <w:r w:rsidRPr="00211FC8">
              <w:rPr>
                <w:b/>
                <w:bCs/>
                <w:color w:val="000000"/>
                <w:sz w:val="16"/>
                <w:szCs w:val="16"/>
                <w:lang w:eastAsia="sv-SE"/>
              </w:rPr>
              <w:t xml:space="preserve"> market</w:t>
            </w:r>
          </w:p>
        </w:tc>
        <w:tc>
          <w:tcPr>
            <w:tcW w:w="2833" w:type="dxa"/>
            <w:tcBorders>
              <w:top w:val="single" w:sz="8" w:space="0" w:color="auto"/>
              <w:left w:val="nil"/>
              <w:bottom w:val="single" w:sz="4" w:space="0" w:color="auto"/>
              <w:right w:val="single" w:sz="4" w:space="0" w:color="auto"/>
            </w:tcBorders>
            <w:shd w:val="clear" w:color="000000" w:fill="EBECDF"/>
            <w:vAlign w:val="center"/>
            <w:hideMark/>
          </w:tcPr>
          <w:p w14:paraId="73613677" w14:textId="77777777" w:rsidR="0017325B" w:rsidRDefault="001B7D9F" w:rsidP="00A229C8">
            <w:pPr>
              <w:spacing w:after="0"/>
              <w:jc w:val="center"/>
              <w:rPr>
                <w:b/>
                <w:bCs/>
                <w:color w:val="000000"/>
                <w:sz w:val="16"/>
                <w:szCs w:val="16"/>
                <w:lang w:eastAsia="sv-SE"/>
              </w:rPr>
            </w:pPr>
            <w:proofErr w:type="spellStart"/>
            <w:r w:rsidRPr="00211FC8">
              <w:rPr>
                <w:b/>
                <w:bCs/>
                <w:color w:val="000000"/>
                <w:sz w:val="16"/>
                <w:szCs w:val="16"/>
                <w:lang w:eastAsia="sv-SE"/>
              </w:rPr>
              <w:t>Scandic</w:t>
            </w:r>
            <w:proofErr w:type="spellEnd"/>
            <w:r w:rsidRPr="00211FC8">
              <w:rPr>
                <w:b/>
                <w:bCs/>
                <w:color w:val="000000"/>
                <w:sz w:val="16"/>
                <w:szCs w:val="16"/>
                <w:lang w:eastAsia="sv-SE"/>
              </w:rPr>
              <w:t xml:space="preserve"> market share</w:t>
            </w:r>
            <w:r>
              <w:rPr>
                <w:b/>
                <w:bCs/>
                <w:color w:val="000000"/>
                <w:sz w:val="16"/>
                <w:szCs w:val="16"/>
                <w:lang w:eastAsia="sv-SE"/>
              </w:rPr>
              <w:t>, based on number of available rooms</w:t>
            </w:r>
            <w:r w:rsidRPr="00211FC8">
              <w:rPr>
                <w:b/>
                <w:bCs/>
                <w:color w:val="000000"/>
                <w:sz w:val="16"/>
                <w:szCs w:val="16"/>
                <w:lang w:eastAsia="sv-SE"/>
              </w:rPr>
              <w:t xml:space="preserve">              </w:t>
            </w:r>
          </w:p>
          <w:p w14:paraId="5F765B24" w14:textId="7373663E" w:rsidR="001B7D9F" w:rsidRPr="00211FC8" w:rsidRDefault="001B7D9F" w:rsidP="00A229C8">
            <w:pPr>
              <w:spacing w:after="0"/>
              <w:jc w:val="center"/>
              <w:rPr>
                <w:b/>
                <w:bCs/>
                <w:color w:val="000000"/>
                <w:sz w:val="16"/>
                <w:szCs w:val="16"/>
                <w:lang w:eastAsia="sv-SE"/>
              </w:rPr>
            </w:pPr>
            <w:r w:rsidRPr="00211FC8">
              <w:rPr>
                <w:b/>
                <w:bCs/>
                <w:color w:val="000000"/>
                <w:sz w:val="16"/>
                <w:szCs w:val="16"/>
                <w:lang w:eastAsia="sv-SE"/>
              </w:rPr>
              <w:t>(% volume)</w:t>
            </w:r>
          </w:p>
        </w:tc>
      </w:tr>
      <w:tr w:rsidR="001B7D9F" w:rsidRPr="00211FC8" w14:paraId="5F765B2A" w14:textId="77777777" w:rsidTr="004F4884">
        <w:trPr>
          <w:trHeight w:val="249"/>
        </w:trPr>
        <w:tc>
          <w:tcPr>
            <w:tcW w:w="2319" w:type="dxa"/>
            <w:tcBorders>
              <w:top w:val="nil"/>
              <w:left w:val="single" w:sz="4" w:space="0" w:color="auto"/>
              <w:bottom w:val="single" w:sz="4" w:space="0" w:color="auto"/>
              <w:right w:val="nil"/>
            </w:tcBorders>
            <w:shd w:val="clear" w:color="000000" w:fill="D7D9BF"/>
            <w:noWrap/>
            <w:vAlign w:val="bottom"/>
            <w:hideMark/>
          </w:tcPr>
          <w:p w14:paraId="5F765B27" w14:textId="77777777" w:rsidR="001B7D9F" w:rsidRPr="00211FC8" w:rsidRDefault="001B7D9F" w:rsidP="00C7454E">
            <w:pPr>
              <w:spacing w:after="0"/>
              <w:jc w:val="center"/>
              <w:rPr>
                <w:b/>
                <w:bCs/>
                <w:color w:val="000000"/>
                <w:sz w:val="16"/>
                <w:szCs w:val="16"/>
                <w:lang w:eastAsia="sv-SE"/>
              </w:rPr>
            </w:pPr>
            <w:r w:rsidRPr="00211FC8">
              <w:rPr>
                <w:b/>
                <w:bCs/>
                <w:color w:val="000000"/>
                <w:sz w:val="16"/>
                <w:szCs w:val="16"/>
                <w:lang w:eastAsia="sv-SE"/>
              </w:rPr>
              <w:t>Sweden</w:t>
            </w:r>
          </w:p>
        </w:tc>
        <w:tc>
          <w:tcPr>
            <w:tcW w:w="2833" w:type="dxa"/>
            <w:tcBorders>
              <w:top w:val="nil"/>
              <w:left w:val="nil"/>
              <w:bottom w:val="single" w:sz="4" w:space="0" w:color="auto"/>
              <w:right w:val="nil"/>
            </w:tcBorders>
            <w:shd w:val="clear" w:color="000000" w:fill="D7D9BF"/>
            <w:noWrap/>
            <w:vAlign w:val="bottom"/>
            <w:hideMark/>
          </w:tcPr>
          <w:p w14:paraId="5F765B28" w14:textId="77777777" w:rsidR="001B7D9F" w:rsidRPr="00211FC8" w:rsidRDefault="001B7D9F" w:rsidP="00C7454E">
            <w:pPr>
              <w:spacing w:after="0"/>
              <w:jc w:val="center"/>
              <w:rPr>
                <w:color w:val="000000"/>
                <w:sz w:val="16"/>
                <w:szCs w:val="16"/>
                <w:lang w:eastAsia="sv-SE"/>
              </w:rPr>
            </w:pPr>
          </w:p>
        </w:tc>
      </w:tr>
      <w:tr w:rsidR="001B7D9F" w:rsidRPr="00211FC8" w14:paraId="5F765B2E" w14:textId="77777777" w:rsidTr="004F4884">
        <w:trPr>
          <w:trHeight w:val="249"/>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2B"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Arvika</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2C" w14:textId="7A250581"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001B7D9F" w:rsidRPr="008F1061">
              <w:rPr>
                <w:color w:val="000000"/>
                <w:sz w:val="16"/>
                <w:szCs w:val="16"/>
                <w:lang w:eastAsia="sv-SE"/>
              </w:rPr>
              <w:t xml:space="preserve"> </w:t>
            </w:r>
            <w:r w:rsidR="001B7D9F" w:rsidRPr="00211FC8">
              <w:rPr>
                <w:color w:val="000000"/>
                <w:sz w:val="16"/>
                <w:szCs w:val="16"/>
                <w:lang w:eastAsia="sv-SE"/>
              </w:rPr>
              <w:t>%</w:t>
            </w:r>
          </w:p>
        </w:tc>
      </w:tr>
      <w:tr w:rsidR="001B7D9F" w:rsidRPr="00211FC8" w14:paraId="5F765B32"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2F"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Bollnäs</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30" w14:textId="09706440"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36"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33"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Borås</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34" w14:textId="39627D17"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20-3</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3A"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37" w14:textId="77777777" w:rsidR="001B7D9F" w:rsidRPr="00211FC8" w:rsidRDefault="001B7D9F" w:rsidP="00C7454E">
            <w:pPr>
              <w:spacing w:after="0"/>
              <w:jc w:val="center"/>
              <w:rPr>
                <w:color w:val="000000"/>
                <w:sz w:val="16"/>
                <w:szCs w:val="16"/>
                <w:lang w:eastAsia="sv-SE"/>
              </w:rPr>
            </w:pPr>
            <w:r w:rsidRPr="00211FC8">
              <w:rPr>
                <w:color w:val="000000"/>
                <w:sz w:val="16"/>
                <w:szCs w:val="16"/>
                <w:lang w:eastAsia="sv-SE"/>
              </w:rPr>
              <w:t>Falun</w:t>
            </w:r>
          </w:p>
        </w:tc>
        <w:tc>
          <w:tcPr>
            <w:tcW w:w="2833" w:type="dxa"/>
            <w:tcBorders>
              <w:top w:val="nil"/>
              <w:left w:val="nil"/>
              <w:bottom w:val="single" w:sz="4" w:space="0" w:color="auto"/>
              <w:right w:val="single" w:sz="4" w:space="0" w:color="auto"/>
            </w:tcBorders>
            <w:shd w:val="clear" w:color="000000" w:fill="FFFFFF"/>
            <w:noWrap/>
            <w:vAlign w:val="bottom"/>
            <w:hideMark/>
          </w:tcPr>
          <w:p w14:paraId="5F765B38" w14:textId="1A64BE8B"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3E" w14:textId="77777777" w:rsidTr="004F4884">
        <w:trPr>
          <w:trHeight w:val="249"/>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3B"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Gällivare</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3C" w14:textId="2C21F31D"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20-3</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42" w14:textId="77777777" w:rsidTr="004F4884">
        <w:trPr>
          <w:trHeight w:val="249"/>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3F"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Gävle</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40" w14:textId="14921877"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46"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43"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Karlskrona</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44" w14:textId="79BF8E20"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20-3</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4A" w14:textId="77777777" w:rsidTr="004F4884">
        <w:trPr>
          <w:trHeight w:val="249"/>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47" w14:textId="77777777" w:rsidR="001B7D9F" w:rsidRPr="00211FC8" w:rsidRDefault="001B7D9F" w:rsidP="00C7454E">
            <w:pPr>
              <w:spacing w:after="0"/>
              <w:jc w:val="center"/>
              <w:rPr>
                <w:color w:val="000000"/>
                <w:sz w:val="16"/>
                <w:szCs w:val="16"/>
                <w:lang w:eastAsia="sv-SE"/>
              </w:rPr>
            </w:pPr>
            <w:r w:rsidRPr="00211FC8">
              <w:rPr>
                <w:color w:val="000000"/>
                <w:sz w:val="16"/>
                <w:szCs w:val="16"/>
                <w:lang w:eastAsia="sv-SE"/>
              </w:rPr>
              <w:t>Karlstad</w:t>
            </w:r>
          </w:p>
        </w:tc>
        <w:tc>
          <w:tcPr>
            <w:tcW w:w="2833" w:type="dxa"/>
            <w:tcBorders>
              <w:top w:val="nil"/>
              <w:left w:val="nil"/>
              <w:bottom w:val="single" w:sz="4" w:space="0" w:color="auto"/>
              <w:right w:val="single" w:sz="4" w:space="0" w:color="auto"/>
            </w:tcBorders>
            <w:shd w:val="clear" w:color="000000" w:fill="FFFFFF"/>
            <w:noWrap/>
            <w:vAlign w:val="bottom"/>
            <w:hideMark/>
          </w:tcPr>
          <w:p w14:paraId="5F765B48" w14:textId="28A8994D"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4E"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4B" w14:textId="77777777" w:rsidR="001B7D9F" w:rsidRPr="00211FC8" w:rsidRDefault="001B7D9F" w:rsidP="00C7454E">
            <w:pPr>
              <w:spacing w:after="0"/>
              <w:jc w:val="center"/>
              <w:rPr>
                <w:color w:val="000000"/>
                <w:sz w:val="16"/>
                <w:szCs w:val="16"/>
                <w:lang w:eastAsia="sv-SE"/>
              </w:rPr>
            </w:pPr>
            <w:r w:rsidRPr="00211FC8">
              <w:rPr>
                <w:color w:val="000000"/>
                <w:sz w:val="16"/>
                <w:szCs w:val="16"/>
                <w:lang w:eastAsia="sv-SE"/>
              </w:rPr>
              <w:t>Linköping</w:t>
            </w:r>
          </w:p>
        </w:tc>
        <w:tc>
          <w:tcPr>
            <w:tcW w:w="2833" w:type="dxa"/>
            <w:tcBorders>
              <w:top w:val="nil"/>
              <w:left w:val="nil"/>
              <w:bottom w:val="single" w:sz="4" w:space="0" w:color="auto"/>
              <w:right w:val="single" w:sz="4" w:space="0" w:color="auto"/>
            </w:tcBorders>
            <w:shd w:val="clear" w:color="000000" w:fill="FFFFFF"/>
            <w:noWrap/>
            <w:vAlign w:val="bottom"/>
            <w:hideMark/>
          </w:tcPr>
          <w:p w14:paraId="5F765B4C" w14:textId="21C7DD35"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40-5</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52"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4F"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Strömstad</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50" w14:textId="7D79E72E"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56" w14:textId="77777777" w:rsidTr="004F4884">
        <w:trPr>
          <w:trHeight w:val="249"/>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53"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Södertälje</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54" w14:textId="42E1895D"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50-6</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5A" w14:textId="77777777" w:rsidTr="004F4884">
        <w:trPr>
          <w:trHeight w:val="249"/>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57"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Trollhättan</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58" w14:textId="6607ADFE"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50-6</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5E"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5B"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Värnamo</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5C" w14:textId="1C125D4C"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50-6</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62"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5F"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Örebro</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60" w14:textId="3872DD11"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66" w14:textId="77777777" w:rsidTr="004F4884">
        <w:trPr>
          <w:trHeight w:val="249"/>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63"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Östersund</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64" w14:textId="3ED22EFF"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6A" w14:textId="77777777" w:rsidTr="004F4884">
        <w:trPr>
          <w:trHeight w:val="249"/>
        </w:trPr>
        <w:tc>
          <w:tcPr>
            <w:tcW w:w="2319" w:type="dxa"/>
            <w:tcBorders>
              <w:top w:val="nil"/>
              <w:left w:val="single" w:sz="4" w:space="0" w:color="auto"/>
              <w:bottom w:val="single" w:sz="4" w:space="0" w:color="auto"/>
              <w:right w:val="nil"/>
            </w:tcBorders>
            <w:shd w:val="clear" w:color="000000" w:fill="D7D9BF"/>
            <w:noWrap/>
            <w:vAlign w:val="bottom"/>
            <w:hideMark/>
          </w:tcPr>
          <w:p w14:paraId="5F765B67" w14:textId="77777777" w:rsidR="001B7D9F" w:rsidRPr="00211FC8" w:rsidRDefault="001B7D9F" w:rsidP="00C7454E">
            <w:pPr>
              <w:spacing w:after="0"/>
              <w:jc w:val="center"/>
              <w:rPr>
                <w:b/>
                <w:bCs/>
                <w:color w:val="000000"/>
                <w:sz w:val="16"/>
                <w:szCs w:val="16"/>
                <w:lang w:eastAsia="sv-SE"/>
              </w:rPr>
            </w:pPr>
            <w:r w:rsidRPr="00211FC8">
              <w:rPr>
                <w:b/>
                <w:bCs/>
                <w:color w:val="000000"/>
                <w:sz w:val="16"/>
                <w:szCs w:val="16"/>
                <w:lang w:eastAsia="sv-SE"/>
              </w:rPr>
              <w:t>Finland</w:t>
            </w:r>
          </w:p>
        </w:tc>
        <w:tc>
          <w:tcPr>
            <w:tcW w:w="2833" w:type="dxa"/>
            <w:tcBorders>
              <w:top w:val="nil"/>
              <w:left w:val="nil"/>
              <w:bottom w:val="single" w:sz="4" w:space="0" w:color="auto"/>
              <w:right w:val="nil"/>
            </w:tcBorders>
            <w:shd w:val="clear" w:color="000000" w:fill="D7D9BF"/>
            <w:noWrap/>
            <w:vAlign w:val="bottom"/>
            <w:hideMark/>
          </w:tcPr>
          <w:p w14:paraId="5F765B68" w14:textId="77777777" w:rsidR="001B7D9F" w:rsidRPr="00211FC8" w:rsidRDefault="001B7D9F" w:rsidP="00C7454E">
            <w:pPr>
              <w:spacing w:after="0"/>
              <w:jc w:val="center"/>
              <w:rPr>
                <w:color w:val="000000"/>
                <w:sz w:val="16"/>
                <w:szCs w:val="16"/>
                <w:lang w:eastAsia="sv-SE"/>
              </w:rPr>
            </w:pPr>
          </w:p>
        </w:tc>
      </w:tr>
      <w:tr w:rsidR="001B7D9F" w:rsidRPr="00211FC8" w14:paraId="5F765B6E"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6B"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Kajana</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6C" w14:textId="4EC2E11C"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40-5</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72" w14:textId="77777777" w:rsidTr="004F4884">
        <w:trPr>
          <w:trHeight w:val="249"/>
        </w:trPr>
        <w:tc>
          <w:tcPr>
            <w:tcW w:w="2319" w:type="dxa"/>
            <w:tcBorders>
              <w:top w:val="nil"/>
              <w:left w:val="single" w:sz="4" w:space="0" w:color="auto"/>
              <w:bottom w:val="single" w:sz="4" w:space="0" w:color="auto"/>
              <w:right w:val="nil"/>
            </w:tcBorders>
            <w:shd w:val="clear" w:color="000000" w:fill="D7D9BF"/>
            <w:noWrap/>
            <w:vAlign w:val="bottom"/>
            <w:hideMark/>
          </w:tcPr>
          <w:p w14:paraId="5F765B6F" w14:textId="77777777" w:rsidR="001B7D9F" w:rsidRPr="00211FC8" w:rsidRDefault="001B7D9F" w:rsidP="00C7454E">
            <w:pPr>
              <w:spacing w:after="0"/>
              <w:jc w:val="center"/>
              <w:rPr>
                <w:b/>
                <w:bCs/>
                <w:color w:val="000000"/>
                <w:sz w:val="16"/>
                <w:szCs w:val="16"/>
                <w:lang w:eastAsia="sv-SE"/>
              </w:rPr>
            </w:pPr>
            <w:r w:rsidRPr="00211FC8">
              <w:rPr>
                <w:b/>
                <w:bCs/>
                <w:color w:val="000000"/>
                <w:sz w:val="16"/>
                <w:szCs w:val="16"/>
                <w:lang w:eastAsia="sv-SE"/>
              </w:rPr>
              <w:t>Norway</w:t>
            </w:r>
          </w:p>
        </w:tc>
        <w:tc>
          <w:tcPr>
            <w:tcW w:w="2833" w:type="dxa"/>
            <w:tcBorders>
              <w:top w:val="nil"/>
              <w:left w:val="nil"/>
              <w:bottom w:val="single" w:sz="4" w:space="0" w:color="auto"/>
              <w:right w:val="nil"/>
            </w:tcBorders>
            <w:shd w:val="clear" w:color="000000" w:fill="D7D9BF"/>
            <w:noWrap/>
            <w:vAlign w:val="bottom"/>
            <w:hideMark/>
          </w:tcPr>
          <w:p w14:paraId="5F765B70" w14:textId="77777777" w:rsidR="001B7D9F" w:rsidRPr="00211FC8" w:rsidRDefault="001B7D9F" w:rsidP="00C7454E">
            <w:pPr>
              <w:spacing w:after="0"/>
              <w:jc w:val="center"/>
              <w:rPr>
                <w:b/>
                <w:bCs/>
                <w:color w:val="000000"/>
                <w:sz w:val="16"/>
                <w:szCs w:val="16"/>
                <w:lang w:eastAsia="sv-SE"/>
              </w:rPr>
            </w:pPr>
          </w:p>
        </w:tc>
      </w:tr>
      <w:tr w:rsidR="001B7D9F" w:rsidRPr="00211FC8" w14:paraId="5F765B76"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73"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Finnmark</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74" w14:textId="53520A4A" w:rsidR="001B7D9F" w:rsidRPr="00211FC8" w:rsidRDefault="008F1061" w:rsidP="00C7454E">
            <w:pPr>
              <w:spacing w:after="0"/>
              <w:jc w:val="center"/>
              <w:rPr>
                <w:color w:val="000000"/>
                <w:sz w:val="16"/>
                <w:szCs w:val="16"/>
                <w:lang w:eastAsia="sv-SE"/>
              </w:rPr>
            </w:pPr>
            <w:r w:rsidRPr="008F1061">
              <w:rPr>
                <w:iCs/>
                <w:sz w:val="23"/>
                <w:szCs w:val="23"/>
              </w:rPr>
              <w:t>[</w:t>
            </w:r>
            <w:r>
              <w:rPr>
                <w:color w:val="000000"/>
                <w:sz w:val="16"/>
                <w:szCs w:val="16"/>
                <w:lang w:eastAsia="sv-SE"/>
              </w:rPr>
              <w:t>40-5</w:t>
            </w:r>
            <w:r w:rsidRPr="008F1061">
              <w:rPr>
                <w:color w:val="000000"/>
                <w:sz w:val="16"/>
                <w:szCs w:val="16"/>
                <w:lang w:eastAsia="sv-SE"/>
              </w:rPr>
              <w:t>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r w:rsidR="001B7D9F" w:rsidRPr="00211FC8" w14:paraId="5F765B7A" w14:textId="77777777" w:rsidTr="004F4884">
        <w:trPr>
          <w:trHeight w:val="263"/>
        </w:trPr>
        <w:tc>
          <w:tcPr>
            <w:tcW w:w="2319" w:type="dxa"/>
            <w:tcBorders>
              <w:top w:val="nil"/>
              <w:left w:val="single" w:sz="4" w:space="0" w:color="auto"/>
              <w:bottom w:val="single" w:sz="4" w:space="0" w:color="auto"/>
              <w:right w:val="single" w:sz="4" w:space="0" w:color="auto"/>
            </w:tcBorders>
            <w:shd w:val="clear" w:color="000000" w:fill="FFFFFF"/>
            <w:noWrap/>
            <w:vAlign w:val="bottom"/>
            <w:hideMark/>
          </w:tcPr>
          <w:p w14:paraId="5F765B77" w14:textId="77777777" w:rsidR="001B7D9F" w:rsidRPr="00211FC8" w:rsidRDefault="001B7D9F" w:rsidP="00C7454E">
            <w:pPr>
              <w:spacing w:after="0"/>
              <w:jc w:val="center"/>
              <w:rPr>
                <w:color w:val="000000"/>
                <w:sz w:val="16"/>
                <w:szCs w:val="16"/>
                <w:lang w:eastAsia="sv-SE"/>
              </w:rPr>
            </w:pPr>
            <w:proofErr w:type="spellStart"/>
            <w:r w:rsidRPr="00211FC8">
              <w:rPr>
                <w:color w:val="000000"/>
                <w:sz w:val="16"/>
                <w:szCs w:val="16"/>
                <w:lang w:eastAsia="sv-SE"/>
              </w:rPr>
              <w:t>Sør-Trøndelag</w:t>
            </w:r>
            <w:proofErr w:type="spellEnd"/>
          </w:p>
        </w:tc>
        <w:tc>
          <w:tcPr>
            <w:tcW w:w="2833" w:type="dxa"/>
            <w:tcBorders>
              <w:top w:val="nil"/>
              <w:left w:val="nil"/>
              <w:bottom w:val="single" w:sz="4" w:space="0" w:color="auto"/>
              <w:right w:val="single" w:sz="4" w:space="0" w:color="auto"/>
            </w:tcBorders>
            <w:shd w:val="clear" w:color="000000" w:fill="FFFFFF"/>
            <w:noWrap/>
            <w:vAlign w:val="bottom"/>
            <w:hideMark/>
          </w:tcPr>
          <w:p w14:paraId="5F765B78" w14:textId="0DF9154F" w:rsidR="001B7D9F" w:rsidRPr="00211FC8" w:rsidRDefault="008F1061" w:rsidP="00C7454E">
            <w:pPr>
              <w:spacing w:after="0"/>
              <w:jc w:val="center"/>
              <w:rPr>
                <w:color w:val="000000"/>
                <w:sz w:val="16"/>
                <w:szCs w:val="16"/>
                <w:lang w:eastAsia="sv-SE"/>
              </w:rPr>
            </w:pPr>
            <w:r w:rsidRPr="008F1061">
              <w:rPr>
                <w:iCs/>
                <w:sz w:val="23"/>
                <w:szCs w:val="23"/>
              </w:rPr>
              <w:t>[</w:t>
            </w:r>
            <w:r w:rsidRPr="008F1061">
              <w:rPr>
                <w:color w:val="000000"/>
                <w:sz w:val="16"/>
                <w:szCs w:val="16"/>
                <w:lang w:eastAsia="sv-SE"/>
              </w:rPr>
              <w:t>30-40</w:t>
            </w:r>
            <w:r w:rsidRPr="008F1061">
              <w:rPr>
                <w:iCs/>
                <w:sz w:val="23"/>
                <w:szCs w:val="23"/>
              </w:rPr>
              <w:t>]</w:t>
            </w:r>
            <w:r w:rsidRPr="008F1061">
              <w:rPr>
                <w:color w:val="000000"/>
                <w:sz w:val="16"/>
                <w:szCs w:val="16"/>
                <w:lang w:eastAsia="sv-SE"/>
              </w:rPr>
              <w:t xml:space="preserve"> </w:t>
            </w:r>
            <w:r w:rsidRPr="00211FC8">
              <w:rPr>
                <w:color w:val="000000"/>
                <w:sz w:val="16"/>
                <w:szCs w:val="16"/>
                <w:lang w:eastAsia="sv-SE"/>
              </w:rPr>
              <w:t>%</w:t>
            </w:r>
          </w:p>
        </w:tc>
      </w:tr>
    </w:tbl>
    <w:p w14:paraId="5F765B7B" w14:textId="677E5F82" w:rsidR="00FB4138" w:rsidRPr="00793640" w:rsidRDefault="00261471" w:rsidP="00FB4138">
      <w:pPr>
        <w:pStyle w:val="NumPar1"/>
        <w:numPr>
          <w:ilvl w:val="0"/>
          <w:numId w:val="0"/>
        </w:numPr>
        <w:ind w:left="360" w:hanging="360"/>
        <w:rPr>
          <w:i/>
          <w:sz w:val="22"/>
          <w:szCs w:val="22"/>
        </w:rPr>
      </w:pPr>
      <w:r>
        <w:tab/>
      </w:r>
      <w:r>
        <w:tab/>
      </w:r>
      <w:r>
        <w:tab/>
        <w:t xml:space="preserve">    </w:t>
      </w:r>
      <w:r w:rsidRPr="00793640">
        <w:rPr>
          <w:i/>
          <w:sz w:val="22"/>
          <w:szCs w:val="22"/>
        </w:rPr>
        <w:t>Source: Form CO</w:t>
      </w:r>
    </w:p>
    <w:p w14:paraId="4A4AAAAF" w14:textId="619C3C54" w:rsidR="00E16052" w:rsidRPr="00E16052" w:rsidRDefault="00E16052" w:rsidP="00E16052">
      <w:pPr>
        <w:pStyle w:val="ListNumber"/>
        <w:numPr>
          <w:ilvl w:val="0"/>
          <w:numId w:val="2"/>
        </w:numPr>
        <w:tabs>
          <w:tab w:val="num" w:pos="709"/>
        </w:tabs>
        <w:ind w:left="709" w:hanging="709"/>
      </w:pPr>
      <w:r w:rsidRPr="00E16052">
        <w:t xml:space="preserve">According to the Parties, </w:t>
      </w:r>
      <w:r w:rsidR="00500A0A">
        <w:t xml:space="preserve">the </w:t>
      </w:r>
      <w:r w:rsidR="00996A4D">
        <w:t xml:space="preserve">vertical </w:t>
      </w:r>
      <w:r w:rsidR="00B530FC">
        <w:t xml:space="preserve">link </w:t>
      </w:r>
      <w:r w:rsidR="00996A4D">
        <w:t xml:space="preserve">is purely hypothetical as there is no actual relationship between </w:t>
      </w:r>
      <w:proofErr w:type="spellStart"/>
      <w:r w:rsidR="00AB072C">
        <w:t>Scandic</w:t>
      </w:r>
      <w:proofErr w:type="spellEnd"/>
      <w:r w:rsidR="00AB072C">
        <w:t xml:space="preserve"> and </w:t>
      </w:r>
      <w:r w:rsidR="00996A4D">
        <w:t xml:space="preserve">MTS Globe and it is unlikely that they would enter into a customer/supplier relationship in the future. </w:t>
      </w:r>
    </w:p>
    <w:p w14:paraId="592D8FCA" w14:textId="77777777" w:rsidR="00237796" w:rsidRPr="00175984" w:rsidRDefault="00237796" w:rsidP="00237796">
      <w:pPr>
        <w:pStyle w:val="Heading3"/>
        <w:rPr>
          <w:i w:val="0"/>
        </w:rPr>
      </w:pPr>
      <w:r>
        <w:rPr>
          <w:i w:val="0"/>
        </w:rPr>
        <w:lastRenderedPageBreak/>
        <w:t>Input</w:t>
      </w:r>
      <w:r w:rsidRPr="00175984">
        <w:rPr>
          <w:i w:val="0"/>
        </w:rPr>
        <w:t xml:space="preserve"> foreclosure</w:t>
      </w:r>
    </w:p>
    <w:p w14:paraId="43F22BB3" w14:textId="0F28AF47" w:rsidR="00237796" w:rsidRDefault="00237796" w:rsidP="003055CA">
      <w:pPr>
        <w:pStyle w:val="ListNumber"/>
        <w:numPr>
          <w:ilvl w:val="0"/>
          <w:numId w:val="2"/>
        </w:numPr>
        <w:tabs>
          <w:tab w:val="num" w:pos="709"/>
        </w:tabs>
        <w:ind w:left="709" w:hanging="709"/>
      </w:pPr>
      <w:r>
        <w:t xml:space="preserve">The Commission </w:t>
      </w:r>
      <w:r w:rsidR="00AB072C">
        <w:t xml:space="preserve">has </w:t>
      </w:r>
      <w:r>
        <w:t xml:space="preserve">assessed whether the </w:t>
      </w:r>
      <w:r w:rsidR="00E6643C">
        <w:t>merged entity</w:t>
      </w:r>
      <w:r>
        <w:t xml:space="preserve"> would likely foreclose </w:t>
      </w:r>
      <w:r w:rsidR="00E6643C">
        <w:t xml:space="preserve">its </w:t>
      </w:r>
      <w:r>
        <w:t xml:space="preserve">competitors from access to hotel inventory post-Transaction. </w:t>
      </w:r>
      <w:r w:rsidR="002C36A7">
        <w:t xml:space="preserve">In particular, </w:t>
      </w:r>
      <w:r>
        <w:t xml:space="preserve">the Commission </w:t>
      </w:r>
      <w:r w:rsidR="00F302B1">
        <w:t xml:space="preserve">has </w:t>
      </w:r>
      <w:r>
        <w:t xml:space="preserve">considered whether the </w:t>
      </w:r>
      <w:r w:rsidR="00E6643C">
        <w:t>merged entity</w:t>
      </w:r>
      <w:r>
        <w:t xml:space="preserve"> would have (</w:t>
      </w:r>
      <w:proofErr w:type="spellStart"/>
      <w:r>
        <w:t>i</w:t>
      </w:r>
      <w:proofErr w:type="spellEnd"/>
      <w:r>
        <w:t xml:space="preserve">) the ability to foreclose other intermediaries' access to hotel inventory, </w:t>
      </w:r>
      <w:r w:rsidR="00F302B1">
        <w:t xml:space="preserve">and </w:t>
      </w:r>
      <w:r>
        <w:t xml:space="preserve">(ii) </w:t>
      </w:r>
      <w:r w:rsidR="00F302B1">
        <w:t xml:space="preserve">the </w:t>
      </w:r>
      <w:r>
        <w:t>incentive to do so.</w:t>
      </w:r>
      <w:r>
        <w:rPr>
          <w:rStyle w:val="FootnoteReference"/>
        </w:rPr>
        <w:footnoteReference w:id="24"/>
      </w:r>
    </w:p>
    <w:p w14:paraId="3C833A69" w14:textId="594448E3" w:rsidR="00237796" w:rsidRDefault="00F302B1" w:rsidP="003055CA">
      <w:pPr>
        <w:pStyle w:val="ListNumber"/>
        <w:numPr>
          <w:ilvl w:val="0"/>
          <w:numId w:val="2"/>
        </w:numPr>
        <w:tabs>
          <w:tab w:val="num" w:pos="709"/>
        </w:tabs>
        <w:ind w:left="709" w:hanging="709"/>
      </w:pPr>
      <w:r>
        <w:t>For the reasons set out below, t</w:t>
      </w:r>
      <w:r w:rsidR="00237796">
        <w:t xml:space="preserve">he Commission </w:t>
      </w:r>
      <w:r>
        <w:t xml:space="preserve">concludes </w:t>
      </w:r>
      <w:r w:rsidR="00237796">
        <w:t xml:space="preserve">that </w:t>
      </w:r>
      <w:r w:rsidR="007E74DC">
        <w:t xml:space="preserve">the merged entity </w:t>
      </w:r>
      <w:r w:rsidR="00237796">
        <w:t xml:space="preserve">would </w:t>
      </w:r>
      <w:r>
        <w:t xml:space="preserve">have </w:t>
      </w:r>
      <w:r w:rsidR="007E74DC">
        <w:t>n</w:t>
      </w:r>
      <w:r>
        <w:t xml:space="preserve">either </w:t>
      </w:r>
      <w:r w:rsidR="00237796">
        <w:t xml:space="preserve">the ability </w:t>
      </w:r>
      <w:r w:rsidR="007E74DC">
        <w:t>n</w:t>
      </w:r>
      <w:r>
        <w:t xml:space="preserve">or the </w:t>
      </w:r>
      <w:r w:rsidR="00237796">
        <w:t xml:space="preserve">incentive to foreclose competitors from access to its inventory. </w:t>
      </w:r>
    </w:p>
    <w:p w14:paraId="6D9DA524" w14:textId="4C1FEEA1" w:rsidR="00360A19" w:rsidRPr="00360A19" w:rsidRDefault="00237796" w:rsidP="00360A19">
      <w:pPr>
        <w:pStyle w:val="ListNumber"/>
        <w:numPr>
          <w:ilvl w:val="0"/>
          <w:numId w:val="2"/>
        </w:numPr>
        <w:tabs>
          <w:tab w:val="num" w:pos="709"/>
        </w:tabs>
        <w:ind w:left="709" w:hanging="709"/>
      </w:pPr>
      <w:r>
        <w:t>First,</w:t>
      </w:r>
      <w:r w:rsidR="00360A19">
        <w:t xml:space="preserve"> </w:t>
      </w:r>
      <w:r w:rsidR="00360A19" w:rsidRPr="00360A19">
        <w:t>MTS OTS</w:t>
      </w:r>
      <w:r w:rsidR="00F302B1">
        <w:t>'</w:t>
      </w:r>
      <w:r w:rsidR="00360A19" w:rsidRPr="00360A19">
        <w:t xml:space="preserve"> share on the markets for hotel </w:t>
      </w:r>
      <w:r w:rsidR="0082608B">
        <w:t xml:space="preserve">intermediation is well below </w:t>
      </w:r>
      <w:r w:rsidR="0082608B" w:rsidRPr="008F1061">
        <w:rPr>
          <w:iCs/>
          <w:sz w:val="23"/>
          <w:szCs w:val="23"/>
        </w:rPr>
        <w:t>[</w:t>
      </w:r>
      <w:r w:rsidR="0082608B" w:rsidRPr="0082608B">
        <w:t>20-30] %</w:t>
      </w:r>
      <w:r w:rsidR="00360A19" w:rsidRPr="00360A19">
        <w:t xml:space="preserve"> under any plausible market definition.</w:t>
      </w:r>
    </w:p>
    <w:p w14:paraId="386454CB" w14:textId="2BAD1EA9" w:rsidR="006E0A1F" w:rsidRDefault="00360A19" w:rsidP="003055CA">
      <w:pPr>
        <w:pStyle w:val="ListNumber"/>
        <w:numPr>
          <w:ilvl w:val="0"/>
          <w:numId w:val="2"/>
        </w:numPr>
        <w:tabs>
          <w:tab w:val="num" w:pos="709"/>
        </w:tabs>
        <w:ind w:left="709" w:hanging="709"/>
      </w:pPr>
      <w:r>
        <w:t xml:space="preserve">Second, </w:t>
      </w:r>
      <w:r w:rsidR="000E1B81">
        <w:t xml:space="preserve">MTS OTS is not offering inventory from any hotels in any countries where </w:t>
      </w:r>
      <w:proofErr w:type="spellStart"/>
      <w:r w:rsidR="000E1B81">
        <w:t>Scandic</w:t>
      </w:r>
      <w:proofErr w:type="spellEnd"/>
      <w:r w:rsidR="000E1B81">
        <w:t xml:space="preserve"> and its </w:t>
      </w:r>
      <w:r w:rsidR="000D73C1">
        <w:t>competitors</w:t>
      </w:r>
      <w:r w:rsidR="000E1B81">
        <w:t xml:space="preserve"> are active</w:t>
      </w:r>
      <w:r w:rsidR="006E0A1F">
        <w:t xml:space="preserve">. </w:t>
      </w:r>
    </w:p>
    <w:p w14:paraId="11649375" w14:textId="4F7C1B24" w:rsidR="00237796" w:rsidRDefault="00360A19" w:rsidP="003055CA">
      <w:pPr>
        <w:pStyle w:val="ListNumber"/>
        <w:numPr>
          <w:ilvl w:val="0"/>
          <w:numId w:val="2"/>
        </w:numPr>
        <w:tabs>
          <w:tab w:val="num" w:pos="709"/>
        </w:tabs>
        <w:ind w:left="709" w:hanging="709"/>
      </w:pPr>
      <w:r>
        <w:t xml:space="preserve">Third, </w:t>
      </w:r>
      <w:r w:rsidR="00237796">
        <w:t>other intermediaries could</w:t>
      </w:r>
      <w:r w:rsidR="00285E0E">
        <w:t xml:space="preserve"> </w:t>
      </w:r>
      <w:r w:rsidR="00237796">
        <w:t xml:space="preserve">replace </w:t>
      </w:r>
      <w:proofErr w:type="spellStart"/>
      <w:r w:rsidR="00237796">
        <w:t>Scandic</w:t>
      </w:r>
      <w:proofErr w:type="spellEnd"/>
      <w:r w:rsidR="00237796">
        <w:t xml:space="preserve"> with other hotel</w:t>
      </w:r>
      <w:r w:rsidR="000E1B81">
        <w:t xml:space="preserve">s </w:t>
      </w:r>
      <w:r w:rsidR="00285E0E">
        <w:t xml:space="preserve">chains </w:t>
      </w:r>
      <w:r w:rsidR="00237796" w:rsidRPr="00285E0E">
        <w:t>such as Accor, Best Western and Intercontinental Group and independent hotels</w:t>
      </w:r>
      <w:r w:rsidR="00285E0E">
        <w:t xml:space="preserve"> in various locations acr</w:t>
      </w:r>
      <w:r w:rsidR="00E6643C">
        <w:t>o</w:t>
      </w:r>
      <w:r w:rsidR="00285E0E">
        <w:t>ss the EEA</w:t>
      </w:r>
      <w:r w:rsidR="00237796">
        <w:t xml:space="preserve">, should </w:t>
      </w:r>
      <w:proofErr w:type="spellStart"/>
      <w:r w:rsidR="00237796">
        <w:t>Scandic</w:t>
      </w:r>
      <w:proofErr w:type="spellEnd"/>
      <w:r w:rsidR="00237796">
        <w:t xml:space="preserve"> chose to restrict its hotel content solely to </w:t>
      </w:r>
      <w:r w:rsidR="00801AE7">
        <w:t xml:space="preserve">the </w:t>
      </w:r>
      <w:r w:rsidR="000E1B81" w:rsidRPr="009E3A4F">
        <w:t>GTA</w:t>
      </w:r>
      <w:r w:rsidR="00285E0E" w:rsidRPr="009E3A4F">
        <w:t>/</w:t>
      </w:r>
      <w:r w:rsidR="000E1B81" w:rsidRPr="00162BD6">
        <w:t>OTS</w:t>
      </w:r>
      <w:r w:rsidR="00E6643C" w:rsidRPr="00162BD6">
        <w:t xml:space="preserve"> </w:t>
      </w:r>
      <w:r w:rsidR="00020DF0" w:rsidRPr="00162BD6">
        <w:t>business</w:t>
      </w:r>
      <w:r w:rsidR="00801AE7" w:rsidRPr="00162BD6">
        <w:t>es</w:t>
      </w:r>
      <w:r w:rsidR="00237796" w:rsidRPr="009E3A4F">
        <w:t>.</w:t>
      </w:r>
      <w:r w:rsidR="00237796">
        <w:t xml:space="preserve"> </w:t>
      </w:r>
    </w:p>
    <w:p w14:paraId="5A79A3A7" w14:textId="2393CCAA" w:rsidR="00237796" w:rsidRDefault="00F302B1" w:rsidP="003055CA">
      <w:pPr>
        <w:pStyle w:val="ListNumber"/>
        <w:numPr>
          <w:ilvl w:val="0"/>
          <w:numId w:val="2"/>
        </w:numPr>
        <w:tabs>
          <w:tab w:val="num" w:pos="709"/>
        </w:tabs>
        <w:ind w:left="709" w:hanging="709"/>
      </w:pPr>
      <w:r>
        <w:t>Fourth</w:t>
      </w:r>
      <w:r w:rsidR="00091068">
        <w:t xml:space="preserve">, </w:t>
      </w:r>
      <w:proofErr w:type="spellStart"/>
      <w:r w:rsidR="00091068">
        <w:t>Scandic</w:t>
      </w:r>
      <w:proofErr w:type="spellEnd"/>
      <w:r w:rsidR="00091068">
        <w:t xml:space="preserve"> accounted for only </w:t>
      </w:r>
      <w:r w:rsidR="00057DAE" w:rsidRPr="00057DAE">
        <w:rPr>
          <w:iCs/>
          <w:sz w:val="23"/>
          <w:szCs w:val="23"/>
        </w:rPr>
        <w:t>[…</w:t>
      </w:r>
      <w:proofErr w:type="gramStart"/>
      <w:r w:rsidR="00057DAE" w:rsidRPr="00057DAE">
        <w:rPr>
          <w:iCs/>
          <w:sz w:val="23"/>
          <w:szCs w:val="23"/>
        </w:rPr>
        <w:t>]</w:t>
      </w:r>
      <w:r w:rsidR="00237796">
        <w:t>%</w:t>
      </w:r>
      <w:proofErr w:type="gramEnd"/>
      <w:r w:rsidR="00237796">
        <w:t xml:space="preserve"> of the total room nights sold in the EEA in 2015 and therefore its room inventory is unlikely to be an important input for intermediaries. </w:t>
      </w:r>
    </w:p>
    <w:p w14:paraId="0D9C71E5" w14:textId="6B143B47" w:rsidR="000E1B81" w:rsidRDefault="00F302B1" w:rsidP="003055CA">
      <w:pPr>
        <w:pStyle w:val="ListNumber"/>
        <w:numPr>
          <w:ilvl w:val="0"/>
          <w:numId w:val="2"/>
        </w:numPr>
        <w:tabs>
          <w:tab w:val="num" w:pos="709"/>
        </w:tabs>
        <w:ind w:left="709" w:hanging="709"/>
      </w:pPr>
      <w:r>
        <w:t>Fifth</w:t>
      </w:r>
      <w:r w:rsidR="00237796">
        <w:t xml:space="preserve">, </w:t>
      </w:r>
      <w:r w:rsidR="000E1B81">
        <w:t xml:space="preserve">distribution through </w:t>
      </w:r>
      <w:r w:rsidR="000E1B81" w:rsidRPr="00020DF0">
        <w:t xml:space="preserve">GTA </w:t>
      </w:r>
      <w:r w:rsidR="00091068">
        <w:t xml:space="preserve">accounted for only </w:t>
      </w:r>
      <w:r w:rsidR="00057DAE" w:rsidRPr="00057DAE">
        <w:rPr>
          <w:iCs/>
          <w:sz w:val="23"/>
          <w:szCs w:val="23"/>
        </w:rPr>
        <w:t>[…</w:t>
      </w:r>
      <w:proofErr w:type="gramStart"/>
      <w:r w:rsidR="00057DAE" w:rsidRPr="00057DAE">
        <w:rPr>
          <w:iCs/>
          <w:sz w:val="23"/>
          <w:szCs w:val="23"/>
        </w:rPr>
        <w:t>]</w:t>
      </w:r>
      <w:r w:rsidR="000E1B81">
        <w:t>%</w:t>
      </w:r>
      <w:proofErr w:type="gramEnd"/>
      <w:r w:rsidR="000E1B81">
        <w:t xml:space="preserve"> of </w:t>
      </w:r>
      <w:proofErr w:type="spellStart"/>
      <w:r w:rsidR="000E1B81">
        <w:t>Scandic's</w:t>
      </w:r>
      <w:proofErr w:type="spellEnd"/>
      <w:r w:rsidR="000E1B81">
        <w:t xml:space="preserve"> sold room nights and </w:t>
      </w:r>
      <w:proofErr w:type="spellStart"/>
      <w:r w:rsidR="00187A98">
        <w:t>Scandic</w:t>
      </w:r>
      <w:proofErr w:type="spellEnd"/>
      <w:r w:rsidR="00187A98">
        <w:t xml:space="preserve"> sold no room nights through OTS</w:t>
      </w:r>
      <w:r w:rsidR="000E1B81">
        <w:t xml:space="preserve"> in 2015.</w:t>
      </w:r>
    </w:p>
    <w:p w14:paraId="079F526C" w14:textId="14BB05E3" w:rsidR="00071F27" w:rsidRPr="00986C1C" w:rsidRDefault="00071F27" w:rsidP="004F4884">
      <w:pPr>
        <w:pStyle w:val="Heading3"/>
      </w:pPr>
      <w:r w:rsidRPr="004F4884">
        <w:rPr>
          <w:i w:val="0"/>
        </w:rPr>
        <w:t>Customer foreclosure</w:t>
      </w:r>
    </w:p>
    <w:p w14:paraId="768AE51B" w14:textId="2B7DF171" w:rsidR="003A55A2" w:rsidRDefault="003A55A2" w:rsidP="003055CA">
      <w:pPr>
        <w:pStyle w:val="ListNumber"/>
        <w:numPr>
          <w:ilvl w:val="0"/>
          <w:numId w:val="2"/>
        </w:numPr>
        <w:tabs>
          <w:tab w:val="num" w:pos="709"/>
        </w:tabs>
        <w:ind w:left="709" w:hanging="709"/>
      </w:pPr>
      <w:r>
        <w:t>The Commission</w:t>
      </w:r>
      <w:r w:rsidR="00F302B1">
        <w:t xml:space="preserve"> has</w:t>
      </w:r>
      <w:r>
        <w:t xml:space="preserve"> </w:t>
      </w:r>
      <w:r w:rsidR="00237796">
        <w:t>also</w:t>
      </w:r>
      <w:r>
        <w:t xml:space="preserve"> assessed whether</w:t>
      </w:r>
      <w:r w:rsidR="00F302B1">
        <w:t>,</w:t>
      </w:r>
      <w:r>
        <w:t xml:space="preserve"> </w:t>
      </w:r>
      <w:r w:rsidR="00D9742E">
        <w:t>post-Transaction</w:t>
      </w:r>
      <w:r w:rsidR="00F302B1">
        <w:t>,</w:t>
      </w:r>
      <w:r w:rsidR="00D9742E">
        <w:t xml:space="preserve"> </w:t>
      </w:r>
      <w:r w:rsidR="000E62DF">
        <w:t xml:space="preserve">the </w:t>
      </w:r>
      <w:r w:rsidR="00DB34CE">
        <w:t xml:space="preserve">merged entity </w:t>
      </w:r>
      <w:r w:rsidR="000E62DF">
        <w:t xml:space="preserve">would likely foreclose </w:t>
      </w:r>
      <w:proofErr w:type="spellStart"/>
      <w:r w:rsidR="00456C31">
        <w:t>Scandic's</w:t>
      </w:r>
      <w:proofErr w:type="spellEnd"/>
      <w:r w:rsidR="00456C31">
        <w:t xml:space="preserve"> </w:t>
      </w:r>
      <w:r w:rsidR="000D73C1">
        <w:t>competitors</w:t>
      </w:r>
      <w:r w:rsidR="00456C31">
        <w:t xml:space="preserve"> </w:t>
      </w:r>
      <w:r>
        <w:t xml:space="preserve">from accessing customers on the downstream market for distribution of hotel accommodation services. </w:t>
      </w:r>
      <w:r w:rsidR="002C36A7">
        <w:t xml:space="preserve">In particular, </w:t>
      </w:r>
      <w:r>
        <w:t xml:space="preserve">the Commission </w:t>
      </w:r>
      <w:r w:rsidR="00F302B1">
        <w:t xml:space="preserve">has </w:t>
      </w:r>
      <w:r>
        <w:t xml:space="preserve">considered whether the </w:t>
      </w:r>
      <w:r w:rsidR="00DB34CE">
        <w:t>merged entity</w:t>
      </w:r>
      <w:r>
        <w:t xml:space="preserve"> would have </w:t>
      </w:r>
      <w:r w:rsidR="00D9742E">
        <w:t>(</w:t>
      </w:r>
      <w:proofErr w:type="spellStart"/>
      <w:r w:rsidR="00D9742E">
        <w:t>i</w:t>
      </w:r>
      <w:proofErr w:type="spellEnd"/>
      <w:r w:rsidR="00D9742E">
        <w:t xml:space="preserve">) </w:t>
      </w:r>
      <w:r>
        <w:t xml:space="preserve">the ability to reduce its purchases from </w:t>
      </w:r>
      <w:proofErr w:type="spellStart"/>
      <w:r>
        <w:t>Scandic's</w:t>
      </w:r>
      <w:proofErr w:type="spellEnd"/>
      <w:r>
        <w:t xml:space="preserve"> competitors,</w:t>
      </w:r>
      <w:r w:rsidR="00F302B1">
        <w:t xml:space="preserve"> and</w:t>
      </w:r>
      <w:r>
        <w:t xml:space="preserve"> </w:t>
      </w:r>
      <w:r w:rsidR="00D9742E">
        <w:t xml:space="preserve">(ii) </w:t>
      </w:r>
      <w:r w:rsidR="00F302B1">
        <w:t xml:space="preserve">the </w:t>
      </w:r>
      <w:r w:rsidR="00D9742E">
        <w:t>incentive to do so</w:t>
      </w:r>
      <w:r>
        <w:t>.</w:t>
      </w:r>
      <w:r>
        <w:rPr>
          <w:rStyle w:val="FootnoteReference"/>
        </w:rPr>
        <w:footnoteReference w:id="25"/>
      </w:r>
      <w:r>
        <w:t xml:space="preserve"> </w:t>
      </w:r>
    </w:p>
    <w:p w14:paraId="22476B6B" w14:textId="09AD3054" w:rsidR="00F302B1" w:rsidRDefault="00F302B1" w:rsidP="00F302B1">
      <w:pPr>
        <w:pStyle w:val="ListNumber"/>
        <w:numPr>
          <w:ilvl w:val="0"/>
          <w:numId w:val="2"/>
        </w:numPr>
        <w:tabs>
          <w:tab w:val="num" w:pos="709"/>
        </w:tabs>
        <w:ind w:left="709" w:hanging="709"/>
      </w:pPr>
      <w:r>
        <w:t xml:space="preserve">For the reasons set out below, the Commission concludes that </w:t>
      </w:r>
      <w:r w:rsidR="007E74DC">
        <w:t>the merged entity</w:t>
      </w:r>
      <w:r w:rsidR="00FB4138">
        <w:t xml:space="preserve"> would </w:t>
      </w:r>
      <w:r>
        <w:t xml:space="preserve">have </w:t>
      </w:r>
      <w:r w:rsidR="007E74DC">
        <w:t>n</w:t>
      </w:r>
      <w:r>
        <w:t xml:space="preserve">either </w:t>
      </w:r>
      <w:r w:rsidR="00FB4138">
        <w:t xml:space="preserve">the ability </w:t>
      </w:r>
      <w:r w:rsidR="007E74DC">
        <w:t>n</w:t>
      </w:r>
      <w:r>
        <w:t xml:space="preserve">or the </w:t>
      </w:r>
      <w:r w:rsidR="00FB4138">
        <w:t xml:space="preserve">incentive to foreclose other hotels. </w:t>
      </w:r>
    </w:p>
    <w:p w14:paraId="03058A84" w14:textId="5EA3A21B" w:rsidR="00C16731" w:rsidRPr="00F02470" w:rsidRDefault="00FB4138" w:rsidP="003055CA">
      <w:pPr>
        <w:pStyle w:val="ListNumber"/>
        <w:numPr>
          <w:ilvl w:val="0"/>
          <w:numId w:val="2"/>
        </w:numPr>
        <w:tabs>
          <w:tab w:val="num" w:pos="709"/>
        </w:tabs>
        <w:ind w:left="709" w:hanging="709"/>
      </w:pPr>
      <w:r>
        <w:t xml:space="preserve">First, </w:t>
      </w:r>
      <w:r w:rsidR="008E6686">
        <w:t xml:space="preserve">even if the merged entity would cease sourcing from </w:t>
      </w:r>
      <w:proofErr w:type="spellStart"/>
      <w:r w:rsidR="008E6686">
        <w:t>Scandic's</w:t>
      </w:r>
      <w:proofErr w:type="spellEnd"/>
      <w:r w:rsidR="008E6686">
        <w:t xml:space="preserve"> competitors, those competitors would continue to have access to customers through their own channels. This is because </w:t>
      </w:r>
      <w:r>
        <w:t xml:space="preserve">a considerable proportion of hotel rooms are sold through the own distribution channels </w:t>
      </w:r>
      <w:r w:rsidR="008E6686">
        <w:t xml:space="preserve">of hotels </w:t>
      </w:r>
      <w:r w:rsidR="000B6DA1">
        <w:t xml:space="preserve">(direct customers contacts, hotel/chain websites, </w:t>
      </w:r>
      <w:r w:rsidR="00181AD1">
        <w:t xml:space="preserve">and </w:t>
      </w:r>
      <w:r w:rsidR="000B6DA1">
        <w:t xml:space="preserve">call centres) </w:t>
      </w:r>
      <w:r>
        <w:t xml:space="preserve">without depending </w:t>
      </w:r>
      <w:r w:rsidRPr="00020DF0">
        <w:t>on GT</w:t>
      </w:r>
      <w:r w:rsidR="00181AD1" w:rsidRPr="00020DF0">
        <w:t>A</w:t>
      </w:r>
      <w:r w:rsidRPr="0019776C">
        <w:t xml:space="preserve"> and </w:t>
      </w:r>
      <w:r w:rsidR="00181AD1" w:rsidRPr="00002BA3">
        <w:t>OTS</w:t>
      </w:r>
      <w:r w:rsidR="003B4BC3">
        <w:t>.</w:t>
      </w:r>
      <w:r>
        <w:t xml:space="preserve"> </w:t>
      </w:r>
      <w:r w:rsidR="00130148" w:rsidRPr="00130148">
        <w:t xml:space="preserve">In </w:t>
      </w:r>
      <w:proofErr w:type="spellStart"/>
      <w:r w:rsidR="00130148" w:rsidRPr="00130148">
        <w:t>Scandic’s</w:t>
      </w:r>
      <w:proofErr w:type="spellEnd"/>
      <w:r w:rsidR="00130148" w:rsidRPr="00130148">
        <w:t xml:space="preserve"> case </w:t>
      </w:r>
      <w:r w:rsidR="00130148" w:rsidRPr="00F02470">
        <w:t>these cha</w:t>
      </w:r>
      <w:r w:rsidR="00091068">
        <w:t xml:space="preserve">nnels represent approximately </w:t>
      </w:r>
      <w:r w:rsidR="00057DAE" w:rsidRPr="00057DAE">
        <w:rPr>
          <w:iCs/>
          <w:sz w:val="23"/>
          <w:szCs w:val="23"/>
        </w:rPr>
        <w:t>[…]</w:t>
      </w:r>
      <w:r w:rsidR="00130148" w:rsidRPr="00F02470">
        <w:t xml:space="preserve"> % of all room nights sold in the EEA</w:t>
      </w:r>
      <w:r w:rsidR="00BD060C">
        <w:t xml:space="preserve"> in </w:t>
      </w:r>
      <w:r w:rsidR="00BD060C">
        <w:lastRenderedPageBreak/>
        <w:t>2015</w:t>
      </w:r>
      <w:r w:rsidR="00300631" w:rsidRPr="00F02470">
        <w:t>.</w:t>
      </w:r>
      <w:r w:rsidR="00300631" w:rsidRPr="00F02470">
        <w:rPr>
          <w:rStyle w:val="FootnoteReference"/>
        </w:rPr>
        <w:footnoteReference w:id="26"/>
      </w:r>
      <w:r w:rsidR="00130148" w:rsidRPr="00F02470">
        <w:t xml:space="preserve"> The remainder is sold through intermediaries, including GDSs, OTAs and wholesalers. </w:t>
      </w:r>
    </w:p>
    <w:p w14:paraId="26BCCA9B" w14:textId="4510B43E" w:rsidR="00C16731" w:rsidRPr="00F02470" w:rsidRDefault="00FB4138" w:rsidP="003055CA">
      <w:pPr>
        <w:pStyle w:val="ListNumber"/>
        <w:numPr>
          <w:ilvl w:val="0"/>
          <w:numId w:val="2"/>
        </w:numPr>
        <w:tabs>
          <w:tab w:val="num" w:pos="709"/>
        </w:tabs>
        <w:ind w:left="709" w:hanging="709"/>
      </w:pPr>
      <w:r w:rsidRPr="00F02470">
        <w:t xml:space="preserve">Second, </w:t>
      </w:r>
      <w:proofErr w:type="spellStart"/>
      <w:r w:rsidR="008E6686" w:rsidRPr="00F02470">
        <w:t>Scandic</w:t>
      </w:r>
      <w:proofErr w:type="spellEnd"/>
      <w:r w:rsidR="008E6686" w:rsidRPr="00F02470">
        <w:t xml:space="preserve"> and its </w:t>
      </w:r>
      <w:r w:rsidR="000D73C1" w:rsidRPr="00F02470">
        <w:t>competitors</w:t>
      </w:r>
      <w:r w:rsidR="008E6686" w:rsidRPr="00F02470">
        <w:t xml:space="preserve"> will continue to have numerous alternatives in relation to the B2B distribution of their inventory. A</w:t>
      </w:r>
      <w:r w:rsidR="00C16731" w:rsidRPr="00F02470">
        <w:t>s regards the distribution through intermedia</w:t>
      </w:r>
      <w:r w:rsidR="00085944" w:rsidRPr="00F02470">
        <w:t>ries</w:t>
      </w:r>
      <w:r w:rsidR="00C16731" w:rsidRPr="00F02470">
        <w:t>, hotels make their content available through GDSs, OTAs</w:t>
      </w:r>
      <w:r w:rsidR="00CB24EF" w:rsidRPr="00F02470">
        <w:t>,</w:t>
      </w:r>
      <w:r w:rsidR="00C16731" w:rsidRPr="00F02470">
        <w:t xml:space="preserve"> and multiple B2B wholesalers that sell identical or equivalent hotel inventory in competition with each other. Hotels also conclude agreements with offline TAs and tour operators. GT</w:t>
      </w:r>
      <w:r w:rsidR="00300631" w:rsidRPr="00F02470">
        <w:t>A</w:t>
      </w:r>
      <w:r w:rsidR="00C16731" w:rsidRPr="00F02470">
        <w:t xml:space="preserve">’s </w:t>
      </w:r>
      <w:r w:rsidR="00300631" w:rsidRPr="00F02470">
        <w:t xml:space="preserve">and OTS' </w:t>
      </w:r>
      <w:r w:rsidR="00C16731" w:rsidRPr="00F02470">
        <w:t xml:space="preserve">estimated share of hotel inventory sales in the B2B intermediation segment is </w:t>
      </w:r>
      <w:r w:rsidR="00057DAE" w:rsidRPr="00057DAE">
        <w:rPr>
          <w:iCs/>
          <w:sz w:val="23"/>
          <w:szCs w:val="23"/>
        </w:rPr>
        <w:t>[…</w:t>
      </w:r>
      <w:proofErr w:type="gramStart"/>
      <w:r w:rsidR="00057DAE" w:rsidRPr="00057DAE">
        <w:rPr>
          <w:iCs/>
          <w:sz w:val="23"/>
          <w:szCs w:val="23"/>
        </w:rPr>
        <w:t>]</w:t>
      </w:r>
      <w:r w:rsidR="00C16731" w:rsidRPr="00F02470">
        <w:t>%</w:t>
      </w:r>
      <w:proofErr w:type="gramEnd"/>
      <w:r w:rsidR="00C16731" w:rsidRPr="00F02470">
        <w:t>, both globally and in the EEA.</w:t>
      </w:r>
    </w:p>
    <w:p w14:paraId="4D37AC01" w14:textId="4C8B3E74" w:rsidR="0008269C" w:rsidRPr="00F02470" w:rsidRDefault="00C16731" w:rsidP="003055CA">
      <w:pPr>
        <w:pStyle w:val="ListNumber"/>
        <w:numPr>
          <w:ilvl w:val="0"/>
          <w:numId w:val="2"/>
        </w:numPr>
        <w:tabs>
          <w:tab w:val="num" w:pos="709"/>
        </w:tabs>
        <w:ind w:left="709" w:hanging="709"/>
      </w:pPr>
      <w:r w:rsidRPr="00F02470">
        <w:t xml:space="preserve">Third, </w:t>
      </w:r>
      <w:proofErr w:type="spellStart"/>
      <w:r w:rsidR="00FB4138" w:rsidRPr="00F02470">
        <w:t>Kuoni</w:t>
      </w:r>
      <w:r w:rsidR="00181AD1" w:rsidRPr="00F02470">
        <w:t>'s</w:t>
      </w:r>
      <w:proofErr w:type="spellEnd"/>
      <w:r w:rsidR="00181AD1" w:rsidRPr="00F02470">
        <w:t xml:space="preserve"> GTA business </w:t>
      </w:r>
      <w:r w:rsidR="00AF24A8" w:rsidRPr="00F02470">
        <w:t xml:space="preserve">and </w:t>
      </w:r>
      <w:r w:rsidR="00181AD1" w:rsidRPr="00F02470">
        <w:t xml:space="preserve">MTS OTS </w:t>
      </w:r>
      <w:r w:rsidR="00FB4138" w:rsidRPr="00F02470">
        <w:t xml:space="preserve">represent a small share of </w:t>
      </w:r>
      <w:r w:rsidR="00130148" w:rsidRPr="00F02470">
        <w:t xml:space="preserve">all </w:t>
      </w:r>
      <w:r w:rsidR="00FB4138" w:rsidRPr="00F02470">
        <w:t xml:space="preserve">hotel bookings in the EEA. </w:t>
      </w:r>
      <w:r w:rsidR="00130148" w:rsidRPr="00F02470">
        <w:t xml:space="preserve">GTA's and OTS' global sales' </w:t>
      </w:r>
      <w:r w:rsidR="00FB4138" w:rsidRPr="00F02470">
        <w:t>activities accounted for th</w:t>
      </w:r>
      <w:r w:rsidR="00091068">
        <w:t xml:space="preserve">e booking of </w:t>
      </w:r>
      <w:r w:rsidR="00057DAE" w:rsidRPr="00057DAE">
        <w:rPr>
          <w:iCs/>
          <w:sz w:val="23"/>
          <w:szCs w:val="23"/>
        </w:rPr>
        <w:t>[…]</w:t>
      </w:r>
      <w:r w:rsidR="00091068">
        <w:t xml:space="preserve"> million and </w:t>
      </w:r>
      <w:r w:rsidR="00057DAE" w:rsidRPr="00057DAE">
        <w:rPr>
          <w:iCs/>
          <w:sz w:val="23"/>
          <w:szCs w:val="23"/>
        </w:rPr>
        <w:t>[…]</w:t>
      </w:r>
      <w:r w:rsidR="00FB4138" w:rsidRPr="00F02470">
        <w:t xml:space="preserve"> million room nights in the EEA respectively</w:t>
      </w:r>
      <w:r w:rsidR="00BD060C">
        <w:t xml:space="preserve"> in 2015</w:t>
      </w:r>
      <w:r w:rsidR="00FB4138" w:rsidRPr="00F02470">
        <w:t xml:space="preserve">, which would correspond to </w:t>
      </w:r>
      <w:r w:rsidRPr="00F02470">
        <w:t xml:space="preserve">less than </w:t>
      </w:r>
      <w:r w:rsidR="00057DAE" w:rsidRPr="00057DAE">
        <w:rPr>
          <w:iCs/>
          <w:sz w:val="23"/>
          <w:szCs w:val="23"/>
        </w:rPr>
        <w:t>[…]</w:t>
      </w:r>
      <w:r w:rsidR="00FB4138" w:rsidRPr="00F02470">
        <w:t xml:space="preserve">% of the total number of room nights </w:t>
      </w:r>
      <w:r w:rsidRPr="00F02470">
        <w:t xml:space="preserve">sold </w:t>
      </w:r>
      <w:r w:rsidR="00FB4138" w:rsidRPr="00F02470">
        <w:t>in the EEA.</w:t>
      </w:r>
    </w:p>
    <w:p w14:paraId="2547DDAE" w14:textId="11BC8C3D" w:rsidR="0008269C" w:rsidRDefault="0008269C" w:rsidP="003055CA">
      <w:pPr>
        <w:pStyle w:val="ListNumber"/>
        <w:numPr>
          <w:ilvl w:val="0"/>
          <w:numId w:val="2"/>
        </w:numPr>
        <w:tabs>
          <w:tab w:val="num" w:pos="709"/>
        </w:tabs>
        <w:ind w:left="709" w:hanging="709"/>
      </w:pPr>
      <w:r w:rsidRPr="0008269C">
        <w:t>Fourth</w:t>
      </w:r>
      <w:r w:rsidR="00091068">
        <w:t xml:space="preserve">, </w:t>
      </w:r>
      <w:proofErr w:type="spellStart"/>
      <w:r w:rsidR="00091068">
        <w:t>Scandic</w:t>
      </w:r>
      <w:proofErr w:type="spellEnd"/>
      <w:r w:rsidR="00091068">
        <w:t xml:space="preserve"> accounted for only </w:t>
      </w:r>
      <w:r w:rsidR="00057DAE" w:rsidRPr="00057DAE">
        <w:rPr>
          <w:iCs/>
          <w:sz w:val="23"/>
          <w:szCs w:val="23"/>
        </w:rPr>
        <w:t>[…]</w:t>
      </w:r>
      <w:r w:rsidRPr="0008269C">
        <w:t xml:space="preserve">% and </w:t>
      </w:r>
      <w:r w:rsidR="00057DAE" w:rsidRPr="00057DAE">
        <w:rPr>
          <w:iCs/>
          <w:sz w:val="23"/>
          <w:szCs w:val="23"/>
        </w:rPr>
        <w:t>[…]</w:t>
      </w:r>
      <w:r w:rsidRPr="0008269C">
        <w:t>% of the room nights booked th</w:t>
      </w:r>
      <w:r w:rsidR="00130148">
        <w:t>r</w:t>
      </w:r>
      <w:r w:rsidRPr="0008269C">
        <w:t xml:space="preserve">ough </w:t>
      </w:r>
      <w:r w:rsidR="00130148" w:rsidRPr="009E3A4F">
        <w:t>GTA</w:t>
      </w:r>
      <w:r w:rsidR="00130148">
        <w:t xml:space="preserve"> </w:t>
      </w:r>
      <w:r w:rsidRPr="0008269C">
        <w:t>at hotels in the EEA</w:t>
      </w:r>
      <w:r w:rsidR="00130148">
        <w:t xml:space="preserve"> and </w:t>
      </w:r>
      <w:r w:rsidR="00801AE7">
        <w:t xml:space="preserve">the </w:t>
      </w:r>
      <w:r w:rsidR="00130148" w:rsidRPr="009E3A4F">
        <w:t xml:space="preserve">GTA </w:t>
      </w:r>
      <w:r w:rsidR="00801AE7" w:rsidRPr="00162BD6">
        <w:t>business</w:t>
      </w:r>
      <w:r w:rsidR="00130148" w:rsidRPr="00162BD6">
        <w:t xml:space="preserve"> </w:t>
      </w:r>
      <w:r w:rsidR="00130148" w:rsidRPr="009E3A4F">
        <w:t>a</w:t>
      </w:r>
      <w:r w:rsidR="00130148" w:rsidRPr="00162BD6">
        <w:t>cc</w:t>
      </w:r>
      <w:r w:rsidR="00091068">
        <w:t xml:space="preserve">ounted for approximately </w:t>
      </w:r>
      <w:r w:rsidR="00057DAE" w:rsidRPr="00057DAE">
        <w:rPr>
          <w:iCs/>
          <w:sz w:val="23"/>
          <w:szCs w:val="23"/>
        </w:rPr>
        <w:t>[…]</w:t>
      </w:r>
      <w:r w:rsidR="00130148">
        <w:t xml:space="preserve">% of </w:t>
      </w:r>
      <w:proofErr w:type="spellStart"/>
      <w:r w:rsidR="00130148">
        <w:t>Sca</w:t>
      </w:r>
      <w:r w:rsidR="00AF24A8">
        <w:t>n</w:t>
      </w:r>
      <w:r w:rsidR="00130148">
        <w:t>dic's</w:t>
      </w:r>
      <w:proofErr w:type="spellEnd"/>
      <w:r w:rsidR="00130148">
        <w:t xml:space="preserve"> room night bookings</w:t>
      </w:r>
      <w:r w:rsidR="00683549">
        <w:t xml:space="preserve"> in 2015</w:t>
      </w:r>
      <w:r w:rsidR="00130148">
        <w:t>.</w:t>
      </w:r>
    </w:p>
    <w:p w14:paraId="2FCFE8B9" w14:textId="79D3F4BE" w:rsidR="00202874" w:rsidRPr="008E6686" w:rsidRDefault="008E6686" w:rsidP="00ED37A9">
      <w:pPr>
        <w:pStyle w:val="ListNumber"/>
        <w:numPr>
          <w:ilvl w:val="0"/>
          <w:numId w:val="2"/>
        </w:numPr>
        <w:tabs>
          <w:tab w:val="num" w:pos="709"/>
        </w:tabs>
        <w:ind w:left="709" w:hanging="709"/>
      </w:pPr>
      <w:r>
        <w:t>Fifth, t</w:t>
      </w:r>
      <w:r w:rsidR="00FB4138" w:rsidRPr="008E6686">
        <w:t xml:space="preserve">he analysis would not change when considering </w:t>
      </w:r>
      <w:r w:rsidR="007E74DC">
        <w:t>the merged entity's</w:t>
      </w:r>
      <w:r>
        <w:t xml:space="preserve"> market position</w:t>
      </w:r>
      <w:r w:rsidR="00FB4138" w:rsidRPr="008E6686">
        <w:t xml:space="preserve"> at national and local level</w:t>
      </w:r>
      <w:r w:rsidR="009C1255" w:rsidRPr="008E6686">
        <w:t xml:space="preserve">. </w:t>
      </w:r>
    </w:p>
    <w:p w14:paraId="3214B733" w14:textId="358601AE" w:rsidR="008B3BD4" w:rsidRPr="008E6686" w:rsidRDefault="008E6686" w:rsidP="003055CA">
      <w:pPr>
        <w:pStyle w:val="ListNumber"/>
        <w:numPr>
          <w:ilvl w:val="0"/>
          <w:numId w:val="2"/>
        </w:numPr>
        <w:tabs>
          <w:tab w:val="num" w:pos="709"/>
        </w:tabs>
        <w:ind w:left="709" w:hanging="709"/>
      </w:pPr>
      <w:r>
        <w:t>In the first place, a</w:t>
      </w:r>
      <w:r w:rsidR="00A64D79" w:rsidRPr="008E6686">
        <w:t xml:space="preserve">t national level in Sweden, </w:t>
      </w:r>
      <w:proofErr w:type="spellStart"/>
      <w:r w:rsidR="00A64D79" w:rsidRPr="008E6686">
        <w:t>Scandic</w:t>
      </w:r>
      <w:proofErr w:type="spellEnd"/>
      <w:r w:rsidR="00A64D79" w:rsidRPr="008E6686">
        <w:t xml:space="preserve"> accounted for less than </w:t>
      </w:r>
      <w:r w:rsidR="00057DAE" w:rsidRPr="00057DAE">
        <w:rPr>
          <w:iCs/>
          <w:sz w:val="23"/>
          <w:szCs w:val="23"/>
        </w:rPr>
        <w:t>[…</w:t>
      </w:r>
      <w:proofErr w:type="gramStart"/>
      <w:r w:rsidR="00057DAE" w:rsidRPr="00057DAE">
        <w:rPr>
          <w:iCs/>
          <w:sz w:val="23"/>
          <w:szCs w:val="23"/>
        </w:rPr>
        <w:t>]</w:t>
      </w:r>
      <w:r w:rsidR="00A64D79" w:rsidRPr="008E6686">
        <w:t>%</w:t>
      </w:r>
      <w:proofErr w:type="gramEnd"/>
      <w:r w:rsidR="00A64D79" w:rsidRPr="008E6686">
        <w:t xml:space="preserve"> of th</w:t>
      </w:r>
      <w:r w:rsidR="00A155D8" w:rsidRPr="008E6686">
        <w:t>e room nights booked through GTA</w:t>
      </w:r>
      <w:r w:rsidR="00A64D79" w:rsidRPr="008E6686">
        <w:t xml:space="preserve"> </w:t>
      </w:r>
      <w:r w:rsidR="00801AE7" w:rsidRPr="008E6686">
        <w:t xml:space="preserve">business </w:t>
      </w:r>
      <w:r w:rsidR="00A64D79" w:rsidRPr="008E6686">
        <w:t>in 2015</w:t>
      </w:r>
      <w:r w:rsidR="008B3BD4" w:rsidRPr="008E6686">
        <w:t>.</w:t>
      </w:r>
      <w:r>
        <w:t>Moreover</w:t>
      </w:r>
      <w:r w:rsidR="00A155D8" w:rsidRPr="008E6686">
        <w:t xml:space="preserve">, MTS Globe is not active in the distribution of hotel inventory from hotels located in Sweden as well as in other countries where </w:t>
      </w:r>
      <w:proofErr w:type="spellStart"/>
      <w:r w:rsidR="00A155D8" w:rsidRPr="008E6686">
        <w:t>Scandic</w:t>
      </w:r>
      <w:proofErr w:type="spellEnd"/>
      <w:r w:rsidR="00A155D8" w:rsidRPr="008E6686">
        <w:t xml:space="preserve"> and its </w:t>
      </w:r>
      <w:r w:rsidR="000D73C1" w:rsidRPr="008E6686">
        <w:t>competitors</w:t>
      </w:r>
      <w:r w:rsidR="00A155D8" w:rsidRPr="008E6686">
        <w:t xml:space="preserve"> are active. </w:t>
      </w:r>
      <w:r w:rsidR="008B3BD4" w:rsidRPr="008E6686">
        <w:t xml:space="preserve"> </w:t>
      </w:r>
    </w:p>
    <w:p w14:paraId="046CF751" w14:textId="349B8868" w:rsidR="008A5892" w:rsidRDefault="008E6686" w:rsidP="003055CA">
      <w:pPr>
        <w:pStyle w:val="ListNumber"/>
        <w:numPr>
          <w:ilvl w:val="0"/>
          <w:numId w:val="2"/>
        </w:numPr>
        <w:tabs>
          <w:tab w:val="num" w:pos="709"/>
        </w:tabs>
        <w:ind w:left="709" w:hanging="709"/>
      </w:pPr>
      <w:r w:rsidRPr="00526C65">
        <w:t>In the second place</w:t>
      </w:r>
      <w:r w:rsidR="008B3BD4" w:rsidRPr="00526C65">
        <w:t xml:space="preserve">, at local level, </w:t>
      </w:r>
      <w:proofErr w:type="spellStart"/>
      <w:r w:rsidR="007E74DC" w:rsidRPr="00526C65">
        <w:t>Scandic's</w:t>
      </w:r>
      <w:proofErr w:type="spellEnd"/>
      <w:r w:rsidR="007E74DC" w:rsidRPr="00526C65">
        <w:t xml:space="preserve"> hotels </w:t>
      </w:r>
      <w:r w:rsidR="00A64D79" w:rsidRPr="00526C65">
        <w:t xml:space="preserve">are not an important input to the downstream </w:t>
      </w:r>
      <w:r w:rsidR="000E5DFF" w:rsidRPr="00526C65">
        <w:t>markets,</w:t>
      </w:r>
      <w:r w:rsidR="00A64D79" w:rsidRPr="00526C65">
        <w:t xml:space="preserve"> in which </w:t>
      </w:r>
      <w:r w:rsidR="00801AE7" w:rsidRPr="00526C65">
        <w:t xml:space="preserve">the </w:t>
      </w:r>
      <w:r w:rsidR="00A64D79" w:rsidRPr="00526C65">
        <w:t>GT</w:t>
      </w:r>
      <w:r w:rsidR="00A155D8" w:rsidRPr="00526C65">
        <w:t>A</w:t>
      </w:r>
      <w:r w:rsidR="00BA5741" w:rsidRPr="00526C65">
        <w:t>/</w:t>
      </w:r>
      <w:r w:rsidR="00A155D8" w:rsidRPr="00526C65">
        <w:t>OTS</w:t>
      </w:r>
      <w:r w:rsidR="00A64D79" w:rsidRPr="00526C65">
        <w:t xml:space="preserve"> </w:t>
      </w:r>
      <w:r w:rsidR="00801AE7" w:rsidRPr="00526C65">
        <w:t xml:space="preserve">businesses </w:t>
      </w:r>
      <w:r w:rsidR="00A64D79" w:rsidRPr="00526C65">
        <w:t xml:space="preserve">and the </w:t>
      </w:r>
      <w:r w:rsidR="000D73C1" w:rsidRPr="00526C65">
        <w:t>competitors</w:t>
      </w:r>
      <w:r w:rsidR="00A64D79" w:rsidRPr="00526C65">
        <w:t xml:space="preserve"> of these business</w:t>
      </w:r>
      <w:r w:rsidR="00B478C6" w:rsidRPr="00526C65">
        <w:t>es</w:t>
      </w:r>
      <w:r w:rsidR="00A64D79" w:rsidRPr="00526C65">
        <w:t xml:space="preserve"> operate</w:t>
      </w:r>
      <w:r w:rsidR="008B3BD4" w:rsidRPr="00526C65">
        <w:t xml:space="preserve">. In addition, </w:t>
      </w:r>
      <w:r w:rsidR="000E5DFF" w:rsidRPr="00526C65">
        <w:t>a number of</w:t>
      </w:r>
      <w:r w:rsidR="008B3BD4" w:rsidRPr="00526C65">
        <w:t xml:space="preserve"> competing hotels </w:t>
      </w:r>
      <w:r w:rsidR="000E5DFF" w:rsidRPr="00526C65">
        <w:t xml:space="preserve">are present </w:t>
      </w:r>
      <w:r w:rsidR="00E753DC" w:rsidRPr="00526C65">
        <w:t>at local level</w:t>
      </w:r>
      <w:r w:rsidR="00910352" w:rsidRPr="00526C65">
        <w:t xml:space="preserve">, including </w:t>
      </w:r>
      <w:r w:rsidR="001F4180" w:rsidRPr="00526C65">
        <w:t xml:space="preserve">in </w:t>
      </w:r>
      <w:r w:rsidR="00910352" w:rsidRPr="00526C65">
        <w:t xml:space="preserve">the two cities where </w:t>
      </w:r>
      <w:proofErr w:type="spellStart"/>
      <w:r w:rsidR="00910352" w:rsidRPr="00526C65">
        <w:t>Scandic</w:t>
      </w:r>
      <w:proofErr w:type="spellEnd"/>
      <w:r w:rsidR="00910352" w:rsidRPr="00526C65">
        <w:t xml:space="preserve"> achieve</w:t>
      </w:r>
      <w:r w:rsidR="00DD7010" w:rsidRPr="00526C65">
        <w:t xml:space="preserve">s </w:t>
      </w:r>
      <w:r w:rsidR="007E74DC" w:rsidRPr="00526C65">
        <w:t xml:space="preserve">its </w:t>
      </w:r>
      <w:r w:rsidR="00DD7010" w:rsidRPr="00526C65">
        <w:t>highest market share</w:t>
      </w:r>
      <w:r w:rsidR="00910352" w:rsidRPr="00526C65">
        <w:t xml:space="preserve">, namely </w:t>
      </w:r>
      <w:proofErr w:type="spellStart"/>
      <w:r w:rsidR="001F4180" w:rsidRPr="00526C65">
        <w:t>Södertälje</w:t>
      </w:r>
      <w:proofErr w:type="spellEnd"/>
      <w:r w:rsidR="00E753DC" w:rsidRPr="00526C65">
        <w:t xml:space="preserve"> </w:t>
      </w:r>
      <w:r w:rsidR="008B3BD4" w:rsidRPr="00526C65">
        <w:t xml:space="preserve">and </w:t>
      </w:r>
      <w:proofErr w:type="spellStart"/>
      <w:r w:rsidR="001F4180" w:rsidRPr="00526C65">
        <w:t>Trollhättan</w:t>
      </w:r>
      <w:proofErr w:type="spellEnd"/>
      <w:r w:rsidRPr="00526C65">
        <w:t>: (</w:t>
      </w:r>
      <w:proofErr w:type="spellStart"/>
      <w:r w:rsidRPr="00526C65">
        <w:t>i</w:t>
      </w:r>
      <w:proofErr w:type="spellEnd"/>
      <w:r w:rsidRPr="00526C65">
        <w:t>)</w:t>
      </w:r>
      <w:r w:rsidR="00910352" w:rsidRPr="00526C65">
        <w:t xml:space="preserve"> in </w:t>
      </w:r>
      <w:proofErr w:type="spellStart"/>
      <w:r w:rsidR="00910352" w:rsidRPr="00526C65">
        <w:t>Södertälje</w:t>
      </w:r>
      <w:proofErr w:type="spellEnd"/>
      <w:r w:rsidRPr="00526C65">
        <w:t>,</w:t>
      </w:r>
      <w:r w:rsidR="001F4180" w:rsidRPr="00526C65">
        <w:t xml:space="preserve"> </w:t>
      </w:r>
      <w:proofErr w:type="spellStart"/>
      <w:r w:rsidR="008B3BD4" w:rsidRPr="00526C65">
        <w:t>Scandic</w:t>
      </w:r>
      <w:proofErr w:type="spellEnd"/>
      <w:r w:rsidR="008B3BD4" w:rsidRPr="00526C65">
        <w:t xml:space="preserve"> face</w:t>
      </w:r>
      <w:r w:rsidR="00B478C6" w:rsidRPr="00526C65">
        <w:t>s</w:t>
      </w:r>
      <w:r w:rsidR="008B3BD4" w:rsidRPr="00526C65">
        <w:t xml:space="preserve"> competition from hotel chains</w:t>
      </w:r>
      <w:r w:rsidR="00910352" w:rsidRPr="00526C65">
        <w:t xml:space="preserve"> such as Nordic Choice and Sweden Hotels;</w:t>
      </w:r>
      <w:r w:rsidRPr="00526C65">
        <w:t xml:space="preserve"> and</w:t>
      </w:r>
      <w:r w:rsidR="00910352" w:rsidRPr="00526C65">
        <w:t xml:space="preserve"> </w:t>
      </w:r>
      <w:r w:rsidRPr="00526C65">
        <w:t xml:space="preserve">(ii) </w:t>
      </w:r>
      <w:r w:rsidR="00910352" w:rsidRPr="00526C65">
        <w:t xml:space="preserve">in </w:t>
      </w:r>
      <w:proofErr w:type="spellStart"/>
      <w:r w:rsidR="00910352" w:rsidRPr="00526C65">
        <w:t>Trollhättan</w:t>
      </w:r>
      <w:proofErr w:type="spellEnd"/>
      <w:r w:rsidR="00910352" w:rsidRPr="00526C65">
        <w:t xml:space="preserve">, additional hotel chains include </w:t>
      </w:r>
      <w:r w:rsidR="008B3BD4" w:rsidRPr="00526C65">
        <w:t>Nordic Choice, Best Western</w:t>
      </w:r>
      <w:r w:rsidR="00910352" w:rsidRPr="00526C65">
        <w:t>, Sweden Hotel and Countryside Hotels.</w:t>
      </w:r>
    </w:p>
    <w:p w14:paraId="4DCCDA3E" w14:textId="77777777" w:rsidR="008A5892" w:rsidRDefault="008A5892">
      <w:pPr>
        <w:spacing w:after="0"/>
        <w:jc w:val="left"/>
        <w:rPr>
          <w:lang w:eastAsia="en-US"/>
        </w:rPr>
      </w:pPr>
      <w:r>
        <w:br w:type="page"/>
      </w:r>
    </w:p>
    <w:p w14:paraId="5A48C432" w14:textId="77777777" w:rsidR="00990B51" w:rsidRPr="00526C65" w:rsidRDefault="00990B51" w:rsidP="008A5892">
      <w:pPr>
        <w:pStyle w:val="ListNumber"/>
        <w:ind w:left="709"/>
      </w:pPr>
    </w:p>
    <w:p w14:paraId="5F765B84" w14:textId="77777777" w:rsidR="00937B29" w:rsidRPr="00605611" w:rsidRDefault="00937B29" w:rsidP="00681257">
      <w:pPr>
        <w:pStyle w:val="Heading1"/>
      </w:pPr>
      <w:r w:rsidRPr="00605611">
        <w:t>CONCLUSION</w:t>
      </w:r>
    </w:p>
    <w:p w14:paraId="5F765B85" w14:textId="77777777" w:rsidR="00FD45D5" w:rsidRPr="007543E6" w:rsidRDefault="00626664" w:rsidP="003055CA">
      <w:pPr>
        <w:pStyle w:val="ListNumber"/>
        <w:numPr>
          <w:ilvl w:val="0"/>
          <w:numId w:val="2"/>
        </w:numPr>
        <w:tabs>
          <w:tab w:val="num" w:pos="709"/>
        </w:tabs>
        <w:ind w:left="709" w:hanging="709"/>
      </w:pPr>
      <w:r w:rsidRPr="007543E6">
        <w:t xml:space="preserve">For the above reasons, the </w:t>
      </w:r>
      <w:r w:rsidR="007E2D16">
        <w:t xml:space="preserve">European </w:t>
      </w:r>
      <w:r w:rsidRPr="007543E6">
        <w:t xml:space="preserve">Commission has decided not to oppose the notified operation and to declare it compatible with the </w:t>
      </w:r>
      <w:r w:rsidR="0016170F">
        <w:t>internal</w:t>
      </w:r>
      <w:r w:rsidR="0016170F" w:rsidRPr="007543E6">
        <w:t xml:space="preserve"> </w:t>
      </w:r>
      <w:r w:rsidRPr="007543E6">
        <w:t>market and with the EEA Agreement. This decision is adopted in application of Article 6(1</w:t>
      </w:r>
      <w:proofErr w:type="gramStart"/>
      <w:r w:rsidRPr="007543E6">
        <w:t>)(</w:t>
      </w:r>
      <w:proofErr w:type="gramEnd"/>
      <w:r w:rsidRPr="007543E6">
        <w:t xml:space="preserve">b) of </w:t>
      </w:r>
      <w:r w:rsidR="006B4781">
        <w:t xml:space="preserve">the </w:t>
      </w:r>
      <w:r w:rsidR="006B4781" w:rsidRPr="000D5C08">
        <w:t>Merger Regulation</w:t>
      </w:r>
      <w:r w:rsidR="009118E7" w:rsidRPr="000D5C08">
        <w:t xml:space="preserve"> and </w:t>
      </w:r>
      <w:r w:rsidR="000D5C08" w:rsidRPr="000D5C08">
        <w:t>Article 57 of the EEA Agreement</w:t>
      </w:r>
      <w:r w:rsidRPr="007543E6">
        <w:t>.</w:t>
      </w:r>
    </w:p>
    <w:p w14:paraId="5F765B86" w14:textId="77777777" w:rsidR="00FB4138" w:rsidRDefault="00FB4138" w:rsidP="00A50FCB">
      <w:pPr>
        <w:pStyle w:val="Closing"/>
        <w:keepNext/>
        <w:keepLines/>
        <w:rPr>
          <w:i/>
        </w:rPr>
      </w:pPr>
    </w:p>
    <w:p w14:paraId="4879F28B" w14:textId="7229B3D7" w:rsidR="004E2313" w:rsidRDefault="00D13D3D" w:rsidP="004E2313">
      <w:pPr>
        <w:pStyle w:val="Closing"/>
        <w:keepNext/>
        <w:keepLines/>
        <w:spacing w:after="0"/>
        <w:rPr>
          <w:i/>
        </w:rPr>
      </w:pPr>
      <w:r w:rsidRPr="001A0F98">
        <w:rPr>
          <w:i/>
        </w:rPr>
        <w:t xml:space="preserve">For the </w:t>
      </w:r>
      <w:proofErr w:type="gramStart"/>
      <w:r w:rsidRPr="001A0F98">
        <w:rPr>
          <w:i/>
        </w:rPr>
        <w:t>Commission</w:t>
      </w:r>
      <w:proofErr w:type="gramEnd"/>
      <w:r w:rsidR="0030143A">
        <w:rPr>
          <w:i/>
        </w:rPr>
        <w:br/>
      </w:r>
      <w:r w:rsidR="00057DAE">
        <w:rPr>
          <w:i/>
        </w:rPr>
        <w:t>(</w:t>
      </w:r>
      <w:r w:rsidR="0030143A">
        <w:rPr>
          <w:i/>
        </w:rPr>
        <w:t>Signed</w:t>
      </w:r>
      <w:r w:rsidR="00057DAE">
        <w:rPr>
          <w:i/>
        </w:rPr>
        <w:t>)</w:t>
      </w:r>
    </w:p>
    <w:p w14:paraId="5F765B88" w14:textId="095A9976" w:rsidR="00D13D3D" w:rsidRDefault="004B7BC8" w:rsidP="004E2313">
      <w:pPr>
        <w:pStyle w:val="Closing"/>
        <w:keepNext/>
        <w:keepLines/>
        <w:spacing w:before="0"/>
        <w:rPr>
          <w:i/>
        </w:rPr>
      </w:pPr>
      <w:proofErr w:type="spellStart"/>
      <w:r w:rsidRPr="004B7BC8">
        <w:rPr>
          <w:i/>
        </w:rPr>
        <w:t>Margrethe</w:t>
      </w:r>
      <w:proofErr w:type="spellEnd"/>
      <w:r w:rsidRPr="004B7BC8">
        <w:rPr>
          <w:i/>
        </w:rPr>
        <w:t xml:space="preserve"> VESTAGER</w:t>
      </w:r>
      <w:r w:rsidR="00D13D3D" w:rsidRPr="001A0F98">
        <w:rPr>
          <w:i/>
        </w:rPr>
        <w:br/>
      </w:r>
      <w:r w:rsidRPr="004B7BC8">
        <w:rPr>
          <w:i/>
        </w:rPr>
        <w:t>Member of the Commission</w:t>
      </w:r>
    </w:p>
    <w:p w14:paraId="0A235D8B" w14:textId="1C1676E4" w:rsidR="004E2313" w:rsidRPr="004E2313" w:rsidRDefault="004E2313" w:rsidP="004E2313">
      <w:pPr>
        <w:pStyle w:val="Signature"/>
        <w:jc w:val="left"/>
        <w:rPr>
          <w:b/>
        </w:rPr>
      </w:pPr>
    </w:p>
    <w:p w14:paraId="5F765B89" w14:textId="77777777" w:rsidR="00D13D3D" w:rsidRPr="007543E6" w:rsidRDefault="00D13D3D">
      <w:pPr>
        <w:tabs>
          <w:tab w:val="left" w:pos="510"/>
          <w:tab w:val="left" w:pos="964"/>
          <w:tab w:val="left" w:pos="5273"/>
        </w:tabs>
        <w:suppressAutoHyphens/>
        <w:spacing w:after="0"/>
        <w:rPr>
          <w:spacing w:val="-3"/>
        </w:rPr>
      </w:pPr>
    </w:p>
    <w:p w14:paraId="5F765B93" w14:textId="24DBD110" w:rsidR="00885508" w:rsidRPr="00885508" w:rsidRDefault="00885508" w:rsidP="00937B29">
      <w:pPr>
        <w:tabs>
          <w:tab w:val="left" w:pos="510"/>
          <w:tab w:val="left" w:pos="964"/>
          <w:tab w:val="left" w:pos="5273"/>
        </w:tabs>
        <w:suppressAutoHyphens/>
        <w:spacing w:after="0"/>
        <w:rPr>
          <w:spacing w:val="-2"/>
          <w:sz w:val="20"/>
        </w:rPr>
      </w:pPr>
    </w:p>
    <w:sectPr w:rsidR="00885508" w:rsidRPr="00885508" w:rsidSect="00FC0713">
      <w:footerReference w:type="default" r:id="rId13"/>
      <w:footerReference w:type="first" r:id="rId14"/>
      <w:pgSz w:w="11907" w:h="16840" w:code="9"/>
      <w:pgMar w:top="1021" w:right="1418" w:bottom="1021" w:left="1588" w:header="60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D2045" w14:textId="77777777" w:rsidR="003307B1" w:rsidRDefault="003307B1">
      <w:r>
        <w:separator/>
      </w:r>
    </w:p>
  </w:endnote>
  <w:endnote w:type="continuationSeparator" w:id="0">
    <w:p w14:paraId="36A3D507" w14:textId="77777777" w:rsidR="003307B1" w:rsidRDefault="003307B1">
      <w:r>
        <w:continuationSeparator/>
      </w:r>
    </w:p>
  </w:endnote>
  <w:endnote w:type="continuationNotice" w:id="1">
    <w:p w14:paraId="45B38653" w14:textId="77777777" w:rsidR="003307B1" w:rsidRDefault="00330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5B9F" w14:textId="77777777" w:rsidR="00F302B1" w:rsidRDefault="00F302B1">
    <w:pPr>
      <w:pStyle w:val="Footer"/>
      <w:jc w:val="center"/>
    </w:pPr>
    <w:r>
      <w:fldChar w:fldCharType="begin"/>
    </w:r>
    <w:r>
      <w:instrText>PAGE</w:instrText>
    </w:r>
    <w:r>
      <w:fldChar w:fldCharType="separate"/>
    </w:r>
    <w:r w:rsidR="00F125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5BA1" w14:textId="77777777" w:rsidR="00F302B1" w:rsidRDefault="00F302B1" w:rsidP="008C37DB">
    <w:pPr>
      <w:pStyle w:val="Footer"/>
      <w:rPr>
        <w:sz w:val="24"/>
        <w:szCs w:val="24"/>
      </w:rPr>
    </w:pPr>
  </w:p>
  <w:p w14:paraId="5F765BA2" w14:textId="77777777" w:rsidR="00F302B1" w:rsidRDefault="00F302B1" w:rsidP="008C37DB">
    <w:pPr>
      <w:pStyle w:val="Footer"/>
      <w:ind w:right="0"/>
      <w:rPr>
        <w:lang w:val="fr-FR"/>
      </w:rPr>
    </w:pPr>
    <w:r>
      <w:rPr>
        <w:lang w:val="fr-FR"/>
      </w:rPr>
      <w:t xml:space="preserve">Commission européenne, DG COMP MERGER REGISTRY, 1049 Bruxelles, BELGIQUE </w:t>
    </w:r>
  </w:p>
  <w:p w14:paraId="5F765BA3" w14:textId="77777777" w:rsidR="00F302B1" w:rsidRDefault="00F302B1" w:rsidP="008C37DB">
    <w:pPr>
      <w:pStyle w:val="Footer"/>
      <w:ind w:right="0"/>
      <w:rPr>
        <w:lang w:val="it-IT"/>
      </w:rPr>
    </w:pPr>
    <w:proofErr w:type="spellStart"/>
    <w:r>
      <w:rPr>
        <w:lang w:val="it-IT"/>
      </w:rPr>
      <w:t>Europese</w:t>
    </w:r>
    <w:proofErr w:type="spellEnd"/>
    <w:r>
      <w:rPr>
        <w:lang w:val="it-IT"/>
      </w:rPr>
      <w:t xml:space="preserve"> </w:t>
    </w:r>
    <w:proofErr w:type="spellStart"/>
    <w:r>
      <w:rPr>
        <w:lang w:val="it-IT"/>
      </w:rPr>
      <w:t>Commissie</w:t>
    </w:r>
    <w:proofErr w:type="spellEnd"/>
    <w:r>
      <w:rPr>
        <w:lang w:val="it-IT"/>
      </w:rPr>
      <w:t xml:space="preserve">, DG COMP MERGER REGISTRY, 1049 </w:t>
    </w:r>
    <w:proofErr w:type="spellStart"/>
    <w:r>
      <w:rPr>
        <w:lang w:val="it-IT"/>
      </w:rPr>
      <w:t>Brussel</w:t>
    </w:r>
    <w:proofErr w:type="spellEnd"/>
    <w:r>
      <w:rPr>
        <w:lang w:val="it-IT"/>
      </w:rPr>
      <w:t>,</w:t>
    </w:r>
    <w:proofErr w:type="gramStart"/>
    <w:r>
      <w:rPr>
        <w:lang w:val="it-IT"/>
      </w:rPr>
      <w:t xml:space="preserve">  </w:t>
    </w:r>
    <w:proofErr w:type="gramEnd"/>
    <w:r>
      <w:rPr>
        <w:lang w:val="it-IT"/>
      </w:rPr>
      <w:t>BELGIË</w:t>
    </w:r>
  </w:p>
  <w:p w14:paraId="5F765BA4" w14:textId="77777777" w:rsidR="00F302B1" w:rsidRDefault="00F302B1" w:rsidP="008C37DB">
    <w:pPr>
      <w:pStyle w:val="Footer"/>
      <w:ind w:right="0"/>
      <w:rPr>
        <w:lang w:val="it-IT"/>
      </w:rPr>
    </w:pPr>
  </w:p>
  <w:p w14:paraId="5F765BA5" w14:textId="77777777" w:rsidR="00F302B1" w:rsidRPr="00B15925" w:rsidRDefault="00F302B1" w:rsidP="008C37DB">
    <w:pPr>
      <w:jc w:val="left"/>
      <w:rPr>
        <w:rFonts w:ascii="Arial" w:hAnsi="Arial" w:cs="Arial"/>
        <w:sz w:val="16"/>
        <w:szCs w:val="16"/>
        <w:lang w:val="it-IT"/>
      </w:rPr>
    </w:pPr>
    <w:proofErr w:type="spellStart"/>
    <w:r w:rsidRPr="00B15925">
      <w:rPr>
        <w:rFonts w:ascii="Arial" w:hAnsi="Arial" w:cs="Arial"/>
        <w:sz w:val="16"/>
        <w:szCs w:val="16"/>
        <w:lang w:val="it-IT"/>
      </w:rPr>
      <w:t>Tel</w:t>
    </w:r>
    <w:proofErr w:type="spellEnd"/>
    <w:r w:rsidRPr="00B15925">
      <w:rPr>
        <w:rFonts w:ascii="Arial" w:hAnsi="Arial" w:cs="Arial"/>
        <w:sz w:val="16"/>
        <w:szCs w:val="16"/>
        <w:lang w:val="it-IT"/>
      </w:rPr>
      <w:t xml:space="preserve">: +32 229-91111. Fax: +32 229-64301. E-mail: </w:t>
    </w:r>
    <w:hyperlink r:id="rId1" w:history="1">
      <w:r w:rsidRPr="00B15925">
        <w:rPr>
          <w:rStyle w:val="Hyperlink"/>
          <w:rFonts w:ascii="Arial" w:hAnsi="Arial" w:cs="Arial"/>
          <w:sz w:val="16"/>
          <w:szCs w:val="16"/>
          <w:lang w:val="it-IT"/>
        </w:rPr>
        <w:t>COMP-MERGER-REGISTRY@ec.europa.eu</w:t>
      </w:r>
    </w:hyperlink>
    <w:r w:rsidRPr="00B15925">
      <w:rPr>
        <w:rFonts w:ascii="Arial" w:hAnsi="Arial" w:cs="Arial"/>
        <w:sz w:val="16"/>
        <w:szCs w:val="16"/>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E894A" w14:textId="77777777" w:rsidR="003307B1" w:rsidRDefault="003307B1" w:rsidP="00211121">
      <w:pPr>
        <w:spacing w:after="120"/>
      </w:pPr>
      <w:r>
        <w:separator/>
      </w:r>
    </w:p>
  </w:footnote>
  <w:footnote w:type="continuationSeparator" w:id="0">
    <w:p w14:paraId="541AA60F" w14:textId="77777777" w:rsidR="003307B1" w:rsidRDefault="003307B1" w:rsidP="00211121">
      <w:pPr>
        <w:spacing w:after="120"/>
      </w:pPr>
      <w:r>
        <w:continuationSeparator/>
      </w:r>
    </w:p>
  </w:footnote>
  <w:footnote w:type="continuationNotice" w:id="1">
    <w:p w14:paraId="3DAA4936" w14:textId="77777777" w:rsidR="003307B1" w:rsidRDefault="003307B1">
      <w:pPr>
        <w:spacing w:after="0"/>
      </w:pPr>
    </w:p>
  </w:footnote>
  <w:footnote w:id="2">
    <w:p w14:paraId="5F765BA6" w14:textId="77777777" w:rsidR="00F302B1" w:rsidRPr="00D13BBC" w:rsidRDefault="00F302B1" w:rsidP="00211121">
      <w:pPr>
        <w:pStyle w:val="FootnoteText"/>
      </w:pPr>
      <w:r>
        <w:rPr>
          <w:rStyle w:val="FootnoteReference"/>
        </w:rPr>
        <w:footnoteRef/>
      </w:r>
      <w:r>
        <w:t xml:space="preserve"> </w:t>
      </w:r>
      <w:r>
        <w:tab/>
      </w:r>
      <w:proofErr w:type="gramStart"/>
      <w:r w:rsidRPr="000B1202">
        <w:t xml:space="preserve">OJ L 24, 29.1.2004, p. 1 (the </w:t>
      </w:r>
      <w:r>
        <w:t>'</w:t>
      </w:r>
      <w:r w:rsidRPr="000B1202">
        <w:t>Merger Regulation</w:t>
      </w:r>
      <w:r>
        <w:t>'</w:t>
      </w:r>
      <w:r w:rsidRPr="000B1202">
        <w:t>).</w:t>
      </w:r>
      <w:proofErr w:type="gramEnd"/>
      <w:r w:rsidRPr="000B1202">
        <w:t xml:space="preserve"> With effect from 1 December 2009, the Treaty on the Functioning of the European Union (</w:t>
      </w:r>
      <w:r>
        <w:t>'</w:t>
      </w:r>
      <w:r w:rsidRPr="000B1202">
        <w:t>TFEU</w:t>
      </w:r>
      <w:r>
        <w:t>'</w:t>
      </w:r>
      <w:r w:rsidRPr="000B1202">
        <w:t>) has introduced certain changes, such as the replacement of</w:t>
      </w:r>
      <w:r>
        <w:t xml:space="preserve"> '</w:t>
      </w:r>
      <w:r w:rsidRPr="000B1202">
        <w:t>Community</w:t>
      </w:r>
      <w:r>
        <w:t>'</w:t>
      </w:r>
      <w:r w:rsidRPr="000B1202">
        <w:t xml:space="preserve"> by </w:t>
      </w:r>
      <w:r>
        <w:t>'</w:t>
      </w:r>
      <w:r w:rsidRPr="000B1202">
        <w:t>Union</w:t>
      </w:r>
      <w:r>
        <w:t>'</w:t>
      </w:r>
      <w:r w:rsidRPr="000B1202">
        <w:t xml:space="preserve"> and </w:t>
      </w:r>
      <w:r>
        <w:t>'</w:t>
      </w:r>
      <w:r w:rsidRPr="000B1202">
        <w:t>common market</w:t>
      </w:r>
      <w:r>
        <w:t>'</w:t>
      </w:r>
      <w:r w:rsidRPr="000B1202">
        <w:t xml:space="preserve"> by </w:t>
      </w:r>
      <w:r>
        <w:t>'</w:t>
      </w:r>
      <w:r w:rsidRPr="000B1202">
        <w:t>internal market</w:t>
      </w:r>
      <w:r>
        <w:t>'</w:t>
      </w:r>
      <w:r w:rsidRPr="000B1202">
        <w:t>. The terminology of the TFEU will be used throughout this decision.</w:t>
      </w:r>
    </w:p>
  </w:footnote>
  <w:footnote w:id="3">
    <w:p w14:paraId="5F765BA7" w14:textId="77777777" w:rsidR="00F302B1" w:rsidRDefault="00F302B1" w:rsidP="009118E7">
      <w:pPr>
        <w:pStyle w:val="FootnoteText"/>
      </w:pPr>
      <w:r>
        <w:rPr>
          <w:rStyle w:val="FootnoteReference"/>
        </w:rPr>
        <w:footnoteRef/>
      </w:r>
      <w:r>
        <w:t xml:space="preserve"> </w:t>
      </w:r>
      <w:r>
        <w:tab/>
      </w:r>
      <w:proofErr w:type="gramStart"/>
      <w:r>
        <w:t>OJ L 1, 3.1.1994, p. 3 (the 'EEA Agreement').</w:t>
      </w:r>
      <w:proofErr w:type="gramEnd"/>
    </w:p>
    <w:p w14:paraId="7B30C8C5" w14:textId="022B052D" w:rsidR="00F302B1" w:rsidRPr="000C157B" w:rsidRDefault="00F302B1" w:rsidP="009118E7">
      <w:pPr>
        <w:pStyle w:val="FootnoteText"/>
      </w:pPr>
    </w:p>
  </w:footnote>
  <w:footnote w:id="4">
    <w:p w14:paraId="1B292B84" w14:textId="04D3B1D5" w:rsidR="00CF5307" w:rsidRPr="00CF5307" w:rsidRDefault="00CF5307">
      <w:pPr>
        <w:pStyle w:val="FootnoteText"/>
      </w:pPr>
      <w:r>
        <w:rPr>
          <w:rStyle w:val="FootnoteReference"/>
        </w:rPr>
        <w:footnoteRef/>
      </w:r>
      <w:r>
        <w:t xml:space="preserve"> </w:t>
      </w:r>
      <w:r>
        <w:tab/>
      </w:r>
      <w:proofErr w:type="gramStart"/>
      <w:r w:rsidRPr="00393CD8">
        <w:t>Publication in the Official Journal of the European Union No C</w:t>
      </w:r>
      <w:r>
        <w:t xml:space="preserve"> 385, 19/10/2016, p.38.</w:t>
      </w:r>
      <w:proofErr w:type="gramEnd"/>
    </w:p>
  </w:footnote>
  <w:footnote w:id="5">
    <w:p w14:paraId="74F66EDA" w14:textId="7879C076" w:rsidR="00F302B1" w:rsidRPr="00D9693C" w:rsidRDefault="00CF5307">
      <w:pPr>
        <w:pStyle w:val="FootnoteText"/>
      </w:pPr>
      <w:r>
        <w:rPr>
          <w:rStyle w:val="FootnoteReference"/>
        </w:rPr>
        <w:t>4</w:t>
      </w:r>
      <w:r w:rsidR="00F302B1">
        <w:tab/>
      </w:r>
      <w:proofErr w:type="spellStart"/>
      <w:r w:rsidR="00F302B1" w:rsidRPr="00D9693C">
        <w:t>Kuoni's</w:t>
      </w:r>
      <w:proofErr w:type="spellEnd"/>
      <w:r w:rsidR="00F302B1" w:rsidRPr="00D9693C">
        <w:t xml:space="preserve"> activities </w:t>
      </w:r>
      <w:r w:rsidR="00F302B1">
        <w:t>in</w:t>
      </w:r>
      <w:r w:rsidR="00F302B1" w:rsidRPr="00D9693C">
        <w:t xml:space="preserve"> the VFS business area do not give rise to any horizontal overlap or vertical relationship in the context of the Transaction. Therefore, </w:t>
      </w:r>
      <w:proofErr w:type="spellStart"/>
      <w:r w:rsidR="00F302B1" w:rsidRPr="00D9693C">
        <w:t>Kuoni's</w:t>
      </w:r>
      <w:proofErr w:type="spellEnd"/>
      <w:r w:rsidR="00F302B1" w:rsidRPr="00D9693C">
        <w:t xml:space="preserve"> activit</w:t>
      </w:r>
      <w:r w:rsidR="00D9344D">
        <w:t>ies</w:t>
      </w:r>
      <w:r w:rsidR="00F302B1" w:rsidRPr="00D9693C">
        <w:t xml:space="preserve"> </w:t>
      </w:r>
      <w:r w:rsidR="00F302B1">
        <w:t>in</w:t>
      </w:r>
      <w:r w:rsidR="00F302B1" w:rsidRPr="00D9693C">
        <w:t xml:space="preserve"> the VFS business area will not be further assessed in the framework of this decision.  </w:t>
      </w:r>
    </w:p>
  </w:footnote>
  <w:footnote w:id="6">
    <w:p w14:paraId="268927A7" w14:textId="09669165" w:rsidR="00F302B1" w:rsidRPr="00680FD0" w:rsidRDefault="00F302B1">
      <w:pPr>
        <w:pStyle w:val="FootnoteText"/>
      </w:pPr>
      <w:r>
        <w:rPr>
          <w:rStyle w:val="FootnoteReference"/>
        </w:rPr>
        <w:footnoteRef/>
      </w:r>
      <w:r>
        <w:t xml:space="preserve"> </w:t>
      </w:r>
      <w:r w:rsidRPr="00162BD6">
        <w:tab/>
      </w:r>
      <w:proofErr w:type="gramStart"/>
      <w:r>
        <w:t xml:space="preserve">Under the </w:t>
      </w:r>
      <w:proofErr w:type="spellStart"/>
      <w:r>
        <w:t>Gullivers</w:t>
      </w:r>
      <w:proofErr w:type="spellEnd"/>
      <w:r>
        <w:t xml:space="preserve"> Travel Associates ("GTA") division/brand.</w:t>
      </w:r>
      <w:proofErr w:type="gramEnd"/>
    </w:p>
  </w:footnote>
  <w:footnote w:id="7">
    <w:p w14:paraId="4948E92F" w14:textId="7971114E" w:rsidR="00F302B1" w:rsidRPr="00CE7EF0" w:rsidRDefault="00F302B1">
      <w:pPr>
        <w:pStyle w:val="FootnoteText"/>
        <w:rPr>
          <w:lang w:val="pl-PL"/>
        </w:rPr>
      </w:pPr>
      <w:r>
        <w:rPr>
          <w:rStyle w:val="FootnoteReference"/>
        </w:rPr>
        <w:footnoteRef/>
      </w:r>
      <w:r w:rsidRPr="00CE7EF0">
        <w:rPr>
          <w:lang w:val="pl-PL"/>
        </w:rPr>
        <w:t xml:space="preserve"> </w:t>
      </w:r>
      <w:r w:rsidRPr="00CE7EF0">
        <w:rPr>
          <w:lang w:val="pl-PL"/>
        </w:rPr>
        <w:tab/>
      </w:r>
      <w:proofErr w:type="gramStart"/>
      <w:r w:rsidRPr="00CE7EF0">
        <w:rPr>
          <w:lang w:val="pl-PL"/>
        </w:rPr>
        <w:t>Form CO</w:t>
      </w:r>
      <w:proofErr w:type="gramEnd"/>
      <w:r w:rsidRPr="00CE7EF0">
        <w:rPr>
          <w:lang w:val="pl-PL"/>
        </w:rPr>
        <w:t xml:space="preserve">, </w:t>
      </w:r>
      <w:proofErr w:type="spellStart"/>
      <w:r w:rsidRPr="00CE7EF0">
        <w:rPr>
          <w:lang w:val="pl-PL"/>
        </w:rPr>
        <w:t>page</w:t>
      </w:r>
      <w:proofErr w:type="spellEnd"/>
      <w:r w:rsidRPr="00CE7EF0">
        <w:rPr>
          <w:lang w:val="pl-PL"/>
        </w:rPr>
        <w:t xml:space="preserve"> 40.</w:t>
      </w:r>
    </w:p>
  </w:footnote>
  <w:footnote w:id="8">
    <w:p w14:paraId="50693938" w14:textId="1DF3A1C6" w:rsidR="00F302B1" w:rsidRPr="00793640" w:rsidRDefault="00F302B1">
      <w:pPr>
        <w:pStyle w:val="FootnoteText"/>
        <w:rPr>
          <w:lang w:val="pl-PL"/>
        </w:rPr>
      </w:pPr>
      <w:r>
        <w:rPr>
          <w:rStyle w:val="FootnoteReference"/>
        </w:rPr>
        <w:footnoteRef/>
      </w:r>
      <w:r w:rsidRPr="00793640">
        <w:rPr>
          <w:lang w:val="pl-PL"/>
        </w:rPr>
        <w:t xml:space="preserve"> </w:t>
      </w:r>
      <w:r w:rsidRPr="00793640">
        <w:rPr>
          <w:lang w:val="pl-PL"/>
        </w:rPr>
        <w:tab/>
      </w:r>
      <w:proofErr w:type="gramStart"/>
      <w:r w:rsidRPr="004A4EDF">
        <w:rPr>
          <w:lang w:val="pl-PL"/>
        </w:rPr>
        <w:t>Form CO</w:t>
      </w:r>
      <w:proofErr w:type="gramEnd"/>
      <w:r w:rsidRPr="004A4EDF">
        <w:rPr>
          <w:lang w:val="pl-PL"/>
        </w:rPr>
        <w:t xml:space="preserve">, </w:t>
      </w:r>
      <w:proofErr w:type="spellStart"/>
      <w:r w:rsidRPr="004A4EDF">
        <w:rPr>
          <w:lang w:val="pl-PL"/>
        </w:rPr>
        <w:t>page</w:t>
      </w:r>
      <w:proofErr w:type="spellEnd"/>
      <w:r w:rsidRPr="004A4EDF">
        <w:rPr>
          <w:lang w:val="pl-PL"/>
        </w:rPr>
        <w:t xml:space="preserve"> 41.</w:t>
      </w:r>
    </w:p>
  </w:footnote>
  <w:footnote w:id="9">
    <w:p w14:paraId="5AAC2075" w14:textId="2132C491" w:rsidR="00F302B1" w:rsidRPr="0033314D" w:rsidRDefault="00F302B1" w:rsidP="001D7986">
      <w:pPr>
        <w:pStyle w:val="FootnoteText"/>
      </w:pPr>
      <w:r w:rsidRPr="0033314D">
        <w:rPr>
          <w:rStyle w:val="FootnoteReference"/>
        </w:rPr>
        <w:footnoteRef/>
      </w:r>
      <w:r w:rsidRPr="0033314D">
        <w:t xml:space="preserve"> </w:t>
      </w:r>
      <w:r w:rsidRPr="0033314D">
        <w:tab/>
      </w:r>
      <w:r w:rsidR="00D015AC">
        <w:t xml:space="preserve">Commission decision of 20 October 2016 in </w:t>
      </w:r>
      <w:r w:rsidRPr="00ED37A9">
        <w:t xml:space="preserve">Case </w:t>
      </w:r>
      <w:proofErr w:type="gramStart"/>
      <w:r w:rsidRPr="00ED37A9">
        <w:t xml:space="preserve">M.8046 </w:t>
      </w:r>
      <w:r w:rsidR="004F60CE">
        <w:t xml:space="preserve"> -</w:t>
      </w:r>
      <w:proofErr w:type="gramEnd"/>
      <w:r w:rsidRPr="00ED37A9">
        <w:t xml:space="preserve"> TUI/Transat France, , paragraph</w:t>
      </w:r>
      <w:r w:rsidR="00173234" w:rsidRPr="00ED37A9">
        <w:t>s</w:t>
      </w:r>
      <w:r w:rsidRPr="00ED37A9">
        <w:t xml:space="preserve"> </w:t>
      </w:r>
      <w:r w:rsidR="00173234" w:rsidRPr="00ED37A9">
        <w:t>55</w:t>
      </w:r>
      <w:r w:rsidR="00ED37A9">
        <w:t xml:space="preserve"> and </w:t>
      </w:r>
      <w:r w:rsidR="00173234" w:rsidRPr="00ED37A9">
        <w:t>56</w:t>
      </w:r>
      <w:r w:rsidRPr="00ED37A9">
        <w:t>.</w:t>
      </w:r>
    </w:p>
  </w:footnote>
  <w:footnote w:id="10">
    <w:p w14:paraId="1866135B" w14:textId="5C754CF3" w:rsidR="00F302B1" w:rsidRPr="004060EA" w:rsidRDefault="00F302B1" w:rsidP="001D7986">
      <w:pPr>
        <w:pStyle w:val="FootnoteText"/>
      </w:pPr>
      <w:r w:rsidRPr="0033314D">
        <w:rPr>
          <w:rStyle w:val="FootnoteReference"/>
        </w:rPr>
        <w:footnoteRef/>
      </w:r>
      <w:r w:rsidRPr="0033314D">
        <w:t xml:space="preserve"> </w:t>
      </w:r>
      <w:r w:rsidRPr="0033314D">
        <w:tab/>
      </w:r>
      <w:proofErr w:type="gramStart"/>
      <w:r w:rsidR="00D015AC">
        <w:t xml:space="preserve">Commission decision of 20 October 2016 in </w:t>
      </w:r>
      <w:r>
        <w:t>C</w:t>
      </w:r>
      <w:r w:rsidRPr="0033314D">
        <w:t xml:space="preserve">ase </w:t>
      </w:r>
      <w:r>
        <w:t>M.</w:t>
      </w:r>
      <w:r w:rsidRPr="0033314D">
        <w:t xml:space="preserve">8046 </w:t>
      </w:r>
      <w:r w:rsidR="004F60CE">
        <w:t>-</w:t>
      </w:r>
      <w:r w:rsidRPr="0033314D">
        <w:t xml:space="preserve"> TUI/Transat Fra</w:t>
      </w:r>
      <w:r>
        <w:t>nce,</w:t>
      </w:r>
      <w:r w:rsidRPr="001D7986">
        <w:t xml:space="preserve"> </w:t>
      </w:r>
      <w:r>
        <w:t xml:space="preserve">paragraph </w:t>
      </w:r>
      <w:r w:rsidR="00D073C4">
        <w:t>65</w:t>
      </w:r>
      <w:r w:rsidR="002A0398">
        <w:t>.</w:t>
      </w:r>
      <w:proofErr w:type="gramEnd"/>
    </w:p>
  </w:footnote>
  <w:footnote w:id="11">
    <w:p w14:paraId="6E7B8903" w14:textId="651F2D68" w:rsidR="00F302B1" w:rsidRPr="004060EA" w:rsidRDefault="00F302B1" w:rsidP="00B7462E">
      <w:pPr>
        <w:pStyle w:val="FootnoteText"/>
      </w:pPr>
      <w:r>
        <w:rPr>
          <w:rStyle w:val="FootnoteReference"/>
        </w:rPr>
        <w:footnoteRef/>
      </w:r>
      <w:r>
        <w:t xml:space="preserve"> </w:t>
      </w:r>
      <w:r>
        <w:tab/>
      </w:r>
      <w:r w:rsidRPr="00742CB3">
        <w:t>For</w:t>
      </w:r>
      <w:r w:rsidRPr="005809A1">
        <w:t>m</w:t>
      </w:r>
      <w:r w:rsidRPr="00C4341E">
        <w:t xml:space="preserve"> C</w:t>
      </w:r>
      <w:r w:rsidRPr="00EE6AD7">
        <w:t>O,</w:t>
      </w:r>
      <w:r w:rsidRPr="00E45714">
        <w:t xml:space="preserve"> </w:t>
      </w:r>
      <w:r w:rsidRPr="00B042F1">
        <w:t xml:space="preserve">page </w:t>
      </w:r>
      <w:r>
        <w:t>43</w:t>
      </w:r>
      <w:r w:rsidRPr="002B2DEA">
        <w:t>.</w:t>
      </w:r>
    </w:p>
  </w:footnote>
  <w:footnote w:id="12">
    <w:p w14:paraId="7C87E6C2" w14:textId="2778143D" w:rsidR="00A74E3D" w:rsidRPr="004060EA" w:rsidRDefault="00A74E3D" w:rsidP="00A74E3D">
      <w:pPr>
        <w:pStyle w:val="FootnoteText"/>
      </w:pPr>
      <w:r>
        <w:rPr>
          <w:rStyle w:val="FootnoteReference"/>
        </w:rPr>
        <w:footnoteRef/>
      </w:r>
      <w:r>
        <w:t xml:space="preserve"> </w:t>
      </w:r>
      <w:r>
        <w:tab/>
      </w:r>
      <w:proofErr w:type="gramStart"/>
      <w:r w:rsidR="00D015AC">
        <w:t xml:space="preserve">Commission decision of 22 April 2016 in </w:t>
      </w:r>
      <w:r>
        <w:t>Case M.7968 - EQT Service UK/</w:t>
      </w:r>
      <w:proofErr w:type="spellStart"/>
      <w:r>
        <w:t>Kuoni</w:t>
      </w:r>
      <w:proofErr w:type="spellEnd"/>
      <w:r>
        <w:t xml:space="preserve"> Travel Holding, paragraph 18.</w:t>
      </w:r>
      <w:proofErr w:type="gramEnd"/>
    </w:p>
  </w:footnote>
  <w:footnote w:id="13">
    <w:p w14:paraId="245EDCFE" w14:textId="44AD4299" w:rsidR="00F302B1" w:rsidRPr="00B42747" w:rsidRDefault="00F302B1">
      <w:pPr>
        <w:pStyle w:val="FootnoteText"/>
      </w:pPr>
      <w:r>
        <w:rPr>
          <w:rStyle w:val="FootnoteReference"/>
        </w:rPr>
        <w:footnoteRef/>
      </w:r>
      <w:r>
        <w:t xml:space="preserve"> </w:t>
      </w:r>
      <w:r>
        <w:tab/>
      </w:r>
      <w:proofErr w:type="gramStart"/>
      <w:r w:rsidR="00D015AC">
        <w:t xml:space="preserve">Commission decision of 19 January 2016 in </w:t>
      </w:r>
      <w:r>
        <w:t>C</w:t>
      </w:r>
      <w:r w:rsidRPr="00734051">
        <w:t xml:space="preserve">ase M.7802 </w:t>
      </w:r>
      <w:r>
        <w:t>-</w:t>
      </w:r>
      <w:r w:rsidRPr="00734051">
        <w:t xml:space="preserve"> Amadeus/</w:t>
      </w:r>
      <w:proofErr w:type="spellStart"/>
      <w:r w:rsidRPr="00734051">
        <w:t>Navitaire</w:t>
      </w:r>
      <w:proofErr w:type="spellEnd"/>
      <w:r>
        <w:t>,</w:t>
      </w:r>
      <w:r w:rsidRPr="001D7986">
        <w:t xml:space="preserve"> </w:t>
      </w:r>
      <w:r>
        <w:t xml:space="preserve">paragraph </w:t>
      </w:r>
      <w:r w:rsidR="00173234">
        <w:t>45.</w:t>
      </w:r>
      <w:proofErr w:type="gramEnd"/>
    </w:p>
  </w:footnote>
  <w:footnote w:id="14">
    <w:p w14:paraId="71BB9029" w14:textId="211DED9A" w:rsidR="00F302B1" w:rsidRPr="00B42747" w:rsidRDefault="00F302B1">
      <w:pPr>
        <w:pStyle w:val="FootnoteText"/>
      </w:pPr>
      <w:r>
        <w:rPr>
          <w:rStyle w:val="FootnoteReference"/>
        </w:rPr>
        <w:footnoteRef/>
      </w:r>
      <w:r>
        <w:t xml:space="preserve"> </w:t>
      </w:r>
      <w:r>
        <w:tab/>
      </w:r>
      <w:r w:rsidRPr="004B6B0E">
        <w:t>Form CO, page 46 and 47.</w:t>
      </w:r>
    </w:p>
  </w:footnote>
  <w:footnote w:id="15">
    <w:p w14:paraId="3534DD58" w14:textId="15FCB027" w:rsidR="00F302B1" w:rsidRPr="00B42747" w:rsidRDefault="00F302B1">
      <w:pPr>
        <w:pStyle w:val="FootnoteText"/>
      </w:pPr>
      <w:r>
        <w:rPr>
          <w:rStyle w:val="FootnoteReference"/>
        </w:rPr>
        <w:footnoteRef/>
      </w:r>
      <w:r>
        <w:t xml:space="preserve"> </w:t>
      </w:r>
      <w:r>
        <w:tab/>
      </w:r>
      <w:r w:rsidRPr="004B6B0E">
        <w:t>Form CO, page 47.</w:t>
      </w:r>
    </w:p>
  </w:footnote>
  <w:footnote w:id="16">
    <w:p w14:paraId="41BD3F14" w14:textId="311E5241" w:rsidR="00A74E3D" w:rsidRPr="00F02470" w:rsidRDefault="00A74E3D" w:rsidP="00A74E3D">
      <w:pPr>
        <w:pStyle w:val="FootnoteText"/>
      </w:pPr>
      <w:r w:rsidRPr="00F02470">
        <w:rPr>
          <w:rStyle w:val="FootnoteReference"/>
        </w:rPr>
        <w:footnoteRef/>
      </w:r>
      <w:r w:rsidRPr="00F02470">
        <w:t xml:space="preserve"> </w:t>
      </w:r>
      <w:r w:rsidRPr="00F02470">
        <w:tab/>
      </w:r>
      <w:proofErr w:type="gramStart"/>
      <w:r w:rsidR="00D015AC">
        <w:t xml:space="preserve">Commission decision of </w:t>
      </w:r>
      <w:r w:rsidR="00B415FE">
        <w:t>27</w:t>
      </w:r>
      <w:r w:rsidR="00D015AC">
        <w:t xml:space="preserve"> J</w:t>
      </w:r>
      <w:r w:rsidR="00B415FE">
        <w:t>une</w:t>
      </w:r>
      <w:r w:rsidR="00D015AC">
        <w:t xml:space="preserve"> 2016 in </w:t>
      </w:r>
      <w:r w:rsidRPr="00F02470">
        <w:t xml:space="preserve">Case M.7902 </w:t>
      </w:r>
      <w:r w:rsidR="004F60CE">
        <w:t>-</w:t>
      </w:r>
      <w:r w:rsidRPr="00F02470">
        <w:t xml:space="preserve"> Marriott/Starwood paragraphs 46 and 47.</w:t>
      </w:r>
      <w:proofErr w:type="gramEnd"/>
    </w:p>
  </w:footnote>
  <w:footnote w:id="17">
    <w:p w14:paraId="4CBDD78C" w14:textId="4C01FECA" w:rsidR="00F302B1" w:rsidRPr="00F02470" w:rsidRDefault="00F302B1" w:rsidP="007C51CE">
      <w:pPr>
        <w:pStyle w:val="FootnoteText"/>
      </w:pPr>
      <w:r>
        <w:rPr>
          <w:rStyle w:val="FootnoteReference"/>
        </w:rPr>
        <w:footnoteRef/>
      </w:r>
      <w:r>
        <w:t xml:space="preserve"> </w:t>
      </w:r>
      <w:r>
        <w:tab/>
      </w:r>
      <w:r w:rsidR="00D015AC">
        <w:t xml:space="preserve">Commission decision of 22 April 2016 in </w:t>
      </w:r>
      <w:r w:rsidRPr="00F02470">
        <w:t xml:space="preserve">Case M.7968 - EQT Services UK / </w:t>
      </w:r>
      <w:proofErr w:type="spellStart"/>
      <w:r w:rsidRPr="00F02470">
        <w:t>Kuoni</w:t>
      </w:r>
      <w:proofErr w:type="spellEnd"/>
      <w:r w:rsidRPr="00F02470">
        <w:t xml:space="preserve"> Travel Holding, paragraph </w:t>
      </w:r>
      <w:r w:rsidR="00CC77E0" w:rsidRPr="00F02470">
        <w:t>12</w:t>
      </w:r>
      <w:r w:rsidRPr="00F02470">
        <w:t xml:space="preserve">; </w:t>
      </w:r>
      <w:r w:rsidR="00D015AC">
        <w:t xml:space="preserve">Commission decision of 19 December 2012 in Case </w:t>
      </w:r>
      <w:r w:rsidRPr="00F02470">
        <w:t xml:space="preserve">M.6738 - Goldman Sachs/KKR/QMH, paragraph </w:t>
      </w:r>
      <w:r w:rsidR="00B84371" w:rsidRPr="00F02470">
        <w:t>14</w:t>
      </w:r>
      <w:r w:rsidRPr="00F02470">
        <w:t xml:space="preserve">; </w:t>
      </w:r>
      <w:r w:rsidR="00D015AC">
        <w:t xml:space="preserve">Commission decision of 2 </w:t>
      </w:r>
      <w:r w:rsidR="009019D6">
        <w:t>February</w:t>
      </w:r>
      <w:r w:rsidR="00D015AC">
        <w:t xml:space="preserve"> 2011 in Case </w:t>
      </w:r>
      <w:r w:rsidRPr="00F02470">
        <w:t xml:space="preserve">M.6058 - Bank of Scotland/Barclays Bank/Kew Green Hotels, paragraph </w:t>
      </w:r>
      <w:r w:rsidR="00B84371" w:rsidRPr="00F02470">
        <w:t>13</w:t>
      </w:r>
      <w:r w:rsidRPr="00F02470">
        <w:t xml:space="preserve">; </w:t>
      </w:r>
      <w:r w:rsidR="00D015AC">
        <w:t xml:space="preserve">Commission decision of 20 July 2005 </w:t>
      </w:r>
      <w:r w:rsidR="009019D6">
        <w:t xml:space="preserve">in Case </w:t>
      </w:r>
      <w:r w:rsidRPr="00F02470">
        <w:t xml:space="preserve">M.3858 - Lehman Brothers/SCG/Starwood/Le </w:t>
      </w:r>
      <w:proofErr w:type="spellStart"/>
      <w:r w:rsidRPr="00F02470">
        <w:t>Meridien</w:t>
      </w:r>
      <w:proofErr w:type="spellEnd"/>
      <w:r w:rsidRPr="00F02470">
        <w:t xml:space="preserve">, paragraph </w:t>
      </w:r>
      <w:r w:rsidR="00B84371" w:rsidRPr="00F02470">
        <w:t>16</w:t>
      </w:r>
      <w:r w:rsidRPr="00F02470">
        <w:t xml:space="preserve">; </w:t>
      </w:r>
      <w:r w:rsidR="00D015AC">
        <w:t xml:space="preserve">Commission decision of 16 February 2001 in Case </w:t>
      </w:r>
      <w:r w:rsidRPr="00F02470">
        <w:t xml:space="preserve">M.2197 - Hilton/Accor/Forte/Travel Services JV, paragraph </w:t>
      </w:r>
      <w:r w:rsidR="00B84371" w:rsidRPr="00F02470">
        <w:t>26</w:t>
      </w:r>
      <w:r w:rsidR="008E632A" w:rsidRPr="00F02470">
        <w:t>.</w:t>
      </w:r>
      <w:r w:rsidRPr="00F02470">
        <w:t xml:space="preserve"> </w:t>
      </w:r>
    </w:p>
  </w:footnote>
  <w:footnote w:id="18">
    <w:p w14:paraId="4611EB42" w14:textId="07EFDD7D" w:rsidR="00F302B1" w:rsidRPr="00F02470" w:rsidRDefault="00F302B1">
      <w:pPr>
        <w:pStyle w:val="FootnoteText"/>
      </w:pPr>
      <w:r w:rsidRPr="00F02470">
        <w:rPr>
          <w:rStyle w:val="FootnoteReference"/>
        </w:rPr>
        <w:footnoteRef/>
      </w:r>
      <w:r w:rsidRPr="00F02470">
        <w:t xml:space="preserve"> </w:t>
      </w:r>
      <w:r w:rsidRPr="00F02470">
        <w:tab/>
      </w:r>
      <w:r w:rsidR="00D015AC">
        <w:t>Commission decision of 27</w:t>
      </w:r>
      <w:r w:rsidR="00B415FE">
        <w:t xml:space="preserve"> June 2016 in </w:t>
      </w:r>
      <w:r w:rsidRPr="00F02470">
        <w:t xml:space="preserve">Case M.7902 </w:t>
      </w:r>
      <w:r w:rsidR="004F60CE">
        <w:t>-</w:t>
      </w:r>
      <w:r w:rsidRPr="00F02470">
        <w:t xml:space="preserve"> Marriott/Starwood, paragraph</w:t>
      </w:r>
      <w:r w:rsidR="007A736A">
        <w:t>s</w:t>
      </w:r>
      <w:r w:rsidRPr="00F02470">
        <w:t xml:space="preserve"> </w:t>
      </w:r>
      <w:r w:rsidR="009639A3" w:rsidRPr="00F02470">
        <w:t>110</w:t>
      </w:r>
      <w:r w:rsidR="007A736A">
        <w:t>, 118 and 119</w:t>
      </w:r>
      <w:r w:rsidRPr="00F02470">
        <w:t xml:space="preserve">; </w:t>
      </w:r>
      <w:r w:rsidR="00B415FE">
        <w:t xml:space="preserve">Commission decision of 19 December 2012 in Case </w:t>
      </w:r>
      <w:r w:rsidRPr="00F02470">
        <w:t xml:space="preserve">M.6738 </w:t>
      </w:r>
      <w:r w:rsidR="004F60CE">
        <w:t>-</w:t>
      </w:r>
      <w:r w:rsidRPr="00F02470">
        <w:t xml:space="preserve"> Goldman Sachs/KKR/QMH, paragraph </w:t>
      </w:r>
      <w:r w:rsidR="00B20D41" w:rsidRPr="00F02470">
        <w:t>16</w:t>
      </w:r>
      <w:r w:rsidRPr="00F02470">
        <w:t xml:space="preserve">; </w:t>
      </w:r>
      <w:r w:rsidR="00B415FE">
        <w:t xml:space="preserve">Commission decision of 2 February 2011 in Case </w:t>
      </w:r>
      <w:r w:rsidRPr="00F02470">
        <w:t xml:space="preserve">M.6058 </w:t>
      </w:r>
      <w:r w:rsidR="004F60CE">
        <w:t>-</w:t>
      </w:r>
      <w:r w:rsidRPr="00F02470">
        <w:t xml:space="preserve"> Bank of Scotland/Barclays Bank/Kew Green Hotels</w:t>
      </w:r>
      <w:r w:rsidR="00B20D41" w:rsidRPr="00F02470">
        <w:t>, paragraph 15</w:t>
      </w:r>
      <w:r w:rsidRPr="00F02470">
        <w:t xml:space="preserve">; </w:t>
      </w:r>
      <w:r w:rsidR="00B415FE">
        <w:t xml:space="preserve">Commission decision of 20 July 2005 in Case </w:t>
      </w:r>
      <w:r w:rsidRPr="00F02470">
        <w:t xml:space="preserve">M.3858 </w:t>
      </w:r>
      <w:r w:rsidR="004F60CE">
        <w:t>-</w:t>
      </w:r>
      <w:r w:rsidRPr="00F02470">
        <w:t xml:space="preserve"> Lehman Brothers/SCG/Starwood/Le </w:t>
      </w:r>
      <w:proofErr w:type="spellStart"/>
      <w:r w:rsidRPr="00F02470">
        <w:t>Meridien</w:t>
      </w:r>
      <w:proofErr w:type="spellEnd"/>
      <w:r w:rsidR="00B20D41" w:rsidRPr="00F02470">
        <w:t>, paragraph 18</w:t>
      </w:r>
      <w:r w:rsidRPr="00F02470">
        <w:t xml:space="preserve">; </w:t>
      </w:r>
      <w:r w:rsidR="00B415FE">
        <w:t xml:space="preserve">Commission decision of 16 February 2011 in Case </w:t>
      </w:r>
      <w:r w:rsidRPr="00F02470">
        <w:t xml:space="preserve">M.2197 </w:t>
      </w:r>
      <w:r w:rsidR="004F60CE">
        <w:t>-</w:t>
      </w:r>
      <w:r w:rsidRPr="00F02470">
        <w:t xml:space="preserve"> Hilton/Accor/Forte/Travel Services JV</w:t>
      </w:r>
      <w:r w:rsidR="00B20D41" w:rsidRPr="00F02470">
        <w:t>, paragraph 28</w:t>
      </w:r>
      <w:r w:rsidR="008E632A" w:rsidRPr="00F02470">
        <w:t>.</w:t>
      </w:r>
      <w:r w:rsidRPr="00F02470">
        <w:t xml:space="preserve"> </w:t>
      </w:r>
    </w:p>
  </w:footnote>
  <w:footnote w:id="19">
    <w:p w14:paraId="68315D76" w14:textId="4A6C1CE1" w:rsidR="00F302B1" w:rsidRPr="00F02470" w:rsidRDefault="00F302B1">
      <w:pPr>
        <w:pStyle w:val="FootnoteText"/>
      </w:pPr>
      <w:r w:rsidRPr="00F02470">
        <w:rPr>
          <w:rStyle w:val="FootnoteReference"/>
        </w:rPr>
        <w:footnoteRef/>
      </w:r>
      <w:r w:rsidRPr="00F02470">
        <w:t xml:space="preserve"> </w:t>
      </w:r>
      <w:r w:rsidRPr="00F02470">
        <w:tab/>
        <w:t>Form CO, page 52 and 53.</w:t>
      </w:r>
    </w:p>
  </w:footnote>
  <w:footnote w:id="20">
    <w:p w14:paraId="6BA4D0D0" w14:textId="405F2B0C" w:rsidR="00F302B1" w:rsidRPr="004D25F2" w:rsidRDefault="00F302B1">
      <w:pPr>
        <w:pStyle w:val="FootnoteText"/>
        <w:rPr>
          <w:b/>
        </w:rPr>
      </w:pPr>
      <w:r w:rsidRPr="00F02470">
        <w:rPr>
          <w:rStyle w:val="FootnoteReference"/>
        </w:rPr>
        <w:footnoteRef/>
      </w:r>
      <w:r w:rsidRPr="00F02470">
        <w:t xml:space="preserve"> </w:t>
      </w:r>
      <w:r w:rsidRPr="00F02470">
        <w:tab/>
        <w:t xml:space="preserve">The Parties' activities overlap in </w:t>
      </w:r>
      <w:r w:rsidR="007E74DC">
        <w:t>relation to</w:t>
      </w:r>
      <w:r w:rsidRPr="00F02470">
        <w:t xml:space="preserve"> (</w:t>
      </w:r>
      <w:proofErr w:type="spellStart"/>
      <w:r w:rsidRPr="00F02470">
        <w:t>i</w:t>
      </w:r>
      <w:proofErr w:type="spellEnd"/>
      <w:r w:rsidRPr="00F02470">
        <w:t>) destination management services, and (ii) hotel intermediation. However, their activities are largely complementary, focusing on different types of customers and destinations.</w:t>
      </w:r>
      <w:r w:rsidR="007E74DC">
        <w:t xml:space="preserve"> </w:t>
      </w:r>
      <w:r w:rsidR="007E74DC" w:rsidRPr="00D9693C">
        <w:t xml:space="preserve">Therefore, </w:t>
      </w:r>
      <w:r w:rsidR="007E74DC">
        <w:t>these</w:t>
      </w:r>
      <w:r w:rsidR="007E74DC" w:rsidRPr="00D9693C">
        <w:t xml:space="preserve"> activit</w:t>
      </w:r>
      <w:r w:rsidR="007E74DC">
        <w:t>ies</w:t>
      </w:r>
      <w:r w:rsidR="007E74DC" w:rsidRPr="00D9693C">
        <w:t xml:space="preserve"> will not be further assessed in the framework of this decision.  </w:t>
      </w:r>
    </w:p>
  </w:footnote>
  <w:footnote w:id="21">
    <w:p w14:paraId="59E4FD80" w14:textId="725A00F0" w:rsidR="00F302B1" w:rsidRPr="00E16052" w:rsidRDefault="00F302B1">
      <w:pPr>
        <w:pStyle w:val="FootnoteText"/>
      </w:pPr>
      <w:r>
        <w:rPr>
          <w:rStyle w:val="FootnoteReference"/>
        </w:rPr>
        <w:footnoteRef/>
      </w:r>
      <w:r>
        <w:t xml:space="preserve"> </w:t>
      </w:r>
      <w:r>
        <w:tab/>
      </w:r>
      <w:r w:rsidRPr="00526C65">
        <w:t>The Commission assessed the vertical r</w:t>
      </w:r>
      <w:r w:rsidR="007E74DC" w:rsidRPr="00526C65">
        <w:t>e</w:t>
      </w:r>
      <w:r w:rsidRPr="00526C65">
        <w:t>l</w:t>
      </w:r>
      <w:r w:rsidR="007E74DC" w:rsidRPr="00526C65">
        <w:t>a</w:t>
      </w:r>
      <w:r w:rsidRPr="00526C65">
        <w:t xml:space="preserve">tionship between </w:t>
      </w:r>
      <w:proofErr w:type="spellStart"/>
      <w:r w:rsidRPr="00526C65">
        <w:t>Kuoni</w:t>
      </w:r>
      <w:proofErr w:type="spellEnd"/>
      <w:r w:rsidRPr="00526C65">
        <w:t xml:space="preserve"> and </w:t>
      </w:r>
      <w:proofErr w:type="spellStart"/>
      <w:r w:rsidRPr="00526C65">
        <w:t>Scandic</w:t>
      </w:r>
      <w:proofErr w:type="spellEnd"/>
      <w:r w:rsidRPr="00526C65">
        <w:t xml:space="preserve"> in Case COMP/M.7968 - EQT Services UK / </w:t>
      </w:r>
      <w:proofErr w:type="spellStart"/>
      <w:r w:rsidRPr="00526C65">
        <w:t>Kuoni</w:t>
      </w:r>
      <w:proofErr w:type="spellEnd"/>
      <w:r w:rsidRPr="00526C65">
        <w:t xml:space="preserve"> Travel Holding</w:t>
      </w:r>
      <w:r w:rsidR="007E74DC" w:rsidRPr="00526C65">
        <w:t xml:space="preserve">, </w:t>
      </w:r>
      <w:r w:rsidR="007E74DC" w:rsidRPr="00526C65">
        <w:rPr>
          <w:color w:val="000000"/>
          <w:lang w:eastAsia="sv-SE"/>
        </w:rPr>
        <w:t xml:space="preserve">paragraphs </w:t>
      </w:r>
      <w:r w:rsidR="008F4EC8" w:rsidRPr="00526C65">
        <w:rPr>
          <w:color w:val="000000"/>
          <w:lang w:eastAsia="sv-SE"/>
        </w:rPr>
        <w:t>34-53</w:t>
      </w:r>
      <w:r w:rsidR="007E74DC" w:rsidRPr="00526C65">
        <w:rPr>
          <w:color w:val="000000"/>
          <w:lang w:eastAsia="sv-SE"/>
        </w:rPr>
        <w:t xml:space="preserve"> </w:t>
      </w:r>
      <w:r w:rsidRPr="00526C65">
        <w:t xml:space="preserve">and concluded that </w:t>
      </w:r>
      <w:proofErr w:type="spellStart"/>
      <w:r w:rsidRPr="00526C65">
        <w:t>Kuoni</w:t>
      </w:r>
      <w:proofErr w:type="spellEnd"/>
      <w:r w:rsidRPr="00526C65">
        <w:t xml:space="preserve"> and </w:t>
      </w:r>
      <w:proofErr w:type="spellStart"/>
      <w:r w:rsidRPr="00526C65">
        <w:t>Scandic</w:t>
      </w:r>
      <w:proofErr w:type="spellEnd"/>
      <w:r w:rsidRPr="00526C65">
        <w:t xml:space="preserve"> would have neither the ability nor the incentive to engage in any input or customer foreclosure strategy.</w:t>
      </w:r>
    </w:p>
  </w:footnote>
  <w:footnote w:id="22">
    <w:p w14:paraId="34876E69" w14:textId="03A641BF" w:rsidR="00D46A10" w:rsidRPr="00D46A10" w:rsidRDefault="00D46A10">
      <w:pPr>
        <w:pStyle w:val="FootnoteText"/>
      </w:pPr>
      <w:r>
        <w:rPr>
          <w:rStyle w:val="FootnoteReference"/>
        </w:rPr>
        <w:footnoteRef/>
      </w:r>
      <w:r>
        <w:t xml:space="preserve"> </w:t>
      </w:r>
      <w:r>
        <w:tab/>
      </w:r>
      <w:r w:rsidRPr="00F02470">
        <w:t xml:space="preserve">EQT controls the hotel chain </w:t>
      </w:r>
      <w:proofErr w:type="spellStart"/>
      <w:r w:rsidRPr="00F02470">
        <w:t>Scandic</w:t>
      </w:r>
      <w:proofErr w:type="spellEnd"/>
      <w:r w:rsidRPr="00F02470">
        <w:t xml:space="preserve"> Hotel Groups ("</w:t>
      </w:r>
      <w:proofErr w:type="spellStart"/>
      <w:r w:rsidRPr="00F02470">
        <w:t>Scandic</w:t>
      </w:r>
      <w:proofErr w:type="spellEnd"/>
      <w:r w:rsidRPr="00F02470">
        <w:t>"), which is primarily active in Northern Europe.</w:t>
      </w:r>
    </w:p>
  </w:footnote>
  <w:footnote w:id="23">
    <w:p w14:paraId="5F765BA9" w14:textId="1810C048" w:rsidR="00F302B1" w:rsidRPr="005115C8" w:rsidRDefault="00F302B1" w:rsidP="00FB4138">
      <w:pPr>
        <w:pStyle w:val="FootnoteText"/>
        <w:rPr>
          <w:color w:val="000000"/>
          <w:lang w:eastAsia="sv-SE"/>
        </w:rPr>
      </w:pPr>
      <w:r>
        <w:rPr>
          <w:rStyle w:val="FootnoteReference"/>
        </w:rPr>
        <w:footnoteRef/>
      </w:r>
      <w:r>
        <w:t xml:space="preserve"> </w:t>
      </w:r>
      <w:r>
        <w:tab/>
      </w:r>
      <w:r w:rsidRPr="00526C65">
        <w:t xml:space="preserve">In </w:t>
      </w:r>
      <w:proofErr w:type="spellStart"/>
      <w:r w:rsidRPr="00526C65">
        <w:t>Arvika</w:t>
      </w:r>
      <w:proofErr w:type="spellEnd"/>
      <w:r w:rsidRPr="00526C65">
        <w:t xml:space="preserve">, </w:t>
      </w:r>
      <w:proofErr w:type="spellStart"/>
      <w:r w:rsidRPr="00526C65">
        <w:rPr>
          <w:color w:val="000000"/>
          <w:lang w:eastAsia="sv-SE"/>
        </w:rPr>
        <w:t>Gällivare</w:t>
      </w:r>
      <w:proofErr w:type="spellEnd"/>
      <w:r w:rsidRPr="00526C65">
        <w:rPr>
          <w:color w:val="000000"/>
          <w:lang w:eastAsia="sv-SE"/>
        </w:rPr>
        <w:t xml:space="preserve"> and </w:t>
      </w:r>
      <w:proofErr w:type="spellStart"/>
      <w:r w:rsidRPr="00526C65">
        <w:rPr>
          <w:color w:val="000000"/>
          <w:lang w:eastAsia="sv-SE"/>
        </w:rPr>
        <w:t>Värnamo</w:t>
      </w:r>
      <w:proofErr w:type="spellEnd"/>
      <w:r w:rsidRPr="00526C65">
        <w:rPr>
          <w:color w:val="000000"/>
          <w:lang w:eastAsia="sv-SE"/>
        </w:rPr>
        <w:t xml:space="preserve">, the only </w:t>
      </w:r>
      <w:proofErr w:type="spellStart"/>
      <w:proofErr w:type="gramStart"/>
      <w:r w:rsidRPr="00526C65">
        <w:rPr>
          <w:color w:val="000000"/>
          <w:lang w:eastAsia="sv-SE"/>
        </w:rPr>
        <w:t>Scandic</w:t>
      </w:r>
      <w:proofErr w:type="spellEnd"/>
      <w:proofErr w:type="gramEnd"/>
      <w:r w:rsidRPr="00526C65">
        <w:rPr>
          <w:color w:val="000000"/>
          <w:lang w:eastAsia="sv-SE"/>
        </w:rPr>
        <w:t xml:space="preserve"> hotel in the area is a franchised hotel</w:t>
      </w:r>
      <w:r w:rsidR="000D73C1" w:rsidRPr="00526C65">
        <w:rPr>
          <w:color w:val="000000"/>
          <w:lang w:eastAsia="sv-SE"/>
        </w:rPr>
        <w:t xml:space="preserve"> (that is a hotel that is operated under </w:t>
      </w:r>
      <w:proofErr w:type="spellStart"/>
      <w:r w:rsidR="000D73C1" w:rsidRPr="00526C65">
        <w:rPr>
          <w:color w:val="000000"/>
          <w:lang w:eastAsia="sv-SE"/>
        </w:rPr>
        <w:t>Scandic's</w:t>
      </w:r>
      <w:proofErr w:type="spellEnd"/>
      <w:r w:rsidR="000D73C1" w:rsidRPr="00526C65">
        <w:rPr>
          <w:color w:val="000000"/>
          <w:lang w:eastAsia="sv-SE"/>
        </w:rPr>
        <w:t xml:space="preserve"> brand but neither owned nor managed by </w:t>
      </w:r>
      <w:proofErr w:type="spellStart"/>
      <w:r w:rsidR="000D73C1" w:rsidRPr="00526C65">
        <w:rPr>
          <w:color w:val="000000"/>
          <w:lang w:eastAsia="sv-SE"/>
        </w:rPr>
        <w:t>Scandic</w:t>
      </w:r>
      <w:proofErr w:type="spellEnd"/>
      <w:r w:rsidR="000D73C1" w:rsidRPr="00526C65">
        <w:rPr>
          <w:color w:val="000000"/>
          <w:lang w:eastAsia="sv-SE"/>
        </w:rPr>
        <w:t>)</w:t>
      </w:r>
      <w:r w:rsidRPr="00526C65">
        <w:rPr>
          <w:color w:val="000000"/>
          <w:lang w:eastAsia="sv-SE"/>
        </w:rPr>
        <w:t xml:space="preserve">. In </w:t>
      </w:r>
      <w:proofErr w:type="spellStart"/>
      <w:r w:rsidRPr="00526C65">
        <w:rPr>
          <w:color w:val="000000"/>
          <w:lang w:eastAsia="sv-SE"/>
        </w:rPr>
        <w:t>Östersund</w:t>
      </w:r>
      <w:proofErr w:type="spellEnd"/>
      <w:r w:rsidRPr="00526C65">
        <w:rPr>
          <w:color w:val="000000"/>
          <w:lang w:eastAsia="sv-SE"/>
        </w:rPr>
        <w:t xml:space="preserve">, there are two </w:t>
      </w:r>
      <w:proofErr w:type="spellStart"/>
      <w:r w:rsidRPr="00526C65">
        <w:rPr>
          <w:color w:val="000000"/>
          <w:lang w:eastAsia="sv-SE"/>
        </w:rPr>
        <w:t>Scandic</w:t>
      </w:r>
      <w:proofErr w:type="spellEnd"/>
      <w:r w:rsidRPr="00526C65">
        <w:rPr>
          <w:color w:val="000000"/>
          <w:lang w:eastAsia="sv-SE"/>
        </w:rPr>
        <w:t xml:space="preserve"> hotels, one of which is a franchised hotel. In </w:t>
      </w:r>
      <w:proofErr w:type="spellStart"/>
      <w:r w:rsidRPr="00526C65">
        <w:rPr>
          <w:color w:val="000000"/>
          <w:lang w:eastAsia="sv-SE"/>
        </w:rPr>
        <w:t>Strömstad</w:t>
      </w:r>
      <w:proofErr w:type="spellEnd"/>
      <w:r w:rsidRPr="00526C65">
        <w:rPr>
          <w:color w:val="000000"/>
          <w:lang w:eastAsia="sv-SE"/>
        </w:rPr>
        <w:t xml:space="preserve">, the only </w:t>
      </w:r>
      <w:proofErr w:type="spellStart"/>
      <w:proofErr w:type="gramStart"/>
      <w:r w:rsidRPr="00526C65">
        <w:rPr>
          <w:color w:val="000000"/>
          <w:lang w:eastAsia="sv-SE"/>
        </w:rPr>
        <w:t>Scandic</w:t>
      </w:r>
      <w:proofErr w:type="spellEnd"/>
      <w:proofErr w:type="gramEnd"/>
      <w:r w:rsidRPr="00526C65">
        <w:rPr>
          <w:color w:val="000000"/>
          <w:lang w:eastAsia="sv-SE"/>
        </w:rPr>
        <w:t xml:space="preserve"> hotel is a partner hotel (that is an hotel that is operated independently under its own brand and not managed by </w:t>
      </w:r>
      <w:proofErr w:type="spellStart"/>
      <w:r w:rsidRPr="00526C65">
        <w:rPr>
          <w:color w:val="000000"/>
          <w:lang w:eastAsia="sv-SE"/>
        </w:rPr>
        <w:t>Scandic</w:t>
      </w:r>
      <w:proofErr w:type="spellEnd"/>
      <w:r w:rsidRPr="00526C65">
        <w:rPr>
          <w:color w:val="000000"/>
          <w:lang w:eastAsia="sv-SE"/>
        </w:rPr>
        <w:t xml:space="preserve">). In </w:t>
      </w:r>
      <w:proofErr w:type="spellStart"/>
      <w:r w:rsidRPr="00526C65">
        <w:rPr>
          <w:color w:val="000000"/>
          <w:lang w:eastAsia="sv-SE"/>
        </w:rPr>
        <w:t>Sør-Trøndelag</w:t>
      </w:r>
      <w:proofErr w:type="spellEnd"/>
      <w:r w:rsidRPr="00526C65">
        <w:rPr>
          <w:color w:val="000000"/>
          <w:lang w:eastAsia="sv-SE"/>
        </w:rPr>
        <w:t xml:space="preserve">, two of the seven </w:t>
      </w:r>
      <w:proofErr w:type="spellStart"/>
      <w:r w:rsidRPr="00526C65">
        <w:rPr>
          <w:color w:val="000000"/>
          <w:lang w:eastAsia="sv-SE"/>
        </w:rPr>
        <w:t>Scandic</w:t>
      </w:r>
      <w:proofErr w:type="spellEnd"/>
      <w:r w:rsidRPr="00526C65">
        <w:rPr>
          <w:color w:val="000000"/>
          <w:lang w:eastAsia="sv-SE"/>
        </w:rPr>
        <w:t xml:space="preserve"> hotels are partner hotels.</w:t>
      </w:r>
      <w:r w:rsidRPr="00526C65">
        <w:rPr>
          <w:color w:val="000000"/>
          <w:sz w:val="16"/>
          <w:szCs w:val="16"/>
          <w:lang w:eastAsia="sv-SE"/>
        </w:rPr>
        <w:t xml:space="preserve"> </w:t>
      </w:r>
      <w:r w:rsidRPr="00526C65">
        <w:rPr>
          <w:color w:val="000000"/>
          <w:lang w:eastAsia="sv-SE"/>
        </w:rPr>
        <w:t xml:space="preserve">See </w:t>
      </w:r>
      <w:r w:rsidR="00B415FE">
        <w:rPr>
          <w:color w:val="000000"/>
          <w:lang w:eastAsia="sv-SE"/>
        </w:rPr>
        <w:t xml:space="preserve">Commission decision of 22 April 2016 in </w:t>
      </w:r>
      <w:r w:rsidRPr="00526C65">
        <w:rPr>
          <w:color w:val="000000"/>
          <w:lang w:eastAsia="sv-SE"/>
        </w:rPr>
        <w:t xml:space="preserve">Case M.7968 </w:t>
      </w:r>
      <w:r w:rsidR="004F60CE">
        <w:rPr>
          <w:color w:val="000000"/>
          <w:lang w:eastAsia="sv-SE"/>
        </w:rPr>
        <w:t xml:space="preserve">- </w:t>
      </w:r>
      <w:r w:rsidRPr="00526C65">
        <w:rPr>
          <w:color w:val="000000"/>
          <w:lang w:eastAsia="sv-SE"/>
        </w:rPr>
        <w:t xml:space="preserve">EQT Services UK / </w:t>
      </w:r>
      <w:proofErr w:type="spellStart"/>
      <w:r w:rsidRPr="00526C65">
        <w:rPr>
          <w:color w:val="000000"/>
          <w:lang w:eastAsia="sv-SE"/>
        </w:rPr>
        <w:t>Kuoni</w:t>
      </w:r>
      <w:proofErr w:type="spellEnd"/>
      <w:r w:rsidRPr="00526C65">
        <w:rPr>
          <w:color w:val="000000"/>
          <w:lang w:eastAsia="sv-SE"/>
        </w:rPr>
        <w:t xml:space="preserve"> Travel Holding</w:t>
      </w:r>
      <w:r w:rsidR="007E74DC" w:rsidRPr="00526C65">
        <w:rPr>
          <w:color w:val="000000"/>
          <w:lang w:eastAsia="sv-SE"/>
        </w:rPr>
        <w:t xml:space="preserve">, </w:t>
      </w:r>
      <w:r w:rsidR="00D46A10" w:rsidRPr="00526C65">
        <w:rPr>
          <w:color w:val="000000"/>
          <w:lang w:eastAsia="sv-SE"/>
        </w:rPr>
        <w:t>footnote 17</w:t>
      </w:r>
      <w:r w:rsidRPr="00526C65">
        <w:rPr>
          <w:color w:val="000000"/>
          <w:lang w:eastAsia="sv-SE"/>
        </w:rPr>
        <w:t>.</w:t>
      </w:r>
      <w:r>
        <w:rPr>
          <w:color w:val="000000"/>
          <w:lang w:eastAsia="sv-SE"/>
        </w:rPr>
        <w:t xml:space="preserve"> </w:t>
      </w:r>
    </w:p>
  </w:footnote>
  <w:footnote w:id="24">
    <w:p w14:paraId="0EBCECF1" w14:textId="72E2D8DB" w:rsidR="00F302B1" w:rsidRPr="00404292" w:rsidRDefault="00F302B1" w:rsidP="00237796">
      <w:pPr>
        <w:pStyle w:val="FootnoteText"/>
        <w:rPr>
          <w:lang w:val="fr-FR"/>
        </w:rPr>
      </w:pPr>
      <w:r>
        <w:rPr>
          <w:rStyle w:val="FootnoteReference"/>
        </w:rPr>
        <w:footnoteRef/>
      </w:r>
      <w:r w:rsidRPr="00404292">
        <w:rPr>
          <w:lang w:val="fr-FR"/>
        </w:rPr>
        <w:t xml:space="preserve"> </w:t>
      </w:r>
      <w:r w:rsidRPr="00404292">
        <w:rPr>
          <w:lang w:val="fr-FR"/>
        </w:rPr>
        <w:tab/>
        <w:t xml:space="preserve">Non-Horizontal </w:t>
      </w:r>
      <w:proofErr w:type="spellStart"/>
      <w:r w:rsidRPr="00404292">
        <w:rPr>
          <w:lang w:val="fr-FR"/>
        </w:rPr>
        <w:t>Merger</w:t>
      </w:r>
      <w:proofErr w:type="spellEnd"/>
      <w:r w:rsidRPr="00404292">
        <w:rPr>
          <w:lang w:val="fr-FR"/>
        </w:rPr>
        <w:t xml:space="preserve"> Guidelines, </w:t>
      </w:r>
      <w:proofErr w:type="spellStart"/>
      <w:r w:rsidRPr="00404292">
        <w:rPr>
          <w:lang w:val="fr-FR"/>
        </w:rPr>
        <w:t>paragraphs</w:t>
      </w:r>
      <w:proofErr w:type="spellEnd"/>
      <w:r w:rsidRPr="00404292">
        <w:rPr>
          <w:lang w:val="fr-FR"/>
        </w:rPr>
        <w:t xml:space="preserve"> 31-32.</w:t>
      </w:r>
    </w:p>
  </w:footnote>
  <w:footnote w:id="25">
    <w:p w14:paraId="4794435B" w14:textId="45009B9A" w:rsidR="00F302B1" w:rsidRPr="004F4884" w:rsidRDefault="00F302B1">
      <w:pPr>
        <w:pStyle w:val="FootnoteText"/>
        <w:rPr>
          <w:lang w:val="fr-BE"/>
        </w:rPr>
      </w:pPr>
      <w:r>
        <w:rPr>
          <w:rStyle w:val="FootnoteReference"/>
        </w:rPr>
        <w:footnoteRef/>
      </w:r>
      <w:r w:rsidRPr="004F4884">
        <w:rPr>
          <w:lang w:val="fr-BE"/>
        </w:rPr>
        <w:t xml:space="preserve"> </w:t>
      </w:r>
      <w:r w:rsidRPr="004F4884">
        <w:rPr>
          <w:lang w:val="fr-BE"/>
        </w:rPr>
        <w:tab/>
        <w:t xml:space="preserve">Non-Horizontal </w:t>
      </w:r>
      <w:proofErr w:type="spellStart"/>
      <w:r w:rsidRPr="004F4884">
        <w:rPr>
          <w:lang w:val="fr-BE"/>
        </w:rPr>
        <w:t>Merger</w:t>
      </w:r>
      <w:proofErr w:type="spellEnd"/>
      <w:r w:rsidRPr="004F4884">
        <w:rPr>
          <w:lang w:val="fr-BE"/>
        </w:rPr>
        <w:t xml:space="preserve"> Guidelines, </w:t>
      </w:r>
      <w:proofErr w:type="spellStart"/>
      <w:r w:rsidRPr="004F4884">
        <w:rPr>
          <w:lang w:val="fr-BE"/>
        </w:rPr>
        <w:t>p</w:t>
      </w:r>
      <w:r>
        <w:rPr>
          <w:lang w:val="fr-BE"/>
        </w:rPr>
        <w:t>aragraphs</w:t>
      </w:r>
      <w:proofErr w:type="spellEnd"/>
      <w:r>
        <w:rPr>
          <w:lang w:val="fr-BE"/>
        </w:rPr>
        <w:t xml:space="preserve"> 58-59.</w:t>
      </w:r>
    </w:p>
  </w:footnote>
  <w:footnote w:id="26">
    <w:p w14:paraId="1F538B58" w14:textId="2CB7D5C1" w:rsidR="00F302B1" w:rsidRDefault="00F302B1">
      <w:pPr>
        <w:pStyle w:val="FootnoteText"/>
      </w:pPr>
      <w:r>
        <w:rPr>
          <w:rStyle w:val="FootnoteReference"/>
        </w:rPr>
        <w:footnoteRef/>
      </w:r>
      <w:r>
        <w:t xml:space="preserve"> </w:t>
      </w:r>
      <w:r>
        <w:tab/>
      </w:r>
      <w:proofErr w:type="gramStart"/>
      <w:r>
        <w:t>Reference period Q1- Q2 of 2015.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41A1BAC"/>
    <w:lvl w:ilvl="0">
      <w:start w:val="1"/>
      <w:numFmt w:val="decimal"/>
      <w:lvlText w:val="%1."/>
      <w:lvlJc w:val="left"/>
      <w:pPr>
        <w:tabs>
          <w:tab w:val="num" w:pos="360"/>
        </w:tabs>
        <w:ind w:left="360" w:hanging="360"/>
      </w:pPr>
    </w:lvl>
  </w:abstractNum>
  <w:abstractNum w:abstractNumId="1">
    <w:nsid w:val="FFFFFFFB"/>
    <w:multiLevelType w:val="multilevel"/>
    <w:tmpl w:val="4964E87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i w:val="0"/>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ind w:left="3332" w:hanging="708"/>
      </w:pPr>
      <w:rPr>
        <w:rFonts w:hint="default"/>
      </w:rPr>
    </w:lvl>
    <w:lvl w:ilvl="5">
      <w:start w:val="1"/>
      <w:numFmt w:val="decimal"/>
      <w:pStyle w:val="Heading6"/>
      <w:lvlText w:val="%1.%2.%3.%4.%5.%6."/>
      <w:lvlJc w:val="left"/>
      <w:pPr>
        <w:ind w:left="4040" w:hanging="708"/>
      </w:pPr>
      <w:rPr>
        <w:rFonts w:hint="default"/>
      </w:rPr>
    </w:lvl>
    <w:lvl w:ilvl="6">
      <w:start w:val="1"/>
      <w:numFmt w:val="decimal"/>
      <w:pStyle w:val="Heading7"/>
      <w:lvlText w:val="%1.%2.%3.%4.%5.%6.%7."/>
      <w:lvlJc w:val="left"/>
      <w:pPr>
        <w:ind w:left="4748" w:hanging="708"/>
      </w:pPr>
      <w:rPr>
        <w:rFonts w:hint="default"/>
      </w:rPr>
    </w:lvl>
    <w:lvl w:ilvl="7">
      <w:start w:val="1"/>
      <w:numFmt w:val="decimal"/>
      <w:pStyle w:val="Heading8"/>
      <w:lvlText w:val="%1.%2.%3.%4.%5.%6.%7.%8."/>
      <w:lvlJc w:val="left"/>
      <w:pPr>
        <w:ind w:left="5456" w:hanging="708"/>
      </w:pPr>
      <w:rPr>
        <w:rFonts w:hint="default"/>
      </w:rPr>
    </w:lvl>
    <w:lvl w:ilvl="8">
      <w:start w:val="1"/>
      <w:numFmt w:val="decimal"/>
      <w:pStyle w:val="Heading9"/>
      <w:lvlText w:val="%1.%2.%3.%4.%5.%6.%7.%8.%9."/>
      <w:lvlJc w:val="left"/>
      <w:pPr>
        <w:ind w:left="6164" w:hanging="708"/>
      </w:pPr>
      <w:rPr>
        <w:rFonts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A64765A"/>
    <w:multiLevelType w:val="hybridMultilevel"/>
    <w:tmpl w:val="EA4AA276"/>
    <w:lvl w:ilvl="0" w:tplc="E9C84E7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E5C1813"/>
    <w:multiLevelType w:val="hybridMultilevel"/>
    <w:tmpl w:val="BA1C391C"/>
    <w:lvl w:ilvl="0" w:tplc="E9D2DF6C">
      <w:start w:val="1"/>
      <w:numFmt w:val="decimal"/>
      <w:pStyle w:val="NumPar1"/>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9">
    <w:nsid w:val="725627C7"/>
    <w:multiLevelType w:val="hybridMultilevel"/>
    <w:tmpl w:val="9132B30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FCE568C"/>
    <w:multiLevelType w:val="hybridMultilevel"/>
    <w:tmpl w:val="06F8927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
  </w:num>
  <w:num w:numId="2">
    <w:abstractNumId w:val="17"/>
  </w:num>
  <w:num w:numId="3">
    <w:abstractNumId w:val="13"/>
  </w:num>
  <w:num w:numId="4">
    <w:abstractNumId w:val="8"/>
  </w:num>
  <w:num w:numId="5">
    <w:abstractNumId w:val="7"/>
  </w:num>
  <w:num w:numId="6">
    <w:abstractNumId w:val="4"/>
  </w:num>
  <w:num w:numId="7">
    <w:abstractNumId w:val="3"/>
  </w:num>
  <w:num w:numId="8">
    <w:abstractNumId w:val="14"/>
  </w:num>
  <w:num w:numId="9">
    <w:abstractNumId w:val="16"/>
  </w:num>
  <w:num w:numId="10">
    <w:abstractNumId w:val="15"/>
  </w:num>
  <w:num w:numId="11">
    <w:abstractNumId w:val="18"/>
  </w:num>
  <w:num w:numId="12">
    <w:abstractNumId w:val="5"/>
  </w:num>
  <w:num w:numId="13">
    <w:abstractNumId w:val="9"/>
  </w:num>
  <w:num w:numId="14">
    <w:abstractNumId w:val="11"/>
  </w:num>
  <w:num w:numId="15">
    <w:abstractNumId w:val="10"/>
  </w:num>
  <w:num w:numId="16">
    <w:abstractNumId w:val="2"/>
  </w:num>
  <w:num w:numId="17">
    <w:abstractNumId w:val="12"/>
  </w:num>
  <w:num w:numId="18">
    <w:abstractNumId w:val="17"/>
  </w:num>
  <w:num w:numId="19">
    <w:abstractNumId w:val="1"/>
  </w:num>
  <w:num w:numId="20">
    <w:abstractNumId w:val="1"/>
  </w:num>
  <w:num w:numId="21">
    <w:abstractNumId w:val="6"/>
  </w:num>
  <w:num w:numId="22">
    <w:abstractNumId w:val="17"/>
  </w:num>
  <w:num w:numId="23">
    <w:abstractNumId w:val="17"/>
  </w:num>
  <w:num w:numId="24">
    <w:abstractNumId w:val="19"/>
  </w:num>
  <w:num w:numId="25">
    <w:abstractNumId w:val="17"/>
  </w:num>
  <w:num w:numId="26">
    <w:abstractNumId w:val="17"/>
  </w:num>
  <w:num w:numId="27">
    <w:abstractNumId w:val="17"/>
  </w:num>
  <w:num w:numId="28">
    <w:abstractNumId w:val="17"/>
  </w:num>
  <w:num w:numId="29">
    <w:abstractNumId w:val="17"/>
  </w:num>
  <w:num w:numId="30">
    <w:abstractNumId w:val="1"/>
  </w:num>
  <w:num w:numId="31">
    <w:abstractNumId w:val="1"/>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
  </w:num>
  <w:num w:numId="39">
    <w:abstractNumId w:val="17"/>
  </w:num>
  <w:num w:numId="40">
    <w:abstractNumId w:val="17"/>
  </w:num>
  <w:num w:numId="41">
    <w:abstractNumId w:val="0"/>
  </w:num>
  <w:num w:numId="42">
    <w:abstractNumId w:val="1"/>
  </w:num>
  <w:num w:numId="4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NOT"/>
    <w:docVar w:name="EurolookLanguage" w:val="2057"/>
    <w:docVar w:name="EurolookVersion" w:val="3.7"/>
    <w:docVar w:name="LW_DocType" w:val="NOT"/>
  </w:docVars>
  <w:rsids>
    <w:rsidRoot w:val="0002574A"/>
    <w:rsid w:val="00002BA3"/>
    <w:rsid w:val="000036EF"/>
    <w:rsid w:val="00007D4D"/>
    <w:rsid w:val="00010BFF"/>
    <w:rsid w:val="0001652D"/>
    <w:rsid w:val="00016769"/>
    <w:rsid w:val="00020DF0"/>
    <w:rsid w:val="00021897"/>
    <w:rsid w:val="0002574A"/>
    <w:rsid w:val="00033349"/>
    <w:rsid w:val="000351DE"/>
    <w:rsid w:val="00035422"/>
    <w:rsid w:val="00036542"/>
    <w:rsid w:val="00040B16"/>
    <w:rsid w:val="000422E9"/>
    <w:rsid w:val="000474C1"/>
    <w:rsid w:val="00056E2C"/>
    <w:rsid w:val="00057DAE"/>
    <w:rsid w:val="00060BE7"/>
    <w:rsid w:val="000628F8"/>
    <w:rsid w:val="000700A1"/>
    <w:rsid w:val="000703D6"/>
    <w:rsid w:val="00071F27"/>
    <w:rsid w:val="0008058E"/>
    <w:rsid w:val="0008269C"/>
    <w:rsid w:val="00082FA2"/>
    <w:rsid w:val="00085944"/>
    <w:rsid w:val="000869FD"/>
    <w:rsid w:val="00091068"/>
    <w:rsid w:val="000A4B29"/>
    <w:rsid w:val="000A6A2E"/>
    <w:rsid w:val="000A76D7"/>
    <w:rsid w:val="000B1202"/>
    <w:rsid w:val="000B17F5"/>
    <w:rsid w:val="000B5ED4"/>
    <w:rsid w:val="000B6DA1"/>
    <w:rsid w:val="000B770F"/>
    <w:rsid w:val="000C1026"/>
    <w:rsid w:val="000C2610"/>
    <w:rsid w:val="000C2902"/>
    <w:rsid w:val="000C2B65"/>
    <w:rsid w:val="000D1D72"/>
    <w:rsid w:val="000D31D4"/>
    <w:rsid w:val="000D5700"/>
    <w:rsid w:val="000D5C08"/>
    <w:rsid w:val="000D73C1"/>
    <w:rsid w:val="000E0A21"/>
    <w:rsid w:val="000E1B81"/>
    <w:rsid w:val="000E31D0"/>
    <w:rsid w:val="000E5DFF"/>
    <w:rsid w:val="000E613A"/>
    <w:rsid w:val="000E62DF"/>
    <w:rsid w:val="000E76A7"/>
    <w:rsid w:val="000E7DC0"/>
    <w:rsid w:val="000F1A0B"/>
    <w:rsid w:val="000F43D8"/>
    <w:rsid w:val="0010163D"/>
    <w:rsid w:val="001110C7"/>
    <w:rsid w:val="001123B3"/>
    <w:rsid w:val="00114AFD"/>
    <w:rsid w:val="00116298"/>
    <w:rsid w:val="0012600A"/>
    <w:rsid w:val="00130148"/>
    <w:rsid w:val="0013049A"/>
    <w:rsid w:val="00134CD2"/>
    <w:rsid w:val="001371E4"/>
    <w:rsid w:val="00137E82"/>
    <w:rsid w:val="0014256F"/>
    <w:rsid w:val="001544F3"/>
    <w:rsid w:val="0015622E"/>
    <w:rsid w:val="0016170F"/>
    <w:rsid w:val="00162BD6"/>
    <w:rsid w:val="001651F5"/>
    <w:rsid w:val="001700C1"/>
    <w:rsid w:val="00173234"/>
    <w:rsid w:val="0017325B"/>
    <w:rsid w:val="00175445"/>
    <w:rsid w:val="001763DC"/>
    <w:rsid w:val="00181481"/>
    <w:rsid w:val="001819C7"/>
    <w:rsid w:val="00181AD1"/>
    <w:rsid w:val="00187A98"/>
    <w:rsid w:val="0019776C"/>
    <w:rsid w:val="001A0F98"/>
    <w:rsid w:val="001A15AF"/>
    <w:rsid w:val="001A2023"/>
    <w:rsid w:val="001A3DAD"/>
    <w:rsid w:val="001A41A1"/>
    <w:rsid w:val="001B0FBA"/>
    <w:rsid w:val="001B20B6"/>
    <w:rsid w:val="001B7D20"/>
    <w:rsid w:val="001B7D9F"/>
    <w:rsid w:val="001C02A2"/>
    <w:rsid w:val="001D0A11"/>
    <w:rsid w:val="001D7986"/>
    <w:rsid w:val="001E039F"/>
    <w:rsid w:val="001E0D81"/>
    <w:rsid w:val="001E5C1C"/>
    <w:rsid w:val="001F4180"/>
    <w:rsid w:val="001F5001"/>
    <w:rsid w:val="001F6F7A"/>
    <w:rsid w:val="001F72C1"/>
    <w:rsid w:val="00201286"/>
    <w:rsid w:val="00202874"/>
    <w:rsid w:val="00202AF3"/>
    <w:rsid w:val="002039B4"/>
    <w:rsid w:val="00206F64"/>
    <w:rsid w:val="00211121"/>
    <w:rsid w:val="00227276"/>
    <w:rsid w:val="00227750"/>
    <w:rsid w:val="00227AC4"/>
    <w:rsid w:val="00227BA7"/>
    <w:rsid w:val="002302F9"/>
    <w:rsid w:val="00233198"/>
    <w:rsid w:val="002336D3"/>
    <w:rsid w:val="002349DF"/>
    <w:rsid w:val="00237796"/>
    <w:rsid w:val="002439DD"/>
    <w:rsid w:val="00244BF2"/>
    <w:rsid w:val="00250F45"/>
    <w:rsid w:val="00255A7C"/>
    <w:rsid w:val="00261471"/>
    <w:rsid w:val="00263AFB"/>
    <w:rsid w:val="0026583C"/>
    <w:rsid w:val="002729FA"/>
    <w:rsid w:val="00272C52"/>
    <w:rsid w:val="00275503"/>
    <w:rsid w:val="00283B1E"/>
    <w:rsid w:val="00285E0E"/>
    <w:rsid w:val="00294585"/>
    <w:rsid w:val="002A0319"/>
    <w:rsid w:val="002A0398"/>
    <w:rsid w:val="002A3312"/>
    <w:rsid w:val="002B3A99"/>
    <w:rsid w:val="002C04A3"/>
    <w:rsid w:val="002C050C"/>
    <w:rsid w:val="002C18E7"/>
    <w:rsid w:val="002C36A7"/>
    <w:rsid w:val="002C51AA"/>
    <w:rsid w:val="002C73FC"/>
    <w:rsid w:val="002D5A70"/>
    <w:rsid w:val="002D6F58"/>
    <w:rsid w:val="002E0A5C"/>
    <w:rsid w:val="002E2D9B"/>
    <w:rsid w:val="002E6AF5"/>
    <w:rsid w:val="002F5E49"/>
    <w:rsid w:val="002F7203"/>
    <w:rsid w:val="0030025F"/>
    <w:rsid w:val="00300631"/>
    <w:rsid w:val="0030143A"/>
    <w:rsid w:val="003055CA"/>
    <w:rsid w:val="00317E66"/>
    <w:rsid w:val="00320F1C"/>
    <w:rsid w:val="00322DB7"/>
    <w:rsid w:val="00325F5E"/>
    <w:rsid w:val="00330678"/>
    <w:rsid w:val="003307B1"/>
    <w:rsid w:val="00330F37"/>
    <w:rsid w:val="00331E09"/>
    <w:rsid w:val="0033297F"/>
    <w:rsid w:val="003329B7"/>
    <w:rsid w:val="0033314D"/>
    <w:rsid w:val="0033501F"/>
    <w:rsid w:val="00335C14"/>
    <w:rsid w:val="00345DB0"/>
    <w:rsid w:val="00356B58"/>
    <w:rsid w:val="00360A19"/>
    <w:rsid w:val="00370E2E"/>
    <w:rsid w:val="0037722A"/>
    <w:rsid w:val="00380755"/>
    <w:rsid w:val="00381CCA"/>
    <w:rsid w:val="003822EE"/>
    <w:rsid w:val="003866FE"/>
    <w:rsid w:val="0039242D"/>
    <w:rsid w:val="00392840"/>
    <w:rsid w:val="00393CD8"/>
    <w:rsid w:val="00396A9C"/>
    <w:rsid w:val="003A0384"/>
    <w:rsid w:val="003A55A2"/>
    <w:rsid w:val="003B05E2"/>
    <w:rsid w:val="003B2B63"/>
    <w:rsid w:val="003B495F"/>
    <w:rsid w:val="003B4BC3"/>
    <w:rsid w:val="003C5D2E"/>
    <w:rsid w:val="003D0293"/>
    <w:rsid w:val="003D4C4B"/>
    <w:rsid w:val="003D654E"/>
    <w:rsid w:val="003E3B2F"/>
    <w:rsid w:val="003E43DF"/>
    <w:rsid w:val="003E6BBE"/>
    <w:rsid w:val="004020F5"/>
    <w:rsid w:val="00404292"/>
    <w:rsid w:val="004060EA"/>
    <w:rsid w:val="004072DC"/>
    <w:rsid w:val="00413D63"/>
    <w:rsid w:val="0043617A"/>
    <w:rsid w:val="00437738"/>
    <w:rsid w:val="0044042D"/>
    <w:rsid w:val="004408E8"/>
    <w:rsid w:val="0044169A"/>
    <w:rsid w:val="004419B6"/>
    <w:rsid w:val="004473D5"/>
    <w:rsid w:val="00447A08"/>
    <w:rsid w:val="004507AA"/>
    <w:rsid w:val="00452BF2"/>
    <w:rsid w:val="00452CAD"/>
    <w:rsid w:val="00456C31"/>
    <w:rsid w:val="004636B0"/>
    <w:rsid w:val="00466295"/>
    <w:rsid w:val="0046748C"/>
    <w:rsid w:val="00473927"/>
    <w:rsid w:val="00474810"/>
    <w:rsid w:val="00474D2E"/>
    <w:rsid w:val="004A08A7"/>
    <w:rsid w:val="004A4EB9"/>
    <w:rsid w:val="004A4EDF"/>
    <w:rsid w:val="004B1B99"/>
    <w:rsid w:val="004B2CA2"/>
    <w:rsid w:val="004B67AE"/>
    <w:rsid w:val="004B7BC8"/>
    <w:rsid w:val="004C2542"/>
    <w:rsid w:val="004D0486"/>
    <w:rsid w:val="004D25F2"/>
    <w:rsid w:val="004D274E"/>
    <w:rsid w:val="004D433E"/>
    <w:rsid w:val="004D72D4"/>
    <w:rsid w:val="004E1762"/>
    <w:rsid w:val="004E2313"/>
    <w:rsid w:val="004E6285"/>
    <w:rsid w:val="004F3193"/>
    <w:rsid w:val="004F4884"/>
    <w:rsid w:val="004F60CE"/>
    <w:rsid w:val="004F735C"/>
    <w:rsid w:val="0050002D"/>
    <w:rsid w:val="00500A0A"/>
    <w:rsid w:val="0050351D"/>
    <w:rsid w:val="00522DBB"/>
    <w:rsid w:val="0052413F"/>
    <w:rsid w:val="0052496B"/>
    <w:rsid w:val="00526C65"/>
    <w:rsid w:val="00532CBF"/>
    <w:rsid w:val="00535126"/>
    <w:rsid w:val="00535ECA"/>
    <w:rsid w:val="00551AD1"/>
    <w:rsid w:val="00552CE3"/>
    <w:rsid w:val="0055341A"/>
    <w:rsid w:val="00556CA8"/>
    <w:rsid w:val="0055708A"/>
    <w:rsid w:val="00564ED0"/>
    <w:rsid w:val="00571649"/>
    <w:rsid w:val="00573800"/>
    <w:rsid w:val="00577BA3"/>
    <w:rsid w:val="00581BD4"/>
    <w:rsid w:val="005837F9"/>
    <w:rsid w:val="00591E98"/>
    <w:rsid w:val="005928B2"/>
    <w:rsid w:val="00594BF3"/>
    <w:rsid w:val="005A5DC7"/>
    <w:rsid w:val="005A6722"/>
    <w:rsid w:val="005A73A6"/>
    <w:rsid w:val="005A784B"/>
    <w:rsid w:val="005C0CDB"/>
    <w:rsid w:val="005C6A8C"/>
    <w:rsid w:val="005D1BD5"/>
    <w:rsid w:val="005D40F2"/>
    <w:rsid w:val="005D7BCD"/>
    <w:rsid w:val="005F79A0"/>
    <w:rsid w:val="005F7EB6"/>
    <w:rsid w:val="00600161"/>
    <w:rsid w:val="00605611"/>
    <w:rsid w:val="00606F6C"/>
    <w:rsid w:val="006078B7"/>
    <w:rsid w:val="00611F4A"/>
    <w:rsid w:val="006131F7"/>
    <w:rsid w:val="00616EBE"/>
    <w:rsid w:val="006170AD"/>
    <w:rsid w:val="0061722A"/>
    <w:rsid w:val="0061753A"/>
    <w:rsid w:val="00617DF6"/>
    <w:rsid w:val="00622A05"/>
    <w:rsid w:val="006247CD"/>
    <w:rsid w:val="00625F90"/>
    <w:rsid w:val="00626664"/>
    <w:rsid w:val="0065124F"/>
    <w:rsid w:val="006535FF"/>
    <w:rsid w:val="00653776"/>
    <w:rsid w:val="00653A03"/>
    <w:rsid w:val="006661CF"/>
    <w:rsid w:val="00670F95"/>
    <w:rsid w:val="0067169C"/>
    <w:rsid w:val="00680FD0"/>
    <w:rsid w:val="00681257"/>
    <w:rsid w:val="00683083"/>
    <w:rsid w:val="00683549"/>
    <w:rsid w:val="006A069F"/>
    <w:rsid w:val="006A52C3"/>
    <w:rsid w:val="006A53A2"/>
    <w:rsid w:val="006B3DEA"/>
    <w:rsid w:val="006B4781"/>
    <w:rsid w:val="006C3BC8"/>
    <w:rsid w:val="006C7760"/>
    <w:rsid w:val="006C7CB2"/>
    <w:rsid w:val="006D139B"/>
    <w:rsid w:val="006D3B07"/>
    <w:rsid w:val="006D73C4"/>
    <w:rsid w:val="006E0A1F"/>
    <w:rsid w:val="006E27B8"/>
    <w:rsid w:val="006E4EE5"/>
    <w:rsid w:val="006F0430"/>
    <w:rsid w:val="006F4784"/>
    <w:rsid w:val="006F64FF"/>
    <w:rsid w:val="006F6948"/>
    <w:rsid w:val="006F734E"/>
    <w:rsid w:val="0070145F"/>
    <w:rsid w:val="00705DF5"/>
    <w:rsid w:val="0070660E"/>
    <w:rsid w:val="0070695F"/>
    <w:rsid w:val="00710D98"/>
    <w:rsid w:val="007333BF"/>
    <w:rsid w:val="00735E45"/>
    <w:rsid w:val="007421C8"/>
    <w:rsid w:val="0074472E"/>
    <w:rsid w:val="007543E6"/>
    <w:rsid w:val="0075506F"/>
    <w:rsid w:val="0075617F"/>
    <w:rsid w:val="00762870"/>
    <w:rsid w:val="00770120"/>
    <w:rsid w:val="007710DE"/>
    <w:rsid w:val="00773558"/>
    <w:rsid w:val="00775174"/>
    <w:rsid w:val="00775D93"/>
    <w:rsid w:val="00784F4E"/>
    <w:rsid w:val="00785835"/>
    <w:rsid w:val="00791FF3"/>
    <w:rsid w:val="00793640"/>
    <w:rsid w:val="007A0579"/>
    <w:rsid w:val="007A736A"/>
    <w:rsid w:val="007B0B42"/>
    <w:rsid w:val="007B2E6E"/>
    <w:rsid w:val="007B495D"/>
    <w:rsid w:val="007B6368"/>
    <w:rsid w:val="007C51CE"/>
    <w:rsid w:val="007D2BC8"/>
    <w:rsid w:val="007D6F6B"/>
    <w:rsid w:val="007E264E"/>
    <w:rsid w:val="007E2D16"/>
    <w:rsid w:val="007E6854"/>
    <w:rsid w:val="007E74DC"/>
    <w:rsid w:val="007F08D5"/>
    <w:rsid w:val="00800371"/>
    <w:rsid w:val="00801AE7"/>
    <w:rsid w:val="0080325C"/>
    <w:rsid w:val="00806D64"/>
    <w:rsid w:val="00812EC5"/>
    <w:rsid w:val="00812F1A"/>
    <w:rsid w:val="008130E6"/>
    <w:rsid w:val="0082608B"/>
    <w:rsid w:val="00830146"/>
    <w:rsid w:val="00842D32"/>
    <w:rsid w:val="008464F9"/>
    <w:rsid w:val="0085321F"/>
    <w:rsid w:val="00864EFE"/>
    <w:rsid w:val="0086723B"/>
    <w:rsid w:val="008702DD"/>
    <w:rsid w:val="00873155"/>
    <w:rsid w:val="0087645C"/>
    <w:rsid w:val="00885210"/>
    <w:rsid w:val="00885508"/>
    <w:rsid w:val="00886B50"/>
    <w:rsid w:val="00890224"/>
    <w:rsid w:val="00891D54"/>
    <w:rsid w:val="00895599"/>
    <w:rsid w:val="008A2F30"/>
    <w:rsid w:val="008A5892"/>
    <w:rsid w:val="008A6532"/>
    <w:rsid w:val="008B3BD4"/>
    <w:rsid w:val="008B55C5"/>
    <w:rsid w:val="008B5DFB"/>
    <w:rsid w:val="008B6823"/>
    <w:rsid w:val="008B7A80"/>
    <w:rsid w:val="008C13B0"/>
    <w:rsid w:val="008C35B8"/>
    <w:rsid w:val="008C37DB"/>
    <w:rsid w:val="008C7C20"/>
    <w:rsid w:val="008D04F3"/>
    <w:rsid w:val="008D12CF"/>
    <w:rsid w:val="008D1A41"/>
    <w:rsid w:val="008D404F"/>
    <w:rsid w:val="008D6291"/>
    <w:rsid w:val="008D77F4"/>
    <w:rsid w:val="008D7F80"/>
    <w:rsid w:val="008E02EA"/>
    <w:rsid w:val="008E08CA"/>
    <w:rsid w:val="008E108C"/>
    <w:rsid w:val="008E1FBF"/>
    <w:rsid w:val="008E4659"/>
    <w:rsid w:val="008E632A"/>
    <w:rsid w:val="008E6686"/>
    <w:rsid w:val="008E67C6"/>
    <w:rsid w:val="008E6C48"/>
    <w:rsid w:val="008F1061"/>
    <w:rsid w:val="008F17D4"/>
    <w:rsid w:val="008F4EC8"/>
    <w:rsid w:val="00900DE2"/>
    <w:rsid w:val="009012A3"/>
    <w:rsid w:val="009019D6"/>
    <w:rsid w:val="00902A58"/>
    <w:rsid w:val="009054F2"/>
    <w:rsid w:val="00910352"/>
    <w:rsid w:val="009111DF"/>
    <w:rsid w:val="009118E7"/>
    <w:rsid w:val="00912619"/>
    <w:rsid w:val="00914062"/>
    <w:rsid w:val="00915532"/>
    <w:rsid w:val="00923FE1"/>
    <w:rsid w:val="00924849"/>
    <w:rsid w:val="00937B29"/>
    <w:rsid w:val="00950DD1"/>
    <w:rsid w:val="009519FD"/>
    <w:rsid w:val="0095310A"/>
    <w:rsid w:val="00960D7C"/>
    <w:rsid w:val="009639A3"/>
    <w:rsid w:val="009724F3"/>
    <w:rsid w:val="00974DF1"/>
    <w:rsid w:val="009761EB"/>
    <w:rsid w:val="00982054"/>
    <w:rsid w:val="00986A6E"/>
    <w:rsid w:val="00986C1C"/>
    <w:rsid w:val="00990B51"/>
    <w:rsid w:val="00992280"/>
    <w:rsid w:val="00993512"/>
    <w:rsid w:val="00996665"/>
    <w:rsid w:val="00996A4D"/>
    <w:rsid w:val="009A0F8E"/>
    <w:rsid w:val="009A124D"/>
    <w:rsid w:val="009A1472"/>
    <w:rsid w:val="009A5295"/>
    <w:rsid w:val="009A568B"/>
    <w:rsid w:val="009A61FB"/>
    <w:rsid w:val="009B53BF"/>
    <w:rsid w:val="009B7069"/>
    <w:rsid w:val="009C1255"/>
    <w:rsid w:val="009C1A65"/>
    <w:rsid w:val="009C2825"/>
    <w:rsid w:val="009D075B"/>
    <w:rsid w:val="009D6734"/>
    <w:rsid w:val="009D79D4"/>
    <w:rsid w:val="009D7BC0"/>
    <w:rsid w:val="009E3A4F"/>
    <w:rsid w:val="009F72FD"/>
    <w:rsid w:val="00A013F4"/>
    <w:rsid w:val="00A13633"/>
    <w:rsid w:val="00A155D8"/>
    <w:rsid w:val="00A20A64"/>
    <w:rsid w:val="00A2108B"/>
    <w:rsid w:val="00A229C8"/>
    <w:rsid w:val="00A274A3"/>
    <w:rsid w:val="00A279DE"/>
    <w:rsid w:val="00A312C7"/>
    <w:rsid w:val="00A329DF"/>
    <w:rsid w:val="00A47C0B"/>
    <w:rsid w:val="00A50FCB"/>
    <w:rsid w:val="00A5198B"/>
    <w:rsid w:val="00A523DF"/>
    <w:rsid w:val="00A5414B"/>
    <w:rsid w:val="00A616B7"/>
    <w:rsid w:val="00A64D79"/>
    <w:rsid w:val="00A7288B"/>
    <w:rsid w:val="00A74E3D"/>
    <w:rsid w:val="00A82DFB"/>
    <w:rsid w:val="00A917AA"/>
    <w:rsid w:val="00AA068B"/>
    <w:rsid w:val="00AA0C7C"/>
    <w:rsid w:val="00AA177B"/>
    <w:rsid w:val="00AA3BD4"/>
    <w:rsid w:val="00AB072C"/>
    <w:rsid w:val="00AB29D7"/>
    <w:rsid w:val="00AB3869"/>
    <w:rsid w:val="00AC007C"/>
    <w:rsid w:val="00AC16F0"/>
    <w:rsid w:val="00AC5F04"/>
    <w:rsid w:val="00AC5F9B"/>
    <w:rsid w:val="00AD087B"/>
    <w:rsid w:val="00AD0C0F"/>
    <w:rsid w:val="00AD2669"/>
    <w:rsid w:val="00AF0BA4"/>
    <w:rsid w:val="00AF1395"/>
    <w:rsid w:val="00AF14B0"/>
    <w:rsid w:val="00AF24A8"/>
    <w:rsid w:val="00AF69A1"/>
    <w:rsid w:val="00B005EB"/>
    <w:rsid w:val="00B02382"/>
    <w:rsid w:val="00B07829"/>
    <w:rsid w:val="00B1331B"/>
    <w:rsid w:val="00B15925"/>
    <w:rsid w:val="00B20D41"/>
    <w:rsid w:val="00B27FC2"/>
    <w:rsid w:val="00B3186D"/>
    <w:rsid w:val="00B32EEA"/>
    <w:rsid w:val="00B34F4C"/>
    <w:rsid w:val="00B3605D"/>
    <w:rsid w:val="00B36EBC"/>
    <w:rsid w:val="00B40F51"/>
    <w:rsid w:val="00B415FE"/>
    <w:rsid w:val="00B41CD4"/>
    <w:rsid w:val="00B4222C"/>
    <w:rsid w:val="00B42747"/>
    <w:rsid w:val="00B462F6"/>
    <w:rsid w:val="00B478C6"/>
    <w:rsid w:val="00B50273"/>
    <w:rsid w:val="00B51071"/>
    <w:rsid w:val="00B5207A"/>
    <w:rsid w:val="00B530FC"/>
    <w:rsid w:val="00B605E6"/>
    <w:rsid w:val="00B641F4"/>
    <w:rsid w:val="00B64984"/>
    <w:rsid w:val="00B72327"/>
    <w:rsid w:val="00B7462E"/>
    <w:rsid w:val="00B768A0"/>
    <w:rsid w:val="00B84177"/>
    <w:rsid w:val="00B84371"/>
    <w:rsid w:val="00B915A1"/>
    <w:rsid w:val="00B934BF"/>
    <w:rsid w:val="00B963EE"/>
    <w:rsid w:val="00B96A4C"/>
    <w:rsid w:val="00B9724F"/>
    <w:rsid w:val="00BA0B93"/>
    <w:rsid w:val="00BA4A0A"/>
    <w:rsid w:val="00BA5741"/>
    <w:rsid w:val="00BA62F3"/>
    <w:rsid w:val="00BA66F0"/>
    <w:rsid w:val="00BB20BF"/>
    <w:rsid w:val="00BB36F1"/>
    <w:rsid w:val="00BB38BD"/>
    <w:rsid w:val="00BB78DC"/>
    <w:rsid w:val="00BC3B50"/>
    <w:rsid w:val="00BD060C"/>
    <w:rsid w:val="00BE026F"/>
    <w:rsid w:val="00BE1A57"/>
    <w:rsid w:val="00BE208A"/>
    <w:rsid w:val="00BE3785"/>
    <w:rsid w:val="00BE6DE3"/>
    <w:rsid w:val="00BF1E68"/>
    <w:rsid w:val="00BF5BD4"/>
    <w:rsid w:val="00C00599"/>
    <w:rsid w:val="00C04004"/>
    <w:rsid w:val="00C13D76"/>
    <w:rsid w:val="00C16731"/>
    <w:rsid w:val="00C21268"/>
    <w:rsid w:val="00C24227"/>
    <w:rsid w:val="00C24DC8"/>
    <w:rsid w:val="00C3626B"/>
    <w:rsid w:val="00C4769B"/>
    <w:rsid w:val="00C47C0D"/>
    <w:rsid w:val="00C51C35"/>
    <w:rsid w:val="00C62E43"/>
    <w:rsid w:val="00C65DC9"/>
    <w:rsid w:val="00C678C3"/>
    <w:rsid w:val="00C7142D"/>
    <w:rsid w:val="00C72A5D"/>
    <w:rsid w:val="00C7454E"/>
    <w:rsid w:val="00C75059"/>
    <w:rsid w:val="00C7539C"/>
    <w:rsid w:val="00C923C6"/>
    <w:rsid w:val="00C9265A"/>
    <w:rsid w:val="00C929B5"/>
    <w:rsid w:val="00C94E0F"/>
    <w:rsid w:val="00CA310F"/>
    <w:rsid w:val="00CA58D0"/>
    <w:rsid w:val="00CB24EF"/>
    <w:rsid w:val="00CC1388"/>
    <w:rsid w:val="00CC2A21"/>
    <w:rsid w:val="00CC77E0"/>
    <w:rsid w:val="00CD1092"/>
    <w:rsid w:val="00CD329F"/>
    <w:rsid w:val="00CD3BF9"/>
    <w:rsid w:val="00CD6A3B"/>
    <w:rsid w:val="00CD75A4"/>
    <w:rsid w:val="00CE4EEC"/>
    <w:rsid w:val="00CE62F3"/>
    <w:rsid w:val="00CE7DEB"/>
    <w:rsid w:val="00CE7EF0"/>
    <w:rsid w:val="00CE7FDD"/>
    <w:rsid w:val="00CF0B50"/>
    <w:rsid w:val="00CF25D5"/>
    <w:rsid w:val="00CF47FE"/>
    <w:rsid w:val="00CF5307"/>
    <w:rsid w:val="00D00077"/>
    <w:rsid w:val="00D01270"/>
    <w:rsid w:val="00D015AC"/>
    <w:rsid w:val="00D03727"/>
    <w:rsid w:val="00D073C4"/>
    <w:rsid w:val="00D077AA"/>
    <w:rsid w:val="00D07CC4"/>
    <w:rsid w:val="00D101B0"/>
    <w:rsid w:val="00D13BBC"/>
    <w:rsid w:val="00D13D3D"/>
    <w:rsid w:val="00D23BF6"/>
    <w:rsid w:val="00D24190"/>
    <w:rsid w:val="00D27598"/>
    <w:rsid w:val="00D405FD"/>
    <w:rsid w:val="00D45802"/>
    <w:rsid w:val="00D46A10"/>
    <w:rsid w:val="00D46F6C"/>
    <w:rsid w:val="00D50796"/>
    <w:rsid w:val="00D50835"/>
    <w:rsid w:val="00D51BD6"/>
    <w:rsid w:val="00D6683E"/>
    <w:rsid w:val="00D801C7"/>
    <w:rsid w:val="00D81942"/>
    <w:rsid w:val="00D9344D"/>
    <w:rsid w:val="00D9475B"/>
    <w:rsid w:val="00D9693C"/>
    <w:rsid w:val="00D97194"/>
    <w:rsid w:val="00D9742E"/>
    <w:rsid w:val="00DA175B"/>
    <w:rsid w:val="00DA2ADB"/>
    <w:rsid w:val="00DA3144"/>
    <w:rsid w:val="00DA3E6D"/>
    <w:rsid w:val="00DB1AF1"/>
    <w:rsid w:val="00DB34CE"/>
    <w:rsid w:val="00DB7904"/>
    <w:rsid w:val="00DC439C"/>
    <w:rsid w:val="00DC5C41"/>
    <w:rsid w:val="00DC7CE5"/>
    <w:rsid w:val="00DD0888"/>
    <w:rsid w:val="00DD0D1E"/>
    <w:rsid w:val="00DD32DF"/>
    <w:rsid w:val="00DD3E1C"/>
    <w:rsid w:val="00DD62C9"/>
    <w:rsid w:val="00DD7010"/>
    <w:rsid w:val="00DD7231"/>
    <w:rsid w:val="00DE022D"/>
    <w:rsid w:val="00DE1121"/>
    <w:rsid w:val="00DE386C"/>
    <w:rsid w:val="00DF2C62"/>
    <w:rsid w:val="00DF7794"/>
    <w:rsid w:val="00DF7F0F"/>
    <w:rsid w:val="00DF7FDC"/>
    <w:rsid w:val="00E03D8D"/>
    <w:rsid w:val="00E11FE1"/>
    <w:rsid w:val="00E13B40"/>
    <w:rsid w:val="00E15640"/>
    <w:rsid w:val="00E16052"/>
    <w:rsid w:val="00E172E3"/>
    <w:rsid w:val="00E25449"/>
    <w:rsid w:val="00E2621C"/>
    <w:rsid w:val="00E34E5B"/>
    <w:rsid w:val="00E36BFD"/>
    <w:rsid w:val="00E40D8C"/>
    <w:rsid w:val="00E450DA"/>
    <w:rsid w:val="00E5084D"/>
    <w:rsid w:val="00E562C4"/>
    <w:rsid w:val="00E6643C"/>
    <w:rsid w:val="00E72775"/>
    <w:rsid w:val="00E753DC"/>
    <w:rsid w:val="00E77B6F"/>
    <w:rsid w:val="00E828E5"/>
    <w:rsid w:val="00E85A21"/>
    <w:rsid w:val="00E862D5"/>
    <w:rsid w:val="00E91C35"/>
    <w:rsid w:val="00E91E5B"/>
    <w:rsid w:val="00EA625C"/>
    <w:rsid w:val="00EA7ABD"/>
    <w:rsid w:val="00EB0FBA"/>
    <w:rsid w:val="00EB2AD1"/>
    <w:rsid w:val="00EB37C0"/>
    <w:rsid w:val="00EB4134"/>
    <w:rsid w:val="00EB5D7F"/>
    <w:rsid w:val="00EB670D"/>
    <w:rsid w:val="00EB7F29"/>
    <w:rsid w:val="00EC019C"/>
    <w:rsid w:val="00EC0760"/>
    <w:rsid w:val="00EC14DB"/>
    <w:rsid w:val="00EC6A0E"/>
    <w:rsid w:val="00EC6B78"/>
    <w:rsid w:val="00EC74B8"/>
    <w:rsid w:val="00ED04DE"/>
    <w:rsid w:val="00ED1496"/>
    <w:rsid w:val="00ED2EAD"/>
    <w:rsid w:val="00ED37A9"/>
    <w:rsid w:val="00ED4175"/>
    <w:rsid w:val="00ED4B44"/>
    <w:rsid w:val="00ED4FEC"/>
    <w:rsid w:val="00ED7F11"/>
    <w:rsid w:val="00EE1368"/>
    <w:rsid w:val="00EE2352"/>
    <w:rsid w:val="00EE436E"/>
    <w:rsid w:val="00EE56CC"/>
    <w:rsid w:val="00EE76EC"/>
    <w:rsid w:val="00EF2A1F"/>
    <w:rsid w:val="00EF2DD9"/>
    <w:rsid w:val="00EF59BD"/>
    <w:rsid w:val="00EF6559"/>
    <w:rsid w:val="00F02470"/>
    <w:rsid w:val="00F047FA"/>
    <w:rsid w:val="00F04ECA"/>
    <w:rsid w:val="00F06161"/>
    <w:rsid w:val="00F06B62"/>
    <w:rsid w:val="00F07886"/>
    <w:rsid w:val="00F101C0"/>
    <w:rsid w:val="00F1251F"/>
    <w:rsid w:val="00F1254D"/>
    <w:rsid w:val="00F302B1"/>
    <w:rsid w:val="00F360CD"/>
    <w:rsid w:val="00F367EB"/>
    <w:rsid w:val="00F36959"/>
    <w:rsid w:val="00F379F4"/>
    <w:rsid w:val="00F43458"/>
    <w:rsid w:val="00F50A70"/>
    <w:rsid w:val="00F53A03"/>
    <w:rsid w:val="00F559AF"/>
    <w:rsid w:val="00F604A6"/>
    <w:rsid w:val="00F64693"/>
    <w:rsid w:val="00F67096"/>
    <w:rsid w:val="00F70D9E"/>
    <w:rsid w:val="00F73ACB"/>
    <w:rsid w:val="00F75CB0"/>
    <w:rsid w:val="00F767ED"/>
    <w:rsid w:val="00F77CAD"/>
    <w:rsid w:val="00F85B90"/>
    <w:rsid w:val="00FA0E77"/>
    <w:rsid w:val="00FB06E9"/>
    <w:rsid w:val="00FB4138"/>
    <w:rsid w:val="00FB476A"/>
    <w:rsid w:val="00FC0713"/>
    <w:rsid w:val="00FC5529"/>
    <w:rsid w:val="00FD3013"/>
    <w:rsid w:val="00FD3995"/>
    <w:rsid w:val="00FD45D5"/>
    <w:rsid w:val="00FD5F86"/>
    <w:rsid w:val="00FD6781"/>
    <w:rsid w:val="00FD7529"/>
    <w:rsid w:val="00FE08C8"/>
    <w:rsid w:val="00FF1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76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D45D5"/>
    <w:pPr>
      <w:spacing w:after="240"/>
      <w:jc w:val="both"/>
    </w:pPr>
    <w:rPr>
      <w:sz w:val="24"/>
    </w:rPr>
  </w:style>
  <w:style w:type="paragraph" w:styleId="Heading1">
    <w:name w:val="heading 1"/>
    <w:basedOn w:val="Normal"/>
    <w:next w:val="NumPar1"/>
    <w:qFormat/>
    <w:rsid w:val="00FD45D5"/>
    <w:pPr>
      <w:keepNext/>
      <w:numPr>
        <w:numId w:val="1"/>
      </w:numPr>
      <w:spacing w:before="120"/>
      <w:outlineLvl w:val="0"/>
    </w:pPr>
    <w:rPr>
      <w:rFonts w:ascii="Times New Roman Bold" w:hAnsi="Times New Roman Bold"/>
      <w:b/>
      <w:smallCaps/>
    </w:rPr>
  </w:style>
  <w:style w:type="paragraph" w:styleId="Heading2">
    <w:name w:val="heading 2"/>
    <w:basedOn w:val="Normal"/>
    <w:next w:val="NumPar1"/>
    <w:qFormat/>
    <w:rsid w:val="00FD45D5"/>
    <w:pPr>
      <w:keepNext/>
      <w:numPr>
        <w:ilvl w:val="1"/>
        <w:numId w:val="1"/>
      </w:numPr>
      <w:outlineLvl w:val="1"/>
    </w:pPr>
    <w:rPr>
      <w:rFonts w:ascii="Times New Roman Bold" w:hAnsi="Times New Roman Bold"/>
      <w:b/>
    </w:rPr>
  </w:style>
  <w:style w:type="paragraph" w:styleId="Heading3">
    <w:name w:val="heading 3"/>
    <w:basedOn w:val="Normal"/>
    <w:next w:val="NumPar1"/>
    <w:qFormat/>
    <w:rsid w:val="00FD45D5"/>
    <w:pPr>
      <w:keepNext/>
      <w:numPr>
        <w:ilvl w:val="2"/>
        <w:numId w:val="1"/>
      </w:numPr>
      <w:outlineLvl w:val="2"/>
    </w:pPr>
    <w:rPr>
      <w:i/>
    </w:rPr>
  </w:style>
  <w:style w:type="paragraph" w:styleId="Heading4">
    <w:name w:val="heading 4"/>
    <w:basedOn w:val="Normal"/>
    <w:next w:val="NumPar1"/>
    <w:qFormat/>
    <w:rsid w:val="00FD45D5"/>
    <w:pPr>
      <w:keepNext/>
      <w:numPr>
        <w:ilvl w:val="3"/>
        <w:numId w:val="1"/>
      </w:numPr>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aliases w:val="(NECG) Footnote Reference,fr,o,Footnote"/>
    <w:uiPriority w:val="99"/>
    <w:rPr>
      <w:rFonts w:ascii="TimesNewRomanPS" w:hAnsi="TimesNewRomanPS"/>
      <w:position w:val="6"/>
      <w:sz w:val="16"/>
    </w:rPr>
  </w:style>
  <w:style w:type="paragraph" w:styleId="FootnoteText">
    <w:name w:val="footnote text"/>
    <w:aliases w:val="fn,footnote text + Times: 9 Point,(NECG) Footnote Text,ALTS FOOTNOTE,AR Footnote Text,ft,Car,Footnote Text Char Car,Schriftart: 9 pt,Schriftart: 10 pt,Schriftart: 8 pt,footnote text, Char Char,Footnote Text Char2 Char,Footnote text,FT"/>
    <w:basedOn w:val="Normal"/>
    <w:link w:val="FootnoteTextChar"/>
    <w:uiPriority w:val="99"/>
    <w:qFormat/>
    <w:rsid w:val="00211121"/>
    <w:pPr>
      <w:tabs>
        <w:tab w:val="left" w:pos="709"/>
      </w:tabs>
      <w:spacing w:after="120"/>
      <w:ind w:left="709" w:hanging="709"/>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link w:val="NumPar1Char"/>
    <w:rsid w:val="00FD45D5"/>
    <w:pPr>
      <w:numPr>
        <w:numId w:val="2"/>
      </w:numPr>
      <w:tabs>
        <w:tab w:val="left" w:pos="851"/>
      </w:tabs>
    </w:pPr>
    <w:rPr>
      <w:rFonts w:ascii="Times New Roman Bold" w:hAnsi="Times New Roman Bold"/>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F53A03"/>
    <w:pPr>
      <w:spacing w:before="480" w:after="0"/>
      <w:ind w:left="567" w:hanging="567"/>
      <w:jc w:val="left"/>
    </w:pPr>
    <w:rPr>
      <w:lang w:eastAsia="en-US"/>
    </w:rPr>
  </w:style>
  <w:style w:type="paragraph" w:styleId="ListBullet">
    <w:name w:val="List Bullet"/>
    <w:basedOn w:val="Normal"/>
    <w:rsid w:val="00F53A03"/>
    <w:pPr>
      <w:numPr>
        <w:numId w:val="3"/>
      </w:numPr>
    </w:pPr>
    <w:rPr>
      <w:lang w:eastAsia="en-US"/>
    </w:rPr>
  </w:style>
  <w:style w:type="paragraph" w:customStyle="1" w:styleId="ListBullet1">
    <w:name w:val="List Bullet 1"/>
    <w:basedOn w:val="Text1"/>
    <w:rsid w:val="00F53A03"/>
    <w:pPr>
      <w:numPr>
        <w:numId w:val="4"/>
      </w:numPr>
    </w:pPr>
    <w:rPr>
      <w:lang w:eastAsia="en-US"/>
    </w:rPr>
  </w:style>
  <w:style w:type="paragraph" w:styleId="ListBullet2">
    <w:name w:val="List Bullet 2"/>
    <w:basedOn w:val="Text2"/>
    <w:rsid w:val="00F53A03"/>
    <w:pPr>
      <w:numPr>
        <w:numId w:val="5"/>
      </w:numPr>
      <w:tabs>
        <w:tab w:val="clear" w:pos="2161"/>
      </w:tabs>
    </w:pPr>
    <w:rPr>
      <w:lang w:eastAsia="en-US"/>
    </w:rPr>
  </w:style>
  <w:style w:type="paragraph" w:styleId="ListBullet3">
    <w:name w:val="List Bullet 3"/>
    <w:basedOn w:val="Text3"/>
    <w:rsid w:val="00F53A03"/>
    <w:pPr>
      <w:numPr>
        <w:numId w:val="6"/>
      </w:numPr>
      <w:tabs>
        <w:tab w:val="clear" w:pos="2302"/>
      </w:tabs>
    </w:pPr>
    <w:rPr>
      <w:lang w:eastAsia="en-US"/>
    </w:rPr>
  </w:style>
  <w:style w:type="paragraph" w:styleId="ListBullet4">
    <w:name w:val="List Bullet 4"/>
    <w:basedOn w:val="Text4"/>
    <w:rsid w:val="00F53A03"/>
    <w:pPr>
      <w:numPr>
        <w:numId w:val="7"/>
      </w:numPr>
    </w:pPr>
    <w:rPr>
      <w:lang w:eastAsia="en-US"/>
    </w:rPr>
  </w:style>
  <w:style w:type="paragraph" w:customStyle="1" w:styleId="ListDash">
    <w:name w:val="List Dash"/>
    <w:basedOn w:val="Normal"/>
    <w:rsid w:val="00F53A03"/>
    <w:pPr>
      <w:numPr>
        <w:numId w:val="8"/>
      </w:numPr>
    </w:pPr>
    <w:rPr>
      <w:lang w:eastAsia="en-US"/>
    </w:rPr>
  </w:style>
  <w:style w:type="paragraph" w:customStyle="1" w:styleId="ListDash1">
    <w:name w:val="List Dash 1"/>
    <w:basedOn w:val="Text1"/>
    <w:rsid w:val="00F53A03"/>
    <w:pPr>
      <w:numPr>
        <w:numId w:val="9"/>
      </w:numPr>
    </w:pPr>
    <w:rPr>
      <w:lang w:eastAsia="en-US"/>
    </w:rPr>
  </w:style>
  <w:style w:type="paragraph" w:customStyle="1" w:styleId="ListDash2">
    <w:name w:val="List Dash 2"/>
    <w:basedOn w:val="Text2"/>
    <w:rsid w:val="00F53A03"/>
    <w:pPr>
      <w:numPr>
        <w:numId w:val="10"/>
      </w:numPr>
      <w:tabs>
        <w:tab w:val="clear" w:pos="2161"/>
      </w:tabs>
    </w:pPr>
    <w:rPr>
      <w:lang w:eastAsia="en-US"/>
    </w:rPr>
  </w:style>
  <w:style w:type="paragraph" w:customStyle="1" w:styleId="ListDash3">
    <w:name w:val="List Dash 3"/>
    <w:basedOn w:val="Text3"/>
    <w:rsid w:val="00F53A03"/>
    <w:pPr>
      <w:numPr>
        <w:numId w:val="11"/>
      </w:numPr>
      <w:tabs>
        <w:tab w:val="clear" w:pos="2302"/>
      </w:tabs>
    </w:pPr>
    <w:rPr>
      <w:lang w:eastAsia="en-US"/>
    </w:rPr>
  </w:style>
  <w:style w:type="paragraph" w:customStyle="1" w:styleId="ListDash4">
    <w:name w:val="List Dash 4"/>
    <w:basedOn w:val="Text4"/>
    <w:rsid w:val="00F53A03"/>
    <w:pPr>
      <w:numPr>
        <w:numId w:val="12"/>
      </w:numPr>
    </w:pPr>
    <w:rPr>
      <w:lang w:eastAsia="en-US"/>
    </w:rPr>
  </w:style>
  <w:style w:type="paragraph" w:styleId="ListNumber">
    <w:name w:val="List Number"/>
    <w:basedOn w:val="Normal"/>
    <w:rsid w:val="00F53A03"/>
    <w:rPr>
      <w:lang w:eastAsia="en-US"/>
    </w:rPr>
  </w:style>
  <w:style w:type="paragraph" w:customStyle="1" w:styleId="ListNumber1">
    <w:name w:val="List Number 1"/>
    <w:basedOn w:val="Text1"/>
    <w:rsid w:val="00F53A03"/>
    <w:pPr>
      <w:numPr>
        <w:numId w:val="14"/>
      </w:numPr>
    </w:pPr>
    <w:rPr>
      <w:lang w:eastAsia="en-US"/>
    </w:rPr>
  </w:style>
  <w:style w:type="paragraph" w:styleId="ListNumber2">
    <w:name w:val="List Number 2"/>
    <w:basedOn w:val="Text2"/>
    <w:rsid w:val="00F53A03"/>
    <w:pPr>
      <w:numPr>
        <w:numId w:val="15"/>
      </w:numPr>
      <w:tabs>
        <w:tab w:val="clear" w:pos="2161"/>
      </w:tabs>
    </w:pPr>
    <w:rPr>
      <w:lang w:eastAsia="en-US"/>
    </w:rPr>
  </w:style>
  <w:style w:type="paragraph" w:styleId="ListNumber3">
    <w:name w:val="List Number 3"/>
    <w:basedOn w:val="Text3"/>
    <w:rsid w:val="00F53A03"/>
    <w:pPr>
      <w:numPr>
        <w:numId w:val="16"/>
      </w:numPr>
      <w:tabs>
        <w:tab w:val="clear" w:pos="2302"/>
      </w:tabs>
    </w:pPr>
    <w:rPr>
      <w:lang w:eastAsia="en-US"/>
    </w:rPr>
  </w:style>
  <w:style w:type="paragraph" w:styleId="ListNumber4">
    <w:name w:val="List Number 4"/>
    <w:basedOn w:val="Text4"/>
    <w:rsid w:val="00F53A03"/>
    <w:pPr>
      <w:numPr>
        <w:numId w:val="17"/>
      </w:numPr>
    </w:pPr>
    <w:rPr>
      <w:lang w:eastAsia="en-US"/>
    </w:rPr>
  </w:style>
  <w:style w:type="paragraph" w:customStyle="1" w:styleId="ListNumberLevel2">
    <w:name w:val="List Number (Level 2)"/>
    <w:basedOn w:val="Normal"/>
    <w:rsid w:val="00F53A03"/>
    <w:rPr>
      <w:lang w:eastAsia="en-US"/>
    </w:rPr>
  </w:style>
  <w:style w:type="paragraph" w:customStyle="1" w:styleId="ListNumber1Level2">
    <w:name w:val="List Number 1 (Level 2)"/>
    <w:basedOn w:val="Text1"/>
    <w:rsid w:val="00F53A03"/>
    <w:pPr>
      <w:numPr>
        <w:ilvl w:val="1"/>
        <w:numId w:val="14"/>
      </w:numPr>
    </w:pPr>
    <w:rPr>
      <w:lang w:eastAsia="en-US"/>
    </w:rPr>
  </w:style>
  <w:style w:type="paragraph" w:customStyle="1" w:styleId="ListNumber2Level2">
    <w:name w:val="List Number 2 (Level 2)"/>
    <w:basedOn w:val="Text2"/>
    <w:rsid w:val="00F53A03"/>
    <w:pPr>
      <w:numPr>
        <w:ilvl w:val="1"/>
        <w:numId w:val="15"/>
      </w:numPr>
      <w:tabs>
        <w:tab w:val="clear" w:pos="2161"/>
      </w:tabs>
    </w:pPr>
    <w:rPr>
      <w:lang w:eastAsia="en-US"/>
    </w:rPr>
  </w:style>
  <w:style w:type="paragraph" w:customStyle="1" w:styleId="ListNumber3Level2">
    <w:name w:val="List Number 3 (Level 2)"/>
    <w:basedOn w:val="Text3"/>
    <w:rsid w:val="00F53A03"/>
    <w:pPr>
      <w:numPr>
        <w:ilvl w:val="1"/>
        <w:numId w:val="16"/>
      </w:numPr>
      <w:tabs>
        <w:tab w:val="clear" w:pos="2302"/>
      </w:tabs>
    </w:pPr>
    <w:rPr>
      <w:lang w:eastAsia="en-US"/>
    </w:rPr>
  </w:style>
  <w:style w:type="paragraph" w:customStyle="1" w:styleId="ListNumber4Level2">
    <w:name w:val="List Number 4 (Level 2)"/>
    <w:basedOn w:val="Text4"/>
    <w:rsid w:val="00F53A03"/>
    <w:pPr>
      <w:numPr>
        <w:ilvl w:val="1"/>
        <w:numId w:val="17"/>
      </w:numPr>
    </w:pPr>
    <w:rPr>
      <w:lang w:eastAsia="en-US"/>
    </w:rPr>
  </w:style>
  <w:style w:type="paragraph" w:customStyle="1" w:styleId="ListNumberLevel3">
    <w:name w:val="List Number (Level 3)"/>
    <w:basedOn w:val="Normal"/>
    <w:rsid w:val="00F53A03"/>
    <w:rPr>
      <w:lang w:eastAsia="en-US"/>
    </w:rPr>
  </w:style>
  <w:style w:type="paragraph" w:customStyle="1" w:styleId="ListNumber1Level3">
    <w:name w:val="List Number 1 (Level 3)"/>
    <w:basedOn w:val="Text1"/>
    <w:rsid w:val="00F53A03"/>
    <w:pPr>
      <w:numPr>
        <w:ilvl w:val="2"/>
        <w:numId w:val="14"/>
      </w:numPr>
    </w:pPr>
    <w:rPr>
      <w:lang w:eastAsia="en-US"/>
    </w:rPr>
  </w:style>
  <w:style w:type="paragraph" w:customStyle="1" w:styleId="ListNumber2Level3">
    <w:name w:val="List Number 2 (Level 3)"/>
    <w:basedOn w:val="Text2"/>
    <w:rsid w:val="00F53A03"/>
    <w:pPr>
      <w:numPr>
        <w:ilvl w:val="2"/>
        <w:numId w:val="15"/>
      </w:numPr>
      <w:tabs>
        <w:tab w:val="clear" w:pos="2161"/>
      </w:tabs>
    </w:pPr>
    <w:rPr>
      <w:lang w:eastAsia="en-US"/>
    </w:rPr>
  </w:style>
  <w:style w:type="paragraph" w:customStyle="1" w:styleId="ListNumber3Level3">
    <w:name w:val="List Number 3 (Level 3)"/>
    <w:basedOn w:val="Text3"/>
    <w:rsid w:val="00F53A03"/>
    <w:pPr>
      <w:numPr>
        <w:ilvl w:val="2"/>
        <w:numId w:val="16"/>
      </w:numPr>
      <w:tabs>
        <w:tab w:val="clear" w:pos="2302"/>
      </w:tabs>
    </w:pPr>
    <w:rPr>
      <w:lang w:eastAsia="en-US"/>
    </w:rPr>
  </w:style>
  <w:style w:type="paragraph" w:customStyle="1" w:styleId="ListNumber4Level3">
    <w:name w:val="List Number 4 (Level 3)"/>
    <w:basedOn w:val="Text4"/>
    <w:rsid w:val="00F53A03"/>
    <w:pPr>
      <w:numPr>
        <w:ilvl w:val="2"/>
        <w:numId w:val="17"/>
      </w:numPr>
    </w:pPr>
    <w:rPr>
      <w:lang w:eastAsia="en-US"/>
    </w:rPr>
  </w:style>
  <w:style w:type="paragraph" w:customStyle="1" w:styleId="ListNumberLevel4">
    <w:name w:val="List Number (Level 4)"/>
    <w:basedOn w:val="Normal"/>
    <w:rsid w:val="00F53A03"/>
    <w:rPr>
      <w:lang w:eastAsia="en-US"/>
    </w:rPr>
  </w:style>
  <w:style w:type="paragraph" w:customStyle="1" w:styleId="ListNumber1Level4">
    <w:name w:val="List Number 1 (Level 4)"/>
    <w:basedOn w:val="Text1"/>
    <w:rsid w:val="00F53A03"/>
    <w:pPr>
      <w:numPr>
        <w:ilvl w:val="3"/>
        <w:numId w:val="14"/>
      </w:numPr>
    </w:pPr>
    <w:rPr>
      <w:lang w:eastAsia="en-US"/>
    </w:rPr>
  </w:style>
  <w:style w:type="paragraph" w:customStyle="1" w:styleId="ListNumber2Level4">
    <w:name w:val="List Number 2 (Level 4)"/>
    <w:basedOn w:val="Text2"/>
    <w:rsid w:val="00F53A03"/>
    <w:pPr>
      <w:numPr>
        <w:ilvl w:val="3"/>
        <w:numId w:val="15"/>
      </w:numPr>
      <w:tabs>
        <w:tab w:val="clear" w:pos="2161"/>
      </w:tabs>
    </w:pPr>
    <w:rPr>
      <w:lang w:eastAsia="en-US"/>
    </w:rPr>
  </w:style>
  <w:style w:type="paragraph" w:customStyle="1" w:styleId="ListNumber3Level4">
    <w:name w:val="List Number 3 (Level 4)"/>
    <w:basedOn w:val="Text3"/>
    <w:rsid w:val="00F53A03"/>
    <w:pPr>
      <w:numPr>
        <w:ilvl w:val="3"/>
        <w:numId w:val="16"/>
      </w:numPr>
      <w:tabs>
        <w:tab w:val="clear" w:pos="2302"/>
      </w:tabs>
    </w:pPr>
    <w:rPr>
      <w:lang w:eastAsia="en-US"/>
    </w:rPr>
  </w:style>
  <w:style w:type="paragraph" w:customStyle="1" w:styleId="ListNumber4Level4">
    <w:name w:val="List Number 4 (Level 4)"/>
    <w:basedOn w:val="Text4"/>
    <w:rsid w:val="00F53A03"/>
    <w:pPr>
      <w:numPr>
        <w:ilvl w:val="3"/>
        <w:numId w:val="17"/>
      </w:numPr>
    </w:pPr>
    <w:rPr>
      <w:lang w:eastAsia="en-US"/>
    </w:rPr>
  </w:style>
  <w:style w:type="paragraph" w:styleId="TOC5">
    <w:name w:val="toc 5"/>
    <w:basedOn w:val="Normal"/>
    <w:next w:val="Normal"/>
    <w:semiHidden/>
    <w:rsid w:val="00F53A03"/>
    <w:pPr>
      <w:tabs>
        <w:tab w:val="right" w:leader="dot" w:pos="8641"/>
      </w:tabs>
      <w:spacing w:before="240" w:after="120"/>
      <w:ind w:right="720"/>
    </w:pPr>
    <w:rPr>
      <w:caps/>
      <w:lang w:eastAsia="en-US"/>
    </w:rPr>
  </w:style>
  <w:style w:type="paragraph" w:styleId="TOCHeading">
    <w:name w:val="TOC Heading"/>
    <w:basedOn w:val="Normal"/>
    <w:next w:val="Normal"/>
    <w:qFormat/>
    <w:rsid w:val="00F53A03"/>
    <w:pPr>
      <w:keepNext/>
      <w:spacing w:before="240"/>
      <w:jc w:val="center"/>
    </w:pPr>
    <w:rPr>
      <w:b/>
      <w:lang w:eastAsia="en-US"/>
    </w:rPr>
  </w:style>
  <w:style w:type="paragraph" w:styleId="BalloonText">
    <w:name w:val="Balloon Text"/>
    <w:basedOn w:val="Normal"/>
    <w:semiHidden/>
    <w:rsid w:val="00035422"/>
    <w:rPr>
      <w:rFonts w:ascii="Tahoma" w:hAnsi="Tahoma" w:cs="Tahoma"/>
      <w:sz w:val="16"/>
      <w:szCs w:val="16"/>
    </w:rPr>
  </w:style>
  <w:style w:type="paragraph" w:styleId="BodyText">
    <w:name w:val="Body Text"/>
    <w:aliases w:val="by,BT,bt,b"/>
    <w:basedOn w:val="Normal"/>
    <w:link w:val="BodyTextChar"/>
    <w:rsid w:val="002C04A3"/>
    <w:rPr>
      <w:szCs w:val="24"/>
      <w:lang w:eastAsia="en-US"/>
    </w:rPr>
  </w:style>
  <w:style w:type="paragraph" w:styleId="NormalWeb">
    <w:name w:val="Normal (Web)"/>
    <w:basedOn w:val="Normal"/>
    <w:rsid w:val="0016170F"/>
    <w:pPr>
      <w:spacing w:before="100" w:beforeAutospacing="1" w:after="100" w:afterAutospacing="1"/>
      <w:jc w:val="left"/>
    </w:pPr>
    <w:rPr>
      <w:szCs w:val="24"/>
    </w:rPr>
  </w:style>
  <w:style w:type="table" w:styleId="TableGrid">
    <w:name w:val="Table Grid"/>
    <w:basedOn w:val="TableNormal"/>
    <w:rsid w:val="00A5414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5E45"/>
    <w:rPr>
      <w:color w:val="0000FF"/>
      <w:u w:val="single"/>
    </w:rPr>
  </w:style>
  <w:style w:type="character" w:customStyle="1" w:styleId="FooterChar">
    <w:name w:val="Footer Char"/>
    <w:link w:val="Footer"/>
    <w:uiPriority w:val="99"/>
    <w:rsid w:val="008C37DB"/>
    <w:rPr>
      <w:rFonts w:ascii="Arial" w:hAnsi="Arial"/>
      <w:sz w:val="16"/>
    </w:rPr>
  </w:style>
  <w:style w:type="character" w:customStyle="1" w:styleId="BodyTextChar">
    <w:name w:val="Body Text Char"/>
    <w:aliases w:val="by Char,BT Char,bt Char,b Char"/>
    <w:link w:val="BodyText"/>
    <w:rsid w:val="00FD45D5"/>
    <w:rPr>
      <w:sz w:val="24"/>
      <w:szCs w:val="24"/>
      <w:lang w:eastAsia="en-US"/>
    </w:rPr>
  </w:style>
  <w:style w:type="character" w:customStyle="1" w:styleId="FootnoteTextChar">
    <w:name w:val="Footnote Text Char"/>
    <w:aliases w:val="fn Char,footnote text + Times: 9 Point Char,(NECG) Footnote Text Char,ALTS FOOTNOTE Char,AR Footnote Text Char,ft Char,Car Char,Footnote Text Char Car Char,Schriftart: 9 pt Char,Schriftart: 10 pt Char,Schriftart: 8 pt Char,FT Char"/>
    <w:basedOn w:val="DefaultParagraphFont"/>
    <w:link w:val="FootnoteText"/>
    <w:uiPriority w:val="99"/>
    <w:rsid w:val="00FB4138"/>
  </w:style>
  <w:style w:type="character" w:customStyle="1" w:styleId="NumPar1Char">
    <w:name w:val="NumPar 1 Char"/>
    <w:link w:val="NumPar1"/>
    <w:rsid w:val="00FB4138"/>
    <w:rPr>
      <w:rFonts w:ascii="Times New Roman Bold" w:hAnsi="Times New Roman Bold"/>
      <w:sz w:val="24"/>
    </w:rPr>
  </w:style>
  <w:style w:type="character" w:styleId="CommentReference">
    <w:name w:val="annotation reference"/>
    <w:basedOn w:val="DefaultParagraphFont"/>
    <w:rsid w:val="00E828E5"/>
    <w:rPr>
      <w:sz w:val="16"/>
      <w:szCs w:val="16"/>
    </w:rPr>
  </w:style>
  <w:style w:type="paragraph" w:styleId="CommentText">
    <w:name w:val="annotation text"/>
    <w:basedOn w:val="Normal"/>
    <w:link w:val="CommentTextChar"/>
    <w:rsid w:val="00E828E5"/>
    <w:rPr>
      <w:sz w:val="20"/>
    </w:rPr>
  </w:style>
  <w:style w:type="character" w:customStyle="1" w:styleId="CommentTextChar">
    <w:name w:val="Comment Text Char"/>
    <w:basedOn w:val="DefaultParagraphFont"/>
    <w:link w:val="CommentText"/>
    <w:rsid w:val="00E828E5"/>
  </w:style>
  <w:style w:type="paragraph" w:styleId="CommentSubject">
    <w:name w:val="annotation subject"/>
    <w:basedOn w:val="CommentText"/>
    <w:next w:val="CommentText"/>
    <w:link w:val="CommentSubjectChar"/>
    <w:rsid w:val="00E828E5"/>
    <w:rPr>
      <w:b/>
      <w:bCs/>
    </w:rPr>
  </w:style>
  <w:style w:type="character" w:customStyle="1" w:styleId="CommentSubjectChar">
    <w:name w:val="Comment Subject Char"/>
    <w:basedOn w:val="CommentTextChar"/>
    <w:link w:val="CommentSubject"/>
    <w:rsid w:val="00E828E5"/>
    <w:rPr>
      <w:b/>
      <w:bCs/>
    </w:rPr>
  </w:style>
  <w:style w:type="paragraph" w:styleId="Revision">
    <w:name w:val="Revision"/>
    <w:hidden/>
    <w:uiPriority w:val="99"/>
    <w:semiHidden/>
    <w:rsid w:val="00886B50"/>
    <w:rPr>
      <w:sz w:val="24"/>
    </w:rPr>
  </w:style>
  <w:style w:type="character" w:customStyle="1" w:styleId="clipboard">
    <w:name w:val="clipboard"/>
    <w:basedOn w:val="DefaultParagraphFont"/>
    <w:rsid w:val="006F6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D45D5"/>
    <w:pPr>
      <w:spacing w:after="240"/>
      <w:jc w:val="both"/>
    </w:pPr>
    <w:rPr>
      <w:sz w:val="24"/>
    </w:rPr>
  </w:style>
  <w:style w:type="paragraph" w:styleId="Heading1">
    <w:name w:val="heading 1"/>
    <w:basedOn w:val="Normal"/>
    <w:next w:val="NumPar1"/>
    <w:qFormat/>
    <w:rsid w:val="00FD45D5"/>
    <w:pPr>
      <w:keepNext/>
      <w:numPr>
        <w:numId w:val="1"/>
      </w:numPr>
      <w:spacing w:before="120"/>
      <w:outlineLvl w:val="0"/>
    </w:pPr>
    <w:rPr>
      <w:rFonts w:ascii="Times New Roman Bold" w:hAnsi="Times New Roman Bold"/>
      <w:b/>
      <w:smallCaps/>
    </w:rPr>
  </w:style>
  <w:style w:type="paragraph" w:styleId="Heading2">
    <w:name w:val="heading 2"/>
    <w:basedOn w:val="Normal"/>
    <w:next w:val="NumPar1"/>
    <w:qFormat/>
    <w:rsid w:val="00FD45D5"/>
    <w:pPr>
      <w:keepNext/>
      <w:numPr>
        <w:ilvl w:val="1"/>
        <w:numId w:val="1"/>
      </w:numPr>
      <w:outlineLvl w:val="1"/>
    </w:pPr>
    <w:rPr>
      <w:rFonts w:ascii="Times New Roman Bold" w:hAnsi="Times New Roman Bold"/>
      <w:b/>
    </w:rPr>
  </w:style>
  <w:style w:type="paragraph" w:styleId="Heading3">
    <w:name w:val="heading 3"/>
    <w:basedOn w:val="Normal"/>
    <w:next w:val="NumPar1"/>
    <w:qFormat/>
    <w:rsid w:val="00FD45D5"/>
    <w:pPr>
      <w:keepNext/>
      <w:numPr>
        <w:ilvl w:val="2"/>
        <w:numId w:val="1"/>
      </w:numPr>
      <w:outlineLvl w:val="2"/>
    </w:pPr>
    <w:rPr>
      <w:i/>
    </w:rPr>
  </w:style>
  <w:style w:type="paragraph" w:styleId="Heading4">
    <w:name w:val="heading 4"/>
    <w:basedOn w:val="Normal"/>
    <w:next w:val="NumPar1"/>
    <w:qFormat/>
    <w:rsid w:val="00FD45D5"/>
    <w:pPr>
      <w:keepNext/>
      <w:numPr>
        <w:ilvl w:val="3"/>
        <w:numId w:val="1"/>
      </w:numPr>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aliases w:val="(NECG) Footnote Reference,fr,o,Footnote"/>
    <w:uiPriority w:val="99"/>
    <w:rPr>
      <w:rFonts w:ascii="TimesNewRomanPS" w:hAnsi="TimesNewRomanPS"/>
      <w:position w:val="6"/>
      <w:sz w:val="16"/>
    </w:rPr>
  </w:style>
  <w:style w:type="paragraph" w:styleId="FootnoteText">
    <w:name w:val="footnote text"/>
    <w:aliases w:val="fn,footnote text + Times: 9 Point,(NECG) Footnote Text,ALTS FOOTNOTE,AR Footnote Text,ft,Car,Footnote Text Char Car,Schriftart: 9 pt,Schriftart: 10 pt,Schriftart: 8 pt,footnote text, Char Char,Footnote Text Char2 Char,Footnote text,FT"/>
    <w:basedOn w:val="Normal"/>
    <w:link w:val="FootnoteTextChar"/>
    <w:uiPriority w:val="99"/>
    <w:qFormat/>
    <w:rsid w:val="00211121"/>
    <w:pPr>
      <w:tabs>
        <w:tab w:val="left" w:pos="709"/>
      </w:tabs>
      <w:spacing w:after="120"/>
      <w:ind w:left="709" w:hanging="709"/>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link w:val="NumPar1Char"/>
    <w:rsid w:val="00FD45D5"/>
    <w:pPr>
      <w:numPr>
        <w:numId w:val="2"/>
      </w:numPr>
      <w:tabs>
        <w:tab w:val="left" w:pos="851"/>
      </w:tabs>
    </w:pPr>
    <w:rPr>
      <w:rFonts w:ascii="Times New Roman Bold" w:hAnsi="Times New Roman Bold"/>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F53A03"/>
    <w:pPr>
      <w:spacing w:before="480" w:after="0"/>
      <w:ind w:left="567" w:hanging="567"/>
      <w:jc w:val="left"/>
    </w:pPr>
    <w:rPr>
      <w:lang w:eastAsia="en-US"/>
    </w:rPr>
  </w:style>
  <w:style w:type="paragraph" w:styleId="ListBullet">
    <w:name w:val="List Bullet"/>
    <w:basedOn w:val="Normal"/>
    <w:rsid w:val="00F53A03"/>
    <w:pPr>
      <w:numPr>
        <w:numId w:val="3"/>
      </w:numPr>
    </w:pPr>
    <w:rPr>
      <w:lang w:eastAsia="en-US"/>
    </w:rPr>
  </w:style>
  <w:style w:type="paragraph" w:customStyle="1" w:styleId="ListBullet1">
    <w:name w:val="List Bullet 1"/>
    <w:basedOn w:val="Text1"/>
    <w:rsid w:val="00F53A03"/>
    <w:pPr>
      <w:numPr>
        <w:numId w:val="4"/>
      </w:numPr>
    </w:pPr>
    <w:rPr>
      <w:lang w:eastAsia="en-US"/>
    </w:rPr>
  </w:style>
  <w:style w:type="paragraph" w:styleId="ListBullet2">
    <w:name w:val="List Bullet 2"/>
    <w:basedOn w:val="Text2"/>
    <w:rsid w:val="00F53A03"/>
    <w:pPr>
      <w:numPr>
        <w:numId w:val="5"/>
      </w:numPr>
      <w:tabs>
        <w:tab w:val="clear" w:pos="2161"/>
      </w:tabs>
    </w:pPr>
    <w:rPr>
      <w:lang w:eastAsia="en-US"/>
    </w:rPr>
  </w:style>
  <w:style w:type="paragraph" w:styleId="ListBullet3">
    <w:name w:val="List Bullet 3"/>
    <w:basedOn w:val="Text3"/>
    <w:rsid w:val="00F53A03"/>
    <w:pPr>
      <w:numPr>
        <w:numId w:val="6"/>
      </w:numPr>
      <w:tabs>
        <w:tab w:val="clear" w:pos="2302"/>
      </w:tabs>
    </w:pPr>
    <w:rPr>
      <w:lang w:eastAsia="en-US"/>
    </w:rPr>
  </w:style>
  <w:style w:type="paragraph" w:styleId="ListBullet4">
    <w:name w:val="List Bullet 4"/>
    <w:basedOn w:val="Text4"/>
    <w:rsid w:val="00F53A03"/>
    <w:pPr>
      <w:numPr>
        <w:numId w:val="7"/>
      </w:numPr>
    </w:pPr>
    <w:rPr>
      <w:lang w:eastAsia="en-US"/>
    </w:rPr>
  </w:style>
  <w:style w:type="paragraph" w:customStyle="1" w:styleId="ListDash">
    <w:name w:val="List Dash"/>
    <w:basedOn w:val="Normal"/>
    <w:rsid w:val="00F53A03"/>
    <w:pPr>
      <w:numPr>
        <w:numId w:val="8"/>
      </w:numPr>
    </w:pPr>
    <w:rPr>
      <w:lang w:eastAsia="en-US"/>
    </w:rPr>
  </w:style>
  <w:style w:type="paragraph" w:customStyle="1" w:styleId="ListDash1">
    <w:name w:val="List Dash 1"/>
    <w:basedOn w:val="Text1"/>
    <w:rsid w:val="00F53A03"/>
    <w:pPr>
      <w:numPr>
        <w:numId w:val="9"/>
      </w:numPr>
    </w:pPr>
    <w:rPr>
      <w:lang w:eastAsia="en-US"/>
    </w:rPr>
  </w:style>
  <w:style w:type="paragraph" w:customStyle="1" w:styleId="ListDash2">
    <w:name w:val="List Dash 2"/>
    <w:basedOn w:val="Text2"/>
    <w:rsid w:val="00F53A03"/>
    <w:pPr>
      <w:numPr>
        <w:numId w:val="10"/>
      </w:numPr>
      <w:tabs>
        <w:tab w:val="clear" w:pos="2161"/>
      </w:tabs>
    </w:pPr>
    <w:rPr>
      <w:lang w:eastAsia="en-US"/>
    </w:rPr>
  </w:style>
  <w:style w:type="paragraph" w:customStyle="1" w:styleId="ListDash3">
    <w:name w:val="List Dash 3"/>
    <w:basedOn w:val="Text3"/>
    <w:rsid w:val="00F53A03"/>
    <w:pPr>
      <w:numPr>
        <w:numId w:val="11"/>
      </w:numPr>
      <w:tabs>
        <w:tab w:val="clear" w:pos="2302"/>
      </w:tabs>
    </w:pPr>
    <w:rPr>
      <w:lang w:eastAsia="en-US"/>
    </w:rPr>
  </w:style>
  <w:style w:type="paragraph" w:customStyle="1" w:styleId="ListDash4">
    <w:name w:val="List Dash 4"/>
    <w:basedOn w:val="Text4"/>
    <w:rsid w:val="00F53A03"/>
    <w:pPr>
      <w:numPr>
        <w:numId w:val="12"/>
      </w:numPr>
    </w:pPr>
    <w:rPr>
      <w:lang w:eastAsia="en-US"/>
    </w:rPr>
  </w:style>
  <w:style w:type="paragraph" w:styleId="ListNumber">
    <w:name w:val="List Number"/>
    <w:basedOn w:val="Normal"/>
    <w:rsid w:val="00F53A03"/>
    <w:rPr>
      <w:lang w:eastAsia="en-US"/>
    </w:rPr>
  </w:style>
  <w:style w:type="paragraph" w:customStyle="1" w:styleId="ListNumber1">
    <w:name w:val="List Number 1"/>
    <w:basedOn w:val="Text1"/>
    <w:rsid w:val="00F53A03"/>
    <w:pPr>
      <w:numPr>
        <w:numId w:val="14"/>
      </w:numPr>
    </w:pPr>
    <w:rPr>
      <w:lang w:eastAsia="en-US"/>
    </w:rPr>
  </w:style>
  <w:style w:type="paragraph" w:styleId="ListNumber2">
    <w:name w:val="List Number 2"/>
    <w:basedOn w:val="Text2"/>
    <w:rsid w:val="00F53A03"/>
    <w:pPr>
      <w:numPr>
        <w:numId w:val="15"/>
      </w:numPr>
      <w:tabs>
        <w:tab w:val="clear" w:pos="2161"/>
      </w:tabs>
    </w:pPr>
    <w:rPr>
      <w:lang w:eastAsia="en-US"/>
    </w:rPr>
  </w:style>
  <w:style w:type="paragraph" w:styleId="ListNumber3">
    <w:name w:val="List Number 3"/>
    <w:basedOn w:val="Text3"/>
    <w:rsid w:val="00F53A03"/>
    <w:pPr>
      <w:numPr>
        <w:numId w:val="16"/>
      </w:numPr>
      <w:tabs>
        <w:tab w:val="clear" w:pos="2302"/>
      </w:tabs>
    </w:pPr>
    <w:rPr>
      <w:lang w:eastAsia="en-US"/>
    </w:rPr>
  </w:style>
  <w:style w:type="paragraph" w:styleId="ListNumber4">
    <w:name w:val="List Number 4"/>
    <w:basedOn w:val="Text4"/>
    <w:rsid w:val="00F53A03"/>
    <w:pPr>
      <w:numPr>
        <w:numId w:val="17"/>
      </w:numPr>
    </w:pPr>
    <w:rPr>
      <w:lang w:eastAsia="en-US"/>
    </w:rPr>
  </w:style>
  <w:style w:type="paragraph" w:customStyle="1" w:styleId="ListNumberLevel2">
    <w:name w:val="List Number (Level 2)"/>
    <w:basedOn w:val="Normal"/>
    <w:rsid w:val="00F53A03"/>
    <w:rPr>
      <w:lang w:eastAsia="en-US"/>
    </w:rPr>
  </w:style>
  <w:style w:type="paragraph" w:customStyle="1" w:styleId="ListNumber1Level2">
    <w:name w:val="List Number 1 (Level 2)"/>
    <w:basedOn w:val="Text1"/>
    <w:rsid w:val="00F53A03"/>
    <w:pPr>
      <w:numPr>
        <w:ilvl w:val="1"/>
        <w:numId w:val="14"/>
      </w:numPr>
    </w:pPr>
    <w:rPr>
      <w:lang w:eastAsia="en-US"/>
    </w:rPr>
  </w:style>
  <w:style w:type="paragraph" w:customStyle="1" w:styleId="ListNumber2Level2">
    <w:name w:val="List Number 2 (Level 2)"/>
    <w:basedOn w:val="Text2"/>
    <w:rsid w:val="00F53A03"/>
    <w:pPr>
      <w:numPr>
        <w:ilvl w:val="1"/>
        <w:numId w:val="15"/>
      </w:numPr>
      <w:tabs>
        <w:tab w:val="clear" w:pos="2161"/>
      </w:tabs>
    </w:pPr>
    <w:rPr>
      <w:lang w:eastAsia="en-US"/>
    </w:rPr>
  </w:style>
  <w:style w:type="paragraph" w:customStyle="1" w:styleId="ListNumber3Level2">
    <w:name w:val="List Number 3 (Level 2)"/>
    <w:basedOn w:val="Text3"/>
    <w:rsid w:val="00F53A03"/>
    <w:pPr>
      <w:numPr>
        <w:ilvl w:val="1"/>
        <w:numId w:val="16"/>
      </w:numPr>
      <w:tabs>
        <w:tab w:val="clear" w:pos="2302"/>
      </w:tabs>
    </w:pPr>
    <w:rPr>
      <w:lang w:eastAsia="en-US"/>
    </w:rPr>
  </w:style>
  <w:style w:type="paragraph" w:customStyle="1" w:styleId="ListNumber4Level2">
    <w:name w:val="List Number 4 (Level 2)"/>
    <w:basedOn w:val="Text4"/>
    <w:rsid w:val="00F53A03"/>
    <w:pPr>
      <w:numPr>
        <w:ilvl w:val="1"/>
        <w:numId w:val="17"/>
      </w:numPr>
    </w:pPr>
    <w:rPr>
      <w:lang w:eastAsia="en-US"/>
    </w:rPr>
  </w:style>
  <w:style w:type="paragraph" w:customStyle="1" w:styleId="ListNumberLevel3">
    <w:name w:val="List Number (Level 3)"/>
    <w:basedOn w:val="Normal"/>
    <w:rsid w:val="00F53A03"/>
    <w:rPr>
      <w:lang w:eastAsia="en-US"/>
    </w:rPr>
  </w:style>
  <w:style w:type="paragraph" w:customStyle="1" w:styleId="ListNumber1Level3">
    <w:name w:val="List Number 1 (Level 3)"/>
    <w:basedOn w:val="Text1"/>
    <w:rsid w:val="00F53A03"/>
    <w:pPr>
      <w:numPr>
        <w:ilvl w:val="2"/>
        <w:numId w:val="14"/>
      </w:numPr>
    </w:pPr>
    <w:rPr>
      <w:lang w:eastAsia="en-US"/>
    </w:rPr>
  </w:style>
  <w:style w:type="paragraph" w:customStyle="1" w:styleId="ListNumber2Level3">
    <w:name w:val="List Number 2 (Level 3)"/>
    <w:basedOn w:val="Text2"/>
    <w:rsid w:val="00F53A03"/>
    <w:pPr>
      <w:numPr>
        <w:ilvl w:val="2"/>
        <w:numId w:val="15"/>
      </w:numPr>
      <w:tabs>
        <w:tab w:val="clear" w:pos="2161"/>
      </w:tabs>
    </w:pPr>
    <w:rPr>
      <w:lang w:eastAsia="en-US"/>
    </w:rPr>
  </w:style>
  <w:style w:type="paragraph" w:customStyle="1" w:styleId="ListNumber3Level3">
    <w:name w:val="List Number 3 (Level 3)"/>
    <w:basedOn w:val="Text3"/>
    <w:rsid w:val="00F53A03"/>
    <w:pPr>
      <w:numPr>
        <w:ilvl w:val="2"/>
        <w:numId w:val="16"/>
      </w:numPr>
      <w:tabs>
        <w:tab w:val="clear" w:pos="2302"/>
      </w:tabs>
    </w:pPr>
    <w:rPr>
      <w:lang w:eastAsia="en-US"/>
    </w:rPr>
  </w:style>
  <w:style w:type="paragraph" w:customStyle="1" w:styleId="ListNumber4Level3">
    <w:name w:val="List Number 4 (Level 3)"/>
    <w:basedOn w:val="Text4"/>
    <w:rsid w:val="00F53A03"/>
    <w:pPr>
      <w:numPr>
        <w:ilvl w:val="2"/>
        <w:numId w:val="17"/>
      </w:numPr>
    </w:pPr>
    <w:rPr>
      <w:lang w:eastAsia="en-US"/>
    </w:rPr>
  </w:style>
  <w:style w:type="paragraph" w:customStyle="1" w:styleId="ListNumberLevel4">
    <w:name w:val="List Number (Level 4)"/>
    <w:basedOn w:val="Normal"/>
    <w:rsid w:val="00F53A03"/>
    <w:rPr>
      <w:lang w:eastAsia="en-US"/>
    </w:rPr>
  </w:style>
  <w:style w:type="paragraph" w:customStyle="1" w:styleId="ListNumber1Level4">
    <w:name w:val="List Number 1 (Level 4)"/>
    <w:basedOn w:val="Text1"/>
    <w:rsid w:val="00F53A03"/>
    <w:pPr>
      <w:numPr>
        <w:ilvl w:val="3"/>
        <w:numId w:val="14"/>
      </w:numPr>
    </w:pPr>
    <w:rPr>
      <w:lang w:eastAsia="en-US"/>
    </w:rPr>
  </w:style>
  <w:style w:type="paragraph" w:customStyle="1" w:styleId="ListNumber2Level4">
    <w:name w:val="List Number 2 (Level 4)"/>
    <w:basedOn w:val="Text2"/>
    <w:rsid w:val="00F53A03"/>
    <w:pPr>
      <w:numPr>
        <w:ilvl w:val="3"/>
        <w:numId w:val="15"/>
      </w:numPr>
      <w:tabs>
        <w:tab w:val="clear" w:pos="2161"/>
      </w:tabs>
    </w:pPr>
    <w:rPr>
      <w:lang w:eastAsia="en-US"/>
    </w:rPr>
  </w:style>
  <w:style w:type="paragraph" w:customStyle="1" w:styleId="ListNumber3Level4">
    <w:name w:val="List Number 3 (Level 4)"/>
    <w:basedOn w:val="Text3"/>
    <w:rsid w:val="00F53A03"/>
    <w:pPr>
      <w:numPr>
        <w:ilvl w:val="3"/>
        <w:numId w:val="16"/>
      </w:numPr>
      <w:tabs>
        <w:tab w:val="clear" w:pos="2302"/>
      </w:tabs>
    </w:pPr>
    <w:rPr>
      <w:lang w:eastAsia="en-US"/>
    </w:rPr>
  </w:style>
  <w:style w:type="paragraph" w:customStyle="1" w:styleId="ListNumber4Level4">
    <w:name w:val="List Number 4 (Level 4)"/>
    <w:basedOn w:val="Text4"/>
    <w:rsid w:val="00F53A03"/>
    <w:pPr>
      <w:numPr>
        <w:ilvl w:val="3"/>
        <w:numId w:val="17"/>
      </w:numPr>
    </w:pPr>
    <w:rPr>
      <w:lang w:eastAsia="en-US"/>
    </w:rPr>
  </w:style>
  <w:style w:type="paragraph" w:styleId="TOC5">
    <w:name w:val="toc 5"/>
    <w:basedOn w:val="Normal"/>
    <w:next w:val="Normal"/>
    <w:semiHidden/>
    <w:rsid w:val="00F53A03"/>
    <w:pPr>
      <w:tabs>
        <w:tab w:val="right" w:leader="dot" w:pos="8641"/>
      </w:tabs>
      <w:spacing w:before="240" w:after="120"/>
      <w:ind w:right="720"/>
    </w:pPr>
    <w:rPr>
      <w:caps/>
      <w:lang w:eastAsia="en-US"/>
    </w:rPr>
  </w:style>
  <w:style w:type="paragraph" w:styleId="TOCHeading">
    <w:name w:val="TOC Heading"/>
    <w:basedOn w:val="Normal"/>
    <w:next w:val="Normal"/>
    <w:qFormat/>
    <w:rsid w:val="00F53A03"/>
    <w:pPr>
      <w:keepNext/>
      <w:spacing w:before="240"/>
      <w:jc w:val="center"/>
    </w:pPr>
    <w:rPr>
      <w:b/>
      <w:lang w:eastAsia="en-US"/>
    </w:rPr>
  </w:style>
  <w:style w:type="paragraph" w:styleId="BalloonText">
    <w:name w:val="Balloon Text"/>
    <w:basedOn w:val="Normal"/>
    <w:semiHidden/>
    <w:rsid w:val="00035422"/>
    <w:rPr>
      <w:rFonts w:ascii="Tahoma" w:hAnsi="Tahoma" w:cs="Tahoma"/>
      <w:sz w:val="16"/>
      <w:szCs w:val="16"/>
    </w:rPr>
  </w:style>
  <w:style w:type="paragraph" w:styleId="BodyText">
    <w:name w:val="Body Text"/>
    <w:aliases w:val="by,BT,bt,b"/>
    <w:basedOn w:val="Normal"/>
    <w:link w:val="BodyTextChar"/>
    <w:rsid w:val="002C04A3"/>
    <w:rPr>
      <w:szCs w:val="24"/>
      <w:lang w:eastAsia="en-US"/>
    </w:rPr>
  </w:style>
  <w:style w:type="paragraph" w:styleId="NormalWeb">
    <w:name w:val="Normal (Web)"/>
    <w:basedOn w:val="Normal"/>
    <w:rsid w:val="0016170F"/>
    <w:pPr>
      <w:spacing w:before="100" w:beforeAutospacing="1" w:after="100" w:afterAutospacing="1"/>
      <w:jc w:val="left"/>
    </w:pPr>
    <w:rPr>
      <w:szCs w:val="24"/>
    </w:rPr>
  </w:style>
  <w:style w:type="table" w:styleId="TableGrid">
    <w:name w:val="Table Grid"/>
    <w:basedOn w:val="TableNormal"/>
    <w:rsid w:val="00A5414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5E45"/>
    <w:rPr>
      <w:color w:val="0000FF"/>
      <w:u w:val="single"/>
    </w:rPr>
  </w:style>
  <w:style w:type="character" w:customStyle="1" w:styleId="FooterChar">
    <w:name w:val="Footer Char"/>
    <w:link w:val="Footer"/>
    <w:uiPriority w:val="99"/>
    <w:rsid w:val="008C37DB"/>
    <w:rPr>
      <w:rFonts w:ascii="Arial" w:hAnsi="Arial"/>
      <w:sz w:val="16"/>
    </w:rPr>
  </w:style>
  <w:style w:type="character" w:customStyle="1" w:styleId="BodyTextChar">
    <w:name w:val="Body Text Char"/>
    <w:aliases w:val="by Char,BT Char,bt Char,b Char"/>
    <w:link w:val="BodyText"/>
    <w:rsid w:val="00FD45D5"/>
    <w:rPr>
      <w:sz w:val="24"/>
      <w:szCs w:val="24"/>
      <w:lang w:eastAsia="en-US"/>
    </w:rPr>
  </w:style>
  <w:style w:type="character" w:customStyle="1" w:styleId="FootnoteTextChar">
    <w:name w:val="Footnote Text Char"/>
    <w:aliases w:val="fn Char,footnote text + Times: 9 Point Char,(NECG) Footnote Text Char,ALTS FOOTNOTE Char,AR Footnote Text Char,ft Char,Car Char,Footnote Text Char Car Char,Schriftart: 9 pt Char,Schriftart: 10 pt Char,Schriftart: 8 pt Char,FT Char"/>
    <w:basedOn w:val="DefaultParagraphFont"/>
    <w:link w:val="FootnoteText"/>
    <w:uiPriority w:val="99"/>
    <w:rsid w:val="00FB4138"/>
  </w:style>
  <w:style w:type="character" w:customStyle="1" w:styleId="NumPar1Char">
    <w:name w:val="NumPar 1 Char"/>
    <w:link w:val="NumPar1"/>
    <w:rsid w:val="00FB4138"/>
    <w:rPr>
      <w:rFonts w:ascii="Times New Roman Bold" w:hAnsi="Times New Roman Bold"/>
      <w:sz w:val="24"/>
    </w:rPr>
  </w:style>
  <w:style w:type="character" w:styleId="CommentReference">
    <w:name w:val="annotation reference"/>
    <w:basedOn w:val="DefaultParagraphFont"/>
    <w:rsid w:val="00E828E5"/>
    <w:rPr>
      <w:sz w:val="16"/>
      <w:szCs w:val="16"/>
    </w:rPr>
  </w:style>
  <w:style w:type="paragraph" w:styleId="CommentText">
    <w:name w:val="annotation text"/>
    <w:basedOn w:val="Normal"/>
    <w:link w:val="CommentTextChar"/>
    <w:rsid w:val="00E828E5"/>
    <w:rPr>
      <w:sz w:val="20"/>
    </w:rPr>
  </w:style>
  <w:style w:type="character" w:customStyle="1" w:styleId="CommentTextChar">
    <w:name w:val="Comment Text Char"/>
    <w:basedOn w:val="DefaultParagraphFont"/>
    <w:link w:val="CommentText"/>
    <w:rsid w:val="00E828E5"/>
  </w:style>
  <w:style w:type="paragraph" w:styleId="CommentSubject">
    <w:name w:val="annotation subject"/>
    <w:basedOn w:val="CommentText"/>
    <w:next w:val="CommentText"/>
    <w:link w:val="CommentSubjectChar"/>
    <w:rsid w:val="00E828E5"/>
    <w:rPr>
      <w:b/>
      <w:bCs/>
    </w:rPr>
  </w:style>
  <w:style w:type="character" w:customStyle="1" w:styleId="CommentSubjectChar">
    <w:name w:val="Comment Subject Char"/>
    <w:basedOn w:val="CommentTextChar"/>
    <w:link w:val="CommentSubject"/>
    <w:rsid w:val="00E828E5"/>
    <w:rPr>
      <w:b/>
      <w:bCs/>
    </w:rPr>
  </w:style>
  <w:style w:type="paragraph" w:styleId="Revision">
    <w:name w:val="Revision"/>
    <w:hidden/>
    <w:uiPriority w:val="99"/>
    <w:semiHidden/>
    <w:rsid w:val="00886B50"/>
    <w:rPr>
      <w:sz w:val="24"/>
    </w:rPr>
  </w:style>
  <w:style w:type="character" w:customStyle="1" w:styleId="clipboard">
    <w:name w:val="clipboard"/>
    <w:basedOn w:val="DefaultParagraphFont"/>
    <w:rsid w:val="006F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2073">
      <w:bodyDiv w:val="1"/>
      <w:marLeft w:val="0"/>
      <w:marRight w:val="0"/>
      <w:marTop w:val="0"/>
      <w:marBottom w:val="0"/>
      <w:divBdr>
        <w:top w:val="none" w:sz="0" w:space="0" w:color="auto"/>
        <w:left w:val="none" w:sz="0" w:space="0" w:color="auto"/>
        <w:bottom w:val="none" w:sz="0" w:space="0" w:color="auto"/>
        <w:right w:val="none" w:sz="0" w:space="0" w:color="auto"/>
      </w:divBdr>
    </w:div>
    <w:div w:id="571738028">
      <w:bodyDiv w:val="1"/>
      <w:marLeft w:val="0"/>
      <w:marRight w:val="0"/>
      <w:marTop w:val="0"/>
      <w:marBottom w:val="0"/>
      <w:divBdr>
        <w:top w:val="none" w:sz="0" w:space="0" w:color="auto"/>
        <w:left w:val="none" w:sz="0" w:space="0" w:color="auto"/>
        <w:bottom w:val="none" w:sz="0" w:space="0" w:color="auto"/>
        <w:right w:val="none" w:sz="0" w:space="0" w:color="auto"/>
      </w:divBdr>
    </w:div>
    <w:div w:id="711617703">
      <w:bodyDiv w:val="1"/>
      <w:marLeft w:val="0"/>
      <w:marRight w:val="0"/>
      <w:marTop w:val="0"/>
      <w:marBottom w:val="0"/>
      <w:divBdr>
        <w:top w:val="none" w:sz="0" w:space="0" w:color="auto"/>
        <w:left w:val="none" w:sz="0" w:space="0" w:color="auto"/>
        <w:bottom w:val="none" w:sz="0" w:space="0" w:color="auto"/>
        <w:right w:val="none" w:sz="0" w:space="0" w:color="auto"/>
      </w:divBdr>
    </w:div>
    <w:div w:id="921718353">
      <w:bodyDiv w:val="1"/>
      <w:marLeft w:val="0"/>
      <w:marRight w:val="0"/>
      <w:marTop w:val="0"/>
      <w:marBottom w:val="0"/>
      <w:divBdr>
        <w:top w:val="none" w:sz="0" w:space="0" w:color="auto"/>
        <w:left w:val="none" w:sz="0" w:space="0" w:color="auto"/>
        <w:bottom w:val="none" w:sz="0" w:space="0" w:color="auto"/>
        <w:right w:val="none" w:sz="0" w:space="0" w:color="auto"/>
      </w:divBdr>
      <w:divsChild>
        <w:div w:id="11434264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572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6423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19504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748878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371217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37310">
      <w:bodyDiv w:val="1"/>
      <w:marLeft w:val="0"/>
      <w:marRight w:val="0"/>
      <w:marTop w:val="0"/>
      <w:marBottom w:val="0"/>
      <w:divBdr>
        <w:top w:val="none" w:sz="0" w:space="0" w:color="auto"/>
        <w:left w:val="none" w:sz="0" w:space="0" w:color="auto"/>
        <w:bottom w:val="none" w:sz="0" w:space="0" w:color="auto"/>
        <w:right w:val="none" w:sz="0" w:space="0" w:color="auto"/>
      </w:divBdr>
    </w:div>
    <w:div w:id="1212423313">
      <w:bodyDiv w:val="1"/>
      <w:marLeft w:val="0"/>
      <w:marRight w:val="0"/>
      <w:marTop w:val="0"/>
      <w:marBottom w:val="0"/>
      <w:divBdr>
        <w:top w:val="none" w:sz="0" w:space="0" w:color="auto"/>
        <w:left w:val="none" w:sz="0" w:space="0" w:color="auto"/>
        <w:bottom w:val="none" w:sz="0" w:space="0" w:color="auto"/>
        <w:right w:val="none" w:sz="0" w:space="0" w:color="auto"/>
      </w:divBdr>
      <w:divsChild>
        <w:div w:id="4460434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925117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607863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54566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7139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30249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92543">
      <w:bodyDiv w:val="1"/>
      <w:marLeft w:val="0"/>
      <w:marRight w:val="0"/>
      <w:marTop w:val="0"/>
      <w:marBottom w:val="0"/>
      <w:divBdr>
        <w:top w:val="none" w:sz="0" w:space="0" w:color="auto"/>
        <w:left w:val="none" w:sz="0" w:space="0" w:color="auto"/>
        <w:bottom w:val="none" w:sz="0" w:space="0" w:color="auto"/>
        <w:right w:val="none" w:sz="0" w:space="0" w:color="auto"/>
      </w:divBdr>
    </w:div>
    <w:div w:id="2032368271">
      <w:bodyDiv w:val="1"/>
      <w:marLeft w:val="0"/>
      <w:marRight w:val="0"/>
      <w:marTop w:val="0"/>
      <w:marBottom w:val="0"/>
      <w:divBdr>
        <w:top w:val="none" w:sz="0" w:space="0" w:color="auto"/>
        <w:left w:val="none" w:sz="0" w:space="0" w:color="auto"/>
        <w:bottom w:val="none" w:sz="0" w:space="0" w:color="auto"/>
        <w:right w:val="none" w:sz="0" w:space="0" w:color="auto"/>
      </w:divBdr>
      <w:divsChild>
        <w:div w:id="5606722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13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MP-MERGER-REGISTRY@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AP\WINWORD6\TEMPLATE\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ploaded Document" ma:contentTypeID="0x0101040016E48B8445D941CBBCE81CF8B95DDA2C007AAD59F81AFAF64EA7806FE53814CA89" ma:contentTypeVersion="1" ma:contentTypeDescription="Upload a Document from your Computer to this Library." ma:contentTypeScope="" ma:versionID="e84c9b758bef7aae03f2e4c9b1a088fc">
  <xsd:schema xmlns:xsd="http://www.w3.org/2001/XMLSchema" xmlns:xs="http://www.w3.org/2001/XMLSchema" xmlns:p="http://schemas.microsoft.com/office/2006/metadata/properties" xmlns:ns1="088202b7-44b3-4308-8cbe-2486e2aff631" xmlns:ns2="104bc713-7594-423e-b1eb-874a2b485756" targetNamespace="http://schemas.microsoft.com/office/2006/metadata/properties" ma:root="true" ma:fieldsID="947b7514ae49306a7abb37cb3c708095" ns1:_="" ns2:_="">
    <xsd:import namespace="088202b7-44b3-4308-8cbe-2486e2aff631"/>
    <xsd:import namespace="104bc713-7594-423e-b1eb-874a2b485756"/>
    <xsd:element name="properties">
      <xsd:complexType>
        <xsd:sequence>
          <xsd:element name="documentManagement">
            <xsd:complexType>
              <xsd:all>
                <xsd:element ref="ns1:documentTitle" minOccurs="0"/>
                <xsd:element ref="ns2:le163f84aeac4c978e8c8f59becf4c6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02b7-44b3-4308-8cbe-2486e2aff631" elementFormDefault="qualified">
    <xsd:import namespace="http://schemas.microsoft.com/office/2006/documentManagement/types"/>
    <xsd:import namespace="http://schemas.microsoft.com/office/infopath/2007/PartnerControls"/>
    <xsd:element name="documentTitle" ma:index="0" nillable="true" ma:displayName="Title" ma:description="The Title of the Document is different than the Filename." ma:internalName="docum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bc713-7594-423e-b1eb-874a2b485756" elementFormDefault="qualified">
    <xsd:import namespace="http://schemas.microsoft.com/office/2006/documentManagement/types"/>
    <xsd:import namespace="http://schemas.microsoft.com/office/infopath/2007/PartnerControls"/>
    <xsd:element name="le163f84aeac4c978e8c8f59becf4c6c" ma:index="1" nillable="true" ma:taxonomy="true" ma:internalName="le163f84aeac4c978e8c8f59becf4c6c" ma:taxonomyFieldName="documentLanguages" ma:displayName="Languages" ma:fieldId="{5e163f84-aeac-4c97-8e8c-8f59becf4c6c}" ma:taxonomyMulti="true" ma:sspId="ec101830-7bfe-4cd7-a36a-75e62b3f08e3" ma:termSetId="6885ea15-0cc2-43f4-ac54-976e52fcd41c" ma:anchorId="00000000-0000-0000-0000-000000000000" ma:open="false" ma:isKeyword="false">
      <xsd:complexType>
        <xsd:sequence>
          <xsd:element ref="pc:Terms" minOccurs="0" maxOccurs="1"/>
        </xsd:sequence>
      </xsd:complexType>
    </xsd:element>
    <xsd:element name="TaxCatchAll" ma:index="2" nillable="true" ma:displayName="Taxonomy Catch All Column" ma:description="" ma:hidden="true" ma:list="{2e993545-594d-4e46-b580-99c7d6fb2398}" ma:internalName="TaxCatchAll" ma:showField="CatchAllData" ma:web="104bc713-7594-423e-b1eb-874a2b485756">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description="" ma:hidden="true" ma:list="{2e993545-594d-4e46-b580-99c7d6fb2398}" ma:internalName="TaxCatchAllLabel" ma:readOnly="true" ma:showField="CatchAllDataLabel" ma:web="104bc713-7594-423e-b1eb-874a2b485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bc713-7594-423e-b1eb-874a2b485756"/>
    <le163f84aeac4c978e8c8f59becf4c6c xmlns="104bc713-7594-423e-b1eb-874a2b485756">
      <Terms xmlns="http://schemas.microsoft.com/office/infopath/2007/PartnerControls"/>
    </le163f84aeac4c978e8c8f59becf4c6c>
    <documentTitle xmlns="088202b7-44b3-4308-8cbe-2486e2aff63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441E-FCEA-4E19-8E5A-1D0ADE852F94}">
  <ds:schemaRefs>
    <ds:schemaRef ds:uri="http://schemas.microsoft.com/office/2006/metadata/longProperties"/>
  </ds:schemaRefs>
</ds:datastoreItem>
</file>

<file path=customXml/itemProps2.xml><?xml version="1.0" encoding="utf-8"?>
<ds:datastoreItem xmlns:ds="http://schemas.openxmlformats.org/officeDocument/2006/customXml" ds:itemID="{97B8A3C1-4D7F-480D-A3BE-19161D7A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202b7-44b3-4308-8cbe-2486e2aff631"/>
    <ds:schemaRef ds:uri="104bc713-7594-423e-b1eb-874a2b485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F41AC-A055-4D9F-9597-6433AFE8918D}">
  <ds:schemaRefs>
    <ds:schemaRef ds:uri="http://schemas.microsoft.com/office/2006/metadata/properties"/>
    <ds:schemaRef ds:uri="http://schemas.microsoft.com/office/2006/documentManagement/types"/>
    <ds:schemaRef ds:uri="088202b7-44b3-4308-8cbe-2486e2aff631"/>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104bc713-7594-423e-b1eb-874a2b485756"/>
  </ds:schemaRefs>
</ds:datastoreItem>
</file>

<file path=customXml/itemProps4.xml><?xml version="1.0" encoding="utf-8"?>
<ds:datastoreItem xmlns:ds="http://schemas.openxmlformats.org/officeDocument/2006/customXml" ds:itemID="{719EF98A-4F17-42D9-8823-970F7A87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0</TotalTime>
  <Pages>9</Pages>
  <Words>2421</Words>
  <Characters>13135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15525</CharactersWithSpaces>
  <SharedDoc>false</SharedDoc>
  <HLinks>
    <vt:vector size="24" baseType="variant">
      <vt:variant>
        <vt:i4>3801174</vt:i4>
      </vt:variant>
      <vt:variant>
        <vt:i4>9</vt:i4>
      </vt:variant>
      <vt:variant>
        <vt:i4>0</vt:i4>
      </vt:variant>
      <vt:variant>
        <vt:i4>5</vt:i4>
      </vt:variant>
      <vt:variant>
        <vt:lpwstr>mailto:comp-merger-registry@ec.europa.eu</vt:lpwstr>
      </vt:variant>
      <vt:variant>
        <vt:lpwstr/>
      </vt:variant>
      <vt:variant>
        <vt:i4>3211289</vt:i4>
      </vt:variant>
      <vt:variant>
        <vt:i4>6</vt:i4>
      </vt:variant>
      <vt:variant>
        <vt:i4>0</vt:i4>
      </vt:variant>
      <vt:variant>
        <vt:i4>5</vt:i4>
      </vt:variant>
      <vt:variant>
        <vt:lpwstr>http://ec.europa.eu/competition/index_en.html</vt:lpwstr>
      </vt:variant>
      <vt:variant>
        <vt:lpwstr/>
      </vt:variant>
      <vt:variant>
        <vt:i4>1114228</vt:i4>
      </vt:variant>
      <vt:variant>
        <vt:i4>3</vt:i4>
      </vt:variant>
      <vt:variant>
        <vt:i4>0</vt:i4>
      </vt:variant>
      <vt:variant>
        <vt:i4>5</vt:i4>
      </vt:variant>
      <vt:variant>
        <vt:lpwstr>C:\Users\vlassch.NET1\AppData\Local\jawormi\AppData\Local\Microsoft\Windows\Temporary Internet Files\Content.Outlook\W9L6HWBY\Model-for-power-of-attorney-waiving-notification-to-companies.DOC</vt:lpwstr>
      </vt:variant>
      <vt:variant>
        <vt:lpwstr/>
      </vt:variant>
      <vt:variant>
        <vt:i4>3801174</vt:i4>
      </vt:variant>
      <vt:variant>
        <vt:i4>3</vt:i4>
      </vt:variant>
      <vt:variant>
        <vt:i4>0</vt:i4>
      </vt:variant>
      <vt:variant>
        <vt:i4>5</vt:i4>
      </vt:variant>
      <vt:variant>
        <vt:lpwstr>mailto:COMP-MERGER-REGISTRY@ec.europa.eu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DISKEUVE</dc:creator>
  <cp:keywords>EL3</cp:keywords>
  <cp:lastModifiedBy>WOJCIK Magdalena (COMP)</cp:lastModifiedBy>
  <cp:revision>3</cp:revision>
  <cp:lastPrinted>2016-11-10T15:25:00Z</cp:lastPrinted>
  <dcterms:created xsi:type="dcterms:W3CDTF">2016-12-16T14:31:00Z</dcterms:created>
  <dcterms:modified xsi:type="dcterms:W3CDTF">2016-12-16T14:31:00Z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34000</vt:lpwstr>
  </property>
  <property fmtid="{D5CDD505-2E9C-101B-9397-08002B2CF9AE}" pid="5" name="Formatting">
    <vt:lpwstr>4.1</vt:lpwstr>
  </property>
  <property fmtid="{D5CDD505-2E9C-101B-9397-08002B2CF9AE}" pid="6" name="_NewReviewCycle">
    <vt:lpwstr/>
  </property>
  <property fmtid="{D5CDD505-2E9C-101B-9397-08002B2CF9AE}" pid="7" name="documentLanguages">
    <vt:lpwstr/>
  </property>
  <property fmtid="{D5CDD505-2E9C-101B-9397-08002B2CF9AE}" pid="8" name="xd_Signature">
    <vt:lpwstr/>
  </property>
  <property fmtid="{D5CDD505-2E9C-101B-9397-08002B2CF9AE}" pid="9" name="display_urn:schemas-microsoft-com:office:office#Editor">
    <vt:lpwstr>BERNARD Christelle (COMP)</vt:lpwstr>
  </property>
  <property fmtid="{D5CDD505-2E9C-101B-9397-08002B2CF9AE}" pid="10" name="documentTemplate">
    <vt:lpwstr/>
  </property>
  <property fmtid="{D5CDD505-2E9C-101B-9397-08002B2CF9AE}" pid="11" name="documentComments">
    <vt:lpwstr/>
  </property>
  <property fmtid="{D5CDD505-2E9C-101B-9397-08002B2CF9AE}" pid="12" name="xd_ProgID">
    <vt:lpwstr/>
  </property>
  <property fmtid="{D5CDD505-2E9C-101B-9397-08002B2CF9AE}" pid="13" name="k07f1fd1eeea4e02b680e7f403dab53b">
    <vt:lpwstr/>
  </property>
  <property fmtid="{D5CDD505-2E9C-101B-9397-08002B2CF9AE}" pid="14" name="display_urn:schemas-microsoft-com:office:office#Author">
    <vt:lpwstr>comp-spinstall</vt:lpwstr>
  </property>
  <property fmtid="{D5CDD505-2E9C-101B-9397-08002B2CF9AE}" pid="15" name="TemplateUrl">
    <vt:lpwstr/>
  </property>
  <property fmtid="{D5CDD505-2E9C-101B-9397-08002B2CF9AE}" pid="16" name="documentSummary">
    <vt:lpwstr/>
  </property>
  <property fmtid="{D5CDD505-2E9C-101B-9397-08002B2CF9AE}" pid="17" name="documentFollowUp">
    <vt:lpwstr/>
  </property>
  <property fmtid="{D5CDD505-2E9C-101B-9397-08002B2CF9AE}" pid="18" name="documentDeploy">
    <vt:lpwstr/>
  </property>
  <property fmtid="{D5CDD505-2E9C-101B-9397-08002B2CF9AE}" pid="19" name="caseInstrument">
    <vt:lpwstr/>
  </property>
  <property fmtid="{D5CDD505-2E9C-101B-9397-08002B2CF9AE}" pid="20" name="ContentTypeId">
    <vt:lpwstr>0x01010400988603A364794F7AA753E65AAE73280500D2069AC389ADC243AF716F47490C58EF</vt:lpwstr>
  </property>
  <property fmtid="{D5CDD505-2E9C-101B-9397-08002B2CF9AE}" pid="21" name="_dlc_DocId">
    <vt:lpwstr>AKHAP4N57MVC-98684066-40</vt:lpwstr>
  </property>
  <property fmtid="{D5CDD505-2E9C-101B-9397-08002B2CF9AE}" pid="22" name="_dlc_DocIdUrl">
    <vt:lpwstr>http://workspace/cases/M.8231/_layouts/15/DocIdRedir.aspx?ID=AKHAP4N57MVC-98684066-40, AKHAP4N57MVC-98684066-40</vt:lpwstr>
  </property>
  <property fmtid="{D5CDD505-2E9C-101B-9397-08002B2CF9AE}" pid="23" name="_dlc_DocIdItemGuid">
    <vt:lpwstr>8c9fd0b7-eabf-4709-9cb7-d2d824324d9b</vt:lpwstr>
  </property>
  <property fmtid="{D5CDD505-2E9C-101B-9397-08002B2CF9AE}" pid="24" name="j5be58bd89774e6b9a3f14e0f9b482f6">
    <vt:lpwstr/>
  </property>
  <property fmtid="{D5CDD505-2E9C-101B-9397-08002B2CF9AE}" pid="25" name="documentCaseTags">
    <vt:lpwstr/>
  </property>
  <property fmtid="{D5CDD505-2E9C-101B-9397-08002B2CF9AE}" pid="26" name="documentGeneralTags">
    <vt:lpwstr/>
  </property>
  <property fmtid="{D5CDD505-2E9C-101B-9397-08002B2CF9AE}" pid="27" name="j9c249ef55ef4bacbffb2eee37d9b412">
    <vt:lpwstr/>
  </property>
</Properties>
</file>