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194886" w:rsidRPr="00853F07" w14:paraId="3597DE1E" w14:textId="77777777" w:rsidTr="00080DE0">
        <w:tblPrEx>
          <w:tblCellMar>
            <w:top w:w="0" w:type="dxa"/>
            <w:left w:w="0" w:type="dxa"/>
            <w:bottom w:w="0" w:type="dxa"/>
            <w:right w:w="0" w:type="dxa"/>
          </w:tblCellMar>
        </w:tblPrEx>
        <w:trPr>
          <w:trHeight w:val="1440"/>
        </w:trPr>
        <w:tc>
          <w:tcPr>
            <w:tcW w:w="2381" w:type="dxa"/>
            <w:tcBorders>
              <w:top w:val="nil"/>
              <w:left w:val="nil"/>
              <w:bottom w:val="nil"/>
              <w:right w:val="nil"/>
            </w:tcBorders>
          </w:tcPr>
          <w:p w14:paraId="40CE18D4" w14:textId="41BF4BBB" w:rsidR="00194886" w:rsidRPr="00853F07" w:rsidRDefault="00194886" w:rsidP="00194886">
            <w:pPr>
              <w:widowControl w:val="0"/>
              <w:spacing w:after="0"/>
              <w:ind w:right="85"/>
              <w:rPr>
                <w:rFonts w:ascii="Arial" w:hAnsi="Arial" w:cs="Arial"/>
              </w:rPr>
            </w:pPr>
            <w:bookmarkStart w:id="0" w:name="_GoBack"/>
            <w:bookmarkEnd w:id="0"/>
            <w:r>
              <w:rPr>
                <w:rFonts w:ascii="Arial" w:hAnsi="Arial" w:cs="Arial"/>
                <w:noProof/>
                <w:sz w:val="20"/>
              </w:rPr>
              <w:drawing>
                <wp:inline distT="0" distB="0" distL="0" distR="0" wp14:anchorId="0B7C762B" wp14:editId="6EA4C24F">
                  <wp:extent cx="13716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087" w:type="dxa"/>
            <w:tcBorders>
              <w:top w:val="nil"/>
              <w:left w:val="nil"/>
              <w:bottom w:val="nil"/>
              <w:right w:val="nil"/>
            </w:tcBorders>
          </w:tcPr>
          <w:p w14:paraId="3D9B4240" w14:textId="77777777" w:rsidR="00194886" w:rsidRPr="00853F07" w:rsidRDefault="00194886" w:rsidP="00194886">
            <w:pPr>
              <w:widowControl w:val="0"/>
              <w:spacing w:before="90" w:after="0"/>
              <w:ind w:right="85"/>
              <w:rPr>
                <w:rFonts w:ascii="Arial" w:hAnsi="Arial" w:cs="Arial"/>
              </w:rPr>
            </w:pPr>
            <w:r w:rsidRPr="00853F07">
              <w:rPr>
                <w:rFonts w:ascii="Arial" w:hAnsi="Arial" w:cs="Arial"/>
              </w:rPr>
              <w:t>EUROPEAN COMMISSION</w:t>
            </w:r>
          </w:p>
          <w:p w14:paraId="084964CC" w14:textId="77777777" w:rsidR="00194886" w:rsidRPr="00853F07" w:rsidRDefault="00194886" w:rsidP="00194886">
            <w:pPr>
              <w:widowControl w:val="0"/>
              <w:spacing w:after="0"/>
              <w:ind w:right="85"/>
              <w:rPr>
                <w:rFonts w:ascii="Arial" w:hAnsi="Arial" w:cs="Arial"/>
                <w:sz w:val="16"/>
                <w:szCs w:val="16"/>
              </w:rPr>
            </w:pPr>
            <w:r w:rsidRPr="00853F07">
              <w:rPr>
                <w:rFonts w:ascii="Arial" w:hAnsi="Arial" w:cs="Arial"/>
                <w:sz w:val="16"/>
                <w:szCs w:val="16"/>
              </w:rPr>
              <w:t>DG Competition</w:t>
            </w:r>
          </w:p>
          <w:p w14:paraId="02ACADE5" w14:textId="77777777" w:rsidR="00194886" w:rsidRPr="00853F07" w:rsidRDefault="00194886" w:rsidP="00194886">
            <w:pPr>
              <w:widowControl w:val="0"/>
              <w:spacing w:after="0"/>
              <w:ind w:right="85"/>
              <w:rPr>
                <w:rFonts w:ascii="Arial" w:hAnsi="Arial" w:cs="Arial"/>
                <w:sz w:val="16"/>
                <w:szCs w:val="16"/>
                <w:lang w:val="fr-FR"/>
              </w:rPr>
            </w:pPr>
          </w:p>
        </w:tc>
      </w:tr>
    </w:tbl>
    <w:p w14:paraId="1E30FA06" w14:textId="77777777" w:rsidR="00194886" w:rsidRDefault="00194886" w:rsidP="00194886">
      <w:pPr>
        <w:tabs>
          <w:tab w:val="left" w:pos="5103"/>
        </w:tabs>
        <w:suppressAutoHyphens/>
        <w:spacing w:after="0"/>
        <w:rPr>
          <w:spacing w:val="-3"/>
        </w:rPr>
      </w:pPr>
    </w:p>
    <w:p w14:paraId="57F4697B" w14:textId="77777777" w:rsidR="00194886" w:rsidRDefault="00194886" w:rsidP="00194886">
      <w:pPr>
        <w:tabs>
          <w:tab w:val="left" w:pos="5103"/>
        </w:tabs>
        <w:suppressAutoHyphens/>
        <w:spacing w:after="0"/>
        <w:rPr>
          <w:spacing w:val="-3"/>
        </w:rPr>
      </w:pPr>
    </w:p>
    <w:p w14:paraId="567F8174" w14:textId="77777777" w:rsidR="00194886" w:rsidRDefault="00194886" w:rsidP="00194886">
      <w:pPr>
        <w:tabs>
          <w:tab w:val="left" w:pos="5103"/>
        </w:tabs>
        <w:suppressAutoHyphens/>
        <w:spacing w:after="0"/>
        <w:ind w:left="5103" w:hanging="5103"/>
        <w:rPr>
          <w:spacing w:val="-4"/>
          <w:sz w:val="36"/>
          <w:szCs w:val="36"/>
        </w:rPr>
      </w:pPr>
      <w:r>
        <w:rPr>
          <w:b/>
          <w:bCs/>
          <w:i/>
          <w:iCs/>
          <w:spacing w:val="-4"/>
          <w:sz w:val="36"/>
          <w:szCs w:val="36"/>
        </w:rPr>
        <w:tab/>
        <w:t>Case M.8183 - AVNET / PREMIER FARNELL</w:t>
      </w:r>
    </w:p>
    <w:p w14:paraId="74961CF3" w14:textId="77777777" w:rsidR="00194886" w:rsidRDefault="00194886" w:rsidP="00194886">
      <w:pPr>
        <w:tabs>
          <w:tab w:val="left" w:pos="5103"/>
        </w:tabs>
        <w:suppressAutoHyphens/>
        <w:spacing w:after="0"/>
        <w:rPr>
          <w:spacing w:val="-4"/>
          <w:sz w:val="36"/>
          <w:szCs w:val="36"/>
        </w:rPr>
      </w:pPr>
    </w:p>
    <w:p w14:paraId="3DE18000" w14:textId="77777777" w:rsidR="00194886" w:rsidRDefault="00194886" w:rsidP="00194886">
      <w:pPr>
        <w:tabs>
          <w:tab w:val="left" w:pos="5103"/>
        </w:tabs>
        <w:suppressAutoHyphens/>
        <w:spacing w:after="0"/>
        <w:rPr>
          <w:spacing w:val="-4"/>
          <w:sz w:val="36"/>
          <w:szCs w:val="36"/>
        </w:rPr>
      </w:pPr>
    </w:p>
    <w:p w14:paraId="0EF8653B" w14:textId="77777777" w:rsidR="00194886" w:rsidRDefault="00194886" w:rsidP="00194886">
      <w:pPr>
        <w:tabs>
          <w:tab w:val="left" w:pos="5103"/>
        </w:tabs>
        <w:suppressAutoHyphens/>
        <w:spacing w:after="0"/>
        <w:jc w:val="right"/>
      </w:pPr>
    </w:p>
    <w:p w14:paraId="6A504B1E" w14:textId="77777777" w:rsidR="00194886" w:rsidRDefault="00194886" w:rsidP="00194886">
      <w:pPr>
        <w:tabs>
          <w:tab w:val="left" w:pos="5103"/>
        </w:tabs>
        <w:suppressAutoHyphens/>
        <w:spacing w:after="0"/>
        <w:jc w:val="right"/>
      </w:pPr>
    </w:p>
    <w:p w14:paraId="255EB111" w14:textId="77777777" w:rsidR="00194886" w:rsidRDefault="00194886" w:rsidP="00194886">
      <w:pPr>
        <w:tabs>
          <w:tab w:val="left" w:pos="5103"/>
        </w:tabs>
        <w:suppressAutoHyphens/>
        <w:spacing w:after="0"/>
        <w:jc w:val="right"/>
      </w:pPr>
      <w:r>
        <w:t>Only the English text is available and authentic.</w:t>
      </w:r>
    </w:p>
    <w:p w14:paraId="3CBB939F" w14:textId="77777777" w:rsidR="00194886" w:rsidRDefault="00194886" w:rsidP="00194886">
      <w:pPr>
        <w:tabs>
          <w:tab w:val="left" w:pos="5103"/>
        </w:tabs>
        <w:suppressAutoHyphens/>
        <w:spacing w:after="0"/>
        <w:jc w:val="right"/>
      </w:pPr>
    </w:p>
    <w:p w14:paraId="031B0851" w14:textId="77777777" w:rsidR="00194886" w:rsidRDefault="00194886" w:rsidP="00194886">
      <w:pPr>
        <w:tabs>
          <w:tab w:val="left" w:pos="5103"/>
        </w:tabs>
        <w:suppressAutoHyphens/>
        <w:spacing w:after="0"/>
        <w:jc w:val="right"/>
      </w:pPr>
    </w:p>
    <w:p w14:paraId="3F1ABED4" w14:textId="77777777" w:rsidR="00194886" w:rsidRDefault="00194886" w:rsidP="00194886">
      <w:pPr>
        <w:tabs>
          <w:tab w:val="left" w:pos="5103"/>
        </w:tabs>
        <w:suppressAutoHyphens/>
        <w:spacing w:after="0"/>
        <w:jc w:val="right"/>
      </w:pPr>
    </w:p>
    <w:p w14:paraId="001795BA" w14:textId="77777777" w:rsidR="00194886" w:rsidRDefault="00194886" w:rsidP="00194886">
      <w:pPr>
        <w:tabs>
          <w:tab w:val="left" w:pos="5103"/>
        </w:tabs>
        <w:suppressAutoHyphens/>
        <w:spacing w:after="0"/>
        <w:jc w:val="right"/>
        <w:rPr>
          <w:b/>
          <w:bCs/>
          <w:sz w:val="36"/>
          <w:szCs w:val="36"/>
        </w:rPr>
      </w:pPr>
      <w:r>
        <w:rPr>
          <w:b/>
          <w:bCs/>
          <w:sz w:val="36"/>
          <w:szCs w:val="36"/>
        </w:rPr>
        <w:t>REGULATION (EC) No 139/2004</w:t>
      </w:r>
    </w:p>
    <w:p w14:paraId="23D7A85C" w14:textId="77777777" w:rsidR="00194886" w:rsidRDefault="00194886" w:rsidP="00194886">
      <w:pPr>
        <w:tabs>
          <w:tab w:val="left" w:pos="5103"/>
        </w:tabs>
        <w:suppressAutoHyphens/>
        <w:spacing w:after="0"/>
        <w:jc w:val="right"/>
        <w:rPr>
          <w:sz w:val="36"/>
          <w:szCs w:val="36"/>
        </w:rPr>
      </w:pPr>
      <w:r>
        <w:rPr>
          <w:b/>
          <w:bCs/>
          <w:sz w:val="36"/>
          <w:szCs w:val="36"/>
        </w:rPr>
        <w:t>MERGER PROCEDURE</w:t>
      </w:r>
    </w:p>
    <w:p w14:paraId="23629636" w14:textId="77777777" w:rsidR="00194886" w:rsidRDefault="00194886" w:rsidP="00194886">
      <w:pPr>
        <w:tabs>
          <w:tab w:val="left" w:pos="5103"/>
        </w:tabs>
        <w:suppressAutoHyphens/>
        <w:spacing w:after="0"/>
        <w:jc w:val="right"/>
        <w:rPr>
          <w:sz w:val="36"/>
          <w:szCs w:val="36"/>
        </w:rPr>
      </w:pPr>
    </w:p>
    <w:p w14:paraId="18294CFE" w14:textId="77777777" w:rsidR="00194886" w:rsidRDefault="00194886" w:rsidP="00194886">
      <w:pPr>
        <w:tabs>
          <w:tab w:val="left" w:pos="5103"/>
        </w:tabs>
        <w:suppressAutoHyphens/>
        <w:spacing w:after="0"/>
        <w:jc w:val="right"/>
        <w:rPr>
          <w:sz w:val="36"/>
          <w:szCs w:val="36"/>
        </w:rPr>
      </w:pPr>
    </w:p>
    <w:p w14:paraId="037B68AB" w14:textId="5B557650" w:rsidR="00194886" w:rsidRDefault="00194886" w:rsidP="00194886">
      <w:pPr>
        <w:tabs>
          <w:tab w:val="left" w:pos="5103"/>
        </w:tabs>
        <w:suppressAutoHyphens/>
        <w:spacing w:after="0"/>
        <w:jc w:val="right"/>
        <w:rPr>
          <w:sz w:val="36"/>
          <w:szCs w:val="36"/>
        </w:rPr>
      </w:pPr>
      <w:r>
        <w:rPr>
          <w:noProof/>
        </w:rPr>
        <mc:AlternateContent>
          <mc:Choice Requires="wps">
            <w:drawing>
              <wp:anchor distT="0" distB="0" distL="114300" distR="114300" simplePos="0" relativeHeight="251661312" behindDoc="0" locked="0" layoutInCell="0" allowOverlap="1" wp14:anchorId="1115C6E8" wp14:editId="36183FD4">
                <wp:simplePos x="0" y="0"/>
                <wp:positionH relativeFrom="column">
                  <wp:posOffset>91440</wp:posOffset>
                </wp:positionH>
                <wp:positionV relativeFrom="paragraph">
                  <wp:posOffset>85725</wp:posOffset>
                </wp:positionV>
                <wp:extent cx="5688965" cy="63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965" cy="635"/>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5pt" to="455.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" o:allowincell="f" strokeweight="4pt"/>
            </w:pict>
          </mc:Fallback>
        </mc:AlternateContent>
      </w:r>
    </w:p>
    <w:p w14:paraId="306B2B09" w14:textId="77777777" w:rsidR="00194886" w:rsidRPr="00194886" w:rsidRDefault="00194886" w:rsidP="00194886">
      <w:pPr>
        <w:tabs>
          <w:tab w:val="left" w:pos="5103"/>
        </w:tabs>
        <w:suppressAutoHyphens/>
        <w:spacing w:after="0"/>
        <w:jc w:val="right"/>
        <w:rPr>
          <w:sz w:val="36"/>
          <w:szCs w:val="36"/>
        </w:rPr>
      </w:pPr>
      <w:r w:rsidRPr="00194886">
        <w:rPr>
          <w:sz w:val="36"/>
          <w:szCs w:val="36"/>
        </w:rPr>
        <w:t>Article 6(1</w:t>
      </w:r>
      <w:proofErr w:type="gramStart"/>
      <w:r w:rsidRPr="00194886">
        <w:rPr>
          <w:sz w:val="36"/>
          <w:szCs w:val="36"/>
        </w:rPr>
        <w:t>)(</w:t>
      </w:r>
      <w:proofErr w:type="gramEnd"/>
      <w:r w:rsidRPr="00194886">
        <w:rPr>
          <w:sz w:val="36"/>
          <w:szCs w:val="36"/>
        </w:rPr>
        <w:t>b) NON-OPPOSITION</w:t>
      </w:r>
    </w:p>
    <w:p w14:paraId="1A5EB39E" w14:textId="77777777" w:rsidR="00194886" w:rsidRPr="00194886" w:rsidRDefault="00194886" w:rsidP="00194886">
      <w:pPr>
        <w:tabs>
          <w:tab w:val="left" w:pos="5103"/>
        </w:tabs>
        <w:suppressAutoHyphens/>
        <w:spacing w:after="0"/>
        <w:jc w:val="right"/>
        <w:rPr>
          <w:sz w:val="36"/>
          <w:szCs w:val="36"/>
        </w:rPr>
      </w:pPr>
      <w:r w:rsidRPr="00194886">
        <w:rPr>
          <w:sz w:val="36"/>
          <w:szCs w:val="36"/>
        </w:rPr>
        <w:t>Date: 06/10/2016</w:t>
      </w:r>
    </w:p>
    <w:p w14:paraId="3E1D627B" w14:textId="77777777" w:rsidR="00194886" w:rsidRPr="00194886" w:rsidRDefault="00194886" w:rsidP="00194886">
      <w:pPr>
        <w:tabs>
          <w:tab w:val="left" w:pos="5103"/>
        </w:tabs>
        <w:suppressAutoHyphens/>
        <w:spacing w:after="0"/>
        <w:jc w:val="right"/>
        <w:rPr>
          <w:sz w:val="36"/>
          <w:szCs w:val="36"/>
        </w:rPr>
      </w:pPr>
    </w:p>
    <w:p w14:paraId="0857D75D" w14:textId="77777777" w:rsidR="00194886" w:rsidRPr="00194886" w:rsidRDefault="00194886" w:rsidP="00194886">
      <w:pPr>
        <w:tabs>
          <w:tab w:val="left" w:pos="5103"/>
        </w:tabs>
        <w:suppressAutoHyphens/>
        <w:spacing w:after="0"/>
        <w:jc w:val="right"/>
        <w:rPr>
          <w:sz w:val="36"/>
          <w:szCs w:val="36"/>
        </w:rPr>
      </w:pPr>
    </w:p>
    <w:p w14:paraId="2CEDB39F" w14:textId="77777777" w:rsidR="00194886" w:rsidRPr="00194886" w:rsidRDefault="00194886" w:rsidP="00194886">
      <w:pPr>
        <w:tabs>
          <w:tab w:val="left" w:pos="5103"/>
        </w:tabs>
        <w:suppressAutoHyphens/>
        <w:spacing w:after="0"/>
        <w:jc w:val="right"/>
        <w:rPr>
          <w:sz w:val="36"/>
          <w:szCs w:val="36"/>
        </w:rPr>
      </w:pPr>
    </w:p>
    <w:p w14:paraId="3610B460" w14:textId="77777777" w:rsidR="00194886" w:rsidRPr="00194886" w:rsidRDefault="00194886" w:rsidP="00194886">
      <w:pPr>
        <w:tabs>
          <w:tab w:val="left" w:pos="5103"/>
        </w:tabs>
        <w:suppressAutoHyphens/>
        <w:spacing w:after="0"/>
        <w:jc w:val="right"/>
        <w:rPr>
          <w:sz w:val="36"/>
          <w:szCs w:val="36"/>
        </w:rPr>
      </w:pPr>
    </w:p>
    <w:p w14:paraId="39E4AA01" w14:textId="77777777" w:rsidR="00194886" w:rsidRPr="00194886" w:rsidRDefault="00194886" w:rsidP="00194886">
      <w:pPr>
        <w:tabs>
          <w:tab w:val="left" w:pos="5103"/>
        </w:tabs>
        <w:suppressAutoHyphens/>
        <w:spacing w:after="0"/>
        <w:jc w:val="right"/>
        <w:rPr>
          <w:sz w:val="36"/>
          <w:szCs w:val="36"/>
        </w:rPr>
      </w:pPr>
    </w:p>
    <w:p w14:paraId="145ACE1E" w14:textId="77777777" w:rsidR="00194886" w:rsidRPr="00194886" w:rsidRDefault="00194886" w:rsidP="00194886">
      <w:pPr>
        <w:tabs>
          <w:tab w:val="left" w:pos="5103"/>
        </w:tabs>
        <w:suppressAutoHyphens/>
        <w:spacing w:after="0"/>
        <w:jc w:val="right"/>
        <w:rPr>
          <w:sz w:val="36"/>
          <w:szCs w:val="36"/>
        </w:rPr>
      </w:pPr>
    </w:p>
    <w:p w14:paraId="7AA221FF" w14:textId="77777777" w:rsidR="00194886" w:rsidRPr="00194886" w:rsidRDefault="00194886" w:rsidP="00194886">
      <w:pPr>
        <w:tabs>
          <w:tab w:val="left" w:pos="5103"/>
        </w:tabs>
        <w:suppressAutoHyphens/>
        <w:spacing w:after="0"/>
        <w:jc w:val="right"/>
        <w:rPr>
          <w:sz w:val="36"/>
          <w:szCs w:val="36"/>
        </w:rPr>
      </w:pPr>
    </w:p>
    <w:p w14:paraId="38FF3051" w14:textId="77777777" w:rsidR="00194886" w:rsidRPr="00194886" w:rsidRDefault="00194886" w:rsidP="00194886">
      <w:pPr>
        <w:tabs>
          <w:tab w:val="left" w:pos="5103"/>
        </w:tabs>
        <w:suppressAutoHyphens/>
        <w:spacing w:after="0"/>
        <w:jc w:val="right"/>
        <w:rPr>
          <w:sz w:val="36"/>
          <w:szCs w:val="36"/>
        </w:rPr>
      </w:pPr>
    </w:p>
    <w:p w14:paraId="30ED76DB" w14:textId="77777777" w:rsidR="00194886" w:rsidRPr="00D34DAD" w:rsidRDefault="00194886" w:rsidP="00194886">
      <w:pPr>
        <w:tabs>
          <w:tab w:val="left" w:pos="5103"/>
        </w:tabs>
        <w:suppressAutoHyphens/>
        <w:spacing w:after="0"/>
        <w:jc w:val="right"/>
        <w:rPr>
          <w:sz w:val="36"/>
          <w:szCs w:val="36"/>
        </w:rPr>
      </w:pPr>
      <w:r>
        <w:rPr>
          <w:b/>
          <w:bCs/>
          <w:i/>
          <w:iCs/>
          <w:sz w:val="36"/>
          <w:szCs w:val="36"/>
        </w:rPr>
        <w:t>I</w:t>
      </w:r>
      <w:r w:rsidRPr="00AF5A3D">
        <w:rPr>
          <w:b/>
          <w:bCs/>
          <w:i/>
          <w:iCs/>
          <w:sz w:val="36"/>
          <w:szCs w:val="36"/>
        </w:rPr>
        <w:t xml:space="preserve">n electronic form on the </w:t>
      </w:r>
      <w:proofErr w:type="spellStart"/>
      <w:r w:rsidRPr="00AF5A3D">
        <w:rPr>
          <w:b/>
          <w:bCs/>
          <w:i/>
          <w:iCs/>
          <w:sz w:val="36"/>
          <w:szCs w:val="36"/>
        </w:rPr>
        <w:t>EUR-Lex</w:t>
      </w:r>
      <w:proofErr w:type="spellEnd"/>
      <w:r w:rsidRPr="00AF5A3D">
        <w:rPr>
          <w:b/>
          <w:bCs/>
          <w:i/>
          <w:iCs/>
          <w:sz w:val="36"/>
          <w:szCs w:val="36"/>
        </w:rPr>
        <w:t xml:space="preserve"> website under document number 32016M8183</w:t>
      </w:r>
    </w:p>
    <w:p w14:paraId="20F58AD3" w14:textId="77777777" w:rsidR="00194886" w:rsidRPr="00D34DAD" w:rsidRDefault="00194886" w:rsidP="00194886">
      <w:pPr>
        <w:tabs>
          <w:tab w:val="left" w:pos="5103"/>
        </w:tabs>
        <w:suppressAutoHyphens/>
        <w:spacing w:after="0"/>
        <w:rPr>
          <w:sz w:val="36"/>
          <w:szCs w:val="36"/>
        </w:rPr>
      </w:pPr>
    </w:p>
    <w:p w14:paraId="18CEC88F" w14:textId="77777777" w:rsidR="00194886" w:rsidRDefault="00194886">
      <w:pPr>
        <w:pStyle w:val="ZCom"/>
        <w:sectPr w:rsidR="00194886">
          <w:footerReference w:type="default" r:id="rId13"/>
          <w:type w:val="nextColumn"/>
          <w:pgSz w:w="11907" w:h="16840" w:code="9"/>
          <w:pgMar w:top="1021" w:right="1418" w:bottom="1021" w:left="1588" w:header="601" w:footer="1077" w:gutter="0"/>
          <w:cols w:space="720"/>
          <w:titlePg/>
        </w:sectPr>
      </w:pPr>
    </w:p>
    <w:tbl>
      <w:tblPr>
        <w:tblW w:w="0" w:type="auto"/>
        <w:tblLayout w:type="fixed"/>
        <w:tblCellMar>
          <w:left w:w="0" w:type="dxa"/>
          <w:right w:w="0" w:type="dxa"/>
        </w:tblCellMar>
        <w:tblLook w:val="0000" w:firstRow="0" w:lastRow="0" w:firstColumn="0" w:lastColumn="0" w:noHBand="0" w:noVBand="0"/>
      </w:tblPr>
      <w:tblGrid>
        <w:gridCol w:w="2381"/>
        <w:gridCol w:w="7087"/>
      </w:tblGrid>
      <w:tr w:rsidR="001763DC" w:rsidRPr="004744C5" w14:paraId="41681FB1" w14:textId="77777777">
        <w:trPr>
          <w:trHeight w:val="1440"/>
        </w:trPr>
        <w:tc>
          <w:tcPr>
            <w:tcW w:w="2381" w:type="dxa"/>
            <w:tcBorders>
              <w:top w:val="nil"/>
              <w:left w:val="nil"/>
              <w:bottom w:val="nil"/>
              <w:right w:val="nil"/>
            </w:tcBorders>
          </w:tcPr>
          <w:p w14:paraId="41681FAF" w14:textId="4BF533BD" w:rsidR="001763DC" w:rsidRPr="004744C5" w:rsidRDefault="006D23D4">
            <w:pPr>
              <w:pStyle w:val="ZCom"/>
            </w:pPr>
            <w:r w:rsidRPr="004744C5">
              <w:rPr>
                <w:noProof/>
                <w:sz w:val="20"/>
              </w:rPr>
              <w:lastRenderedPageBreak/>
              <w:drawing>
                <wp:inline distT="0" distB="0" distL="0" distR="0" wp14:anchorId="4168237C" wp14:editId="4168237D">
                  <wp:extent cx="1371600" cy="676275"/>
                  <wp:effectExtent l="0" t="0" r="0" b="9525"/>
                  <wp:docPr id="2" name="Picture 2"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c_17_colors_300dp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087" w:type="dxa"/>
            <w:tcBorders>
              <w:top w:val="nil"/>
              <w:left w:val="nil"/>
              <w:bottom w:val="nil"/>
              <w:right w:val="nil"/>
            </w:tcBorders>
          </w:tcPr>
          <w:p w14:paraId="41681FB0" w14:textId="77777777" w:rsidR="001763DC" w:rsidRPr="004744C5" w:rsidRDefault="001763DC" w:rsidP="00FD45D5">
            <w:pPr>
              <w:pStyle w:val="ZCom"/>
              <w:spacing w:before="90"/>
            </w:pPr>
            <w:r w:rsidRPr="004744C5">
              <w:t>EUROPEAN COMMISSION</w:t>
            </w:r>
          </w:p>
        </w:tc>
      </w:tr>
    </w:tbl>
    <w:p w14:paraId="41681FB2" w14:textId="77777777" w:rsidR="00D13D3D" w:rsidRPr="004744C5" w:rsidRDefault="00D13D3D">
      <w:pPr>
        <w:pStyle w:val="Date"/>
      </w:pPr>
      <w:r w:rsidRPr="004744C5">
        <w:t xml:space="preserve">Brussels, </w:t>
      </w:r>
      <w:r w:rsidR="007E6E1B" w:rsidRPr="004744C5">
        <w:t>6.10.2016</w:t>
      </w:r>
    </w:p>
    <w:p w14:paraId="41681FB3" w14:textId="4B2642BB" w:rsidR="00D13D3D" w:rsidRPr="004744C5" w:rsidRDefault="00BA4E96" w:rsidP="00130C1E">
      <w:pPr>
        <w:pStyle w:val="References"/>
        <w:spacing w:after="120"/>
        <w:rPr>
          <w:i/>
          <w:sz w:val="32"/>
          <w:szCs w:val="32"/>
        </w:rPr>
      </w:pPr>
      <w:r w:rsidRPr="004744C5">
        <w:rPr>
          <w:noProof/>
          <w:sz w:val="24"/>
        </w:rPr>
        <mc:AlternateContent>
          <mc:Choice Requires="wps">
            <w:drawing>
              <wp:anchor distT="0" distB="0" distL="114300" distR="114300" simplePos="0" relativeHeight="251659264" behindDoc="0" locked="0" layoutInCell="0" allowOverlap="1" wp14:anchorId="41682380" wp14:editId="38BEC9DA">
                <wp:simplePos x="0" y="0"/>
                <wp:positionH relativeFrom="column">
                  <wp:posOffset>3249295</wp:posOffset>
                </wp:positionH>
                <wp:positionV relativeFrom="paragraph">
                  <wp:posOffset>490855</wp:posOffset>
                </wp:positionV>
                <wp:extent cx="2103755" cy="342900"/>
                <wp:effectExtent l="0" t="0" r="1079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755"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682410" w14:textId="77777777" w:rsidR="00432752" w:rsidRPr="00AF2C70" w:rsidRDefault="00432752" w:rsidP="00BA4E96">
                            <w:pPr>
                              <w:spacing w:before="120"/>
                              <w:jc w:val="center"/>
                              <w:rPr>
                                <w:lang w:val="hu-HU"/>
                              </w:rPr>
                            </w:pPr>
                            <w:r w:rsidRPr="00130C1E">
                              <w:rPr>
                                <w:lang w:val="hu-HU"/>
                              </w:rPr>
                              <w:t>PUBLIC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55.85pt;margin-top:38.65pt;width:165.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" o:allowincell="f">
                <v:textbox inset="0,0,0,0">
                  <w:txbxContent>
                    <w:p w14:paraId="41682410" w14:textId="77777777" w:rsidR="00432752" w:rsidRPr="00AF2C70" w:rsidRDefault="00432752" w:rsidP="00BA4E96">
                      <w:pPr>
                        <w:spacing w:before="120"/>
                        <w:jc w:val="center"/>
                        <w:rPr>
                          <w:lang w:val="hu-HU"/>
                        </w:rPr>
                      </w:pPr>
                      <w:r w:rsidRPr="00130C1E">
                        <w:rPr>
                          <w:lang w:val="hu-HU"/>
                        </w:rPr>
                        <w:t>PUBLIC VERSION</w:t>
                      </w:r>
                    </w:p>
                  </w:txbxContent>
                </v:textbox>
              </v:rect>
            </w:pict>
          </mc:Fallback>
        </mc:AlternateContent>
      </w:r>
      <w:r w:rsidR="00846595" w:rsidRPr="004744C5">
        <w:rPr>
          <w:noProof/>
          <w:sz w:val="24"/>
        </w:rPr>
        <mc:AlternateContent>
          <mc:Choice Requires="wps">
            <w:drawing>
              <wp:anchor distT="0" distB="0" distL="114300" distR="114300" simplePos="0" relativeHeight="251658240" behindDoc="0" locked="0" layoutInCell="0" allowOverlap="1" wp14:anchorId="4168237E" wp14:editId="15DAD74E">
                <wp:simplePos x="0" y="0"/>
                <wp:positionH relativeFrom="column">
                  <wp:posOffset>-64770</wp:posOffset>
                </wp:positionH>
                <wp:positionV relativeFrom="paragraph">
                  <wp:posOffset>496570</wp:posOffset>
                </wp:positionV>
                <wp:extent cx="2926080" cy="1257300"/>
                <wp:effectExtent l="0" t="0" r="2667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257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68240F" w14:textId="77777777" w:rsidR="00432752" w:rsidRDefault="00432752" w:rsidP="006D2FF5">
                            <w:pPr>
                              <w:ind w:left="142" w:right="210"/>
                              <w:rPr>
                                <w:sz w:val="20"/>
                              </w:rPr>
                            </w:pPr>
                            <w:r w:rsidRPr="00130C1E">
                              <w:rPr>
                                <w:sz w:val="20"/>
                              </w:rPr>
                              <w:t>In the published version of this decision, some information has been omitted pursuant to Article 17(2) of Council Regulation (EC) No 139/2004 concerning non-disclosure of business secrets and other confidential information. The omissions are shown thus […]. Where possible the information omitted has been replaced by ranges of figures or a general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5.1pt;margin-top:39.1pt;width:230.4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" o:allowincell="f">
                <v:textbox inset="0,0,0,0">
                  <w:txbxContent>
                    <w:p w14:paraId="4168240F" w14:textId="77777777" w:rsidR="00432752" w:rsidRDefault="00432752" w:rsidP="006D2FF5">
                      <w:pPr>
                        <w:ind w:left="142" w:right="210"/>
                        <w:rPr>
                          <w:sz w:val="20"/>
                        </w:rPr>
                      </w:pPr>
                      <w:r w:rsidRPr="00130C1E">
                        <w:rPr>
                          <w:sz w:val="20"/>
                        </w:rPr>
                        <w:t>In the published version of this decision, some information has been omitted pursuant to Article 17(2) of Council Regulation (EC) No 139/2004 concerning non-disclosure of business secrets and other confidential information. The omissions are shown thus […]. Where possible the information omitted has been replaced by ranges of figures or a general description.</w:t>
                      </w:r>
                    </w:p>
                  </w:txbxContent>
                </v:textbox>
              </v:rect>
            </w:pict>
          </mc:Fallback>
        </mc:AlternateContent>
      </w:r>
      <w:proofErr w:type="gramStart"/>
      <w:r w:rsidR="001763DC" w:rsidRPr="004744C5">
        <w:rPr>
          <w:sz w:val="24"/>
        </w:rPr>
        <w:t>C(</w:t>
      </w:r>
      <w:proofErr w:type="gramEnd"/>
      <w:r w:rsidR="00070ABA" w:rsidRPr="004744C5">
        <w:rPr>
          <w:sz w:val="24"/>
        </w:rPr>
        <w:t>2016</w:t>
      </w:r>
      <w:r w:rsidR="002E2D9B" w:rsidRPr="004744C5">
        <w:rPr>
          <w:sz w:val="24"/>
        </w:rPr>
        <w:t>)</w:t>
      </w:r>
      <w:r w:rsidR="007E6E1B" w:rsidRPr="004744C5">
        <w:rPr>
          <w:sz w:val="24"/>
        </w:rPr>
        <w:t xml:space="preserve"> 6530 final</w:t>
      </w:r>
      <w:r w:rsidR="00325F5E" w:rsidRPr="004744C5">
        <w:rPr>
          <w:sz w:val="24"/>
        </w:rPr>
        <w:br/>
      </w:r>
      <w:r w:rsidR="00B84177" w:rsidRPr="004744C5">
        <w:rPr>
          <w:sz w:val="24"/>
        </w:rPr>
        <w:br/>
      </w:r>
    </w:p>
    <w:p w14:paraId="41681FB4" w14:textId="77777777" w:rsidR="00130C1E" w:rsidRPr="004744C5" w:rsidRDefault="00130C1E" w:rsidP="00130C1E"/>
    <w:p w14:paraId="41681FB5" w14:textId="77777777" w:rsidR="00130C1E" w:rsidRPr="004744C5" w:rsidRDefault="00130C1E" w:rsidP="00130C1E">
      <w:pPr>
        <w:ind w:firstLine="5103"/>
      </w:pPr>
      <w:r w:rsidRPr="004744C5">
        <w:rPr>
          <w:noProof/>
        </w:rPr>
        <mc:AlternateContent>
          <mc:Choice Requires="wps">
            <w:drawing>
              <wp:inline distT="0" distB="0" distL="0" distR="0" wp14:anchorId="41682382" wp14:editId="4040428A">
                <wp:extent cx="2106295" cy="361950"/>
                <wp:effectExtent l="0" t="0" r="27305" b="1905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3619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682411" w14:textId="77777777" w:rsidR="00432752" w:rsidRDefault="00432752" w:rsidP="0060677A">
                            <w:pPr>
                              <w:spacing w:before="120" w:after="0"/>
                              <w:jc w:val="center"/>
                            </w:pPr>
                            <w:r>
                              <w:t>MERGER PROCEDURE</w:t>
                            </w:r>
                          </w:p>
                        </w:txbxContent>
                      </wps:txbx>
                      <wps:bodyPr rot="0" vert="horz" wrap="square" lIns="0" tIns="0" rIns="0" bIns="0" anchor="t" anchorCtr="0" upright="1">
                        <a:noAutofit/>
                      </wps:bodyPr>
                    </wps:wsp>
                  </a:graphicData>
                </a:graphic>
              </wp:inline>
            </w:drawing>
          </mc:Choice>
          <mc:Fallback>
            <w:pict>
              <v:rect id="Rectangle 2" o:spid="_x0000_s1028" style="width:165.8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">
                <v:textbox inset="0,0,0,0">
                  <w:txbxContent>
                    <w:p w14:paraId="41682411" w14:textId="77777777" w:rsidR="00432752" w:rsidRDefault="00432752" w:rsidP="0060677A">
                      <w:pPr>
                        <w:spacing w:before="120" w:after="0"/>
                        <w:jc w:val="center"/>
                      </w:pPr>
                      <w:r>
                        <w:t>MERGER PROCEDURE</w:t>
                      </w:r>
                    </w:p>
                  </w:txbxContent>
                </v:textbox>
                <w10:anchorlock/>
              </v:rect>
            </w:pict>
          </mc:Fallback>
        </mc:AlternateContent>
      </w:r>
    </w:p>
    <w:p w14:paraId="41681FB6" w14:textId="77777777" w:rsidR="00130C1E" w:rsidRPr="004744C5" w:rsidRDefault="00130C1E" w:rsidP="00130C1E">
      <w:pPr>
        <w:ind w:firstLine="5103"/>
      </w:pPr>
    </w:p>
    <w:p w14:paraId="41681FB7" w14:textId="77777777" w:rsidR="00846595" w:rsidRPr="004744C5" w:rsidRDefault="00846595" w:rsidP="00130C1E">
      <w:pPr>
        <w:ind w:firstLine="5103"/>
      </w:pPr>
    </w:p>
    <w:p w14:paraId="41681FB8" w14:textId="77777777" w:rsidR="002F6639" w:rsidRPr="004744C5" w:rsidRDefault="00130C1E" w:rsidP="002F6639">
      <w:pPr>
        <w:pStyle w:val="AddressTR"/>
        <w:rPr>
          <w:b/>
        </w:rPr>
      </w:pPr>
      <w:r w:rsidRPr="004744C5">
        <w:rPr>
          <w:rStyle w:val="clipboard"/>
          <w:b/>
        </w:rPr>
        <w:t>To the Notifying Party:</w:t>
      </w:r>
    </w:p>
    <w:p w14:paraId="41681FB9" w14:textId="77777777" w:rsidR="00D13D3D" w:rsidRPr="004744C5" w:rsidRDefault="00D13D3D" w:rsidP="00FD45D5">
      <w:pPr>
        <w:tabs>
          <w:tab w:val="left" w:pos="510"/>
          <w:tab w:val="left" w:pos="964"/>
          <w:tab w:val="left" w:pos="5273"/>
        </w:tabs>
        <w:suppressAutoHyphens/>
        <w:spacing w:before="240"/>
        <w:rPr>
          <w:spacing w:val="-3"/>
        </w:rPr>
      </w:pPr>
      <w:r w:rsidRPr="004744C5">
        <w:rPr>
          <w:spacing w:val="-3"/>
        </w:rPr>
        <w:t>Dear Sir/Madam,</w:t>
      </w:r>
    </w:p>
    <w:p w14:paraId="41681FBA" w14:textId="77777777" w:rsidR="00D13D3D" w:rsidRPr="004744C5" w:rsidRDefault="00D13D3D">
      <w:pPr>
        <w:pStyle w:val="Subject"/>
      </w:pPr>
      <w:r w:rsidRPr="004744C5">
        <w:rPr>
          <w:u w:val="single"/>
        </w:rPr>
        <w:t>Subject</w:t>
      </w:r>
      <w:r w:rsidRPr="004744C5">
        <w:t>:</w:t>
      </w:r>
      <w:r w:rsidRPr="004744C5">
        <w:tab/>
      </w:r>
      <w:r w:rsidR="002C04A3" w:rsidRPr="004744C5">
        <w:t>Case M.</w:t>
      </w:r>
      <w:r w:rsidR="00522F3D" w:rsidRPr="004744C5">
        <w:t>8183</w:t>
      </w:r>
      <w:r w:rsidR="00770120" w:rsidRPr="004744C5">
        <w:t xml:space="preserve"> - </w:t>
      </w:r>
      <w:r w:rsidR="002955A9" w:rsidRPr="004744C5">
        <w:t>AVNET / PREMIER FARNELL</w:t>
      </w:r>
      <w:r w:rsidRPr="004744C5">
        <w:br/>
      </w:r>
      <w:r w:rsidR="00474D2E" w:rsidRPr="004744C5">
        <w:t xml:space="preserve">Commission decision </w:t>
      </w:r>
      <w:r w:rsidRPr="004744C5">
        <w:t xml:space="preserve">pursuant to Article </w:t>
      </w:r>
      <w:r w:rsidR="004A4EB9" w:rsidRPr="004744C5">
        <w:t>6(1</w:t>
      </w:r>
      <w:proofErr w:type="gramStart"/>
      <w:r w:rsidR="004A4EB9" w:rsidRPr="004744C5">
        <w:t>)(</w:t>
      </w:r>
      <w:proofErr w:type="gramEnd"/>
      <w:r w:rsidR="004A4EB9" w:rsidRPr="004744C5">
        <w:t xml:space="preserve">b) </w:t>
      </w:r>
      <w:r w:rsidRPr="004744C5">
        <w:t>of Council Regulation No </w:t>
      </w:r>
      <w:r w:rsidR="00035422" w:rsidRPr="004744C5">
        <w:t>139/2004</w:t>
      </w:r>
      <w:r w:rsidRPr="004744C5">
        <w:rPr>
          <w:rStyle w:val="FootnoteReference"/>
          <w:spacing w:val="-3"/>
        </w:rPr>
        <w:footnoteReference w:id="2"/>
      </w:r>
      <w:r w:rsidR="000D5C08" w:rsidRPr="004744C5">
        <w:t xml:space="preserve"> </w:t>
      </w:r>
      <w:r w:rsidR="009118E7" w:rsidRPr="004744C5">
        <w:rPr>
          <w:spacing w:val="-3"/>
        </w:rPr>
        <w:t>and Article 57 of the Agreement on the European Economic Area</w:t>
      </w:r>
      <w:r w:rsidR="009118E7" w:rsidRPr="004744C5">
        <w:rPr>
          <w:rStyle w:val="FootnoteReference"/>
          <w:spacing w:val="-3"/>
        </w:rPr>
        <w:footnoteReference w:id="3"/>
      </w:r>
    </w:p>
    <w:p w14:paraId="41681FBB" w14:textId="77777777" w:rsidR="002C04A3" w:rsidRPr="004744C5" w:rsidRDefault="00D9475B" w:rsidP="00B423F8">
      <w:pPr>
        <w:pStyle w:val="NumPar1"/>
        <w:numPr>
          <w:ilvl w:val="0"/>
          <w:numId w:val="2"/>
        </w:numPr>
        <w:ind w:left="851" w:hanging="851"/>
      </w:pPr>
      <w:r w:rsidRPr="004744C5">
        <w:t xml:space="preserve">On </w:t>
      </w:r>
      <w:r w:rsidR="002955A9" w:rsidRPr="004744C5">
        <w:t>01.09.2016</w:t>
      </w:r>
      <w:r w:rsidRPr="004744C5">
        <w:rPr>
          <w:b/>
        </w:rPr>
        <w:t>,</w:t>
      </w:r>
      <w:r w:rsidRPr="004744C5">
        <w:t xml:space="preserve"> the European Commission received notification of a proposed concentration pursuant to Article 4 of the Merger Regulation by which</w:t>
      </w:r>
      <w:r w:rsidR="00305120" w:rsidRPr="004744C5">
        <w:t xml:space="preserve"> the undertaking Avnet, Inc. ("Avnet", U</w:t>
      </w:r>
      <w:r w:rsidR="007E76CD" w:rsidRPr="004744C5">
        <w:t xml:space="preserve">nited </w:t>
      </w:r>
      <w:r w:rsidR="00305120" w:rsidRPr="004744C5">
        <w:t>S</w:t>
      </w:r>
      <w:r w:rsidR="007E76CD" w:rsidRPr="004744C5">
        <w:t>tates</w:t>
      </w:r>
      <w:r w:rsidR="00305120" w:rsidRPr="004744C5">
        <w:t>) acquires within the meaning of Article 3(1</w:t>
      </w:r>
      <w:proofErr w:type="gramStart"/>
      <w:r w:rsidR="00305120" w:rsidRPr="004744C5">
        <w:t>)(</w:t>
      </w:r>
      <w:proofErr w:type="gramEnd"/>
      <w:r w:rsidR="00305120" w:rsidRPr="004744C5">
        <w:t xml:space="preserve">b) of the Merger Regulation control of the whole of the undertaking Premier </w:t>
      </w:r>
      <w:proofErr w:type="spellStart"/>
      <w:r w:rsidR="00305120" w:rsidRPr="004744C5">
        <w:t>Farnell</w:t>
      </w:r>
      <w:proofErr w:type="spellEnd"/>
      <w:r w:rsidR="00305120" w:rsidRPr="004744C5">
        <w:t xml:space="preserve"> plc ("Premier </w:t>
      </w:r>
      <w:proofErr w:type="spellStart"/>
      <w:r w:rsidR="00305120" w:rsidRPr="004744C5">
        <w:t>Farnell</w:t>
      </w:r>
      <w:proofErr w:type="spellEnd"/>
      <w:r w:rsidR="00305120" w:rsidRPr="004744C5">
        <w:t>", U</w:t>
      </w:r>
      <w:r w:rsidR="007E76CD" w:rsidRPr="004744C5">
        <w:t>nited Kingdom</w:t>
      </w:r>
      <w:r w:rsidR="00305120" w:rsidRPr="004744C5">
        <w:t>) by way of public bid announced on 28 July 2016</w:t>
      </w:r>
      <w:r w:rsidR="00A20BD0" w:rsidRPr="004744C5">
        <w:t xml:space="preserve"> (the "Transaction")</w:t>
      </w:r>
      <w:r w:rsidR="00305120" w:rsidRPr="004744C5">
        <w:t>.</w:t>
      </w:r>
      <w:r w:rsidRPr="004744C5">
        <w:rPr>
          <w:rStyle w:val="FootnoteReference"/>
          <w:spacing w:val="-3"/>
        </w:rPr>
        <w:footnoteReference w:id="4"/>
      </w:r>
      <w:r w:rsidR="008F17D4" w:rsidRPr="004744C5">
        <w:rPr>
          <w:rFonts w:ascii="Times" w:hAnsi="Times"/>
          <w:spacing w:val="-3"/>
        </w:rPr>
        <w:t xml:space="preserve"> </w:t>
      </w:r>
      <w:r w:rsidR="0050118B" w:rsidRPr="004744C5">
        <w:t>Avnet</w:t>
      </w:r>
      <w:r w:rsidR="008F17D4" w:rsidRPr="004744C5">
        <w:t xml:space="preserve"> </w:t>
      </w:r>
      <w:r w:rsidR="0050118B" w:rsidRPr="004744C5">
        <w:t>is</w:t>
      </w:r>
      <w:r w:rsidR="008F17D4" w:rsidRPr="004744C5">
        <w:t xml:space="preserve"> designated hereinafter as the </w:t>
      </w:r>
      <w:r w:rsidR="0050118B" w:rsidRPr="004744C5">
        <w:t>"</w:t>
      </w:r>
      <w:r w:rsidR="00E77288" w:rsidRPr="004744C5">
        <w:t>Notifying P</w:t>
      </w:r>
      <w:r w:rsidR="008F17D4" w:rsidRPr="004744C5">
        <w:t>art</w:t>
      </w:r>
      <w:r w:rsidR="0050118B" w:rsidRPr="004744C5">
        <w:t>y"</w:t>
      </w:r>
      <w:r w:rsidR="008F17D4" w:rsidRPr="004744C5">
        <w:t xml:space="preserve"> </w:t>
      </w:r>
      <w:r w:rsidR="0050118B" w:rsidRPr="004744C5">
        <w:t xml:space="preserve">and Avnet and Premier </w:t>
      </w:r>
      <w:proofErr w:type="spellStart"/>
      <w:r w:rsidR="0050118B" w:rsidRPr="004744C5">
        <w:t>Farnell</w:t>
      </w:r>
      <w:proofErr w:type="spellEnd"/>
      <w:r w:rsidR="0050118B" w:rsidRPr="004744C5">
        <w:t xml:space="preserve"> are collectively referred to as the "P</w:t>
      </w:r>
      <w:r w:rsidR="008F17D4" w:rsidRPr="004744C5">
        <w:t>arties</w:t>
      </w:r>
      <w:r w:rsidR="0050118B" w:rsidRPr="004744C5">
        <w:t>"</w:t>
      </w:r>
      <w:r w:rsidR="008F17D4" w:rsidRPr="004744C5">
        <w:t>.</w:t>
      </w:r>
    </w:p>
    <w:p w14:paraId="41681FBC" w14:textId="77777777" w:rsidR="00626664" w:rsidRPr="004744C5" w:rsidRDefault="00626664" w:rsidP="00211121">
      <w:pPr>
        <w:pStyle w:val="Heading1"/>
      </w:pPr>
      <w:r w:rsidRPr="004744C5">
        <w:t>THE PARTIES</w:t>
      </w:r>
    </w:p>
    <w:p w14:paraId="41681FBD" w14:textId="77777777" w:rsidR="00BD4210" w:rsidRPr="004744C5" w:rsidRDefault="00BD4210" w:rsidP="00B423F8">
      <w:pPr>
        <w:pStyle w:val="NumPar1"/>
        <w:numPr>
          <w:ilvl w:val="0"/>
          <w:numId w:val="2"/>
        </w:numPr>
        <w:ind w:left="851" w:hanging="851"/>
      </w:pPr>
      <w:r w:rsidRPr="004744C5">
        <w:rPr>
          <w:b/>
        </w:rPr>
        <w:t>Avnet</w:t>
      </w:r>
      <w:r w:rsidRPr="004744C5">
        <w:t xml:space="preserve"> is a global distributor of electronic components, enterprise computer and storage products, IT solutions and services and embedded subsystems. In addition, </w:t>
      </w:r>
      <w:r w:rsidRPr="004744C5">
        <w:lastRenderedPageBreak/>
        <w:t>Avnet provides engineering and design support, materials management and logistics services, system integration and configuration and supply chain services customised to meet specific requirements of customers and suppliers. Avnet operates through two business segments, Electronics Marketing and Technology Solutions.</w:t>
      </w:r>
    </w:p>
    <w:p w14:paraId="41681FBE" w14:textId="77777777" w:rsidR="000E76A7" w:rsidRPr="004744C5" w:rsidRDefault="00BD4210" w:rsidP="00B423F8">
      <w:pPr>
        <w:pStyle w:val="NumPar1"/>
        <w:numPr>
          <w:ilvl w:val="0"/>
          <w:numId w:val="2"/>
        </w:numPr>
        <w:ind w:left="851" w:hanging="851"/>
      </w:pPr>
      <w:r w:rsidRPr="004744C5">
        <w:rPr>
          <w:b/>
        </w:rPr>
        <w:t xml:space="preserve">Premier </w:t>
      </w:r>
      <w:proofErr w:type="spellStart"/>
      <w:r w:rsidRPr="004744C5">
        <w:rPr>
          <w:b/>
        </w:rPr>
        <w:t>Farnell</w:t>
      </w:r>
      <w:proofErr w:type="spellEnd"/>
      <w:r w:rsidRPr="004744C5">
        <w:t xml:space="preserve"> is a global high service distributor of technology products and solutions for electronic system design, production, maintenance and repair. It has two main businesses: element14 and CPC/MCM. The first, element14 (which trades as </w:t>
      </w:r>
      <w:proofErr w:type="spellStart"/>
      <w:r w:rsidRPr="004744C5">
        <w:t>Farnell</w:t>
      </w:r>
      <w:proofErr w:type="spellEnd"/>
      <w:r w:rsidRPr="004744C5">
        <w:t xml:space="preserve"> element14 in Europe, Newark element14 in North America and element14 across Asia Pacific) distributes electronic components and related products to three main groups of customers: electronic design engineers; maintenance and repair engineers; and contract equipment manufacturers. The second, CPC/MCM, supplies mainly finished electrical products to end-users and resellers in the U</w:t>
      </w:r>
      <w:r w:rsidR="007E76CD" w:rsidRPr="004744C5">
        <w:t>nited Kingdom</w:t>
      </w:r>
      <w:r w:rsidRPr="004744C5">
        <w:t xml:space="preserve"> and North America. </w:t>
      </w:r>
    </w:p>
    <w:p w14:paraId="41681FBF" w14:textId="77777777" w:rsidR="003F0C70" w:rsidRPr="004744C5" w:rsidRDefault="003F0C70" w:rsidP="003F0C70">
      <w:pPr>
        <w:pStyle w:val="Heading1"/>
      </w:pPr>
      <w:r w:rsidRPr="004744C5">
        <w:t>THE CONCENTRATION</w:t>
      </w:r>
    </w:p>
    <w:p w14:paraId="41681FC0" w14:textId="77777777" w:rsidR="00714CF1" w:rsidRPr="004744C5" w:rsidRDefault="00714CF1" w:rsidP="00B423F8">
      <w:pPr>
        <w:pStyle w:val="NumPar1"/>
        <w:numPr>
          <w:ilvl w:val="0"/>
          <w:numId w:val="2"/>
        </w:numPr>
        <w:ind w:left="851" w:hanging="851"/>
      </w:pPr>
      <w:r w:rsidRPr="004744C5">
        <w:t xml:space="preserve">The </w:t>
      </w:r>
      <w:r w:rsidR="00D949B3" w:rsidRPr="004744C5">
        <w:t>T</w:t>
      </w:r>
      <w:r w:rsidRPr="004744C5">
        <w:t xml:space="preserve">ransaction consists </w:t>
      </w:r>
      <w:r w:rsidR="00E94598" w:rsidRPr="004744C5">
        <w:t>of</w:t>
      </w:r>
      <w:r w:rsidRPr="004744C5">
        <w:t xml:space="preserve"> the acquisition </w:t>
      </w:r>
      <w:r w:rsidR="00E94598" w:rsidRPr="004744C5">
        <w:t xml:space="preserve">by Avnet </w:t>
      </w:r>
      <w:r w:rsidRPr="004744C5">
        <w:t xml:space="preserve">of sole control </w:t>
      </w:r>
      <w:r w:rsidR="00E94598" w:rsidRPr="004744C5">
        <w:t>over</w:t>
      </w:r>
      <w:r w:rsidRPr="004744C5">
        <w:t xml:space="preserve"> Premier </w:t>
      </w:r>
      <w:proofErr w:type="spellStart"/>
      <w:r w:rsidRPr="004744C5">
        <w:t>Farnell</w:t>
      </w:r>
      <w:proofErr w:type="spellEnd"/>
      <w:r w:rsidR="001715D5" w:rsidRPr="004744C5">
        <w:t xml:space="preserve"> by way of public bid announced on 28 July 2016</w:t>
      </w:r>
      <w:r w:rsidRPr="004744C5">
        <w:t>.</w:t>
      </w:r>
    </w:p>
    <w:p w14:paraId="41681FC1" w14:textId="77777777" w:rsidR="002F4682" w:rsidRPr="004744C5" w:rsidRDefault="00181538" w:rsidP="001715D5">
      <w:pPr>
        <w:pStyle w:val="NumPar1"/>
        <w:numPr>
          <w:ilvl w:val="0"/>
          <w:numId w:val="2"/>
        </w:numPr>
        <w:ind w:left="851" w:hanging="851"/>
      </w:pPr>
      <w:r w:rsidRPr="004744C5">
        <w:t xml:space="preserve">Avnet or a wholly-owned subsidiary of Avnet will acquire the entire issued share capital of Premier </w:t>
      </w:r>
      <w:proofErr w:type="spellStart"/>
      <w:r w:rsidRPr="004744C5">
        <w:t>Farnell</w:t>
      </w:r>
      <w:proofErr w:type="spellEnd"/>
      <w:r w:rsidRPr="004744C5">
        <w:t xml:space="preserve">. The Transaction will be </w:t>
      </w:r>
      <w:r w:rsidR="00944991" w:rsidRPr="004744C5">
        <w:t>concluded</w:t>
      </w:r>
      <w:r w:rsidRPr="004744C5">
        <w:t xml:space="preserve"> </w:t>
      </w:r>
      <w:r w:rsidR="00944991" w:rsidRPr="004744C5">
        <w:t xml:space="preserve">by a scheme of arrangement, which must be </w:t>
      </w:r>
      <w:r w:rsidR="00D63340" w:rsidRPr="004744C5">
        <w:t xml:space="preserve">approved </w:t>
      </w:r>
      <w:r w:rsidR="00944991" w:rsidRPr="004744C5">
        <w:t xml:space="preserve">by the </w:t>
      </w:r>
      <w:r w:rsidR="00E62295" w:rsidRPr="004744C5">
        <w:t xml:space="preserve">High </w:t>
      </w:r>
      <w:r w:rsidR="00944991" w:rsidRPr="004744C5">
        <w:t>Court</w:t>
      </w:r>
      <w:r w:rsidR="00E62295" w:rsidRPr="004744C5">
        <w:t xml:space="preserve"> of Justice in England and Wales</w:t>
      </w:r>
      <w:r w:rsidR="001715D5" w:rsidRPr="004744C5">
        <w:t>.</w:t>
      </w:r>
      <w:r w:rsidRPr="004744C5">
        <w:rPr>
          <w:rStyle w:val="FootnoteReference"/>
        </w:rPr>
        <w:footnoteReference w:id="5"/>
      </w:r>
      <w:r w:rsidRPr="004744C5" w:rsidDel="001715D5">
        <w:t xml:space="preserve"> </w:t>
      </w:r>
      <w:r w:rsidRPr="004744C5">
        <w:t xml:space="preserve">After the </w:t>
      </w:r>
      <w:r w:rsidR="00CA63E2" w:rsidRPr="004744C5">
        <w:t>Transaction</w:t>
      </w:r>
      <w:r w:rsidRPr="004744C5">
        <w:t xml:space="preserve">, Premier </w:t>
      </w:r>
      <w:proofErr w:type="spellStart"/>
      <w:r w:rsidRPr="004744C5">
        <w:t>Farnell</w:t>
      </w:r>
      <w:proofErr w:type="spellEnd"/>
      <w:r w:rsidRPr="004744C5">
        <w:t xml:space="preserve"> will be re-registered as a private limited company wholly-owned by Avnet or by a wholly-owned subsidiary of Avnet. </w:t>
      </w:r>
    </w:p>
    <w:p w14:paraId="41681FC2" w14:textId="77777777" w:rsidR="00714CF1" w:rsidRPr="004744C5" w:rsidRDefault="00181538" w:rsidP="00B423F8">
      <w:pPr>
        <w:pStyle w:val="NumPar1"/>
        <w:numPr>
          <w:ilvl w:val="0"/>
          <w:numId w:val="2"/>
        </w:numPr>
        <w:ind w:left="851" w:hanging="851"/>
      </w:pPr>
      <w:r w:rsidRPr="004744C5">
        <w:t xml:space="preserve">The </w:t>
      </w:r>
      <w:r w:rsidR="00D949B3" w:rsidRPr="004744C5">
        <w:t>T</w:t>
      </w:r>
      <w:r w:rsidRPr="004744C5">
        <w:t>ransaction therefore constitutes a concentration within the meaning of Article 3 (1</w:t>
      </w:r>
      <w:proofErr w:type="gramStart"/>
      <w:r w:rsidRPr="004744C5">
        <w:t>)(</w:t>
      </w:r>
      <w:proofErr w:type="gramEnd"/>
      <w:r w:rsidRPr="004744C5">
        <w:t>b) of the Merger Regulation.</w:t>
      </w:r>
    </w:p>
    <w:p w14:paraId="41681FC3" w14:textId="77777777" w:rsidR="00D55809" w:rsidRPr="004744C5" w:rsidRDefault="00605611" w:rsidP="00605611">
      <w:pPr>
        <w:pStyle w:val="Heading1"/>
      </w:pPr>
      <w:r w:rsidRPr="004744C5">
        <w:t>EU</w:t>
      </w:r>
      <w:r w:rsidR="00626664" w:rsidRPr="004744C5">
        <w:t xml:space="preserve"> DIMENSION</w:t>
      </w:r>
    </w:p>
    <w:p w14:paraId="41681FC4" w14:textId="77777777" w:rsidR="00D55809" w:rsidRPr="004744C5" w:rsidRDefault="00D55809" w:rsidP="00B423F8">
      <w:pPr>
        <w:pStyle w:val="NumPar1"/>
        <w:numPr>
          <w:ilvl w:val="0"/>
          <w:numId w:val="2"/>
        </w:numPr>
        <w:ind w:left="851" w:hanging="851"/>
        <w:rPr>
          <w:specVanish/>
        </w:rPr>
      </w:pPr>
      <w:r w:rsidRPr="004744C5">
        <w:t>The undertakings concerned have a combined aggregate world-wide turnover of more than EUR 5 000 million</w:t>
      </w:r>
      <w:r w:rsidRPr="004744C5">
        <w:rPr>
          <w:vertAlign w:val="superscript"/>
        </w:rPr>
        <w:footnoteReference w:id="6"/>
      </w:r>
      <w:r w:rsidRPr="004744C5">
        <w:t xml:space="preserve"> (Avnet: EUR 25 169 million; Premier </w:t>
      </w:r>
      <w:proofErr w:type="spellStart"/>
      <w:r w:rsidRPr="004744C5">
        <w:t>Farnell</w:t>
      </w:r>
      <w:proofErr w:type="spellEnd"/>
      <w:r w:rsidRPr="004744C5">
        <w:t xml:space="preserve">: EUR 1 243 million). Each of them has an EU-wide turnover in excess of EUR 250 million (Avnet: </w:t>
      </w:r>
      <w:r w:rsidR="00F15B5B" w:rsidRPr="004744C5">
        <w:t>[…]</w:t>
      </w:r>
      <w:r w:rsidRPr="004744C5">
        <w:t xml:space="preserve">; Premier </w:t>
      </w:r>
      <w:proofErr w:type="spellStart"/>
      <w:r w:rsidRPr="004744C5">
        <w:t>Farnell</w:t>
      </w:r>
      <w:proofErr w:type="spellEnd"/>
      <w:r w:rsidRPr="004744C5">
        <w:t xml:space="preserve">: </w:t>
      </w:r>
      <w:r w:rsidR="00F15B5B" w:rsidRPr="004744C5">
        <w:t>[…]</w:t>
      </w:r>
      <w:r w:rsidRPr="004744C5">
        <w:t xml:space="preserve">), but they do not achieve more than two-thirds of their aggregate EU-wide turnover within one and the same Member State. </w:t>
      </w:r>
    </w:p>
    <w:p w14:paraId="41681FC5" w14:textId="77777777" w:rsidR="00D55809" w:rsidRPr="004744C5" w:rsidRDefault="00D55809" w:rsidP="00B423F8">
      <w:pPr>
        <w:pStyle w:val="NumPar1"/>
        <w:numPr>
          <w:ilvl w:val="0"/>
          <w:numId w:val="2"/>
        </w:numPr>
        <w:ind w:left="851" w:hanging="851"/>
        <w:rPr>
          <w:vanish/>
          <w:specVanish/>
        </w:rPr>
      </w:pPr>
      <w:r w:rsidRPr="004744C5">
        <w:t>The notified operation therefore has an EU dimension within the meaning of Article 1(2) of the Merger Regulation.</w:t>
      </w:r>
    </w:p>
    <w:p w14:paraId="41681FC6" w14:textId="77777777" w:rsidR="00D55809" w:rsidRPr="004744C5" w:rsidRDefault="00D55809" w:rsidP="00D55809">
      <w:pPr>
        <w:pStyle w:val="NumPar1"/>
      </w:pPr>
    </w:p>
    <w:p w14:paraId="41681FC7" w14:textId="77777777" w:rsidR="00626664" w:rsidRPr="004744C5" w:rsidRDefault="00D55809" w:rsidP="00605611">
      <w:pPr>
        <w:pStyle w:val="Heading1"/>
      </w:pPr>
      <w:r w:rsidRPr="004744C5">
        <w:t>MARKET DEFINITION</w:t>
      </w:r>
    </w:p>
    <w:p w14:paraId="41681FC8" w14:textId="77777777" w:rsidR="00BD4210" w:rsidRPr="004744C5" w:rsidRDefault="00CB4BE2" w:rsidP="00B423F8">
      <w:pPr>
        <w:pStyle w:val="NumPar1"/>
        <w:numPr>
          <w:ilvl w:val="0"/>
          <w:numId w:val="2"/>
        </w:numPr>
        <w:ind w:left="851" w:hanging="851"/>
      </w:pPr>
      <w:bookmarkStart w:id="1" w:name="_Ref463364682"/>
      <w:r w:rsidRPr="004744C5">
        <w:t xml:space="preserve">The </w:t>
      </w:r>
      <w:r w:rsidR="00D949B3" w:rsidRPr="004744C5">
        <w:t>Transaction</w:t>
      </w:r>
      <w:r w:rsidRPr="004744C5">
        <w:t xml:space="preserve"> concerns the</w:t>
      </w:r>
      <w:r w:rsidR="00411B97" w:rsidRPr="004744C5">
        <w:t xml:space="preserve"> market for the wholesale </w:t>
      </w:r>
      <w:r w:rsidRPr="004744C5">
        <w:t>distribution of electronic components, and its four market segments, i.e. semiconductors,</w:t>
      </w:r>
      <w:r w:rsidRPr="004744C5">
        <w:rPr>
          <w:rStyle w:val="FootnoteReference"/>
        </w:rPr>
        <w:footnoteReference w:id="7"/>
      </w:r>
      <w:r w:rsidRPr="004744C5">
        <w:t xml:space="preserve"> passive </w:t>
      </w:r>
      <w:r w:rsidRPr="004744C5">
        <w:lastRenderedPageBreak/>
        <w:t>components,</w:t>
      </w:r>
      <w:r w:rsidRPr="004744C5">
        <w:rPr>
          <w:rStyle w:val="FootnoteReference"/>
        </w:rPr>
        <w:footnoteReference w:id="8"/>
      </w:r>
      <w:r w:rsidRPr="004744C5">
        <w:t xml:space="preserve"> electromechanical and interconnect components ("E-</w:t>
      </w:r>
      <w:proofErr w:type="spellStart"/>
      <w:r w:rsidRPr="004744C5">
        <w:t>Mech</w:t>
      </w:r>
      <w:proofErr w:type="spellEnd"/>
      <w:r w:rsidRPr="004744C5">
        <w:t>")</w:t>
      </w:r>
      <w:r w:rsidRPr="004744C5">
        <w:rPr>
          <w:rStyle w:val="FootnoteReference"/>
        </w:rPr>
        <w:footnoteReference w:id="9"/>
      </w:r>
      <w:r w:rsidRPr="004744C5">
        <w:t xml:space="preserve"> and embedded products.</w:t>
      </w:r>
      <w:r w:rsidRPr="004744C5">
        <w:rPr>
          <w:rStyle w:val="FootnoteReference"/>
        </w:rPr>
        <w:footnoteReference w:id="10"/>
      </w:r>
      <w:bookmarkEnd w:id="1"/>
    </w:p>
    <w:p w14:paraId="41681FC9" w14:textId="77777777" w:rsidR="00960509" w:rsidRPr="004744C5" w:rsidRDefault="00960509" w:rsidP="00061F52">
      <w:pPr>
        <w:pStyle w:val="Heading2"/>
      </w:pPr>
      <w:r w:rsidRPr="004744C5">
        <w:t>Markets for the wholesale distribution of electronic components</w:t>
      </w:r>
    </w:p>
    <w:p w14:paraId="41681FCA" w14:textId="77777777" w:rsidR="00CB4BE2" w:rsidRPr="004744C5" w:rsidRDefault="00CB4BE2" w:rsidP="00B423F8">
      <w:pPr>
        <w:pStyle w:val="Heading3"/>
      </w:pPr>
      <w:r w:rsidRPr="004744C5">
        <w:t>Product market</w:t>
      </w:r>
    </w:p>
    <w:p w14:paraId="41681FCB" w14:textId="77777777" w:rsidR="00CB4BE2" w:rsidRPr="004744C5" w:rsidRDefault="00CB4BE2" w:rsidP="00B423F8">
      <w:pPr>
        <w:pStyle w:val="NumPar1"/>
        <w:numPr>
          <w:ilvl w:val="0"/>
          <w:numId w:val="2"/>
        </w:numPr>
        <w:ind w:left="851" w:hanging="851"/>
      </w:pPr>
      <w:r w:rsidRPr="004744C5">
        <w:t>In previous decisions,</w:t>
      </w:r>
      <w:r w:rsidRPr="004744C5">
        <w:rPr>
          <w:rStyle w:val="FootnoteReference"/>
        </w:rPr>
        <w:footnoteReference w:id="11"/>
      </w:r>
      <w:r w:rsidRPr="004744C5">
        <w:t xml:space="preserve"> the Commission found that the wholesale distribution of electronic components constitutes a separate product market (from, for instance, the wholesale distribution of computer/ IT products).</w:t>
      </w:r>
    </w:p>
    <w:p w14:paraId="41681FCC" w14:textId="77777777" w:rsidR="00411B97" w:rsidRPr="004744C5" w:rsidRDefault="00411B97" w:rsidP="00061F52">
      <w:pPr>
        <w:pStyle w:val="Heading4"/>
      </w:pPr>
      <w:r w:rsidRPr="004744C5">
        <w:t>Direct sales by manufacturers vs. wholesale distribution by distributors</w:t>
      </w:r>
    </w:p>
    <w:p w14:paraId="41681FCD" w14:textId="77777777" w:rsidR="00D648D4" w:rsidRPr="004744C5" w:rsidRDefault="00D648D4" w:rsidP="00061F52">
      <w:pPr>
        <w:pStyle w:val="Heading5"/>
      </w:pPr>
      <w:r w:rsidRPr="004744C5">
        <w:t>Notifying Party's view</w:t>
      </w:r>
    </w:p>
    <w:p w14:paraId="41681FCE" w14:textId="77777777" w:rsidR="00411B97" w:rsidRPr="004744C5" w:rsidRDefault="00411B97" w:rsidP="00B423F8">
      <w:pPr>
        <w:pStyle w:val="NumPar1"/>
        <w:numPr>
          <w:ilvl w:val="0"/>
          <w:numId w:val="2"/>
        </w:numPr>
        <w:ind w:left="851" w:hanging="851"/>
      </w:pPr>
      <w:r w:rsidRPr="004744C5">
        <w:t>The Notifying Party submits that the relevant product market is an overall market for the distribution of electronic components, which includes direct sales by manufacturers</w:t>
      </w:r>
      <w:r w:rsidR="00733B5A" w:rsidRPr="004744C5">
        <w:t xml:space="preserve"> in addition to the wholesale distribution by distributors</w:t>
      </w:r>
      <w:r w:rsidRPr="004744C5">
        <w:t>. The sale of electronic components via distributors is small compared to direct sales by manufacturers.</w:t>
      </w:r>
      <w:r w:rsidR="00615502" w:rsidRPr="004744C5">
        <w:rPr>
          <w:rStyle w:val="FootnoteReference"/>
        </w:rPr>
        <w:footnoteReference w:id="12"/>
      </w:r>
      <w:r w:rsidRPr="004744C5">
        <w:t xml:space="preserve"> In addition, the traditional distinctions between the roles of manufacturers and distributors in the supply chain are continuing to diminish. First, manufacturers increasingly offer value-added services of the type that distributors offer, including field application engineers who work with customers to design-in components into their end-products, in order to achieve early design “leads”. Second, proximity to customers continues to be eroded by the growth of e-commerce and by low transport costs, allowing both manufacturers and distributors to supply customers across Member States and regions.</w:t>
      </w:r>
      <w:r w:rsidR="00615502" w:rsidRPr="004744C5">
        <w:rPr>
          <w:rStyle w:val="FootnoteReference"/>
        </w:rPr>
        <w:footnoteReference w:id="13"/>
      </w:r>
      <w:r w:rsidRPr="004744C5">
        <w:t xml:space="preserve"> Competition between distributors and manufacturers is therefore growing, in particular as manufacturers extend earlier into the customer’s product lifecycle and thus compete more with early stage “high service” component distributors (in addition to “high volume” production-stage distributors).</w:t>
      </w:r>
    </w:p>
    <w:p w14:paraId="41681FCF" w14:textId="77777777" w:rsidR="00D648D4" w:rsidRPr="004744C5" w:rsidRDefault="00D648D4" w:rsidP="00061F52">
      <w:pPr>
        <w:pStyle w:val="Heading5"/>
      </w:pPr>
      <w:r w:rsidRPr="004744C5">
        <w:t>Results of the market investigation and Commission's assessment</w:t>
      </w:r>
    </w:p>
    <w:p w14:paraId="41681FD0" w14:textId="77777777" w:rsidR="0017191B" w:rsidRPr="004744C5" w:rsidRDefault="00733B5A" w:rsidP="00B423F8">
      <w:pPr>
        <w:pStyle w:val="NumPar1"/>
        <w:numPr>
          <w:ilvl w:val="0"/>
          <w:numId w:val="2"/>
        </w:numPr>
        <w:ind w:left="851" w:hanging="851"/>
      </w:pPr>
      <w:r w:rsidRPr="004744C5">
        <w:t xml:space="preserve">In previous decisions, the Commission considered that direct sales of electronic components by manufacturers constitute a separate product market from the wholesale distribution of these components by distributors. </w:t>
      </w:r>
    </w:p>
    <w:p w14:paraId="41681FD1" w14:textId="77777777" w:rsidR="0017191B" w:rsidRPr="004744C5" w:rsidRDefault="00733B5A" w:rsidP="00B423F8">
      <w:pPr>
        <w:pStyle w:val="NumPar1"/>
        <w:numPr>
          <w:ilvl w:val="0"/>
          <w:numId w:val="2"/>
        </w:numPr>
        <w:ind w:left="851" w:hanging="851"/>
      </w:pPr>
      <w:r w:rsidRPr="004744C5">
        <w:lastRenderedPageBreak/>
        <w:t xml:space="preserve">In </w:t>
      </w:r>
      <w:r w:rsidRPr="004744C5">
        <w:rPr>
          <w:i/>
        </w:rPr>
        <w:t>Avnet/Abacus</w:t>
      </w:r>
      <w:r w:rsidRPr="004744C5">
        <w:rPr>
          <w:rStyle w:val="FootnoteReference"/>
        </w:rPr>
        <w:t xml:space="preserve"> </w:t>
      </w:r>
      <w:r w:rsidRPr="004744C5">
        <w:rPr>
          <w:rStyle w:val="FootnoteReference"/>
        </w:rPr>
        <w:footnoteReference w:id="14"/>
      </w:r>
      <w:r w:rsidRPr="004744C5">
        <w:t xml:space="preserve"> the Commission noted that </w:t>
      </w:r>
      <w:r w:rsidR="00FE2891" w:rsidRPr="004744C5">
        <w:t xml:space="preserve">especially smaller </w:t>
      </w:r>
      <w:r w:rsidRPr="004744C5">
        <w:t xml:space="preserve">customers of electronic components could not easily switch from purchasing from distributors to manufacturers, as manufactures usually refuse to deal directly with such customers. The Commission took the view that distributors, as opposed to manufacturers, are able to offer a broader mix of products from different manufacturers, a larger stock and shorter delivery times (also due to often having local warehouses), as well as value added services, such as technical assistance. </w:t>
      </w:r>
    </w:p>
    <w:p w14:paraId="41681FD2" w14:textId="77777777" w:rsidR="00733B5A" w:rsidRPr="004744C5" w:rsidRDefault="00FE2891" w:rsidP="00B423F8">
      <w:pPr>
        <w:pStyle w:val="NumPar1"/>
        <w:numPr>
          <w:ilvl w:val="0"/>
          <w:numId w:val="2"/>
        </w:numPr>
        <w:ind w:left="851" w:hanging="851"/>
      </w:pPr>
      <w:r w:rsidRPr="004744C5">
        <w:t>T</w:t>
      </w:r>
      <w:r w:rsidR="00733B5A" w:rsidRPr="004744C5">
        <w:t xml:space="preserve">he market investigation </w:t>
      </w:r>
      <w:r w:rsidRPr="004744C5">
        <w:t xml:space="preserve">in </w:t>
      </w:r>
      <w:r w:rsidRPr="004744C5">
        <w:rPr>
          <w:i/>
        </w:rPr>
        <w:t xml:space="preserve">Avnet EMG/MSC </w:t>
      </w:r>
      <w:proofErr w:type="spellStart"/>
      <w:r w:rsidRPr="004744C5">
        <w:rPr>
          <w:i/>
        </w:rPr>
        <w:t>Investoren</w:t>
      </w:r>
      <w:proofErr w:type="spellEnd"/>
      <w:r w:rsidRPr="004744C5">
        <w:rPr>
          <w:i/>
        </w:rPr>
        <w:t xml:space="preserve"> </w:t>
      </w:r>
      <w:r w:rsidR="00733B5A" w:rsidRPr="004744C5">
        <w:t>confirmed these findings.</w:t>
      </w:r>
      <w:r w:rsidR="00733B5A" w:rsidRPr="004744C5">
        <w:rPr>
          <w:rStyle w:val="FootnoteReference"/>
        </w:rPr>
        <w:footnoteReference w:id="15"/>
      </w:r>
      <w:r w:rsidR="0017191B" w:rsidRPr="004744C5">
        <w:t xml:space="preserve"> Even though some manufacturers are able to offer the same types of services to customers than distributors, manufacturers would only deal with limited high volume customers. In addition, distributors offer a broader product range and have more sophisticated logistics management capabilities.  </w:t>
      </w:r>
    </w:p>
    <w:p w14:paraId="41681FD3" w14:textId="77777777" w:rsidR="0017191B" w:rsidRPr="004744C5" w:rsidRDefault="0017191B" w:rsidP="00F67CBB">
      <w:pPr>
        <w:pStyle w:val="NumPar1"/>
        <w:numPr>
          <w:ilvl w:val="0"/>
          <w:numId w:val="2"/>
        </w:numPr>
        <w:ind w:left="851" w:hanging="851"/>
      </w:pPr>
      <w:r w:rsidRPr="004744C5">
        <w:t>The results of the market investigation in this case indicate that direct sales by manufacturers constitutes indeed a separate market from the wholesale distribution by distributors. While recogni</w:t>
      </w:r>
      <w:r w:rsidR="001E070E" w:rsidRPr="004744C5">
        <w:t>s</w:t>
      </w:r>
      <w:r w:rsidRPr="004744C5">
        <w:t>ing that depending on price and availability manufacturers are an alternative source of supply for customer</w:t>
      </w:r>
      <w:r w:rsidR="00F67CBB" w:rsidRPr="004744C5">
        <w:t>s</w:t>
      </w:r>
      <w:r w:rsidRPr="004744C5">
        <w:t xml:space="preserve"> to distributors</w:t>
      </w:r>
      <w:r w:rsidRPr="004744C5">
        <w:rPr>
          <w:rStyle w:val="FootnoteReference"/>
        </w:rPr>
        <w:footnoteReference w:id="16"/>
      </w:r>
      <w:r w:rsidRPr="004744C5">
        <w:t>, a majority of respondents to the market investigation agreed with the</w:t>
      </w:r>
      <w:r w:rsidR="00F67CBB" w:rsidRPr="004744C5">
        <w:t xml:space="preserve"> approach in</w:t>
      </w:r>
      <w:r w:rsidRPr="004744C5">
        <w:t xml:space="preserve"> past Commission decisions </w:t>
      </w:r>
      <w:r w:rsidR="00F67CBB" w:rsidRPr="004744C5">
        <w:t xml:space="preserve">that direct sales by manufacturers and wholesale distribution by distributors constituted separate </w:t>
      </w:r>
      <w:r w:rsidRPr="004744C5">
        <w:t>markets.</w:t>
      </w:r>
      <w:r w:rsidRPr="004744C5">
        <w:rPr>
          <w:rStyle w:val="FootnoteReference"/>
        </w:rPr>
        <w:footnoteReference w:id="17"/>
      </w:r>
      <w:r w:rsidRPr="004744C5">
        <w:t xml:space="preserve"> As noted by a manufacturer: "</w:t>
      </w:r>
      <w:r w:rsidRPr="004744C5">
        <w:rPr>
          <w:i/>
        </w:rPr>
        <w:t xml:space="preserve">Usually the bigger and </w:t>
      </w:r>
      <w:proofErr w:type="gramStart"/>
      <w:r w:rsidRPr="004744C5">
        <w:rPr>
          <w:i/>
        </w:rPr>
        <w:t>strategic</w:t>
      </w:r>
      <w:r w:rsidRPr="004744C5">
        <w:t>[</w:t>
      </w:r>
      <w:proofErr w:type="gramEnd"/>
      <w:r w:rsidRPr="004744C5">
        <w:t>ally]</w:t>
      </w:r>
      <w:r w:rsidRPr="004744C5">
        <w:rPr>
          <w:i/>
        </w:rPr>
        <w:t xml:space="preserve"> important customers are served directly and smaller customers </w:t>
      </w:r>
      <w:r w:rsidRPr="004744C5">
        <w:t>[are supplied]</w:t>
      </w:r>
      <w:r w:rsidRPr="004744C5">
        <w:rPr>
          <w:i/>
        </w:rPr>
        <w:t xml:space="preserve"> through distributors</w:t>
      </w:r>
      <w:r w:rsidRPr="004744C5">
        <w:t>".</w:t>
      </w:r>
      <w:r w:rsidRPr="004744C5">
        <w:rPr>
          <w:rStyle w:val="FootnoteReference"/>
        </w:rPr>
        <w:footnoteReference w:id="18"/>
      </w:r>
      <w:r w:rsidRPr="004744C5">
        <w:t xml:space="preserve"> Customers have confirmed that often they cannot buy smaller quantities directly from manufacturers.</w:t>
      </w:r>
      <w:r w:rsidRPr="004744C5">
        <w:rPr>
          <w:rStyle w:val="FootnoteReference"/>
        </w:rPr>
        <w:footnoteReference w:id="19"/>
      </w:r>
      <w:r w:rsidRPr="004744C5">
        <w:t xml:space="preserve"> While recogni</w:t>
      </w:r>
      <w:r w:rsidR="001E070E" w:rsidRPr="004744C5">
        <w:t>s</w:t>
      </w:r>
      <w:r w:rsidRPr="004744C5">
        <w:t>ing that manufacturers and distributors alike can offer technical sales personnel, most respondents stated that distributors offer a broad product range, intelligent logistics, inventory management and technical sales personnel.</w:t>
      </w:r>
      <w:r w:rsidRPr="004744C5">
        <w:rPr>
          <w:rStyle w:val="FootnoteReference"/>
        </w:rPr>
        <w:footnoteReference w:id="20"/>
      </w:r>
      <w:r w:rsidRPr="004744C5">
        <w:t xml:space="preserve"> The results of the market investigation were mixed as to whether manufacturers are able to offer these same services.</w:t>
      </w:r>
    </w:p>
    <w:p w14:paraId="41681FD4" w14:textId="77777777" w:rsidR="0017191B" w:rsidRPr="004744C5" w:rsidRDefault="0017191B" w:rsidP="00017574">
      <w:pPr>
        <w:pStyle w:val="NumPar1"/>
        <w:numPr>
          <w:ilvl w:val="0"/>
          <w:numId w:val="2"/>
        </w:numPr>
        <w:spacing w:after="480"/>
        <w:ind w:left="851" w:hanging="851"/>
      </w:pPr>
      <w:r w:rsidRPr="004744C5">
        <w:t>Based on the above, the Commission considers</w:t>
      </w:r>
      <w:r w:rsidR="00F67CBB" w:rsidRPr="004744C5">
        <w:t>,</w:t>
      </w:r>
      <w:r w:rsidRPr="004744C5">
        <w:t xml:space="preserve"> </w:t>
      </w:r>
      <w:r w:rsidR="00F67CBB" w:rsidRPr="004744C5">
        <w:t xml:space="preserve">in line with past decisions, that </w:t>
      </w:r>
      <w:r w:rsidRPr="004744C5">
        <w:t>the wholesale distribution of electronic components by distributors constitutes a separate market from the direct sales of electronic components by manufacturers.</w:t>
      </w:r>
    </w:p>
    <w:p w14:paraId="41681FD5" w14:textId="77777777" w:rsidR="005D359E" w:rsidRPr="004744C5" w:rsidRDefault="005D359E" w:rsidP="00061F52">
      <w:pPr>
        <w:pStyle w:val="Heading4"/>
      </w:pPr>
      <w:bookmarkStart w:id="2" w:name="_Ref463421916"/>
      <w:r w:rsidRPr="004744C5">
        <w:t>Distribution of all electronic components vs. categories of electronic components</w:t>
      </w:r>
      <w:bookmarkEnd w:id="2"/>
    </w:p>
    <w:p w14:paraId="41681FD6" w14:textId="77777777" w:rsidR="00D648D4" w:rsidRPr="004744C5" w:rsidRDefault="00D648D4" w:rsidP="00061F52">
      <w:pPr>
        <w:pStyle w:val="Heading5"/>
      </w:pPr>
      <w:r w:rsidRPr="004744C5">
        <w:t>Notifying Party's view</w:t>
      </w:r>
    </w:p>
    <w:p w14:paraId="41681FD7" w14:textId="77777777" w:rsidR="005D359E" w:rsidRPr="004744C5" w:rsidRDefault="005D359E" w:rsidP="00B423F8">
      <w:pPr>
        <w:pStyle w:val="NumPar1"/>
        <w:numPr>
          <w:ilvl w:val="0"/>
          <w:numId w:val="2"/>
        </w:numPr>
        <w:ind w:left="851" w:hanging="851"/>
      </w:pPr>
      <w:r w:rsidRPr="004744C5">
        <w:t>The Notifying Party submits that the relevant product market comprises the distribution of all electronic components and should not be further segmented by reference to the categories of electronic components</w:t>
      </w:r>
      <w:r w:rsidR="00D23E66" w:rsidRPr="004744C5">
        <w:t xml:space="preserve">, namely semiconductors, passive components, </w:t>
      </w:r>
      <w:r w:rsidR="00097847" w:rsidRPr="004744C5">
        <w:t>electromechanical and interconnect components</w:t>
      </w:r>
      <w:r w:rsidR="00D23E66" w:rsidRPr="004744C5">
        <w:t xml:space="preserve"> and embedded products.</w:t>
      </w:r>
      <w:r w:rsidRPr="004744C5">
        <w:t xml:space="preserve"> The Notifying Party disagrees with the Commission's finding </w:t>
      </w:r>
      <w:r w:rsidRPr="004744C5">
        <w:lastRenderedPageBreak/>
        <w:t>in a past decision that there is no demand-side substitutability between the different product categories because the different product categories are not functionally substitutable in terms of use.</w:t>
      </w:r>
      <w:r w:rsidRPr="004744C5">
        <w:rPr>
          <w:rStyle w:val="FootnoteReference"/>
        </w:rPr>
        <w:footnoteReference w:id="21"/>
      </w:r>
      <w:r w:rsidRPr="004744C5">
        <w:t xml:space="preserve"> Due to the existence of non-exclusive distribution agreements, every manufacturer uses at least two or three distributors per territory and should a distributor increase its prices for a component category or for the products of a certain manufacturer or brand, customers have plenty of readily available alternatives to supply their needs. The Notifying Party agrees with the Commission's finding in a past decision that most electronic components distributors supply all categories of electronic components and that most customers purchase more than one category of electronic components from the same distributor.</w:t>
      </w:r>
      <w:r w:rsidRPr="004744C5">
        <w:rPr>
          <w:rStyle w:val="FootnoteReference"/>
        </w:rPr>
        <w:footnoteReference w:id="22"/>
      </w:r>
      <w:r w:rsidRPr="004744C5">
        <w:t xml:space="preserve"> The vast majority of electronic component distributors, including the Parties, distribute all four categories of electronic components and almost all of Avnet’s sales in the EEA are to customers purchasing electronic components in more than one category. The Notifying Party in any event considers that the precise product market definition can be left open as the </w:t>
      </w:r>
      <w:r w:rsidR="00CA63E2" w:rsidRPr="004744C5">
        <w:t xml:space="preserve">Transaction </w:t>
      </w:r>
      <w:r w:rsidRPr="004744C5">
        <w:t xml:space="preserve">does not give rise to competition concerns on any possible market segment. </w:t>
      </w:r>
    </w:p>
    <w:p w14:paraId="41681FD8" w14:textId="77777777" w:rsidR="00D648D4" w:rsidRPr="004744C5" w:rsidRDefault="00D648D4" w:rsidP="00061F52">
      <w:pPr>
        <w:pStyle w:val="Heading5"/>
      </w:pPr>
      <w:r w:rsidRPr="004744C5">
        <w:t>Results of the market investigation and Commission's assessment</w:t>
      </w:r>
    </w:p>
    <w:p w14:paraId="41681FD9" w14:textId="77777777" w:rsidR="00733B5A" w:rsidRPr="004744C5" w:rsidRDefault="00733B5A" w:rsidP="00B423F8">
      <w:pPr>
        <w:pStyle w:val="NumPar1"/>
        <w:numPr>
          <w:ilvl w:val="0"/>
          <w:numId w:val="2"/>
        </w:numPr>
        <w:ind w:left="851" w:hanging="851"/>
      </w:pPr>
      <w:r w:rsidRPr="004744C5">
        <w:t>In a previous decision,</w:t>
      </w:r>
      <w:r w:rsidRPr="004744C5">
        <w:rPr>
          <w:rStyle w:val="FootnoteReference"/>
        </w:rPr>
        <w:footnoteReference w:id="23"/>
      </w:r>
      <w:r w:rsidRPr="004744C5">
        <w:t xml:space="preserve"> the Commission considered that there was no demand-side substitutability between the different product categories </w:t>
      </w:r>
      <w:r w:rsidR="001B7BBA" w:rsidRPr="004744C5">
        <w:t xml:space="preserve">(namely semiconductors, passive components, </w:t>
      </w:r>
      <w:r w:rsidR="00097847" w:rsidRPr="004744C5">
        <w:t>electromechanical and interconnect components</w:t>
      </w:r>
      <w:r w:rsidR="001B7BBA" w:rsidRPr="004744C5">
        <w:t xml:space="preserve"> and embedded products) </w:t>
      </w:r>
      <w:r w:rsidRPr="004744C5">
        <w:t>because the different product categories were not functionally substitutable for the client's needs and customers would not switch to other product categories if electronic component manufacturers were to raise any of these products' prices by 5-10% because of the differences in product functionality. However, on the supply-side, most electronic components distributors are able to supply all types of customers with a wide range of products regardless of the customer's size or sector of activity and customers purchase more than one of the different product categories from them. Ultimately, the Commission did not conclude on the exact product market definition.</w:t>
      </w:r>
    </w:p>
    <w:p w14:paraId="41681FDA" w14:textId="77777777" w:rsidR="00BE1DDB" w:rsidRPr="004744C5" w:rsidRDefault="00BE1DDB" w:rsidP="00B423F8">
      <w:pPr>
        <w:pStyle w:val="NumPar1"/>
        <w:numPr>
          <w:ilvl w:val="0"/>
          <w:numId w:val="2"/>
        </w:numPr>
        <w:ind w:left="851" w:hanging="851"/>
      </w:pPr>
      <w:r w:rsidRPr="004744C5">
        <w:t>In the present case, customers, distributors and manufacturers which replied to the market investigation considered that semiconductors; passives; electromechanical and interconnect components; and, embedded products, belong to separate product markets.</w:t>
      </w:r>
      <w:r w:rsidRPr="004744C5">
        <w:rPr>
          <w:rStyle w:val="FootnoteReference"/>
        </w:rPr>
        <w:footnoteReference w:id="24"/>
      </w:r>
      <w:r w:rsidRPr="004744C5">
        <w:t xml:space="preserve"> In addition, respondents did not consider that a further segmentation was appropriate.</w:t>
      </w:r>
      <w:r w:rsidRPr="004744C5">
        <w:rPr>
          <w:rStyle w:val="FootnoteReference"/>
        </w:rPr>
        <w:t xml:space="preserve"> </w:t>
      </w:r>
      <w:r w:rsidRPr="004744C5">
        <w:rPr>
          <w:rStyle w:val="FootnoteReference"/>
        </w:rPr>
        <w:footnoteReference w:id="25"/>
      </w:r>
    </w:p>
    <w:p w14:paraId="41681FDB" w14:textId="77777777" w:rsidR="004D64B7" w:rsidRPr="004744C5" w:rsidRDefault="004D64B7" w:rsidP="00B423F8">
      <w:pPr>
        <w:pStyle w:val="NumPar1"/>
        <w:numPr>
          <w:ilvl w:val="0"/>
          <w:numId w:val="2"/>
        </w:numPr>
        <w:ind w:left="851" w:hanging="851"/>
      </w:pPr>
      <w:r w:rsidRPr="004744C5">
        <w:t>More specifically, from the demand-side, most customers and distributors which replied to the market investigation considered that there is no functional substitutability between the different product categories for the customers' needs.</w:t>
      </w:r>
      <w:r w:rsidRPr="004744C5">
        <w:rPr>
          <w:rStyle w:val="FootnoteReference"/>
        </w:rPr>
        <w:t xml:space="preserve"> </w:t>
      </w:r>
      <w:r w:rsidRPr="004744C5">
        <w:rPr>
          <w:rStyle w:val="FootnoteReference"/>
        </w:rPr>
        <w:footnoteReference w:id="26"/>
      </w:r>
      <w:r w:rsidRPr="004744C5">
        <w:rPr>
          <w:rStyle w:val="FootnoteReference"/>
        </w:rPr>
        <w:t xml:space="preserve"> </w:t>
      </w:r>
      <w:r w:rsidRPr="004744C5">
        <w:t xml:space="preserve">Customers, distributors and manufacturers also stated that generally customers </w:t>
      </w:r>
      <w:r w:rsidRPr="004744C5">
        <w:lastRenderedPageBreak/>
        <w:t xml:space="preserve">would not switch to another product category </w:t>
      </w:r>
      <w:r w:rsidR="00F67CBB" w:rsidRPr="004744C5">
        <w:t>i</w:t>
      </w:r>
      <w:r w:rsidRPr="004744C5">
        <w:t>f electronic component distributors or manufacturers would raise any of these products' prices by 5-10%.</w:t>
      </w:r>
      <w:r w:rsidRPr="004744C5">
        <w:rPr>
          <w:rStyle w:val="FootnoteReference"/>
        </w:rPr>
        <w:footnoteReference w:id="27"/>
      </w:r>
    </w:p>
    <w:p w14:paraId="41681FDC" w14:textId="77777777" w:rsidR="004D64B7" w:rsidRPr="004744C5" w:rsidRDefault="004D64B7" w:rsidP="00B423F8">
      <w:pPr>
        <w:pStyle w:val="NumPar1"/>
        <w:numPr>
          <w:ilvl w:val="0"/>
          <w:numId w:val="2"/>
        </w:numPr>
        <w:ind w:left="851" w:hanging="851"/>
      </w:pPr>
      <w:r w:rsidRPr="004744C5">
        <w:t xml:space="preserve">On the supply-side, the results of the market investigation indicate that, despite there being some specialization amongst distributors for example </w:t>
      </w:r>
      <w:r w:rsidR="001915FF" w:rsidRPr="004744C5">
        <w:t xml:space="preserve">regarding </w:t>
      </w:r>
      <w:r w:rsidRPr="004744C5">
        <w:t>the provision of high volumes or services</w:t>
      </w:r>
      <w:r w:rsidR="001E070E" w:rsidRPr="004744C5">
        <w:t>,</w:t>
      </w:r>
      <w:r w:rsidRPr="004744C5">
        <w:rPr>
          <w:rStyle w:val="FootnoteReference"/>
        </w:rPr>
        <w:footnoteReference w:id="28"/>
      </w:r>
      <w:r w:rsidRPr="004744C5">
        <w:t xml:space="preserve"> most distributors are able to supply all components</w:t>
      </w:r>
      <w:r w:rsidRPr="004744C5">
        <w:rPr>
          <w:rStyle w:val="FootnoteReference"/>
        </w:rPr>
        <w:footnoteReference w:id="29"/>
      </w:r>
      <w:r w:rsidRPr="004744C5">
        <w:t xml:space="preserve"> and customers typically purchase products belonging to more than one of the product categories.</w:t>
      </w:r>
      <w:r w:rsidRPr="004744C5">
        <w:rPr>
          <w:rStyle w:val="FootnoteReference"/>
        </w:rPr>
        <w:t xml:space="preserve"> </w:t>
      </w:r>
      <w:r w:rsidRPr="004744C5">
        <w:rPr>
          <w:rStyle w:val="FootnoteReference"/>
        </w:rPr>
        <w:footnoteReference w:id="30"/>
      </w:r>
      <w:r w:rsidRPr="004744C5">
        <w:t xml:space="preserve"> </w:t>
      </w:r>
    </w:p>
    <w:p w14:paraId="41681FDD" w14:textId="77777777" w:rsidR="004D64B7" w:rsidRPr="004744C5" w:rsidRDefault="004D64B7" w:rsidP="00B423F8">
      <w:pPr>
        <w:pStyle w:val="NumPar1"/>
        <w:numPr>
          <w:ilvl w:val="0"/>
          <w:numId w:val="2"/>
        </w:numPr>
        <w:ind w:left="851" w:hanging="851"/>
      </w:pPr>
      <w:r w:rsidRPr="004744C5">
        <w:t>In any event, for the purposes of the present decision, it is not necessary to conclude on the exact product market definition, as the proposed concentration does not raise any competition concerns under any alternative product market definition for the wholesale distribution of electronic components.</w:t>
      </w:r>
    </w:p>
    <w:p w14:paraId="41681FDE" w14:textId="77777777" w:rsidR="005D359E" w:rsidRPr="004744C5" w:rsidRDefault="00D9255B" w:rsidP="00061F52">
      <w:pPr>
        <w:pStyle w:val="Heading4"/>
      </w:pPr>
      <w:bookmarkStart w:id="3" w:name="_Ref463421941"/>
      <w:r w:rsidRPr="004744C5">
        <w:t>Distribution via l</w:t>
      </w:r>
      <w:r w:rsidR="005D359E" w:rsidRPr="004744C5">
        <w:t xml:space="preserve">ine cards </w:t>
      </w:r>
      <w:r w:rsidR="00F611A6" w:rsidRPr="004744C5">
        <w:t>vs.</w:t>
      </w:r>
      <w:r w:rsidR="005D359E" w:rsidRPr="004744C5">
        <w:t xml:space="preserve"> </w:t>
      </w:r>
      <w:r w:rsidRPr="004744C5">
        <w:t xml:space="preserve">distribution via </w:t>
      </w:r>
      <w:r w:rsidR="005D359E" w:rsidRPr="004744C5">
        <w:t>catalogues</w:t>
      </w:r>
      <w:bookmarkEnd w:id="3"/>
    </w:p>
    <w:p w14:paraId="41681FDF" w14:textId="77777777" w:rsidR="005F39D3" w:rsidRPr="004744C5" w:rsidRDefault="0045303A" w:rsidP="00365094">
      <w:pPr>
        <w:pStyle w:val="NumPar1"/>
        <w:numPr>
          <w:ilvl w:val="0"/>
          <w:numId w:val="2"/>
        </w:numPr>
        <w:ind w:left="851" w:hanging="851"/>
      </w:pPr>
      <w:r w:rsidRPr="004744C5">
        <w:t>"</w:t>
      </w:r>
      <w:r w:rsidR="002B17B2" w:rsidRPr="004744C5">
        <w:t>Line cards</w:t>
      </w:r>
      <w:r w:rsidRPr="004744C5">
        <w:t>"</w:t>
      </w:r>
      <w:r w:rsidR="002B17B2" w:rsidRPr="004744C5">
        <w:t xml:space="preserve"> and </w:t>
      </w:r>
      <w:r w:rsidRPr="004744C5">
        <w:t>"</w:t>
      </w:r>
      <w:r w:rsidR="002B17B2" w:rsidRPr="004744C5">
        <w:t>catalogues</w:t>
      </w:r>
      <w:r w:rsidRPr="004744C5">
        <w:t>"</w:t>
      </w:r>
      <w:r w:rsidR="002B17B2" w:rsidRPr="004744C5">
        <w:t xml:space="preserve"> </w:t>
      </w:r>
      <w:proofErr w:type="gramStart"/>
      <w:r w:rsidR="002B17B2" w:rsidRPr="004744C5">
        <w:t>are</w:t>
      </w:r>
      <w:proofErr w:type="gramEnd"/>
      <w:r w:rsidR="002B17B2" w:rsidRPr="004744C5">
        <w:t xml:space="preserve"> traditional methods of selling electronic components. </w:t>
      </w:r>
      <w:r w:rsidRPr="004744C5">
        <w:t xml:space="preserve">A "line card" is the summary list of manufacturers whose products are distributed by the distributor, while a catalogue lists </w:t>
      </w:r>
      <w:r w:rsidR="0099027C" w:rsidRPr="004744C5">
        <w:t>the</w:t>
      </w:r>
      <w:r w:rsidRPr="004744C5">
        <w:t xml:space="preserve"> manufacturers' products, together with indicative prices and technical details for each product.</w:t>
      </w:r>
      <w:r w:rsidR="00365094" w:rsidRPr="004744C5">
        <w:t xml:space="preserve"> </w:t>
      </w:r>
      <w:r w:rsidR="00552996" w:rsidRPr="004744C5">
        <w:t>This distinction is potentially relevant in that "line cards" and "catalogues" typically serve different stages in the product lifecycle: low-volume, high-service or catalogue distribution for early stages and high-volume, low-service or line-card distribution for later stages.</w:t>
      </w:r>
      <w:r w:rsidR="00552996" w:rsidRPr="004744C5">
        <w:rPr>
          <w:rStyle w:val="FootnoteReference"/>
        </w:rPr>
        <w:footnoteReference w:id="31"/>
      </w:r>
      <w:r w:rsidR="00552996" w:rsidRPr="004744C5">
        <w:t xml:space="preserve"> For these reasons, the Commission </w:t>
      </w:r>
      <w:r w:rsidR="003B15B6" w:rsidRPr="004744C5">
        <w:t xml:space="preserve">will assess </w:t>
      </w:r>
      <w:r w:rsidR="00B54EB2" w:rsidRPr="004744C5">
        <w:t xml:space="preserve">whether it would be necessary to segment the relevant product market by </w:t>
      </w:r>
      <w:r w:rsidR="003B15B6" w:rsidRPr="004744C5">
        <w:t>selling method</w:t>
      </w:r>
      <w:r w:rsidR="00B54EB2" w:rsidRPr="004744C5">
        <w:t xml:space="preserve">. </w:t>
      </w:r>
      <w:r w:rsidR="005F39D3" w:rsidRPr="004744C5">
        <w:t xml:space="preserve">In </w:t>
      </w:r>
      <w:r w:rsidR="005F39D3" w:rsidRPr="004744C5">
        <w:rPr>
          <w:i/>
        </w:rPr>
        <w:t>Avnet/Abacus</w:t>
      </w:r>
      <w:r w:rsidR="005F39D3" w:rsidRPr="004744C5">
        <w:rPr>
          <w:rStyle w:val="FootnoteReference"/>
        </w:rPr>
        <w:t xml:space="preserve"> </w:t>
      </w:r>
      <w:r w:rsidR="005F39D3" w:rsidRPr="004744C5">
        <w:rPr>
          <w:rStyle w:val="FootnoteReference"/>
        </w:rPr>
        <w:footnoteReference w:id="32"/>
      </w:r>
      <w:r w:rsidR="005F39D3" w:rsidRPr="004744C5">
        <w:t xml:space="preserve"> the Commission noted that distributors who use catalogues mainly sell </w:t>
      </w:r>
      <w:r w:rsidR="002B7B45" w:rsidRPr="004744C5">
        <w:t xml:space="preserve">small quantities </w:t>
      </w:r>
      <w:r w:rsidR="005F39D3" w:rsidRPr="004744C5">
        <w:t>on a</w:t>
      </w:r>
      <w:r w:rsidR="002B7B45" w:rsidRPr="004744C5">
        <w:t>n irregular basis while distributors who use line cards usually sell larger quantities.</w:t>
      </w:r>
    </w:p>
    <w:p w14:paraId="41681FE0" w14:textId="77777777" w:rsidR="00CB690E" w:rsidRPr="004744C5" w:rsidRDefault="00CB690E" w:rsidP="00061F52">
      <w:pPr>
        <w:pStyle w:val="Heading5"/>
      </w:pPr>
      <w:r w:rsidRPr="004744C5">
        <w:t>Notifying Party's view</w:t>
      </w:r>
    </w:p>
    <w:p w14:paraId="41681FE1" w14:textId="77777777" w:rsidR="006271E0" w:rsidRPr="004744C5" w:rsidRDefault="005D359E" w:rsidP="00B423F8">
      <w:pPr>
        <w:pStyle w:val="NumPar1"/>
        <w:numPr>
          <w:ilvl w:val="0"/>
          <w:numId w:val="2"/>
        </w:numPr>
        <w:ind w:left="851" w:hanging="851"/>
      </w:pPr>
      <w:bookmarkStart w:id="4" w:name="_Ref462749113"/>
      <w:r w:rsidRPr="004744C5">
        <w:t xml:space="preserve">The Notifying Party submits that it is not necessary to segment the relevant production market by reference to their traditional methods of selling via line cards or catalogues. </w:t>
      </w:r>
    </w:p>
    <w:p w14:paraId="41681FE2" w14:textId="77777777" w:rsidR="005D359E" w:rsidRPr="004744C5" w:rsidRDefault="0045303A" w:rsidP="00B423F8">
      <w:pPr>
        <w:pStyle w:val="NumPar1"/>
        <w:numPr>
          <w:ilvl w:val="0"/>
          <w:numId w:val="2"/>
        </w:numPr>
        <w:ind w:left="851" w:hanging="851"/>
      </w:pPr>
      <w:bookmarkStart w:id="5" w:name="_Ref463360507"/>
      <w:r w:rsidRPr="004744C5">
        <w:t>According to the Notifying Party, d</w:t>
      </w:r>
      <w:r w:rsidR="005D359E" w:rsidRPr="004744C5">
        <w:t>istribution via catalogues is for “high service” distributors (</w:t>
      </w:r>
      <w:r w:rsidR="005F39D3" w:rsidRPr="004744C5">
        <w:t xml:space="preserve">who </w:t>
      </w:r>
      <w:r w:rsidR="005D359E" w:rsidRPr="004744C5">
        <w:t>focus on the early design stages of the customers’ product lifecycle), while distribution via line cards, on the other hand, is for “high volume” distributors (</w:t>
      </w:r>
      <w:r w:rsidR="005F39D3" w:rsidRPr="004744C5">
        <w:t xml:space="preserve">who </w:t>
      </w:r>
      <w:r w:rsidR="005D359E" w:rsidRPr="004744C5">
        <w:t>focus on the production stages of the customer’s product lifecycle).</w:t>
      </w:r>
      <w:r w:rsidR="006271E0" w:rsidRPr="004744C5">
        <w:rPr>
          <w:rStyle w:val="FootnoteReference"/>
        </w:rPr>
        <w:footnoteReference w:id="33"/>
      </w:r>
      <w:r w:rsidR="005D359E" w:rsidRPr="004744C5">
        <w:t xml:space="preserve"> The market shares in a market for line card distribution would not be materially different from those in a market including both. Furthermore, the traditional distinction between both types of distribution has blurred significantly as the product range and prices of all distributors are made available online and distributors are increasingly selling via their e-commerce platforms. In addition </w:t>
      </w:r>
      <w:r w:rsidR="005D359E" w:rsidRPr="004744C5">
        <w:lastRenderedPageBreak/>
        <w:t xml:space="preserve">there are no external data sources that consider line card and catalogue distribution separately. In any event, the Notifying Party submits that as Avnet is a line card distributor whereas Premier </w:t>
      </w:r>
      <w:proofErr w:type="spellStart"/>
      <w:r w:rsidR="005D359E" w:rsidRPr="004744C5">
        <w:t>Farnell</w:t>
      </w:r>
      <w:proofErr w:type="spellEnd"/>
      <w:r w:rsidR="005D359E" w:rsidRPr="004744C5">
        <w:t xml:space="preserve"> is a catalogue distributor, there would be no (or very limited) overlap between the Parties if the Commission were to segment the relevant market.</w:t>
      </w:r>
      <w:bookmarkEnd w:id="4"/>
      <w:bookmarkEnd w:id="5"/>
      <w:r w:rsidR="003B15B6" w:rsidRPr="004744C5">
        <w:rPr>
          <w:rStyle w:val="FootnoteReference"/>
        </w:rPr>
        <w:footnoteReference w:id="34"/>
      </w:r>
      <w:r w:rsidR="005D359E" w:rsidRPr="004744C5">
        <w:t xml:space="preserve"> </w:t>
      </w:r>
    </w:p>
    <w:p w14:paraId="41681FE3" w14:textId="77777777" w:rsidR="00D648D4" w:rsidRPr="004744C5" w:rsidRDefault="00D648D4" w:rsidP="00061F52">
      <w:pPr>
        <w:pStyle w:val="Heading5"/>
      </w:pPr>
      <w:r w:rsidRPr="004744C5">
        <w:t>Results of the market investigation and Commission's assessment</w:t>
      </w:r>
    </w:p>
    <w:p w14:paraId="41681FE4" w14:textId="77777777" w:rsidR="00A15584" w:rsidRPr="004744C5" w:rsidRDefault="00733B5A" w:rsidP="00C47CF3">
      <w:pPr>
        <w:pStyle w:val="NumPar1"/>
        <w:numPr>
          <w:ilvl w:val="0"/>
          <w:numId w:val="2"/>
        </w:numPr>
        <w:ind w:left="851" w:hanging="851"/>
      </w:pPr>
      <w:r w:rsidRPr="004744C5">
        <w:t>In previous decisions</w:t>
      </w:r>
      <w:r w:rsidR="00C47CF3" w:rsidRPr="004744C5">
        <w:t>,</w:t>
      </w:r>
      <w:r w:rsidR="00CC1DED" w:rsidRPr="004744C5">
        <w:rPr>
          <w:rStyle w:val="FootnoteReference"/>
        </w:rPr>
        <w:footnoteReference w:id="35"/>
      </w:r>
      <w:r w:rsidRPr="004744C5">
        <w:t xml:space="preserve"> the Commission</w:t>
      </w:r>
      <w:r w:rsidR="001A15C7" w:rsidRPr="004744C5">
        <w:t xml:space="preserve"> assessed whether the market for distribution of electronic components should be segmented between a market for line card distribution and a market for catalogue distribution. </w:t>
      </w:r>
    </w:p>
    <w:p w14:paraId="41681FE5" w14:textId="77777777" w:rsidR="00A15584" w:rsidRPr="004744C5" w:rsidRDefault="001A15C7" w:rsidP="00C47CF3">
      <w:pPr>
        <w:pStyle w:val="NumPar1"/>
        <w:numPr>
          <w:ilvl w:val="0"/>
          <w:numId w:val="2"/>
        </w:numPr>
        <w:ind w:left="851" w:hanging="851"/>
      </w:pPr>
      <w:r w:rsidRPr="004744C5">
        <w:t xml:space="preserve">In </w:t>
      </w:r>
      <w:r w:rsidRPr="004744C5">
        <w:rPr>
          <w:i/>
        </w:rPr>
        <w:t>Avnet/Abacus</w:t>
      </w:r>
      <w:r w:rsidR="00CC1DED" w:rsidRPr="004744C5">
        <w:rPr>
          <w:i/>
        </w:rPr>
        <w:t>,</w:t>
      </w:r>
      <w:r w:rsidRPr="004744C5">
        <w:rPr>
          <w:rStyle w:val="FootnoteReference"/>
        </w:rPr>
        <w:footnoteReference w:id="36"/>
      </w:r>
      <w:r w:rsidRPr="004744C5">
        <w:t xml:space="preserve"> the Commission </w:t>
      </w:r>
      <w:r w:rsidR="00EF2B8D" w:rsidRPr="004744C5">
        <w:t>left the actual market definition open.</w:t>
      </w:r>
      <w:r w:rsidR="00EF2B8D" w:rsidRPr="004744C5">
        <w:rPr>
          <w:rStyle w:val="FootnoteReference"/>
        </w:rPr>
        <w:t xml:space="preserve"> </w:t>
      </w:r>
      <w:r w:rsidR="00EF2B8D" w:rsidRPr="004744C5">
        <w:t xml:space="preserve">It noted </w:t>
      </w:r>
      <w:r w:rsidR="00A25016" w:rsidRPr="004744C5">
        <w:t>that</w:t>
      </w:r>
      <w:r w:rsidR="00CC1DED" w:rsidRPr="004744C5">
        <w:t xml:space="preserve"> </w:t>
      </w:r>
      <w:r w:rsidRPr="004744C5">
        <w:t>the market for catalogue distribution accounted for a very small proportion of the total EEA market</w:t>
      </w:r>
      <w:r w:rsidR="00A25016" w:rsidRPr="004744C5">
        <w:t xml:space="preserve"> and therefore</w:t>
      </w:r>
      <w:r w:rsidR="00CC1DED" w:rsidRPr="004744C5">
        <w:t xml:space="preserve"> the market shares on a separate market for line card distribution would only marginally differ from those in a market including catalogue distribution.</w:t>
      </w:r>
      <w:r w:rsidR="00CD4BC6" w:rsidRPr="004744C5">
        <w:t xml:space="preserve"> </w:t>
      </w:r>
      <w:r w:rsidR="00EF2B8D" w:rsidRPr="004744C5">
        <w:rPr>
          <w:rStyle w:val="FootnoteReference"/>
        </w:rPr>
        <w:footnoteReference w:id="37"/>
      </w:r>
    </w:p>
    <w:p w14:paraId="41681FE6" w14:textId="77777777" w:rsidR="001A15C7" w:rsidRPr="004744C5" w:rsidRDefault="00CC1DED" w:rsidP="00C47CF3">
      <w:pPr>
        <w:pStyle w:val="NumPar1"/>
        <w:numPr>
          <w:ilvl w:val="0"/>
          <w:numId w:val="2"/>
        </w:numPr>
        <w:ind w:left="851" w:hanging="851"/>
      </w:pPr>
      <w:r w:rsidRPr="004744C5">
        <w:t xml:space="preserve">In </w:t>
      </w:r>
      <w:r w:rsidRPr="004744C5">
        <w:rPr>
          <w:i/>
        </w:rPr>
        <w:t xml:space="preserve">Avnet EMG/MSC </w:t>
      </w:r>
      <w:proofErr w:type="spellStart"/>
      <w:r w:rsidRPr="004744C5">
        <w:rPr>
          <w:i/>
        </w:rPr>
        <w:t>Investoren</w:t>
      </w:r>
      <w:proofErr w:type="spellEnd"/>
      <w:r w:rsidR="00FA1CA7" w:rsidRPr="004744C5">
        <w:rPr>
          <w:i/>
        </w:rPr>
        <w:t>,</w:t>
      </w:r>
      <w:r w:rsidRPr="004744C5">
        <w:rPr>
          <w:rStyle w:val="FootnoteReference"/>
        </w:rPr>
        <w:footnoteReference w:id="38"/>
      </w:r>
      <w:r w:rsidR="00CD4BC6" w:rsidRPr="004744C5">
        <w:rPr>
          <w:i/>
        </w:rPr>
        <w:t xml:space="preserve"> </w:t>
      </w:r>
      <w:r w:rsidR="00CD4BC6" w:rsidRPr="004744C5">
        <w:t>the Commission</w:t>
      </w:r>
      <w:r w:rsidR="00EF2B8D" w:rsidRPr="004744C5">
        <w:t xml:space="preserve"> similarly left the market definition open.</w:t>
      </w:r>
      <w:r w:rsidR="00A15584" w:rsidRPr="004744C5">
        <w:t xml:space="preserve"> </w:t>
      </w:r>
      <w:r w:rsidR="00BC17D9" w:rsidRPr="004744C5">
        <w:t>T</w:t>
      </w:r>
      <w:r w:rsidR="00CD4BC6" w:rsidRPr="004744C5">
        <w:t xml:space="preserve">he </w:t>
      </w:r>
      <w:r w:rsidR="00BC17D9" w:rsidRPr="004744C5">
        <w:t xml:space="preserve">Commission noted that the </w:t>
      </w:r>
      <w:r w:rsidR="00CD4BC6" w:rsidRPr="004744C5">
        <w:t xml:space="preserve">market investigation </w:t>
      </w:r>
      <w:r w:rsidR="00A15584" w:rsidRPr="004744C5">
        <w:t xml:space="preserve">in that case </w:t>
      </w:r>
      <w:r w:rsidR="00CD4BC6" w:rsidRPr="004744C5">
        <w:t xml:space="preserve">did not provide any indication that the market share and </w:t>
      </w:r>
      <w:r w:rsidR="00A15584" w:rsidRPr="004744C5">
        <w:t xml:space="preserve">positions of the </w:t>
      </w:r>
      <w:r w:rsidR="00BC17D9" w:rsidRPr="004744C5">
        <w:t xml:space="preserve">parties to the transaction in that case </w:t>
      </w:r>
      <w:r w:rsidR="00CD4BC6" w:rsidRPr="004744C5">
        <w:t>and/or their competitors would be materially different in a possible separate market for line card distribution from their market share and market position in an overall market also including catalogue distribution.</w:t>
      </w:r>
      <w:r w:rsidR="00CD4BC6" w:rsidRPr="004744C5">
        <w:rPr>
          <w:rStyle w:val="FootnoteReference"/>
        </w:rPr>
        <w:footnoteReference w:id="39"/>
      </w:r>
    </w:p>
    <w:p w14:paraId="41681FE7" w14:textId="77777777" w:rsidR="00AB3757" w:rsidRPr="004744C5" w:rsidRDefault="00AB3757" w:rsidP="00B423F8">
      <w:pPr>
        <w:pStyle w:val="NumPar1"/>
        <w:numPr>
          <w:ilvl w:val="0"/>
          <w:numId w:val="2"/>
        </w:numPr>
        <w:ind w:left="851" w:hanging="851"/>
      </w:pPr>
      <w:bookmarkStart w:id="6" w:name="_Ref463360725"/>
      <w:r w:rsidRPr="004744C5">
        <w:t>In the present case,</w:t>
      </w:r>
      <w:r w:rsidRPr="004744C5" w:rsidDel="001915FF">
        <w:t xml:space="preserve"> </w:t>
      </w:r>
      <w:r w:rsidRPr="004744C5">
        <w:t xml:space="preserve">distributors which replied to the market investigation </w:t>
      </w:r>
      <w:r w:rsidR="001915FF" w:rsidRPr="004744C5">
        <w:t xml:space="preserve">indicated that they </w:t>
      </w:r>
      <w:r w:rsidRPr="004744C5">
        <w:t>realize the vast majority of their sales through line-cards.</w:t>
      </w:r>
      <w:r w:rsidRPr="004744C5">
        <w:rPr>
          <w:rStyle w:val="FootnoteReference"/>
        </w:rPr>
        <w:t xml:space="preserve"> </w:t>
      </w:r>
      <w:r w:rsidRPr="004744C5">
        <w:rPr>
          <w:rStyle w:val="FootnoteReference"/>
        </w:rPr>
        <w:footnoteReference w:id="40"/>
      </w:r>
      <w:r w:rsidRPr="004744C5">
        <w:t xml:space="preserve"> In addition, a majority of distributors stated that not all distributors are able to sell via catalogues.</w:t>
      </w:r>
      <w:r w:rsidRPr="004744C5">
        <w:rPr>
          <w:rStyle w:val="FootnoteReference"/>
        </w:rPr>
        <w:footnoteReference w:id="41"/>
      </w:r>
      <w:r w:rsidRPr="004744C5">
        <w:t xml:space="preserve"> Also, the market investigation did not indicate that the market share and position of the Parties and/or their competitors in a possible separate market for line card distribution would be materially different from their respective market share and market position in an overall market encompassing catalogue distribution.</w:t>
      </w:r>
      <w:r w:rsidR="000B46B8" w:rsidRPr="004744C5">
        <w:t xml:space="preserve"> In any event, since Avnet is mainly a line card distributor and has only a minimal catalogue offering</w:t>
      </w:r>
      <w:r w:rsidR="003A01EC" w:rsidRPr="004744C5">
        <w:t xml:space="preserve"> (see paragraph </w:t>
      </w:r>
      <w:r w:rsidR="003A01EC" w:rsidRPr="004744C5">
        <w:fldChar w:fldCharType="begin"/>
      </w:r>
      <w:r w:rsidR="003A01EC" w:rsidRPr="004744C5">
        <w:instrText xml:space="preserve"> REF _Ref463360507 \r \h </w:instrText>
      </w:r>
      <w:r w:rsidR="00EA4D07" w:rsidRPr="004744C5">
        <w:instrText xml:space="preserve"> \* MERGEFORMAT </w:instrText>
      </w:r>
      <w:r w:rsidR="003A01EC" w:rsidRPr="004744C5">
        <w:fldChar w:fldCharType="separate"/>
      </w:r>
      <w:r w:rsidR="00BA4E96">
        <w:t>(25)</w:t>
      </w:r>
      <w:r w:rsidR="003A01EC" w:rsidRPr="004744C5">
        <w:fldChar w:fldCharType="end"/>
      </w:r>
      <w:r w:rsidR="003A01EC" w:rsidRPr="004744C5">
        <w:t>)</w:t>
      </w:r>
      <w:r w:rsidR="000B46B8" w:rsidRPr="004744C5">
        <w:t xml:space="preserve">, while Premier </w:t>
      </w:r>
      <w:proofErr w:type="spellStart"/>
      <w:r w:rsidR="000B46B8" w:rsidRPr="004744C5">
        <w:t>Farnell</w:t>
      </w:r>
      <w:proofErr w:type="spellEnd"/>
      <w:r w:rsidR="000B46B8" w:rsidRPr="004744C5">
        <w:t xml:space="preserve"> is a catalogue distributor, there would be no, or only a very limited overlap between the Parties if the Commission were to consider separate markets for line card distribution and for catalogue distribution.</w:t>
      </w:r>
      <w:bookmarkEnd w:id="6"/>
    </w:p>
    <w:p w14:paraId="41681FE8" w14:textId="77777777" w:rsidR="00AB3757" w:rsidRPr="004744C5" w:rsidRDefault="00AB3757" w:rsidP="00B423F8">
      <w:pPr>
        <w:pStyle w:val="NumPar1"/>
        <w:numPr>
          <w:ilvl w:val="0"/>
          <w:numId w:val="2"/>
        </w:numPr>
        <w:ind w:left="851" w:hanging="851"/>
      </w:pPr>
      <w:r w:rsidRPr="004744C5">
        <w:t xml:space="preserve">Based on the above, for the purposes of the present decision, the Commission considers that it is not necessary to conclude on the segmentation of the market for the wholesale distribution of electronic components between line card and </w:t>
      </w:r>
      <w:r w:rsidRPr="004744C5">
        <w:lastRenderedPageBreak/>
        <w:t>catalogue distribution</w:t>
      </w:r>
      <w:r w:rsidR="006D77E3" w:rsidRPr="004744C5">
        <w:t xml:space="preserve"> as the Transaction </w:t>
      </w:r>
      <w:r w:rsidR="000B46B8" w:rsidRPr="004744C5">
        <w:t>would</w:t>
      </w:r>
      <w:r w:rsidR="006D77E3" w:rsidRPr="004744C5">
        <w:t xml:space="preserve"> not raise any competition concerns under any alternative product market definition</w:t>
      </w:r>
      <w:r w:rsidRPr="004744C5">
        <w:t>.</w:t>
      </w:r>
      <w:r w:rsidR="003A01EC" w:rsidRPr="004744C5">
        <w:rPr>
          <w:rStyle w:val="FootnoteReference"/>
        </w:rPr>
        <w:footnoteReference w:id="42"/>
      </w:r>
      <w:r w:rsidR="00BC17D9" w:rsidRPr="004744C5">
        <w:t xml:space="preserve"> </w:t>
      </w:r>
    </w:p>
    <w:p w14:paraId="41681FE9" w14:textId="77777777" w:rsidR="00CB690E" w:rsidRPr="004744C5" w:rsidRDefault="00CB690E" w:rsidP="00061F52">
      <w:pPr>
        <w:pStyle w:val="Heading4"/>
      </w:pPr>
      <w:bookmarkStart w:id="7" w:name="_Ref463285759"/>
      <w:r w:rsidRPr="004744C5">
        <w:t>Standalone v</w:t>
      </w:r>
      <w:r w:rsidR="00F611A6" w:rsidRPr="004744C5">
        <w:t>s</w:t>
      </w:r>
      <w:r w:rsidRPr="004744C5">
        <w:t>. integrated provision of value-added support tools and services</w:t>
      </w:r>
      <w:bookmarkEnd w:id="7"/>
    </w:p>
    <w:p w14:paraId="41681FEA" w14:textId="77777777" w:rsidR="0099027C" w:rsidRPr="004744C5" w:rsidRDefault="0099027C" w:rsidP="00C47CF3">
      <w:pPr>
        <w:pStyle w:val="NumPar1"/>
        <w:numPr>
          <w:ilvl w:val="0"/>
          <w:numId w:val="2"/>
        </w:numPr>
        <w:ind w:left="851" w:hanging="851"/>
      </w:pPr>
      <w:r w:rsidRPr="004744C5">
        <w:t>As part of their electronic component distribution businesses, the Parties provide various support tools and services that help customers evaluate, choose, design-in and procure electronic components throughout the lifecycle of the customer’s technology products and systems ("value-added support and services"). According to the Notifying Party</w:t>
      </w:r>
      <w:r w:rsidR="009907D0" w:rsidRPr="004744C5">
        <w:t>,</w:t>
      </w:r>
      <w:r w:rsidRPr="004744C5">
        <w:t xml:space="preserve"> such value-added support and services can be in relation to product design</w:t>
      </w:r>
      <w:r w:rsidR="00292E06" w:rsidRPr="004744C5">
        <w:t xml:space="preserve">, </w:t>
      </w:r>
      <w:r w:rsidR="00292E06" w:rsidRPr="004744C5">
        <w:rPr>
          <w:i/>
        </w:rPr>
        <w:t>i.e.</w:t>
      </w:r>
      <w:r w:rsidR="00292E06" w:rsidRPr="004744C5">
        <w:t xml:space="preserve"> </w:t>
      </w:r>
      <w:r w:rsidR="00E66DE7" w:rsidRPr="004744C5">
        <w:t xml:space="preserve">services </w:t>
      </w:r>
      <w:r w:rsidR="00292E06" w:rsidRPr="004744C5">
        <w:t xml:space="preserve">allowing customers to optimise their component selection, </w:t>
      </w:r>
      <w:r w:rsidRPr="004744C5">
        <w:t>or supply logistics</w:t>
      </w:r>
      <w:r w:rsidR="00292E06" w:rsidRPr="004744C5">
        <w:t xml:space="preserve">, </w:t>
      </w:r>
      <w:r w:rsidR="00292E06" w:rsidRPr="004744C5">
        <w:rPr>
          <w:i/>
        </w:rPr>
        <w:t>i.e.</w:t>
      </w:r>
      <w:r w:rsidR="00292E06" w:rsidRPr="004744C5">
        <w:t xml:space="preserve"> services focused on warehousing and logistics, finance, information technology and asset management</w:t>
      </w:r>
      <w:r w:rsidRPr="004744C5">
        <w:t>.</w:t>
      </w:r>
      <w:r w:rsidRPr="004744C5">
        <w:rPr>
          <w:rStyle w:val="FootnoteReference"/>
        </w:rPr>
        <w:footnoteReference w:id="43"/>
      </w:r>
      <w:r w:rsidR="000410E7" w:rsidRPr="004744C5">
        <w:t xml:space="preserve"> </w:t>
      </w:r>
    </w:p>
    <w:p w14:paraId="41681FEB" w14:textId="77777777" w:rsidR="000410E7" w:rsidRPr="004744C5" w:rsidRDefault="000410E7" w:rsidP="00C47CF3">
      <w:pPr>
        <w:pStyle w:val="NumPar1"/>
        <w:numPr>
          <w:ilvl w:val="0"/>
          <w:numId w:val="2"/>
        </w:numPr>
        <w:ind w:left="851" w:hanging="851"/>
      </w:pPr>
      <w:r w:rsidRPr="004744C5">
        <w:t>These services are an important marketing and sales development tool for distributors, since, by providing these services, distributors are able to engage with customers and encourage them to choose electronic components stocked by the distributor.</w:t>
      </w:r>
      <w:r w:rsidR="00842AAA" w:rsidRPr="004744C5">
        <w:rPr>
          <w:rStyle w:val="FootnoteReference"/>
        </w:rPr>
        <w:t xml:space="preserve"> </w:t>
      </w:r>
      <w:r w:rsidR="00842AAA" w:rsidRPr="004744C5">
        <w:rPr>
          <w:rStyle w:val="FootnoteReference"/>
        </w:rPr>
        <w:footnoteReference w:id="44"/>
      </w:r>
    </w:p>
    <w:p w14:paraId="41681FEC" w14:textId="77777777" w:rsidR="00D648D4" w:rsidRPr="004744C5" w:rsidRDefault="00D648D4" w:rsidP="00061F52">
      <w:pPr>
        <w:pStyle w:val="Heading5"/>
      </w:pPr>
      <w:r w:rsidRPr="004744C5">
        <w:t>Notifying Party's view</w:t>
      </w:r>
    </w:p>
    <w:p w14:paraId="41681FED" w14:textId="77777777" w:rsidR="000218BE" w:rsidRPr="004744C5" w:rsidRDefault="005D359E" w:rsidP="000218BE">
      <w:pPr>
        <w:pStyle w:val="NumPar1"/>
        <w:numPr>
          <w:ilvl w:val="0"/>
          <w:numId w:val="2"/>
        </w:numPr>
        <w:ind w:left="851" w:hanging="851"/>
      </w:pPr>
      <w:r w:rsidRPr="004744C5">
        <w:t>The Notifying Party submits that value-added support tools and services are predominantly provided by electronic component distributors as an integral part of the sales process, as opposed to on a standalone basis. Supply chain support services</w:t>
      </w:r>
      <w:r w:rsidR="00686F90" w:rsidRPr="004744C5">
        <w:t>, on the one hand,</w:t>
      </w:r>
      <w:r w:rsidRPr="004744C5">
        <w:t xml:space="preserve"> are frequently provided jointly with the distribution of components, as they are often requested by customers as part of the supply. Design support tools and services</w:t>
      </w:r>
      <w:r w:rsidR="00686F90" w:rsidRPr="004744C5">
        <w:t>, on the other hand,</w:t>
      </w:r>
      <w:r w:rsidRPr="004744C5">
        <w:t xml:space="preserve"> are almost always offered to customers with the aim of subsequently leading to the sale of components, thus functioning as a form of marketing for the component distribution business. </w:t>
      </w:r>
      <w:r w:rsidR="00B743D4" w:rsidRPr="004744C5">
        <w:t>The Parties</w:t>
      </w:r>
      <w:r w:rsidR="00184FC2" w:rsidRPr="004744C5">
        <w:t>'</w:t>
      </w:r>
      <w:r w:rsidR="00B743D4" w:rsidRPr="004744C5">
        <w:t xml:space="preserve"> standalone sales of value-added support tools and services are minimal.</w:t>
      </w:r>
      <w:r w:rsidR="003B15B6" w:rsidRPr="004744C5">
        <w:rPr>
          <w:rStyle w:val="FootnoteReference"/>
        </w:rPr>
        <w:footnoteReference w:id="45"/>
      </w:r>
      <w:r w:rsidR="008E10B0" w:rsidRPr="004744C5">
        <w:t xml:space="preserve"> </w:t>
      </w:r>
      <w:r w:rsidR="00591FA4" w:rsidRPr="004744C5">
        <w:t>According to the Notifying Party, t</w:t>
      </w:r>
      <w:r w:rsidR="00572DB8" w:rsidRPr="004744C5">
        <w:t>he competitive assessment of the electronic components distribution market will necessarily encompass the impact of the present transaction on these value-added support tools and services since v</w:t>
      </w:r>
      <w:r w:rsidRPr="004744C5">
        <w:t xml:space="preserve">alue-added support tools and services are not reported separately either in internal </w:t>
      </w:r>
      <w:r w:rsidR="000E5F5F" w:rsidRPr="004744C5">
        <w:t>key performance indicators (</w:t>
      </w:r>
      <w:r w:rsidRPr="004744C5">
        <w:t>KPIs</w:t>
      </w:r>
      <w:r w:rsidR="000E5F5F" w:rsidRPr="004744C5">
        <w:t>)</w:t>
      </w:r>
      <w:r w:rsidRPr="004744C5">
        <w:t xml:space="preserve"> and financial reporting or by third-party companies.</w:t>
      </w:r>
      <w:r w:rsidR="000218BE" w:rsidRPr="004744C5">
        <w:t xml:space="preserve"> </w:t>
      </w:r>
      <w:r w:rsidR="00572DB8" w:rsidRPr="004744C5">
        <w:t xml:space="preserve">The Notifying Party therefore submits that a separate assessment of value-added </w:t>
      </w:r>
      <w:r w:rsidR="00184FC2" w:rsidRPr="004744C5">
        <w:t xml:space="preserve">support tools and services is not </w:t>
      </w:r>
      <w:r w:rsidR="00572DB8" w:rsidRPr="004744C5">
        <w:t>necessary for the purpose of this Transaction.</w:t>
      </w:r>
    </w:p>
    <w:p w14:paraId="41681FEE" w14:textId="77777777" w:rsidR="00D648D4" w:rsidRPr="004744C5" w:rsidRDefault="00D648D4" w:rsidP="00061F52">
      <w:pPr>
        <w:pStyle w:val="Heading5"/>
      </w:pPr>
      <w:r w:rsidRPr="004744C5">
        <w:t>Results of the market investigation and Commission's assessment</w:t>
      </w:r>
      <w:r w:rsidR="008E10B0" w:rsidRPr="004744C5">
        <w:t xml:space="preserve"> </w:t>
      </w:r>
    </w:p>
    <w:p w14:paraId="41681FEF" w14:textId="77777777" w:rsidR="00733B5A" w:rsidRPr="004744C5" w:rsidRDefault="00733B5A" w:rsidP="00B423F8">
      <w:pPr>
        <w:pStyle w:val="NumPar1"/>
        <w:numPr>
          <w:ilvl w:val="0"/>
          <w:numId w:val="2"/>
        </w:numPr>
        <w:ind w:left="851" w:hanging="851"/>
      </w:pPr>
      <w:r w:rsidRPr="004744C5">
        <w:t xml:space="preserve">In </w:t>
      </w:r>
      <w:r w:rsidRPr="004744C5">
        <w:rPr>
          <w:i/>
        </w:rPr>
        <w:t>Avnet/Abacus</w:t>
      </w:r>
      <w:r w:rsidR="00686F90" w:rsidRPr="004744C5">
        <w:rPr>
          <w:rStyle w:val="FootnoteReference"/>
        </w:rPr>
        <w:footnoteReference w:id="46"/>
      </w:r>
      <w:r w:rsidRPr="004744C5">
        <w:t xml:space="preserve">, the Commission </w:t>
      </w:r>
      <w:r w:rsidR="00F611A6" w:rsidRPr="004744C5">
        <w:t>indicated</w:t>
      </w:r>
      <w:r w:rsidRPr="004744C5">
        <w:t xml:space="preserve"> that some respondents to the market investigation submitted that distributors of electronic components do not only sell the products, but they also regularly provide a range of value added services, including technical advice</w:t>
      </w:r>
      <w:r w:rsidR="00591FA4" w:rsidRPr="004744C5">
        <w:t xml:space="preserve"> and </w:t>
      </w:r>
      <w:r w:rsidRPr="004744C5">
        <w:t xml:space="preserve">design-in activities, for which a sound knowledge of </w:t>
      </w:r>
      <w:r w:rsidRPr="004744C5">
        <w:lastRenderedPageBreak/>
        <w:t>the product is necessary. However, the Commission did not conclude on the exact product market definition.</w:t>
      </w:r>
    </w:p>
    <w:p w14:paraId="41681FF0" w14:textId="77777777" w:rsidR="00210A3B" w:rsidRPr="004744C5" w:rsidRDefault="00210A3B" w:rsidP="00B423F8">
      <w:pPr>
        <w:pStyle w:val="NumPar1"/>
        <w:numPr>
          <w:ilvl w:val="0"/>
          <w:numId w:val="2"/>
        </w:numPr>
        <w:ind w:left="851" w:hanging="851"/>
      </w:pPr>
      <w:r w:rsidRPr="004744C5">
        <w:t>In the present case, most distributors which replied to the market investigation stated that they usually offer services, including technical assistance, end-user support, after-sale assistance and design support tools, together with the electronic components and not as stand-alone services.</w:t>
      </w:r>
      <w:r w:rsidRPr="004744C5">
        <w:rPr>
          <w:rStyle w:val="FootnoteReference"/>
        </w:rPr>
        <w:footnoteReference w:id="47"/>
      </w:r>
      <w:r w:rsidRPr="004744C5">
        <w:t xml:space="preserve"> As a distributor noted, customers require these services as a pre-requisite </w:t>
      </w:r>
      <w:r w:rsidR="00C44CBE" w:rsidRPr="004744C5">
        <w:t>for</w:t>
      </w:r>
      <w:r w:rsidRPr="004744C5">
        <w:t xml:space="preserve"> doing business with a distributor. </w:t>
      </w:r>
    </w:p>
    <w:p w14:paraId="41681FF1" w14:textId="77777777" w:rsidR="000E5F5F" w:rsidRPr="004744C5" w:rsidRDefault="000E5F5F" w:rsidP="000E5F5F">
      <w:pPr>
        <w:pStyle w:val="NumPar1"/>
        <w:numPr>
          <w:ilvl w:val="0"/>
          <w:numId w:val="2"/>
        </w:numPr>
        <w:ind w:left="851" w:hanging="851"/>
      </w:pPr>
      <w:r w:rsidRPr="004744C5">
        <w:t>Moreover, manufacturers which replied to the market investigation also noted that they do not sell value added services separately.</w:t>
      </w:r>
      <w:r w:rsidRPr="004744C5">
        <w:rPr>
          <w:rStyle w:val="FootnoteReference"/>
        </w:rPr>
        <w:footnoteReference w:id="48"/>
      </w:r>
      <w:r w:rsidRPr="004744C5">
        <w:t xml:space="preserve"> According to manufacturers, technical assistance and design support tools are standard services provided during the design-in phase (when customers choose an electronic component to design-in  into their end-products) and in the after-sales phase.</w:t>
      </w:r>
      <w:r w:rsidR="003E6100" w:rsidRPr="004744C5">
        <w:rPr>
          <w:rStyle w:val="FootnoteReference"/>
        </w:rPr>
        <w:footnoteReference w:id="49"/>
      </w:r>
      <w:r w:rsidRPr="004744C5">
        <w:t xml:space="preserve"> Customers generally require a complete offer including services in order to buy electronic components from a supplier.</w:t>
      </w:r>
      <w:r w:rsidR="003E6100" w:rsidRPr="004744C5">
        <w:rPr>
          <w:rStyle w:val="FootnoteReference"/>
        </w:rPr>
        <w:footnoteReference w:id="50"/>
      </w:r>
      <w:r w:rsidRPr="004744C5">
        <w:t xml:space="preserve"> As one manufacturer pointed out, the provision of value-added services by distributors and manufacturers are indispensable in order to enable an end-customer to use the manufacturer's products in their application and therefore these services are an integral part of the product's sales process. Finally, a manufacturer noted that he/she usually provides services and support for free.</w:t>
      </w:r>
      <w:r w:rsidR="003E6100" w:rsidRPr="004744C5">
        <w:rPr>
          <w:rStyle w:val="FootnoteReference"/>
        </w:rPr>
        <w:footnoteReference w:id="51"/>
      </w:r>
      <w:r w:rsidR="00BC17D9" w:rsidRPr="004744C5">
        <w:t xml:space="preserve"> </w:t>
      </w:r>
    </w:p>
    <w:p w14:paraId="41681FF2" w14:textId="77777777" w:rsidR="000E5F5F" w:rsidRPr="004744C5" w:rsidRDefault="000E5F5F" w:rsidP="000E5F5F">
      <w:pPr>
        <w:pStyle w:val="NumPar1"/>
        <w:numPr>
          <w:ilvl w:val="0"/>
          <w:numId w:val="2"/>
        </w:numPr>
        <w:ind w:left="851" w:hanging="851"/>
      </w:pPr>
      <w:r w:rsidRPr="004744C5">
        <w:t>While most customers which replied to the market investigation stated that they do not usually purchase value-added services together with electronic components,</w:t>
      </w:r>
      <w:r w:rsidRPr="004744C5">
        <w:rPr>
          <w:rStyle w:val="FootnoteReference"/>
        </w:rPr>
        <w:t xml:space="preserve"> </w:t>
      </w:r>
      <w:r w:rsidRPr="004744C5">
        <w:rPr>
          <w:rStyle w:val="FootnoteReference"/>
        </w:rPr>
        <w:footnoteReference w:id="52"/>
      </w:r>
      <w:r w:rsidRPr="004744C5">
        <w:t xml:space="preserve"> the Commission notes that this should also be seen in light of the fact that, as confirmed by the market investigation</w:t>
      </w:r>
      <w:r w:rsidR="0085207F" w:rsidRPr="004744C5">
        <w:t>,</w:t>
      </w:r>
      <w:r w:rsidRPr="004744C5">
        <w:rPr>
          <w:rStyle w:val="FootnoteReference"/>
        </w:rPr>
        <w:footnoteReference w:id="53"/>
      </w:r>
      <w:r w:rsidRPr="004744C5">
        <w:t xml:space="preserve"> some services are provided before or after a sale has taken place (e.g. during the design-in phase and in the after-sales phase) and in some cases, these services are provided for free.</w:t>
      </w:r>
      <w:r w:rsidR="003E6100" w:rsidRPr="004744C5">
        <w:t xml:space="preserve"> This may contribute to the customer's perception, in the Commission's view, that these services are provided separately, although they may be part of the same contract with a distributor.</w:t>
      </w:r>
      <w:r w:rsidR="00810ADA" w:rsidRPr="004744C5">
        <w:t xml:space="preserve"> Moreover, some customers replied that they purchase these services together with electronic components.</w:t>
      </w:r>
      <w:r w:rsidR="00810ADA" w:rsidRPr="004744C5">
        <w:rPr>
          <w:rStyle w:val="FootnoteReference"/>
        </w:rPr>
        <w:footnoteReference w:id="54"/>
      </w:r>
      <w:r w:rsidR="00810ADA" w:rsidRPr="004744C5">
        <w:t xml:space="preserve"> </w:t>
      </w:r>
      <w:r w:rsidRPr="004744C5">
        <w:t>Furthermore, the Commission also notes that, as stated by the Notifying Party, value-added support tools and services are not reported separately either internally in KPIs and financial reporting or by companies providing market intelligence.</w:t>
      </w:r>
    </w:p>
    <w:p w14:paraId="41681FF3" w14:textId="77777777" w:rsidR="00210A3B" w:rsidRPr="004744C5" w:rsidRDefault="00AF0E67" w:rsidP="000E5F5F">
      <w:pPr>
        <w:pStyle w:val="NumPar1"/>
        <w:numPr>
          <w:ilvl w:val="0"/>
          <w:numId w:val="2"/>
        </w:numPr>
        <w:ind w:left="851" w:hanging="851"/>
      </w:pPr>
      <w:r w:rsidRPr="004744C5">
        <w:t>Based on the above, the Commission considers that the provision of value-added services forms an integral part of the market for the wholesale distribution of electronic components.</w:t>
      </w:r>
    </w:p>
    <w:p w14:paraId="41681FF4" w14:textId="77777777" w:rsidR="00CB4BE2" w:rsidRPr="004744C5" w:rsidRDefault="00CB4BE2" w:rsidP="00061F52">
      <w:pPr>
        <w:pStyle w:val="Heading3"/>
      </w:pPr>
      <w:r w:rsidRPr="004744C5">
        <w:lastRenderedPageBreak/>
        <w:t>Geographic market</w:t>
      </w:r>
    </w:p>
    <w:p w14:paraId="41681FF5" w14:textId="77777777" w:rsidR="00D648D4" w:rsidRPr="004744C5" w:rsidRDefault="00D648D4" w:rsidP="00061F52">
      <w:pPr>
        <w:pStyle w:val="Heading5"/>
      </w:pPr>
      <w:r w:rsidRPr="004744C5">
        <w:t>Notifying Party's view</w:t>
      </w:r>
    </w:p>
    <w:p w14:paraId="41681FF6" w14:textId="77777777" w:rsidR="000E5F5F" w:rsidRPr="004744C5" w:rsidRDefault="00CB690E" w:rsidP="00B423F8">
      <w:pPr>
        <w:pStyle w:val="NumPar1"/>
        <w:numPr>
          <w:ilvl w:val="0"/>
          <w:numId w:val="2"/>
        </w:numPr>
        <w:ind w:left="851" w:hanging="851"/>
      </w:pPr>
      <w:r w:rsidRPr="004744C5">
        <w:t xml:space="preserve">The Notifying Party submits that the relevant geographic market for the </w:t>
      </w:r>
      <w:r w:rsidR="00425319" w:rsidRPr="004744C5">
        <w:t xml:space="preserve">wholesale distribution of electronic components </w:t>
      </w:r>
      <w:r w:rsidRPr="004744C5">
        <w:t xml:space="preserve">is </w:t>
      </w:r>
      <w:r w:rsidR="00425319" w:rsidRPr="004744C5">
        <w:t xml:space="preserve">at least </w:t>
      </w:r>
      <w:r w:rsidRPr="004744C5">
        <w:t xml:space="preserve">EEA-wide. </w:t>
      </w:r>
      <w:r w:rsidR="00D76CB0" w:rsidRPr="004744C5">
        <w:t xml:space="preserve">The Parties </w:t>
      </w:r>
      <w:r w:rsidR="00A5458B" w:rsidRPr="004744C5">
        <w:t>argue</w:t>
      </w:r>
      <w:r w:rsidR="00D76CB0" w:rsidRPr="004744C5">
        <w:t xml:space="preserve"> that </w:t>
      </w:r>
      <w:r w:rsidR="00A5458B" w:rsidRPr="004744C5">
        <w:t xml:space="preserve">they </w:t>
      </w:r>
      <w:r w:rsidR="00D76CB0" w:rsidRPr="004744C5">
        <w:t>b</w:t>
      </w:r>
      <w:r w:rsidRPr="004744C5">
        <w:t>oth serve the EEA market from only a handful of distribution logistics centres</w:t>
      </w:r>
      <w:r w:rsidR="00A5458B" w:rsidRPr="004744C5">
        <w:t>,</w:t>
      </w:r>
      <w:r w:rsidR="008372D8" w:rsidRPr="004744C5">
        <w:rPr>
          <w:rStyle w:val="FootnoteReference"/>
        </w:rPr>
        <w:footnoteReference w:id="55"/>
      </w:r>
      <w:r w:rsidRPr="004744C5">
        <w:t xml:space="preserve"> </w:t>
      </w:r>
      <w:r w:rsidR="00D76CB0" w:rsidRPr="004744C5">
        <w:t>that t</w:t>
      </w:r>
      <w:r w:rsidRPr="004744C5">
        <w:t xml:space="preserve">he transport of components within the EEA takes place mainly by road and </w:t>
      </w:r>
      <w:r w:rsidR="00F664B7" w:rsidRPr="004744C5">
        <w:t xml:space="preserve">that </w:t>
      </w:r>
      <w:r w:rsidRPr="004744C5">
        <w:t>the costs are minimal</w:t>
      </w:r>
      <w:r w:rsidR="00D76CB0" w:rsidRPr="004744C5">
        <w:t>.</w:t>
      </w:r>
      <w:r w:rsidR="008372D8" w:rsidRPr="004744C5">
        <w:rPr>
          <w:rStyle w:val="FootnoteReference"/>
        </w:rPr>
        <w:footnoteReference w:id="56"/>
      </w:r>
      <w:r w:rsidRPr="004744C5">
        <w:t xml:space="preserve"> </w:t>
      </w:r>
      <w:r w:rsidR="00D76CB0" w:rsidRPr="004744C5">
        <w:t>T</w:t>
      </w:r>
      <w:r w:rsidRPr="004744C5">
        <w:t>he importance of having a local presence in order to provide value-added support and services</w:t>
      </w:r>
      <w:r w:rsidR="00D76CB0" w:rsidRPr="004744C5">
        <w:t xml:space="preserve">, </w:t>
      </w:r>
      <w:r w:rsidRPr="004744C5">
        <w:t xml:space="preserve">a factor that the Commission </w:t>
      </w:r>
      <w:r w:rsidR="00D76CB0" w:rsidRPr="004744C5">
        <w:t xml:space="preserve">previously </w:t>
      </w:r>
      <w:r w:rsidRPr="004744C5">
        <w:t>found to indicate that markets might be national</w:t>
      </w:r>
      <w:r w:rsidR="00D76CB0" w:rsidRPr="004744C5">
        <w:t>,</w:t>
      </w:r>
      <w:r w:rsidR="00F664B7" w:rsidRPr="004744C5">
        <w:rPr>
          <w:rStyle w:val="FootnoteReference"/>
        </w:rPr>
        <w:footnoteReference w:id="57"/>
      </w:r>
      <w:r w:rsidRPr="004744C5">
        <w:t xml:space="preserve"> is decreasing and will continue to do so over time because of the increasing use of online resources.</w:t>
      </w:r>
      <w:r w:rsidR="00D76CB0" w:rsidRPr="004744C5">
        <w:rPr>
          <w:rStyle w:val="FootnoteReference"/>
        </w:rPr>
        <w:footnoteReference w:id="58"/>
      </w:r>
    </w:p>
    <w:p w14:paraId="41681FF7" w14:textId="77777777" w:rsidR="00CB690E" w:rsidRPr="004744C5" w:rsidRDefault="000E5F5F" w:rsidP="000E5F5F">
      <w:pPr>
        <w:pStyle w:val="NumPar1"/>
        <w:numPr>
          <w:ilvl w:val="0"/>
          <w:numId w:val="2"/>
        </w:numPr>
        <w:ind w:left="851" w:hanging="851"/>
      </w:pPr>
      <w:r w:rsidRPr="004744C5">
        <w:t xml:space="preserve">The Notifying Party does not provide a separate view regarding the geographic scope of the possible segmentations of the wholesale distribution of electronic components' market by reference to </w:t>
      </w:r>
      <w:proofErr w:type="spellStart"/>
      <w:r w:rsidRPr="004744C5">
        <w:t>i</w:t>
      </w:r>
      <w:proofErr w:type="spellEnd"/>
      <w:r w:rsidRPr="004744C5">
        <w:t>) the different categories of electronic components (i.e. semiconductors, passive components, electromechanical and interconnect components and embedded products), and to ii) the methods of selling electronic components via either "line cards" or "catalogues", discussed in sections</w:t>
      </w:r>
      <w:r w:rsidR="00D600C6" w:rsidRPr="004744C5">
        <w:t xml:space="preserve"> </w:t>
      </w:r>
      <w:r w:rsidR="00D600C6" w:rsidRPr="004744C5">
        <w:fldChar w:fldCharType="begin"/>
      </w:r>
      <w:r w:rsidR="00D600C6" w:rsidRPr="004744C5">
        <w:instrText xml:space="preserve"> REF _Ref463421916 \r \h </w:instrText>
      </w:r>
      <w:r w:rsidR="00EA4D07" w:rsidRPr="004744C5">
        <w:instrText xml:space="preserve"> \* MERGEFORMAT </w:instrText>
      </w:r>
      <w:r w:rsidR="00D600C6" w:rsidRPr="004744C5">
        <w:fldChar w:fldCharType="separate"/>
      </w:r>
      <w:r w:rsidR="00BA4E96">
        <w:t>4.1.1.2</w:t>
      </w:r>
      <w:r w:rsidR="00D600C6" w:rsidRPr="004744C5">
        <w:fldChar w:fldCharType="end"/>
      </w:r>
      <w:r w:rsidRPr="004744C5">
        <w:t xml:space="preserve"> and </w:t>
      </w:r>
      <w:r w:rsidR="00D600C6" w:rsidRPr="004744C5">
        <w:fldChar w:fldCharType="begin"/>
      </w:r>
      <w:r w:rsidR="00D600C6" w:rsidRPr="004744C5">
        <w:instrText xml:space="preserve"> REF _Ref463421941 \r \h </w:instrText>
      </w:r>
      <w:r w:rsidR="00EA4D07" w:rsidRPr="004744C5">
        <w:instrText xml:space="preserve"> \* MERGEFORMAT </w:instrText>
      </w:r>
      <w:r w:rsidR="00D600C6" w:rsidRPr="004744C5">
        <w:fldChar w:fldCharType="separate"/>
      </w:r>
      <w:r w:rsidR="00BA4E96">
        <w:t>4.1.1.3</w:t>
      </w:r>
      <w:r w:rsidR="00D600C6" w:rsidRPr="004744C5">
        <w:fldChar w:fldCharType="end"/>
      </w:r>
      <w:r w:rsidR="00D600C6" w:rsidRPr="004744C5">
        <w:t xml:space="preserve"> </w:t>
      </w:r>
      <w:r w:rsidRPr="004744C5">
        <w:t>above.</w:t>
      </w:r>
    </w:p>
    <w:p w14:paraId="41681FF8" w14:textId="77777777" w:rsidR="00BA4602" w:rsidRPr="004744C5" w:rsidRDefault="00BA4602" w:rsidP="00BA4602">
      <w:pPr>
        <w:pStyle w:val="Heading5"/>
      </w:pPr>
      <w:r w:rsidRPr="004744C5">
        <w:t>Assessment of the Commission in previous cases</w:t>
      </w:r>
    </w:p>
    <w:p w14:paraId="41681FF9" w14:textId="77777777" w:rsidR="00CB690E" w:rsidRPr="004744C5" w:rsidRDefault="00CB690E" w:rsidP="00B423F8">
      <w:pPr>
        <w:pStyle w:val="NumPar1"/>
        <w:numPr>
          <w:ilvl w:val="0"/>
          <w:numId w:val="2"/>
        </w:numPr>
        <w:ind w:left="851" w:hanging="851"/>
      </w:pPr>
      <w:r w:rsidRPr="004744C5">
        <w:t xml:space="preserve">In previous decisions, the Commission has so far </w:t>
      </w:r>
      <w:r w:rsidR="00F611A6" w:rsidRPr="004744C5">
        <w:t>considered</w:t>
      </w:r>
      <w:r w:rsidRPr="004744C5">
        <w:t xml:space="preserve"> the geographic markets for the wholesale distribution of electronic components </w:t>
      </w:r>
      <w:r w:rsidR="00F611A6" w:rsidRPr="004744C5">
        <w:t>to be</w:t>
      </w:r>
      <w:r w:rsidRPr="004744C5">
        <w:t xml:space="preserve"> national, while acknowledging a tendency towards a widening of the geographic scope of the market.</w:t>
      </w:r>
      <w:r w:rsidRPr="004744C5">
        <w:rPr>
          <w:rStyle w:val="FootnoteReference"/>
        </w:rPr>
        <w:footnoteReference w:id="59"/>
      </w:r>
      <w:r w:rsidRPr="004744C5">
        <w:t xml:space="preserve"> This </w:t>
      </w:r>
      <w:r w:rsidR="00F611A6" w:rsidRPr="004744C5">
        <w:t xml:space="preserve">geographic market </w:t>
      </w:r>
      <w:r w:rsidRPr="004744C5">
        <w:t>definition was based on</w:t>
      </w:r>
      <w:r w:rsidR="00F611A6" w:rsidRPr="004744C5">
        <w:t>: (</w:t>
      </w:r>
      <w:proofErr w:type="spellStart"/>
      <w:r w:rsidR="00F611A6" w:rsidRPr="004744C5">
        <w:t>i</w:t>
      </w:r>
      <w:proofErr w:type="spellEnd"/>
      <w:r w:rsidR="00F611A6" w:rsidRPr="004744C5">
        <w:t>)</w:t>
      </w:r>
      <w:r w:rsidRPr="004744C5">
        <w:t xml:space="preserve"> the fact that distributors typically have local sales offices, </w:t>
      </w:r>
      <w:r w:rsidR="00F611A6" w:rsidRPr="004744C5">
        <w:t>(ii)</w:t>
      </w:r>
      <w:r w:rsidRPr="004744C5">
        <w:t xml:space="preserve"> the importance of the local presence of technical staff for product customisation, development and quality control, and </w:t>
      </w:r>
      <w:r w:rsidR="00F611A6" w:rsidRPr="004744C5">
        <w:t>(iii)</w:t>
      </w:r>
      <w:r w:rsidRPr="004744C5">
        <w:t xml:space="preserve"> the importance of having local warehouses to ensure quick delivery times. In a more recent decision</w:t>
      </w:r>
      <w:r w:rsidRPr="004744C5">
        <w:rPr>
          <w:rStyle w:val="FootnoteReference"/>
        </w:rPr>
        <w:footnoteReference w:id="60"/>
      </w:r>
      <w:r w:rsidRPr="004744C5">
        <w:t xml:space="preserve">, while ultimately leaving the exact geographic scope of the product market definition open, the Commission has noted that, on the one hand, transport costs represent only a small part of the total price and there are no significant differences in the overall price level of electronic components across the EEA. On the other hand, </w:t>
      </w:r>
      <w:r w:rsidR="00F611A6" w:rsidRPr="004744C5">
        <w:t>the Commission noted that</w:t>
      </w:r>
      <w:r w:rsidRPr="004744C5">
        <w:t xml:space="preserve"> it was very important for wholesale distributors to have a local presence to be able to provide value-added services, such as technical assistance, end-user support and/or after-sales assistance.</w:t>
      </w:r>
    </w:p>
    <w:p w14:paraId="41681FFA" w14:textId="77777777" w:rsidR="000E5F5F" w:rsidRPr="004744C5" w:rsidRDefault="000E5F5F" w:rsidP="00B423F8">
      <w:pPr>
        <w:pStyle w:val="NumPar1"/>
        <w:numPr>
          <w:ilvl w:val="0"/>
          <w:numId w:val="2"/>
        </w:numPr>
        <w:ind w:left="851" w:hanging="851"/>
      </w:pPr>
      <w:r w:rsidRPr="004744C5">
        <w:lastRenderedPageBreak/>
        <w:t>In previous decisions, the Commission has not concluded on the exact geographic scope of the possible market segments of the wholesale distribution of electronic components' market.</w:t>
      </w:r>
      <w:r w:rsidRPr="004744C5">
        <w:rPr>
          <w:vertAlign w:val="superscript"/>
        </w:rPr>
        <w:footnoteReference w:id="61"/>
      </w:r>
    </w:p>
    <w:p w14:paraId="41681FFB" w14:textId="77777777" w:rsidR="00D648D4" w:rsidRPr="004744C5" w:rsidRDefault="00D648D4" w:rsidP="00061F52">
      <w:pPr>
        <w:pStyle w:val="Heading5"/>
      </w:pPr>
      <w:r w:rsidRPr="004744C5">
        <w:t>Results of the market investigation and Commission's assessment</w:t>
      </w:r>
    </w:p>
    <w:p w14:paraId="41681FFC" w14:textId="77777777" w:rsidR="00A5458B" w:rsidRPr="004744C5" w:rsidRDefault="007E17F4" w:rsidP="00B423F8">
      <w:pPr>
        <w:pStyle w:val="NumPar1"/>
        <w:numPr>
          <w:ilvl w:val="0"/>
          <w:numId w:val="2"/>
        </w:numPr>
        <w:ind w:left="851" w:hanging="851"/>
      </w:pPr>
      <w:r w:rsidRPr="004744C5">
        <w:t xml:space="preserve">Despite pointing </w:t>
      </w:r>
      <w:r w:rsidR="00F611A6" w:rsidRPr="004744C5">
        <w:t xml:space="preserve">somewhat </w:t>
      </w:r>
      <w:r w:rsidRPr="004744C5">
        <w:t>towards a widening of the geographic scope of the market</w:t>
      </w:r>
      <w:r w:rsidR="00BE2A31" w:rsidRPr="004744C5">
        <w:t>s</w:t>
      </w:r>
      <w:r w:rsidR="00F611A6" w:rsidRPr="004744C5">
        <w:t xml:space="preserve"> as defined in past cases</w:t>
      </w:r>
      <w:r w:rsidRPr="004744C5">
        <w:t>, t</w:t>
      </w:r>
      <w:r w:rsidR="008372D8" w:rsidRPr="004744C5">
        <w:t xml:space="preserve">he results of the market investigation conducted </w:t>
      </w:r>
      <w:r w:rsidRPr="004744C5">
        <w:t>in</w:t>
      </w:r>
      <w:r w:rsidR="008372D8" w:rsidRPr="004744C5">
        <w:t xml:space="preserve"> the present case </w:t>
      </w:r>
      <w:r w:rsidR="00D76CB0" w:rsidRPr="004744C5">
        <w:t>were mixed</w:t>
      </w:r>
      <w:r w:rsidR="00F611A6" w:rsidRPr="004744C5">
        <w:t xml:space="preserve"> overall</w:t>
      </w:r>
      <w:r w:rsidR="00D76CB0" w:rsidRPr="004744C5">
        <w:t>.</w:t>
      </w:r>
      <w:r w:rsidR="00E770E9" w:rsidRPr="004744C5">
        <w:t xml:space="preserve"> O</w:t>
      </w:r>
      <w:r w:rsidR="00D76CB0" w:rsidRPr="004744C5">
        <w:t xml:space="preserve">n the one hand, a large majority of </w:t>
      </w:r>
      <w:r w:rsidR="00EF23B3" w:rsidRPr="004744C5">
        <w:t xml:space="preserve">respondents </w:t>
      </w:r>
      <w:r w:rsidR="00E770E9" w:rsidRPr="004744C5">
        <w:t xml:space="preserve">explained that transport costs represent only a small part of the total price that customers pay for electronic components and </w:t>
      </w:r>
      <w:r w:rsidR="00EF23B3" w:rsidRPr="004744C5">
        <w:t>stressed the importance of the internet as a point of</w:t>
      </w:r>
      <w:r w:rsidR="00AD5C4F" w:rsidRPr="004744C5">
        <w:t xml:space="preserve"> sale</w:t>
      </w:r>
      <w:r w:rsidR="00EF23B3" w:rsidRPr="004744C5">
        <w:t>, with most products being available for shipping worldwide</w:t>
      </w:r>
      <w:r w:rsidR="00E770E9" w:rsidRPr="004744C5">
        <w:t>.</w:t>
      </w:r>
      <w:r w:rsidR="00D76CB0" w:rsidRPr="004744C5">
        <w:rPr>
          <w:rStyle w:val="FootnoteReference"/>
        </w:rPr>
        <w:footnoteReference w:id="62"/>
      </w:r>
      <w:r w:rsidR="00D76CB0" w:rsidRPr="004744C5">
        <w:t xml:space="preserve"> </w:t>
      </w:r>
      <w:r w:rsidR="00AD5C4F" w:rsidRPr="004744C5">
        <w:t xml:space="preserve">The </w:t>
      </w:r>
      <w:r w:rsidR="004A5988" w:rsidRPr="004744C5">
        <w:t>respondents</w:t>
      </w:r>
      <w:r w:rsidR="00AD5C4F" w:rsidRPr="004744C5">
        <w:t xml:space="preserve"> also did not point to significant differences in the overall price level of electronic components across the EEA.</w:t>
      </w:r>
      <w:r w:rsidR="004A5988" w:rsidRPr="004744C5">
        <w:rPr>
          <w:rStyle w:val="FootnoteReference"/>
        </w:rPr>
        <w:footnoteReference w:id="63"/>
      </w:r>
      <w:r w:rsidR="00AD5C4F" w:rsidRPr="004744C5">
        <w:t xml:space="preserve"> </w:t>
      </w:r>
      <w:r w:rsidRPr="004744C5">
        <w:t>However, o</w:t>
      </w:r>
      <w:r w:rsidR="00D76CB0" w:rsidRPr="004744C5">
        <w:t xml:space="preserve">n the other hand, a large majority </w:t>
      </w:r>
      <w:r w:rsidR="00A5458B" w:rsidRPr="004744C5">
        <w:t xml:space="preserve">of respondents replied that it is important for wholesale distributors to have a local presence </w:t>
      </w:r>
      <w:r w:rsidR="00EF23B3" w:rsidRPr="004744C5">
        <w:t xml:space="preserve">in order </w:t>
      </w:r>
      <w:r w:rsidR="00A5458B" w:rsidRPr="004744C5">
        <w:t>to be able to provide value added services, such as technical assistance</w:t>
      </w:r>
      <w:r w:rsidR="00AD5C4F" w:rsidRPr="004744C5">
        <w:t xml:space="preserve"> during the design-in phase of the components.</w:t>
      </w:r>
      <w:r w:rsidR="004A5988" w:rsidRPr="004744C5">
        <w:rPr>
          <w:rStyle w:val="FootnoteReference"/>
        </w:rPr>
        <w:footnoteReference w:id="64"/>
      </w:r>
      <w:r w:rsidR="00AD5C4F" w:rsidRPr="004744C5">
        <w:t xml:space="preserve"> For most respondents, value added and support services in the form of remote assistance by internet and/or by phone cannot completely replace the local presence of distributors.</w:t>
      </w:r>
      <w:r w:rsidR="00A5458B" w:rsidRPr="004744C5">
        <w:rPr>
          <w:rStyle w:val="FootnoteReference"/>
        </w:rPr>
        <w:footnoteReference w:id="65"/>
      </w:r>
    </w:p>
    <w:p w14:paraId="41681FFD" w14:textId="77777777" w:rsidR="003875F1" w:rsidRPr="004744C5" w:rsidRDefault="00492BF2" w:rsidP="00B423F8">
      <w:pPr>
        <w:pStyle w:val="NumPar1"/>
        <w:numPr>
          <w:ilvl w:val="0"/>
          <w:numId w:val="2"/>
        </w:numPr>
        <w:ind w:left="851" w:hanging="851"/>
      </w:pPr>
      <w:r w:rsidRPr="004744C5">
        <w:t>Furthermore, t</w:t>
      </w:r>
      <w:r w:rsidR="003875F1" w:rsidRPr="004744C5">
        <w:t xml:space="preserve">he market investigation did not reveal any </w:t>
      </w:r>
      <w:r w:rsidRPr="004744C5">
        <w:t>elements</w:t>
      </w:r>
      <w:r w:rsidR="003875F1" w:rsidRPr="004744C5">
        <w:t xml:space="preserve"> </w:t>
      </w:r>
      <w:r w:rsidRPr="004744C5">
        <w:t>that would point to a different geographic market definition in relation to</w:t>
      </w:r>
      <w:r w:rsidR="003875F1" w:rsidRPr="004744C5">
        <w:t xml:space="preserve"> the distribution of the different categories of electronic components (i.e. semiconductors, passive components, electromechanical and interconnect components and embedded products).</w:t>
      </w:r>
      <w:r w:rsidR="00D30F9E" w:rsidRPr="004744C5">
        <w:rPr>
          <w:rStyle w:val="FootnoteReference"/>
        </w:rPr>
        <w:footnoteReference w:id="66"/>
      </w:r>
      <w:r w:rsidR="003875F1" w:rsidRPr="004744C5">
        <w:t xml:space="preserve"> Nor did </w:t>
      </w:r>
      <w:r w:rsidRPr="004744C5">
        <w:t>the market investigation</w:t>
      </w:r>
      <w:r w:rsidR="003875F1" w:rsidRPr="004744C5">
        <w:t xml:space="preserve"> </w:t>
      </w:r>
      <w:r w:rsidRPr="004744C5">
        <w:t>point to a different conclusion in relation to the different selling methods (line cards vs. catalogue distribution).</w:t>
      </w:r>
      <w:r w:rsidR="00C96EE4" w:rsidRPr="004744C5">
        <w:t xml:space="preserve"> </w:t>
      </w:r>
    </w:p>
    <w:p w14:paraId="41681FFE" w14:textId="77777777" w:rsidR="00CB690E" w:rsidRPr="004744C5" w:rsidRDefault="00A5458B" w:rsidP="00B423F8">
      <w:pPr>
        <w:pStyle w:val="NumPar1"/>
        <w:numPr>
          <w:ilvl w:val="0"/>
          <w:numId w:val="2"/>
        </w:numPr>
        <w:ind w:left="851" w:hanging="851"/>
      </w:pPr>
      <w:r w:rsidRPr="004744C5">
        <w:t xml:space="preserve">In any event, for the purposes of the present decision, it is not necessary to conclude on the exact geographic scope of the </w:t>
      </w:r>
      <w:r w:rsidR="00425319" w:rsidRPr="004744C5">
        <w:t>market for the wholesale distribution of electronic components and all its possible segments</w:t>
      </w:r>
      <w:r w:rsidRPr="004744C5">
        <w:t xml:space="preserve">, as the </w:t>
      </w:r>
      <w:r w:rsidR="00D949B3" w:rsidRPr="004744C5">
        <w:t>Transaction</w:t>
      </w:r>
      <w:r w:rsidRPr="004744C5">
        <w:t xml:space="preserve"> does not raise any competition concerns under any alternative geographic market definition.</w:t>
      </w:r>
    </w:p>
    <w:p w14:paraId="41681FFF" w14:textId="77777777" w:rsidR="00EC70E4" w:rsidRPr="004744C5" w:rsidRDefault="006F5249" w:rsidP="00B423F8">
      <w:pPr>
        <w:pStyle w:val="Heading2"/>
      </w:pPr>
      <w:r w:rsidRPr="004744C5">
        <w:lastRenderedPageBreak/>
        <w:t>Markets for the manufacture of electronic components</w:t>
      </w:r>
    </w:p>
    <w:p w14:paraId="41682000" w14:textId="2E0BA06C" w:rsidR="00AC44BC" w:rsidRPr="004744C5" w:rsidRDefault="0085207F" w:rsidP="00EF4B4B">
      <w:pPr>
        <w:pStyle w:val="NumPar1"/>
        <w:numPr>
          <w:ilvl w:val="0"/>
          <w:numId w:val="2"/>
        </w:numPr>
        <w:ind w:left="851" w:hanging="851"/>
      </w:pPr>
      <w:r w:rsidRPr="004744C5">
        <w:t>Avnet</w:t>
      </w:r>
      <w:r w:rsidR="00D867F4" w:rsidRPr="004744C5">
        <w:t xml:space="preserve"> </w:t>
      </w:r>
      <w:r w:rsidR="003F0C3C" w:rsidRPr="004744C5">
        <w:t>is</w:t>
      </w:r>
      <w:r w:rsidR="00FD04BF" w:rsidRPr="004744C5">
        <w:t xml:space="preserve"> active in the manufacture of electronic components, which is </w:t>
      </w:r>
      <w:r w:rsidR="00D867F4" w:rsidRPr="004744C5">
        <w:t>upstream of the market for the wholesale distribution of electronic components.</w:t>
      </w:r>
      <w:r w:rsidR="00C47CF3" w:rsidRPr="004744C5">
        <w:t xml:space="preserve"> </w:t>
      </w:r>
      <w:r w:rsidR="00AA5ABD" w:rsidRPr="004744C5">
        <w:t xml:space="preserve">Avnet manufactures </w:t>
      </w:r>
      <w:r w:rsidR="006D2FF5" w:rsidRPr="004744C5">
        <w:t>[</w:t>
      </w:r>
      <w:r w:rsidR="00A8647D" w:rsidRPr="004744C5">
        <w:t>production quantities</w:t>
      </w:r>
      <w:r w:rsidR="006D2FF5" w:rsidRPr="004744C5">
        <w:t>]</w:t>
      </w:r>
      <w:r w:rsidR="00AA5ABD" w:rsidRPr="004744C5">
        <w:t xml:space="preserve"> electromechanical and interconnect components</w:t>
      </w:r>
      <w:r w:rsidR="00023AAA" w:rsidRPr="004744C5">
        <w:t>.</w:t>
      </w:r>
      <w:r w:rsidR="00023AAA" w:rsidRPr="004744C5">
        <w:rPr>
          <w:rStyle w:val="FootnoteReference"/>
        </w:rPr>
        <w:footnoteReference w:id="67"/>
      </w:r>
    </w:p>
    <w:p w14:paraId="41682001" w14:textId="77777777" w:rsidR="0085207F" w:rsidRPr="004744C5" w:rsidRDefault="0085207F" w:rsidP="00EA4D07">
      <w:pPr>
        <w:pStyle w:val="Heading3"/>
      </w:pPr>
      <w:r w:rsidRPr="004744C5">
        <w:t>Product market</w:t>
      </w:r>
    </w:p>
    <w:p w14:paraId="41682002" w14:textId="0E328F4A" w:rsidR="00F57D34" w:rsidRPr="004744C5" w:rsidRDefault="00F57D34" w:rsidP="00B423F8">
      <w:pPr>
        <w:pStyle w:val="NumPar1"/>
        <w:numPr>
          <w:ilvl w:val="0"/>
          <w:numId w:val="2"/>
        </w:numPr>
        <w:ind w:left="851" w:hanging="851"/>
      </w:pPr>
      <w:r w:rsidRPr="004744C5">
        <w:t xml:space="preserve">The Notifying Party submits that Avnet </w:t>
      </w:r>
      <w:r w:rsidR="00D21C8B" w:rsidRPr="004744C5">
        <w:t>is active upstream in relation to</w:t>
      </w:r>
      <w:r w:rsidRPr="004744C5">
        <w:t xml:space="preserve"> electromechanical and interconnect components</w:t>
      </w:r>
      <w:r w:rsidR="00D21C8B" w:rsidRPr="004744C5">
        <w:t xml:space="preserve">, </w:t>
      </w:r>
      <w:r w:rsidR="006D2FF5" w:rsidRPr="004744C5">
        <w:t>[</w:t>
      </w:r>
      <w:r w:rsidR="00A8647D" w:rsidRPr="004744C5">
        <w:t>Avnet</w:t>
      </w:r>
      <w:r w:rsidR="00A8647D" w:rsidRPr="004744C5">
        <w:rPr>
          <w:rFonts w:hint="eastAsia"/>
        </w:rPr>
        <w:t>’</w:t>
      </w:r>
      <w:r w:rsidR="00A8647D" w:rsidRPr="004744C5">
        <w:t>s source of supply</w:t>
      </w:r>
      <w:r w:rsidR="006D2FF5" w:rsidRPr="004744C5">
        <w:t>]</w:t>
      </w:r>
      <w:r w:rsidR="00D21C8B" w:rsidRPr="004744C5">
        <w:t>.</w:t>
      </w:r>
      <w:r w:rsidR="00D21C8B" w:rsidRPr="004744C5">
        <w:rPr>
          <w:rStyle w:val="FootnoteReference"/>
        </w:rPr>
        <w:footnoteReference w:id="68"/>
      </w:r>
      <w:r w:rsidR="00D21C8B" w:rsidRPr="004744C5">
        <w:t xml:space="preserve"> The Notifying Party further submits that it sells a number of Avnet </w:t>
      </w:r>
      <w:r w:rsidR="006D2FF5" w:rsidRPr="004744C5">
        <w:t>[</w:t>
      </w:r>
      <w:r w:rsidR="00A8647D" w:rsidRPr="004744C5">
        <w:t>Avnet</w:t>
      </w:r>
      <w:r w:rsidR="00A8647D" w:rsidRPr="004744C5">
        <w:rPr>
          <w:rFonts w:hint="eastAsia"/>
        </w:rPr>
        <w:t>’</w:t>
      </w:r>
      <w:r w:rsidR="00A8647D" w:rsidRPr="004744C5">
        <w:t>s source of supply</w:t>
      </w:r>
      <w:r w:rsidR="006D2FF5" w:rsidRPr="004744C5">
        <w:t>]</w:t>
      </w:r>
      <w:r w:rsidR="00D21C8B" w:rsidRPr="004744C5">
        <w:t xml:space="preserve"> passive components </w:t>
      </w:r>
      <w:r w:rsidR="006D2FF5" w:rsidRPr="004744C5">
        <w:t>[</w:t>
      </w:r>
      <w:r w:rsidR="00A8647D" w:rsidRPr="004744C5">
        <w:t>Avnet</w:t>
      </w:r>
      <w:r w:rsidR="00A8647D" w:rsidRPr="004744C5">
        <w:rPr>
          <w:rFonts w:hint="eastAsia"/>
        </w:rPr>
        <w:t>’</w:t>
      </w:r>
      <w:r w:rsidR="00A8647D" w:rsidRPr="004744C5">
        <w:t>s source of supply</w:t>
      </w:r>
      <w:r w:rsidR="006D2FF5" w:rsidRPr="004744C5">
        <w:t>]</w:t>
      </w:r>
      <w:r w:rsidR="00D21C8B" w:rsidRPr="004744C5">
        <w:t>.</w:t>
      </w:r>
      <w:r w:rsidR="00D21C8B" w:rsidRPr="004744C5">
        <w:rPr>
          <w:rStyle w:val="FootnoteReference"/>
        </w:rPr>
        <w:footnoteReference w:id="69"/>
      </w:r>
      <w:r w:rsidR="00432752" w:rsidRPr="004744C5">
        <w:t xml:space="preserve"> </w:t>
      </w:r>
      <w:r w:rsidR="0060199E" w:rsidRPr="004744C5">
        <w:t xml:space="preserve">In any event, </w:t>
      </w:r>
      <w:r w:rsidR="0051719C" w:rsidRPr="004744C5">
        <w:t>[</w:t>
      </w:r>
      <w:r w:rsidR="00A8647D" w:rsidRPr="004744C5">
        <w:t>Avnet</w:t>
      </w:r>
      <w:r w:rsidR="00A8647D" w:rsidRPr="004744C5">
        <w:rPr>
          <w:rFonts w:hint="eastAsia"/>
        </w:rPr>
        <w:t>’</w:t>
      </w:r>
      <w:r w:rsidR="00A8647D" w:rsidRPr="004744C5">
        <w:t>s source of supply</w:t>
      </w:r>
      <w:r w:rsidR="0051719C" w:rsidRPr="004744C5">
        <w:t>]</w:t>
      </w:r>
      <w:r w:rsidR="0060199E" w:rsidRPr="004744C5">
        <w:t xml:space="preserve">, the Notifying Party submits that these sales would </w:t>
      </w:r>
      <w:r w:rsidR="00432752" w:rsidRPr="004744C5">
        <w:t xml:space="preserve">be </w:t>
      </w:r>
      <w:r w:rsidR="0060199E" w:rsidRPr="004744C5">
        <w:t>minimal (</w:t>
      </w:r>
      <w:r w:rsidR="0051719C" w:rsidRPr="004744C5">
        <w:t>[0-5</w:t>
      </w:r>
      <w:proofErr w:type="gramStart"/>
      <w:r w:rsidR="0051719C" w:rsidRPr="004744C5">
        <w:t>]</w:t>
      </w:r>
      <w:r w:rsidR="0060199E" w:rsidRPr="004744C5">
        <w:t>%</w:t>
      </w:r>
      <w:proofErr w:type="gramEnd"/>
      <w:r w:rsidR="0060199E" w:rsidRPr="004744C5">
        <w:t xml:space="preserve"> of Avnet's total sales in the EEA for electromechanical and interconnect components and less than </w:t>
      </w:r>
      <w:r w:rsidR="0051719C" w:rsidRPr="004744C5">
        <w:t>[0-5]</w:t>
      </w:r>
      <w:r w:rsidR="0060199E" w:rsidRPr="004744C5">
        <w:t>% for passive components).</w:t>
      </w:r>
      <w:r w:rsidR="00D600C6" w:rsidRPr="004744C5">
        <w:rPr>
          <w:rStyle w:val="FootnoteReference"/>
        </w:rPr>
        <w:footnoteReference w:id="70"/>
      </w:r>
    </w:p>
    <w:p w14:paraId="41682003" w14:textId="77777777" w:rsidR="0085207F" w:rsidRPr="004744C5" w:rsidRDefault="0085207F" w:rsidP="0085207F">
      <w:pPr>
        <w:pStyle w:val="Heading3"/>
      </w:pPr>
      <w:bookmarkStart w:id="8" w:name="_Ref463364888"/>
      <w:r w:rsidRPr="004744C5">
        <w:t>Geographic market</w:t>
      </w:r>
      <w:bookmarkEnd w:id="8"/>
    </w:p>
    <w:p w14:paraId="41682004" w14:textId="77777777" w:rsidR="00AC44BC" w:rsidRPr="004744C5" w:rsidRDefault="00AC44BC" w:rsidP="0085207F">
      <w:pPr>
        <w:pStyle w:val="NumPar1"/>
        <w:numPr>
          <w:ilvl w:val="0"/>
          <w:numId w:val="2"/>
        </w:numPr>
        <w:ind w:left="851" w:hanging="851"/>
      </w:pPr>
      <w:r w:rsidRPr="004744C5">
        <w:t>Past Commission decisions</w:t>
      </w:r>
      <w:r w:rsidR="00D600C6" w:rsidRPr="004744C5">
        <w:rPr>
          <w:rStyle w:val="FootnoteReference"/>
        </w:rPr>
        <w:footnoteReference w:id="71"/>
      </w:r>
      <w:r w:rsidRPr="004744C5">
        <w:t xml:space="preserve"> have considered that the relevant geographic market for the manufacture of electronic components to be at least EEA-wide, if not worldwide.</w:t>
      </w:r>
      <w:r w:rsidR="00D600C6" w:rsidRPr="004744C5">
        <w:rPr>
          <w:rStyle w:val="FootnoteReference"/>
        </w:rPr>
        <w:footnoteReference w:id="72"/>
      </w:r>
      <w:r w:rsidR="003C53A8" w:rsidRPr="004744C5">
        <w:t xml:space="preserve"> </w:t>
      </w:r>
    </w:p>
    <w:p w14:paraId="41682005" w14:textId="77777777" w:rsidR="003F0C3C" w:rsidRPr="004744C5" w:rsidRDefault="003F0C3C" w:rsidP="003F0C3C">
      <w:pPr>
        <w:pStyle w:val="Heading3"/>
      </w:pPr>
      <w:r w:rsidRPr="004744C5">
        <w:t>Conclusion on product and geographic market definition</w:t>
      </w:r>
    </w:p>
    <w:p w14:paraId="41682006" w14:textId="77777777" w:rsidR="00950CFC" w:rsidRPr="004744C5" w:rsidRDefault="00950CFC" w:rsidP="00B423F8">
      <w:pPr>
        <w:pStyle w:val="NumPar1"/>
        <w:numPr>
          <w:ilvl w:val="0"/>
          <w:numId w:val="2"/>
        </w:numPr>
        <w:ind w:left="851" w:hanging="851"/>
      </w:pPr>
      <w:r w:rsidRPr="004744C5">
        <w:t>For the purposes of the present case, the exact definition of the product and geographic market for the manufacture of electro</w:t>
      </w:r>
      <w:r w:rsidR="006674D8" w:rsidRPr="004744C5">
        <w:t>nic components</w:t>
      </w:r>
      <w:r w:rsidRPr="004744C5">
        <w:t xml:space="preserve"> can be left open, since no serious doubts as to the compatibility of the Transaction with the internal market arise under any plausible alternative product and geographic market definition.</w:t>
      </w:r>
      <w:r w:rsidR="00425EE0" w:rsidRPr="004744C5">
        <w:t xml:space="preserve"> </w:t>
      </w:r>
    </w:p>
    <w:p w14:paraId="41682007" w14:textId="77777777" w:rsidR="006F5249" w:rsidRPr="004744C5" w:rsidRDefault="00D867F4" w:rsidP="00F2295E">
      <w:pPr>
        <w:pStyle w:val="Heading2"/>
      </w:pPr>
      <w:r w:rsidRPr="004744C5">
        <w:t xml:space="preserve"> </w:t>
      </w:r>
      <w:r w:rsidR="006F5249" w:rsidRPr="004744C5">
        <w:t>Markets for the distribution of products other than electronic components</w:t>
      </w:r>
    </w:p>
    <w:p w14:paraId="41682008" w14:textId="77777777" w:rsidR="0045473C" w:rsidRPr="004744C5" w:rsidRDefault="0045473C" w:rsidP="00B423F8">
      <w:pPr>
        <w:pStyle w:val="NumPar1"/>
        <w:numPr>
          <w:ilvl w:val="0"/>
          <w:numId w:val="2"/>
        </w:numPr>
        <w:ind w:left="851" w:hanging="851"/>
      </w:pPr>
      <w:r w:rsidRPr="004744C5">
        <w:t>T</w:t>
      </w:r>
      <w:r w:rsidR="00256FD3" w:rsidRPr="004744C5">
        <w:t xml:space="preserve">he Parties </w:t>
      </w:r>
      <w:r w:rsidRPr="004744C5">
        <w:t>are active</w:t>
      </w:r>
      <w:r w:rsidR="00256FD3" w:rsidRPr="004744C5">
        <w:t xml:space="preserve"> in the </w:t>
      </w:r>
      <w:r w:rsidR="00AF6423" w:rsidRPr="004744C5">
        <w:t>distribution of products other than electronic components, namely</w:t>
      </w:r>
      <w:r w:rsidR="00256FD3" w:rsidRPr="004744C5">
        <w:t>: (</w:t>
      </w:r>
      <w:proofErr w:type="spellStart"/>
      <w:r w:rsidR="00256FD3" w:rsidRPr="004744C5">
        <w:t>i</w:t>
      </w:r>
      <w:proofErr w:type="spellEnd"/>
      <w:r w:rsidR="00256FD3" w:rsidRPr="004744C5">
        <w:t>) the distribution of enterprise computer and storage products, IT solutions and services and, (ii) the distribution of finished electronic and computer products.</w:t>
      </w:r>
      <w:r w:rsidR="00F611A6" w:rsidRPr="004744C5">
        <w:t xml:space="preserve"> </w:t>
      </w:r>
    </w:p>
    <w:p w14:paraId="41682009" w14:textId="77777777" w:rsidR="00B11310" w:rsidRPr="004744C5" w:rsidRDefault="00B11310" w:rsidP="00B11310">
      <w:pPr>
        <w:pStyle w:val="Heading3"/>
      </w:pPr>
      <w:r w:rsidRPr="004744C5">
        <w:t xml:space="preserve">Notifying Party's view </w:t>
      </w:r>
    </w:p>
    <w:p w14:paraId="4168200A" w14:textId="77777777" w:rsidR="00DE72A5" w:rsidRPr="004744C5" w:rsidRDefault="00DE72A5" w:rsidP="00B423F8">
      <w:pPr>
        <w:pStyle w:val="NumPar1"/>
        <w:numPr>
          <w:ilvl w:val="0"/>
          <w:numId w:val="2"/>
        </w:numPr>
        <w:ind w:left="851" w:hanging="851"/>
      </w:pPr>
      <w:r w:rsidRPr="004744C5">
        <w:t xml:space="preserve">Avnet is active in the distribution of enterprise computer and storage products, IT solution and services, through its "Technology Solutions" operating group, through </w:t>
      </w:r>
      <w:r w:rsidRPr="004744C5">
        <w:lastRenderedPageBreak/>
        <w:t>which it offers complex IT solution</w:t>
      </w:r>
      <w:r w:rsidR="00C44CBE" w:rsidRPr="004744C5">
        <w:t>s</w:t>
      </w:r>
      <w:r w:rsidRPr="004744C5">
        <w:t xml:space="preserve"> to a variety of customers including OEMs, systems buil</w:t>
      </w:r>
      <w:r w:rsidR="00FB3996" w:rsidRPr="004744C5">
        <w:t>d</w:t>
      </w:r>
      <w:r w:rsidRPr="004744C5">
        <w:t>ers, systems integrators, etc. These solutions can include a combination of services, software and hardware.</w:t>
      </w:r>
      <w:r w:rsidRPr="004744C5">
        <w:rPr>
          <w:rStyle w:val="FootnoteReference"/>
        </w:rPr>
        <w:footnoteReference w:id="73"/>
      </w:r>
    </w:p>
    <w:p w14:paraId="4168200B" w14:textId="77777777" w:rsidR="0045473C" w:rsidRPr="004744C5" w:rsidRDefault="0045473C" w:rsidP="00B423F8">
      <w:pPr>
        <w:pStyle w:val="NumPar1"/>
        <w:numPr>
          <w:ilvl w:val="0"/>
          <w:numId w:val="2"/>
        </w:numPr>
        <w:ind w:left="851" w:hanging="851"/>
      </w:pPr>
      <w:r w:rsidRPr="004744C5">
        <w:t xml:space="preserve">Premier </w:t>
      </w:r>
      <w:proofErr w:type="spellStart"/>
      <w:r w:rsidRPr="004744C5">
        <w:t>Farnell</w:t>
      </w:r>
      <w:proofErr w:type="spellEnd"/>
      <w:r w:rsidRPr="004744C5">
        <w:t xml:space="preserve"> is active in the distribution of finished electronic and computer products, conducted through Premier </w:t>
      </w:r>
      <w:proofErr w:type="spellStart"/>
      <w:r w:rsidRPr="004744C5">
        <w:t>Farnell's</w:t>
      </w:r>
      <w:proofErr w:type="spellEnd"/>
      <w:r w:rsidRPr="004744C5">
        <w:t xml:space="preserve"> CPC/MCM division. This division provides finished electronic products, primarily </w:t>
      </w:r>
      <w:proofErr w:type="spellStart"/>
      <w:r w:rsidRPr="004744C5">
        <w:t>audiovisual</w:t>
      </w:r>
      <w:proofErr w:type="spellEnd"/>
      <w:r w:rsidRPr="004744C5">
        <w:t xml:space="preserve">, electronic and home security products, lights and lighting, security, test equipment, tools, computing equipment, etc. Premier </w:t>
      </w:r>
      <w:proofErr w:type="spellStart"/>
      <w:r w:rsidRPr="004744C5">
        <w:t>Farnell's</w:t>
      </w:r>
      <w:proofErr w:type="spellEnd"/>
      <w:r w:rsidRPr="004744C5">
        <w:t xml:space="preserve"> main customers are wholesalers, education and government bodies, utility companies, resellers and hobbyists. According to the Notifying Party, Premier </w:t>
      </w:r>
      <w:proofErr w:type="spellStart"/>
      <w:r w:rsidRPr="004744C5">
        <w:t>Farnell</w:t>
      </w:r>
      <w:proofErr w:type="spellEnd"/>
      <w:r w:rsidRPr="004744C5">
        <w:t xml:space="preserve"> also sells the Raspberry Pi, a low cost single board computer aimed at hobbyists and education customers</w:t>
      </w:r>
      <w:r w:rsidR="00B11310" w:rsidRPr="004744C5">
        <w:t xml:space="preserve">, which </w:t>
      </w:r>
      <w:r w:rsidR="00425EE0" w:rsidRPr="004744C5">
        <w:t>belongs to the segment of</w:t>
      </w:r>
      <w:r w:rsidR="00B11310" w:rsidRPr="004744C5">
        <w:t xml:space="preserve"> finished electronic and computer products</w:t>
      </w:r>
      <w:r w:rsidRPr="004744C5">
        <w:t>.</w:t>
      </w:r>
      <w:r w:rsidRPr="004744C5">
        <w:rPr>
          <w:rStyle w:val="FootnoteReference"/>
        </w:rPr>
        <w:footnoteReference w:id="74"/>
      </w:r>
    </w:p>
    <w:p w14:paraId="4168200C" w14:textId="77777777" w:rsidR="00B11310" w:rsidRPr="004744C5" w:rsidRDefault="00B11310" w:rsidP="00B11310">
      <w:pPr>
        <w:pStyle w:val="Heading3"/>
      </w:pPr>
      <w:r w:rsidRPr="004744C5">
        <w:t xml:space="preserve">Commission's assessment </w:t>
      </w:r>
    </w:p>
    <w:p w14:paraId="4168200D" w14:textId="77777777" w:rsidR="00DE72A5" w:rsidRPr="004744C5" w:rsidRDefault="00B11310" w:rsidP="00B11310">
      <w:pPr>
        <w:pStyle w:val="NumPar1"/>
        <w:numPr>
          <w:ilvl w:val="0"/>
          <w:numId w:val="2"/>
        </w:numPr>
        <w:ind w:left="851" w:hanging="851"/>
      </w:pPr>
      <w:r w:rsidRPr="004744C5">
        <w:t xml:space="preserve"> </w:t>
      </w:r>
      <w:r w:rsidR="00DE72A5" w:rsidRPr="004744C5">
        <w:t xml:space="preserve">In </w:t>
      </w:r>
      <w:r w:rsidR="00DE72A5" w:rsidRPr="004744C5">
        <w:rPr>
          <w:i/>
        </w:rPr>
        <w:t>Avnet/</w:t>
      </w:r>
      <w:proofErr w:type="spellStart"/>
      <w:r w:rsidR="00DE72A5" w:rsidRPr="004744C5">
        <w:rPr>
          <w:i/>
        </w:rPr>
        <w:t>Magirus</w:t>
      </w:r>
      <w:proofErr w:type="spellEnd"/>
      <w:r w:rsidR="00DE72A5" w:rsidRPr="004744C5">
        <w:t xml:space="preserve">, the Commission assessed whether the market for the wholesale distribution of all IT products should be segmented between the distribution of servers, storage devices and network products, but ultimately left the </w:t>
      </w:r>
      <w:r w:rsidR="00FB3996" w:rsidRPr="004744C5">
        <w:t>product market definition open.</w:t>
      </w:r>
      <w:r w:rsidR="00FB3996" w:rsidRPr="004744C5">
        <w:rPr>
          <w:rStyle w:val="FootnoteReference"/>
        </w:rPr>
        <w:footnoteReference w:id="75"/>
      </w:r>
      <w:r w:rsidR="00FB3996" w:rsidRPr="004744C5">
        <w:t xml:space="preserve"> The Commission also left the geographic market definition open.</w:t>
      </w:r>
      <w:r w:rsidR="00FA66A0" w:rsidRPr="004744C5">
        <w:rPr>
          <w:rStyle w:val="FootnoteReference"/>
        </w:rPr>
        <w:footnoteReference w:id="76"/>
      </w:r>
    </w:p>
    <w:p w14:paraId="4168200E" w14:textId="77777777" w:rsidR="00AF6423" w:rsidRPr="004744C5" w:rsidRDefault="00AF6423" w:rsidP="00B423F8">
      <w:pPr>
        <w:pStyle w:val="NumPar1"/>
        <w:numPr>
          <w:ilvl w:val="0"/>
          <w:numId w:val="2"/>
        </w:numPr>
        <w:ind w:left="851" w:hanging="851"/>
      </w:pPr>
      <w:r w:rsidRPr="004744C5">
        <w:t>For the purposes of the present case, the exact definitions of the product and geographical markets for (</w:t>
      </w:r>
      <w:proofErr w:type="spellStart"/>
      <w:r w:rsidRPr="004744C5">
        <w:t>i</w:t>
      </w:r>
      <w:proofErr w:type="spellEnd"/>
      <w:r w:rsidRPr="004744C5">
        <w:t>) the distribution of enterprise computer and storage products, IT solutions and services and, (ii) the distribution of finished electronic and computer products, can be left open, since no serious doubts as to the compatibility of the Transaction with the internal market arise under any plausible alternative product and geographic market definition.</w:t>
      </w:r>
      <w:r w:rsidR="00EA3459" w:rsidRPr="004744C5">
        <w:t xml:space="preserve"> This </w:t>
      </w:r>
      <w:r w:rsidR="00C44CBE" w:rsidRPr="004744C5">
        <w:t xml:space="preserve">would </w:t>
      </w:r>
      <w:r w:rsidR="00EA3459" w:rsidRPr="004744C5">
        <w:t xml:space="preserve">also </w:t>
      </w:r>
      <w:r w:rsidR="00C44CBE" w:rsidRPr="004744C5">
        <w:t>apply to the case</w:t>
      </w:r>
      <w:r w:rsidR="00EA3459" w:rsidRPr="004744C5">
        <w:t xml:space="preserve"> </w:t>
      </w:r>
      <w:r w:rsidR="00C44CBE" w:rsidRPr="004744C5">
        <w:t xml:space="preserve">where </w:t>
      </w:r>
      <w:r w:rsidR="00EA3459" w:rsidRPr="004744C5">
        <w:t>these two market</w:t>
      </w:r>
      <w:r w:rsidR="0045473C" w:rsidRPr="004744C5">
        <w:t xml:space="preserve"> segments</w:t>
      </w:r>
      <w:r w:rsidR="00EA3459" w:rsidRPr="004744C5">
        <w:t xml:space="preserve"> may eventually be considered a single product market.</w:t>
      </w:r>
      <w:r w:rsidR="008A5BC4" w:rsidRPr="004744C5">
        <w:rPr>
          <w:rStyle w:val="FootnoteReference"/>
        </w:rPr>
        <w:footnoteReference w:id="77"/>
      </w:r>
      <w:r w:rsidR="00EA3459" w:rsidRPr="004744C5">
        <w:t xml:space="preserve"> </w:t>
      </w:r>
    </w:p>
    <w:p w14:paraId="4168200F" w14:textId="77777777" w:rsidR="006B4781" w:rsidRPr="004744C5" w:rsidRDefault="006B4781" w:rsidP="00605611">
      <w:pPr>
        <w:pStyle w:val="Heading1"/>
      </w:pPr>
      <w:r w:rsidRPr="004744C5">
        <w:t>COMPETITIVE ASSESSMENT</w:t>
      </w:r>
    </w:p>
    <w:p w14:paraId="41682010" w14:textId="77777777" w:rsidR="00C50AD8" w:rsidRPr="004744C5" w:rsidRDefault="00C50AD8" w:rsidP="00B423F8">
      <w:pPr>
        <w:pStyle w:val="NumPar1"/>
        <w:numPr>
          <w:ilvl w:val="0"/>
          <w:numId w:val="2"/>
        </w:numPr>
        <w:ind w:left="851" w:hanging="851"/>
      </w:pPr>
      <w:r w:rsidRPr="004744C5">
        <w:t xml:space="preserve">The </w:t>
      </w:r>
      <w:r w:rsidR="00D949B3" w:rsidRPr="004744C5">
        <w:t>T</w:t>
      </w:r>
      <w:r w:rsidRPr="004744C5">
        <w:t>ransaction gives rise to the following horizontally affected market</w:t>
      </w:r>
      <w:r w:rsidR="00BD2FA5" w:rsidRPr="004744C5">
        <w:t>s</w:t>
      </w:r>
      <w:r w:rsidR="00B67610" w:rsidRPr="004744C5">
        <w:t xml:space="preserve"> in the market for wholesale distribution of electronic components</w:t>
      </w:r>
      <w:r w:rsidRPr="004744C5">
        <w:t>:</w:t>
      </w:r>
    </w:p>
    <w:p w14:paraId="41682011" w14:textId="77777777" w:rsidR="00C50AD8" w:rsidRPr="004744C5" w:rsidRDefault="00C50AD8" w:rsidP="00F2295E">
      <w:pPr>
        <w:pStyle w:val="NumPar1"/>
        <w:ind w:left="855" w:hanging="495"/>
      </w:pPr>
      <w:r w:rsidRPr="004744C5">
        <w:t xml:space="preserve">- </w:t>
      </w:r>
      <w:r w:rsidR="00F611A6" w:rsidRPr="004744C5">
        <w:tab/>
      </w:r>
      <w:r w:rsidR="00F611A6" w:rsidRPr="004744C5">
        <w:tab/>
      </w:r>
      <w:r w:rsidR="009335ED" w:rsidRPr="004744C5">
        <w:t>Overall</w:t>
      </w:r>
      <w:r w:rsidRPr="004744C5">
        <w:t xml:space="preserve"> wholesale </w:t>
      </w:r>
      <w:r w:rsidR="009335ED" w:rsidRPr="004744C5">
        <w:t xml:space="preserve">market for the </w:t>
      </w:r>
      <w:r w:rsidRPr="004744C5">
        <w:t>distribution of electronic components</w:t>
      </w:r>
      <w:r w:rsidR="009335ED" w:rsidRPr="004744C5">
        <w:t xml:space="preserve"> in:</w:t>
      </w:r>
      <w:r w:rsidRPr="004744C5">
        <w:t xml:space="preserve">  the EEA, </w:t>
      </w:r>
      <w:r w:rsidR="009335ED" w:rsidRPr="004744C5">
        <w:t xml:space="preserve">Austria, Belgium, Bulgaria, Croatia, Czech Republic, Denmark, France, Germany, Ireland, Italy, Latvia, </w:t>
      </w:r>
      <w:r w:rsidR="00F63BDA" w:rsidRPr="004744C5">
        <w:t xml:space="preserve">the Netherlands, Romania, </w:t>
      </w:r>
      <w:r w:rsidR="009335ED" w:rsidRPr="004744C5">
        <w:t>Spain, Slovakia, Slovenia, Sweden</w:t>
      </w:r>
      <w:r w:rsidR="00F63BDA" w:rsidRPr="004744C5">
        <w:t xml:space="preserve"> and the United Kingdom</w:t>
      </w:r>
      <w:r w:rsidR="009335ED" w:rsidRPr="004744C5">
        <w:t>.</w:t>
      </w:r>
    </w:p>
    <w:p w14:paraId="41682012" w14:textId="77777777" w:rsidR="00C50AD8" w:rsidRPr="004744C5" w:rsidRDefault="00C50AD8" w:rsidP="00B423F8">
      <w:pPr>
        <w:pStyle w:val="NumPar1"/>
        <w:numPr>
          <w:ilvl w:val="0"/>
          <w:numId w:val="2"/>
        </w:numPr>
        <w:ind w:left="851" w:hanging="851"/>
      </w:pPr>
      <w:r w:rsidRPr="004744C5">
        <w:t xml:space="preserve">If the market for the wholesale distribution of electronic components is </w:t>
      </w:r>
      <w:r w:rsidR="00BD2FA5" w:rsidRPr="004744C5">
        <w:t xml:space="preserve">further </w:t>
      </w:r>
      <w:r w:rsidRPr="004744C5">
        <w:t>segmented</w:t>
      </w:r>
      <w:r w:rsidR="00C0415D" w:rsidRPr="004744C5">
        <w:t xml:space="preserve"> by p</w:t>
      </w:r>
      <w:r w:rsidR="00BD2FA5" w:rsidRPr="004744C5">
        <w:t>roduct category</w:t>
      </w:r>
      <w:r w:rsidRPr="004744C5">
        <w:t xml:space="preserve">, the </w:t>
      </w:r>
      <w:r w:rsidR="00D949B3" w:rsidRPr="004744C5">
        <w:t>T</w:t>
      </w:r>
      <w:r w:rsidRPr="004744C5">
        <w:t>ransaction would give rise to the following horizontally affected markets:</w:t>
      </w:r>
    </w:p>
    <w:p w14:paraId="41682013" w14:textId="77777777" w:rsidR="00C50AD8" w:rsidRPr="004744C5" w:rsidRDefault="00C50AD8" w:rsidP="00F2295E">
      <w:pPr>
        <w:pStyle w:val="NumPar1"/>
        <w:ind w:left="720" w:hanging="360"/>
      </w:pPr>
      <w:r w:rsidRPr="004744C5">
        <w:lastRenderedPageBreak/>
        <w:t xml:space="preserve">- </w:t>
      </w:r>
      <w:r w:rsidR="00F611A6" w:rsidRPr="004744C5">
        <w:tab/>
      </w:r>
      <w:r w:rsidRPr="004744C5">
        <w:t>The wholesale distribution</w:t>
      </w:r>
      <w:r w:rsidR="000563C4" w:rsidRPr="004744C5">
        <w:t xml:space="preserve"> of semic</w:t>
      </w:r>
      <w:r w:rsidRPr="004744C5">
        <w:t xml:space="preserve">onductors in: </w:t>
      </w:r>
      <w:r w:rsidR="000563C4" w:rsidRPr="004744C5">
        <w:t xml:space="preserve">the EEA, Austria, Belgium, Bulgaria, Croatia, Czech Republic, Denmark, Finland, France, Germany, Hungary, Ireland, Italy, Lithuania, Latvia, </w:t>
      </w:r>
      <w:r w:rsidR="00F63BDA" w:rsidRPr="004744C5">
        <w:t xml:space="preserve">the Netherlands, </w:t>
      </w:r>
      <w:r w:rsidR="000563C4" w:rsidRPr="004744C5">
        <w:t xml:space="preserve">Norway, Poland, Portugal, </w:t>
      </w:r>
      <w:r w:rsidR="00F63BDA" w:rsidRPr="004744C5">
        <w:t xml:space="preserve">Romania, </w:t>
      </w:r>
      <w:r w:rsidR="000563C4" w:rsidRPr="004744C5">
        <w:t>Spain, Slovakia, Slovenia, Sweden</w:t>
      </w:r>
      <w:r w:rsidR="00F63BDA" w:rsidRPr="004744C5">
        <w:t xml:space="preserve"> and the United Kingdom</w:t>
      </w:r>
      <w:r w:rsidR="000563C4" w:rsidRPr="004744C5">
        <w:t>.</w:t>
      </w:r>
    </w:p>
    <w:p w14:paraId="41682014" w14:textId="77777777" w:rsidR="000563C4" w:rsidRPr="004744C5" w:rsidRDefault="000563C4" w:rsidP="00F2295E">
      <w:pPr>
        <w:pStyle w:val="NumPar1"/>
        <w:ind w:left="720" w:hanging="360"/>
      </w:pPr>
      <w:r w:rsidRPr="004744C5">
        <w:t xml:space="preserve">- </w:t>
      </w:r>
      <w:r w:rsidR="00F611A6" w:rsidRPr="004744C5">
        <w:tab/>
      </w:r>
      <w:r w:rsidRPr="004744C5">
        <w:t xml:space="preserve">The wholesale distribution of passive components in: Latvia, </w:t>
      </w:r>
      <w:r w:rsidR="00F63BDA" w:rsidRPr="004744C5">
        <w:t xml:space="preserve">Romania, </w:t>
      </w:r>
      <w:r w:rsidRPr="004744C5">
        <w:t xml:space="preserve">Slovenia </w:t>
      </w:r>
      <w:r w:rsidR="00F63BDA" w:rsidRPr="004744C5">
        <w:t>and the United Kingdom</w:t>
      </w:r>
      <w:r w:rsidRPr="004744C5">
        <w:t>.</w:t>
      </w:r>
    </w:p>
    <w:p w14:paraId="41682015" w14:textId="77777777" w:rsidR="00C50AD8" w:rsidRPr="004744C5" w:rsidRDefault="00C50AD8" w:rsidP="00F2295E">
      <w:pPr>
        <w:pStyle w:val="NumPar1"/>
        <w:ind w:left="720" w:hanging="360"/>
      </w:pPr>
      <w:r w:rsidRPr="004744C5">
        <w:t xml:space="preserve">- </w:t>
      </w:r>
      <w:r w:rsidR="00F611A6" w:rsidRPr="004744C5">
        <w:tab/>
      </w:r>
      <w:r w:rsidRPr="004744C5">
        <w:t xml:space="preserve">The wholesale distribution of </w:t>
      </w:r>
      <w:r w:rsidR="009335ED" w:rsidRPr="004744C5">
        <w:t xml:space="preserve">electromechanical and interconnect components </w:t>
      </w:r>
      <w:r w:rsidRPr="004744C5">
        <w:t>in</w:t>
      </w:r>
      <w:r w:rsidR="000563C4" w:rsidRPr="004744C5">
        <w:t xml:space="preserve">: Belgium, Denmark, </w:t>
      </w:r>
      <w:r w:rsidR="00F63BDA" w:rsidRPr="004744C5">
        <w:t xml:space="preserve">the Netherlands, Slovenia and </w:t>
      </w:r>
      <w:r w:rsidR="000563C4" w:rsidRPr="004744C5">
        <w:t>the U</w:t>
      </w:r>
      <w:r w:rsidR="00030B16" w:rsidRPr="004744C5">
        <w:t xml:space="preserve">nited </w:t>
      </w:r>
      <w:r w:rsidR="000563C4" w:rsidRPr="004744C5">
        <w:t>K</w:t>
      </w:r>
      <w:r w:rsidR="00030B16" w:rsidRPr="004744C5">
        <w:t>ingdom</w:t>
      </w:r>
      <w:r w:rsidR="000563C4" w:rsidRPr="004744C5">
        <w:t>.</w:t>
      </w:r>
    </w:p>
    <w:p w14:paraId="41682016" w14:textId="77777777" w:rsidR="00C50AD8" w:rsidRPr="004744C5" w:rsidRDefault="00C50AD8" w:rsidP="00F2295E">
      <w:pPr>
        <w:pStyle w:val="NumPar1"/>
        <w:ind w:left="720" w:hanging="360"/>
      </w:pPr>
      <w:r w:rsidRPr="004744C5">
        <w:t xml:space="preserve">- </w:t>
      </w:r>
      <w:r w:rsidR="00F611A6" w:rsidRPr="004744C5">
        <w:tab/>
      </w:r>
      <w:r w:rsidRPr="004744C5">
        <w:t xml:space="preserve">The wholesale distribution of embedded products in: </w:t>
      </w:r>
      <w:r w:rsidR="000563C4" w:rsidRPr="004744C5">
        <w:t>Austria, Finland and Germany</w:t>
      </w:r>
      <w:r w:rsidR="00C0415D" w:rsidRPr="004744C5">
        <w:t>.</w:t>
      </w:r>
    </w:p>
    <w:p w14:paraId="41682017" w14:textId="77777777" w:rsidR="00F63BDA" w:rsidRPr="004744C5" w:rsidRDefault="00C50AD8" w:rsidP="00B423F8">
      <w:pPr>
        <w:pStyle w:val="NumPar1"/>
        <w:numPr>
          <w:ilvl w:val="0"/>
          <w:numId w:val="2"/>
        </w:numPr>
        <w:ind w:left="851" w:hanging="851"/>
      </w:pPr>
      <w:r w:rsidRPr="004744C5">
        <w:t xml:space="preserve">The </w:t>
      </w:r>
      <w:r w:rsidR="00D949B3" w:rsidRPr="004744C5">
        <w:t>T</w:t>
      </w:r>
      <w:r w:rsidRPr="004744C5">
        <w:t xml:space="preserve">ransaction </w:t>
      </w:r>
      <w:r w:rsidR="00F63BDA" w:rsidRPr="004744C5">
        <w:t>would give rise to vertically affected markets in relation to those markets for the distribution of electronic components where the Parties have over 30% market share, in that Avnet is active in selling some electronic components to competing distributors of electronic components, namely:</w:t>
      </w:r>
    </w:p>
    <w:p w14:paraId="41682018" w14:textId="77777777" w:rsidR="00F63BDA" w:rsidRPr="004744C5" w:rsidRDefault="00F63BDA" w:rsidP="00B423F8">
      <w:pPr>
        <w:pStyle w:val="NumPar1"/>
        <w:numPr>
          <w:ilvl w:val="1"/>
          <w:numId w:val="2"/>
        </w:numPr>
      </w:pPr>
      <w:r w:rsidRPr="004744C5">
        <w:t>The overall wholesale market for electronic components in Belgium, Czech Republic, Denmark, France, Romania, Slovakia, Slovenia and the United Kingdom.</w:t>
      </w:r>
    </w:p>
    <w:p w14:paraId="41682019" w14:textId="77777777" w:rsidR="00F63BDA" w:rsidRPr="004744C5" w:rsidRDefault="00F63BDA" w:rsidP="00B423F8">
      <w:pPr>
        <w:pStyle w:val="NumPar1"/>
        <w:numPr>
          <w:ilvl w:val="1"/>
          <w:numId w:val="2"/>
        </w:numPr>
      </w:pPr>
      <w:r w:rsidRPr="004744C5">
        <w:t>The wholesale distribution of semiconductors in the EEA, Austria, Belgium, Bulgaria, Czech Republic, Denmark, France, Germany, Ireland, Italy, Lithuania, the Netherlands, Norway, Poland, Portugal, Romania, Spain, Slovakia, Slovenia, Sweden and the United Kingdom.</w:t>
      </w:r>
    </w:p>
    <w:p w14:paraId="4168201A" w14:textId="77777777" w:rsidR="00F63BDA" w:rsidRPr="004744C5" w:rsidRDefault="00F63BDA" w:rsidP="00B423F8">
      <w:pPr>
        <w:pStyle w:val="NumPar1"/>
        <w:numPr>
          <w:ilvl w:val="1"/>
          <w:numId w:val="2"/>
        </w:numPr>
      </w:pPr>
      <w:r w:rsidRPr="004744C5">
        <w:t>The wholesale distribution of electromechanical and interconnect components in</w:t>
      </w:r>
      <w:r w:rsidR="00961580" w:rsidRPr="004744C5">
        <w:t xml:space="preserve"> Denmark and the Netherlands. </w:t>
      </w:r>
    </w:p>
    <w:p w14:paraId="4168201B" w14:textId="77777777" w:rsidR="009335ED" w:rsidRPr="004744C5" w:rsidRDefault="003560B5" w:rsidP="0093569E">
      <w:pPr>
        <w:pStyle w:val="Heading2"/>
      </w:pPr>
      <w:bookmarkStart w:id="9" w:name="_Ref462752609"/>
      <w:r w:rsidRPr="004744C5">
        <w:t xml:space="preserve">Horizontal </w:t>
      </w:r>
      <w:r w:rsidR="00EC70E4" w:rsidRPr="004744C5">
        <w:t>assessment</w:t>
      </w:r>
      <w:bookmarkEnd w:id="9"/>
      <w:r w:rsidR="00821470" w:rsidRPr="004744C5">
        <w:t xml:space="preserve"> </w:t>
      </w:r>
    </w:p>
    <w:p w14:paraId="4168201C" w14:textId="77777777" w:rsidR="00C50AD8" w:rsidRPr="004744C5" w:rsidRDefault="00C50AD8" w:rsidP="00C50AD8">
      <w:pPr>
        <w:pStyle w:val="Heading4"/>
      </w:pPr>
      <w:r w:rsidRPr="004744C5">
        <w:t>Notifying Party's view</w:t>
      </w:r>
    </w:p>
    <w:p w14:paraId="4168201D" w14:textId="77777777" w:rsidR="00821470" w:rsidRPr="004744C5" w:rsidRDefault="000E2BD5" w:rsidP="00B423F8">
      <w:pPr>
        <w:pStyle w:val="NumPar1"/>
        <w:numPr>
          <w:ilvl w:val="0"/>
          <w:numId w:val="2"/>
        </w:numPr>
        <w:ind w:left="851" w:hanging="851"/>
      </w:pPr>
      <w:r w:rsidRPr="004744C5">
        <w:t xml:space="preserve">The Notifying Party submits that the Transaction does not give rise to competition concerns neither in the overall market for the wholesale distribution of electronic components nor in any of its possible segments both in the EEA and at the national level since the increment brought about to Avnet's share by Premier </w:t>
      </w:r>
      <w:proofErr w:type="spellStart"/>
      <w:r w:rsidRPr="004744C5">
        <w:t>Farnell</w:t>
      </w:r>
      <w:proofErr w:type="spellEnd"/>
      <w:r w:rsidRPr="004744C5">
        <w:t xml:space="preserve"> is very small and the Transaction would therefore have </w:t>
      </w:r>
      <w:r w:rsidR="0047089D" w:rsidRPr="004744C5">
        <w:t xml:space="preserve">a </w:t>
      </w:r>
      <w:r w:rsidRPr="004744C5">
        <w:t>limited effect. In addition, the Notifying Party submits that, post-</w:t>
      </w:r>
      <w:r w:rsidR="00CA63E2" w:rsidRPr="004744C5">
        <w:t>Transaction</w:t>
      </w:r>
      <w:r w:rsidRPr="004744C5">
        <w:t xml:space="preserve">, the Parties will continue to face strong competition from other market players such as Arrow, </w:t>
      </w:r>
      <w:proofErr w:type="spellStart"/>
      <w:r w:rsidRPr="004744C5">
        <w:t>Rutronik</w:t>
      </w:r>
      <w:proofErr w:type="spellEnd"/>
      <w:r w:rsidRPr="004744C5">
        <w:t xml:space="preserve"> Group, Future Group, TTI Group and </w:t>
      </w:r>
      <w:proofErr w:type="spellStart"/>
      <w:r w:rsidRPr="004744C5">
        <w:t>Electrocomponents</w:t>
      </w:r>
      <w:proofErr w:type="spellEnd"/>
      <w:r w:rsidRPr="004744C5">
        <w:t xml:space="preserve"> Group, as well as from a number of other smaller distributors.</w:t>
      </w:r>
    </w:p>
    <w:p w14:paraId="4168201E" w14:textId="77777777" w:rsidR="0093569E" w:rsidRPr="004744C5" w:rsidRDefault="00C50AD8">
      <w:pPr>
        <w:pStyle w:val="Heading4"/>
      </w:pPr>
      <w:bookmarkStart w:id="10" w:name="_Ref463360920"/>
      <w:r w:rsidRPr="004744C5">
        <w:t>Commission's assessment</w:t>
      </w:r>
      <w:bookmarkEnd w:id="10"/>
    </w:p>
    <w:p w14:paraId="4168201F" w14:textId="398C5E3C" w:rsidR="0060677A" w:rsidRDefault="000E2BD5" w:rsidP="00B423F8">
      <w:pPr>
        <w:pStyle w:val="NumPar1"/>
        <w:numPr>
          <w:ilvl w:val="0"/>
          <w:numId w:val="2"/>
        </w:numPr>
        <w:ind w:left="851" w:hanging="851"/>
      </w:pPr>
      <w:r w:rsidRPr="004744C5">
        <w:t xml:space="preserve">The </w:t>
      </w:r>
      <w:r w:rsidR="00F611A6" w:rsidRPr="004744C5">
        <w:t>following</w:t>
      </w:r>
      <w:r w:rsidRPr="004744C5">
        <w:t xml:space="preserve"> table </w:t>
      </w:r>
      <w:r w:rsidR="00F611A6" w:rsidRPr="004744C5">
        <w:t>indicates</w:t>
      </w:r>
      <w:r w:rsidRPr="004744C5">
        <w:t xml:space="preserve"> the Parties' market shares for 2015 in the overall wholesale market for distribution of electronic components as well as in its possible segments</w:t>
      </w:r>
      <w:r w:rsidR="001527E5" w:rsidRPr="004744C5">
        <w:t>.</w:t>
      </w:r>
    </w:p>
    <w:p w14:paraId="5907F278" w14:textId="77777777" w:rsidR="0060677A" w:rsidRDefault="0060677A">
      <w:pPr>
        <w:spacing w:after="0"/>
        <w:jc w:val="left"/>
        <w:rPr>
          <w:rFonts w:ascii="Times New Roman Bold" w:hAnsi="Times New Roman Bold"/>
        </w:rPr>
      </w:pPr>
      <w:r>
        <w:br w:type="page"/>
      </w:r>
    </w:p>
    <w:p w14:paraId="41682020" w14:textId="77777777" w:rsidR="00D00B8D" w:rsidRPr="004744C5" w:rsidRDefault="006A39E4" w:rsidP="00061F52">
      <w:pPr>
        <w:pStyle w:val="NumPar1"/>
        <w:jc w:val="center"/>
        <w:rPr>
          <w:b/>
          <w:sz w:val="22"/>
          <w:szCs w:val="22"/>
        </w:rPr>
      </w:pPr>
      <w:r w:rsidRPr="004744C5">
        <w:rPr>
          <w:b/>
          <w:sz w:val="22"/>
          <w:szCs w:val="22"/>
        </w:rPr>
        <w:lastRenderedPageBreak/>
        <w:t xml:space="preserve">Table 1 – </w:t>
      </w:r>
      <w:r w:rsidR="007E6864" w:rsidRPr="004744C5">
        <w:rPr>
          <w:b/>
          <w:sz w:val="22"/>
          <w:szCs w:val="22"/>
        </w:rPr>
        <w:t xml:space="preserve">Overview of </w:t>
      </w:r>
      <w:r w:rsidRPr="004744C5">
        <w:rPr>
          <w:b/>
          <w:sz w:val="22"/>
          <w:szCs w:val="22"/>
        </w:rPr>
        <w:t>Parties' market shares</w:t>
      </w:r>
    </w:p>
    <w:tbl>
      <w:tblPr>
        <w:tblStyle w:val="TableGrid1"/>
        <w:tblW w:w="9412" w:type="dxa"/>
        <w:tblInd w:w="-443" w:type="dxa"/>
        <w:tblLayout w:type="fixed"/>
        <w:tblLook w:val="04A0" w:firstRow="1" w:lastRow="0" w:firstColumn="1" w:lastColumn="0" w:noHBand="0" w:noVBand="1"/>
      </w:tblPr>
      <w:tblGrid>
        <w:gridCol w:w="1068"/>
        <w:gridCol w:w="862"/>
        <w:gridCol w:w="981"/>
        <w:gridCol w:w="701"/>
        <w:gridCol w:w="842"/>
        <w:gridCol w:w="775"/>
        <w:gridCol w:w="842"/>
        <w:gridCol w:w="859"/>
        <w:gridCol w:w="800"/>
        <w:gridCol w:w="701"/>
        <w:gridCol w:w="981"/>
      </w:tblGrid>
      <w:tr w:rsidR="00D00B8D" w:rsidRPr="004744C5" w14:paraId="41682027" w14:textId="77777777" w:rsidTr="00300A85">
        <w:trPr>
          <w:trHeight w:val="172"/>
        </w:trPr>
        <w:tc>
          <w:tcPr>
            <w:tcW w:w="1068" w:type="dxa"/>
            <w:vMerge w:val="restart"/>
            <w:shd w:val="clear" w:color="auto" w:fill="C2D69B" w:themeFill="accent3" w:themeFillTint="99"/>
          </w:tcPr>
          <w:p w14:paraId="41682021"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2015</w:t>
            </w:r>
          </w:p>
        </w:tc>
        <w:tc>
          <w:tcPr>
            <w:tcW w:w="1843" w:type="dxa"/>
            <w:gridSpan w:val="2"/>
          </w:tcPr>
          <w:p w14:paraId="41682022"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Total Components</w:t>
            </w:r>
          </w:p>
        </w:tc>
        <w:tc>
          <w:tcPr>
            <w:tcW w:w="1543" w:type="dxa"/>
            <w:gridSpan w:val="2"/>
          </w:tcPr>
          <w:p w14:paraId="41682023"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Semiconductors</w:t>
            </w:r>
          </w:p>
        </w:tc>
        <w:tc>
          <w:tcPr>
            <w:tcW w:w="1617" w:type="dxa"/>
            <w:gridSpan w:val="2"/>
          </w:tcPr>
          <w:p w14:paraId="41682024"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Passives</w:t>
            </w:r>
          </w:p>
        </w:tc>
        <w:tc>
          <w:tcPr>
            <w:tcW w:w="1659" w:type="dxa"/>
            <w:gridSpan w:val="2"/>
          </w:tcPr>
          <w:p w14:paraId="41682025"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E-</w:t>
            </w:r>
            <w:proofErr w:type="spellStart"/>
            <w:r w:rsidRPr="004744C5">
              <w:rPr>
                <w:rFonts w:ascii="Times New Roman" w:hAnsi="Times New Roman"/>
                <w:b/>
                <w:sz w:val="14"/>
                <w:szCs w:val="14"/>
                <w:lang w:eastAsia="en-US"/>
              </w:rPr>
              <w:t>mech</w:t>
            </w:r>
            <w:proofErr w:type="spellEnd"/>
          </w:p>
        </w:tc>
        <w:tc>
          <w:tcPr>
            <w:tcW w:w="1682" w:type="dxa"/>
            <w:gridSpan w:val="2"/>
          </w:tcPr>
          <w:p w14:paraId="41682026"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Embedded</w:t>
            </w:r>
          </w:p>
        </w:tc>
      </w:tr>
      <w:tr w:rsidR="00AD518A" w:rsidRPr="004744C5" w14:paraId="41682033" w14:textId="77777777" w:rsidTr="00300A85">
        <w:trPr>
          <w:trHeight w:val="460"/>
        </w:trPr>
        <w:tc>
          <w:tcPr>
            <w:tcW w:w="1068" w:type="dxa"/>
            <w:vMerge/>
            <w:shd w:val="clear" w:color="auto" w:fill="C2D69B" w:themeFill="accent3" w:themeFillTint="99"/>
          </w:tcPr>
          <w:p w14:paraId="41682028" w14:textId="77777777" w:rsidR="00D00B8D" w:rsidRPr="004744C5" w:rsidRDefault="00D00B8D" w:rsidP="00AD518A">
            <w:pPr>
              <w:spacing w:after="0" w:line="276" w:lineRule="auto"/>
              <w:jc w:val="center"/>
              <w:rPr>
                <w:rFonts w:ascii="Times New Roman" w:hAnsi="Times New Roman"/>
                <w:b/>
                <w:sz w:val="14"/>
                <w:szCs w:val="14"/>
                <w:lang w:eastAsia="en-US"/>
              </w:rPr>
            </w:pPr>
          </w:p>
        </w:tc>
        <w:tc>
          <w:tcPr>
            <w:tcW w:w="862" w:type="dxa"/>
          </w:tcPr>
          <w:p w14:paraId="41682029"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inc</w:t>
            </w:r>
            <w:r w:rsidR="00104BE4" w:rsidRPr="004744C5">
              <w:rPr>
                <w:rFonts w:ascii="Times New Roman" w:hAnsi="Times New Roman"/>
                <w:b/>
                <w:sz w:val="14"/>
                <w:szCs w:val="14"/>
                <w:lang w:eastAsia="en-US"/>
              </w:rPr>
              <w:t>rement</w:t>
            </w:r>
          </w:p>
        </w:tc>
        <w:tc>
          <w:tcPr>
            <w:tcW w:w="981" w:type="dxa"/>
          </w:tcPr>
          <w:p w14:paraId="4168202A"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Combined</w:t>
            </w:r>
          </w:p>
        </w:tc>
        <w:tc>
          <w:tcPr>
            <w:tcW w:w="701" w:type="dxa"/>
          </w:tcPr>
          <w:p w14:paraId="4168202B" w14:textId="77777777" w:rsidR="00D00B8D" w:rsidRPr="004744C5" w:rsidRDefault="00D00B8D" w:rsidP="00AD518A">
            <w:pPr>
              <w:spacing w:after="0" w:line="276" w:lineRule="auto"/>
              <w:jc w:val="center"/>
              <w:rPr>
                <w:rFonts w:ascii="Times New Roman" w:hAnsi="Times New Roman"/>
                <w:b/>
                <w:sz w:val="14"/>
                <w:szCs w:val="14"/>
                <w:lang w:eastAsia="en-US"/>
              </w:rPr>
            </w:pPr>
            <w:proofErr w:type="spellStart"/>
            <w:r w:rsidRPr="004744C5">
              <w:rPr>
                <w:rFonts w:ascii="Times New Roman" w:hAnsi="Times New Roman"/>
                <w:b/>
                <w:sz w:val="14"/>
                <w:szCs w:val="14"/>
                <w:lang w:eastAsia="en-US"/>
              </w:rPr>
              <w:t>inc.</w:t>
            </w:r>
            <w:proofErr w:type="spellEnd"/>
          </w:p>
        </w:tc>
        <w:tc>
          <w:tcPr>
            <w:tcW w:w="842" w:type="dxa"/>
          </w:tcPr>
          <w:p w14:paraId="4168202C"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Combined</w:t>
            </w:r>
          </w:p>
        </w:tc>
        <w:tc>
          <w:tcPr>
            <w:tcW w:w="775" w:type="dxa"/>
          </w:tcPr>
          <w:p w14:paraId="4168202D" w14:textId="77777777" w:rsidR="00D00B8D" w:rsidRPr="004744C5" w:rsidRDefault="00D00B8D" w:rsidP="00AD518A">
            <w:pPr>
              <w:spacing w:after="0" w:line="276" w:lineRule="auto"/>
              <w:jc w:val="center"/>
              <w:rPr>
                <w:rFonts w:ascii="Times New Roman" w:hAnsi="Times New Roman"/>
                <w:b/>
                <w:sz w:val="14"/>
                <w:szCs w:val="14"/>
                <w:lang w:eastAsia="en-US"/>
              </w:rPr>
            </w:pPr>
            <w:proofErr w:type="spellStart"/>
            <w:r w:rsidRPr="004744C5">
              <w:rPr>
                <w:rFonts w:ascii="Times New Roman" w:hAnsi="Times New Roman"/>
                <w:b/>
                <w:sz w:val="14"/>
                <w:szCs w:val="14"/>
                <w:lang w:eastAsia="en-US"/>
              </w:rPr>
              <w:t>inc.</w:t>
            </w:r>
            <w:proofErr w:type="spellEnd"/>
          </w:p>
        </w:tc>
        <w:tc>
          <w:tcPr>
            <w:tcW w:w="842" w:type="dxa"/>
          </w:tcPr>
          <w:p w14:paraId="4168202E"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Combined</w:t>
            </w:r>
          </w:p>
        </w:tc>
        <w:tc>
          <w:tcPr>
            <w:tcW w:w="859" w:type="dxa"/>
          </w:tcPr>
          <w:p w14:paraId="4168202F" w14:textId="77777777" w:rsidR="00D00B8D" w:rsidRPr="004744C5" w:rsidRDefault="00D00B8D" w:rsidP="00AD518A">
            <w:pPr>
              <w:spacing w:after="0" w:line="276" w:lineRule="auto"/>
              <w:jc w:val="center"/>
              <w:rPr>
                <w:rFonts w:ascii="Times New Roman" w:hAnsi="Times New Roman"/>
                <w:b/>
                <w:sz w:val="14"/>
                <w:szCs w:val="14"/>
                <w:lang w:eastAsia="en-US"/>
              </w:rPr>
            </w:pPr>
            <w:proofErr w:type="spellStart"/>
            <w:r w:rsidRPr="004744C5">
              <w:rPr>
                <w:rFonts w:ascii="Times New Roman" w:hAnsi="Times New Roman"/>
                <w:b/>
                <w:sz w:val="14"/>
                <w:szCs w:val="14"/>
                <w:lang w:eastAsia="en-US"/>
              </w:rPr>
              <w:t>inc.</w:t>
            </w:r>
            <w:proofErr w:type="spellEnd"/>
          </w:p>
        </w:tc>
        <w:tc>
          <w:tcPr>
            <w:tcW w:w="800" w:type="dxa"/>
          </w:tcPr>
          <w:p w14:paraId="41682030"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Combined</w:t>
            </w:r>
          </w:p>
        </w:tc>
        <w:tc>
          <w:tcPr>
            <w:tcW w:w="701" w:type="dxa"/>
          </w:tcPr>
          <w:p w14:paraId="41682031" w14:textId="77777777" w:rsidR="00D00B8D" w:rsidRPr="004744C5" w:rsidRDefault="00D00B8D" w:rsidP="00AD518A">
            <w:pPr>
              <w:spacing w:after="0" w:line="276" w:lineRule="auto"/>
              <w:jc w:val="center"/>
              <w:rPr>
                <w:rFonts w:ascii="Times New Roman" w:hAnsi="Times New Roman"/>
                <w:b/>
                <w:sz w:val="14"/>
                <w:szCs w:val="14"/>
                <w:lang w:eastAsia="en-US"/>
              </w:rPr>
            </w:pPr>
            <w:proofErr w:type="spellStart"/>
            <w:r w:rsidRPr="004744C5">
              <w:rPr>
                <w:rFonts w:ascii="Times New Roman" w:hAnsi="Times New Roman"/>
                <w:b/>
                <w:sz w:val="14"/>
                <w:szCs w:val="14"/>
                <w:lang w:eastAsia="en-US"/>
              </w:rPr>
              <w:t>inc.</w:t>
            </w:r>
            <w:proofErr w:type="spellEnd"/>
          </w:p>
        </w:tc>
        <w:tc>
          <w:tcPr>
            <w:tcW w:w="981" w:type="dxa"/>
          </w:tcPr>
          <w:p w14:paraId="41682032" w14:textId="77777777" w:rsidR="00D00B8D" w:rsidRPr="004744C5" w:rsidRDefault="00D00B8D"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Combined</w:t>
            </w:r>
          </w:p>
        </w:tc>
      </w:tr>
      <w:tr w:rsidR="003F4AD4" w:rsidRPr="004744C5" w14:paraId="4168203F" w14:textId="77777777" w:rsidTr="00300A85">
        <w:trPr>
          <w:trHeight w:val="203"/>
        </w:trPr>
        <w:tc>
          <w:tcPr>
            <w:tcW w:w="1068" w:type="dxa"/>
          </w:tcPr>
          <w:p w14:paraId="41682034"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EEA</w:t>
            </w:r>
          </w:p>
        </w:tc>
        <w:tc>
          <w:tcPr>
            <w:tcW w:w="862" w:type="dxa"/>
          </w:tcPr>
          <w:p w14:paraId="41682035"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03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037"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38"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75" w:type="dxa"/>
          </w:tcPr>
          <w:p w14:paraId="4168203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3A"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03B"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03C"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3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3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r>
      <w:tr w:rsidR="003F4AD4" w:rsidRPr="004744C5" w14:paraId="4168204B" w14:textId="77777777" w:rsidTr="00300A85">
        <w:trPr>
          <w:trHeight w:val="203"/>
        </w:trPr>
        <w:tc>
          <w:tcPr>
            <w:tcW w:w="1068" w:type="dxa"/>
          </w:tcPr>
          <w:p w14:paraId="41682040"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Austria</w:t>
            </w:r>
          </w:p>
        </w:tc>
        <w:tc>
          <w:tcPr>
            <w:tcW w:w="862" w:type="dxa"/>
          </w:tcPr>
          <w:p w14:paraId="41682041"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04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043"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4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045"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46"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047"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04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4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auto"/>
          </w:tcPr>
          <w:p w14:paraId="4168204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r>
      <w:tr w:rsidR="003F4AD4" w:rsidRPr="004744C5" w14:paraId="41682057" w14:textId="77777777" w:rsidTr="00300A85">
        <w:trPr>
          <w:trHeight w:val="203"/>
        </w:trPr>
        <w:tc>
          <w:tcPr>
            <w:tcW w:w="1068" w:type="dxa"/>
          </w:tcPr>
          <w:p w14:paraId="4168204C"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Belgium</w:t>
            </w:r>
          </w:p>
        </w:tc>
        <w:tc>
          <w:tcPr>
            <w:tcW w:w="862" w:type="dxa"/>
          </w:tcPr>
          <w:p w14:paraId="4168204D"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04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01" w:type="dxa"/>
          </w:tcPr>
          <w:p w14:paraId="4168204F"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50"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[50-60]%</w:t>
            </w:r>
          </w:p>
        </w:tc>
        <w:tc>
          <w:tcPr>
            <w:tcW w:w="775" w:type="dxa"/>
          </w:tcPr>
          <w:p w14:paraId="41682051"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52"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053"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[10-20]%</w:t>
            </w:r>
          </w:p>
        </w:tc>
        <w:tc>
          <w:tcPr>
            <w:tcW w:w="800" w:type="dxa"/>
            <w:shd w:val="clear" w:color="auto" w:fill="BFBFBF" w:themeFill="background1" w:themeFillShade="BF"/>
          </w:tcPr>
          <w:p w14:paraId="4168205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055"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5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063" w14:textId="77777777" w:rsidTr="00300A85">
        <w:trPr>
          <w:trHeight w:val="203"/>
        </w:trPr>
        <w:tc>
          <w:tcPr>
            <w:tcW w:w="1068" w:type="dxa"/>
          </w:tcPr>
          <w:p w14:paraId="41682058"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Luxembourg</w:t>
            </w:r>
          </w:p>
        </w:tc>
        <w:tc>
          <w:tcPr>
            <w:tcW w:w="862" w:type="dxa"/>
          </w:tcPr>
          <w:p w14:paraId="41682059" w14:textId="77777777" w:rsidR="003F4AD4" w:rsidRPr="004744C5" w:rsidRDefault="00E92C0A" w:rsidP="00E92C0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r w:rsidR="003F4AD4" w:rsidRPr="004744C5">
              <w:rPr>
                <w:rFonts w:ascii="Times New Roman" w:hAnsi="Times New Roman"/>
                <w:i/>
                <w:sz w:val="14"/>
                <w:szCs w:val="14"/>
                <w:lang w:eastAsia="en-US"/>
              </w:rPr>
              <w:t>%</w:t>
            </w:r>
          </w:p>
        </w:tc>
        <w:tc>
          <w:tcPr>
            <w:tcW w:w="981" w:type="dxa"/>
            <w:shd w:val="clear" w:color="auto" w:fill="FFFFFF" w:themeFill="background1"/>
          </w:tcPr>
          <w:p w14:paraId="4168205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05B"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FFFFFF" w:themeFill="background1"/>
          </w:tcPr>
          <w:p w14:paraId="4168205C" w14:textId="77777777" w:rsidR="003F4AD4" w:rsidRPr="004744C5" w:rsidRDefault="003F4AD4" w:rsidP="003F4AD4">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05D"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5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859" w:type="dxa"/>
          </w:tcPr>
          <w:p w14:paraId="4168205F"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060"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061"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62"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06F" w14:textId="77777777" w:rsidTr="00300A85">
        <w:trPr>
          <w:trHeight w:val="203"/>
        </w:trPr>
        <w:tc>
          <w:tcPr>
            <w:tcW w:w="1068" w:type="dxa"/>
          </w:tcPr>
          <w:p w14:paraId="41682064"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Netherlands</w:t>
            </w:r>
          </w:p>
        </w:tc>
        <w:tc>
          <w:tcPr>
            <w:tcW w:w="862" w:type="dxa"/>
          </w:tcPr>
          <w:p w14:paraId="41682065"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981" w:type="dxa"/>
            <w:shd w:val="clear" w:color="auto" w:fill="BFBFBF" w:themeFill="background1" w:themeFillShade="BF"/>
          </w:tcPr>
          <w:p w14:paraId="4168206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067"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68"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75" w:type="dxa"/>
          </w:tcPr>
          <w:p w14:paraId="4168206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6A"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r w:rsidR="003F4AD4" w:rsidRPr="004744C5">
              <w:rPr>
                <w:rFonts w:ascii="Times New Roman" w:hAnsi="Times New Roman"/>
                <w:sz w:val="14"/>
                <w:szCs w:val="14"/>
                <w:lang w:eastAsia="en-US"/>
              </w:rPr>
              <w:t>%</w:t>
            </w:r>
          </w:p>
        </w:tc>
        <w:tc>
          <w:tcPr>
            <w:tcW w:w="859" w:type="dxa"/>
          </w:tcPr>
          <w:p w14:paraId="4168206B"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[20-30]%</w:t>
            </w:r>
          </w:p>
        </w:tc>
        <w:tc>
          <w:tcPr>
            <w:tcW w:w="800" w:type="dxa"/>
            <w:shd w:val="clear" w:color="auto" w:fill="BFBFBF" w:themeFill="background1" w:themeFillShade="BF"/>
          </w:tcPr>
          <w:p w14:paraId="4168206C" w14:textId="77777777" w:rsidR="003F4AD4" w:rsidRPr="004744C5" w:rsidRDefault="003F4AD4" w:rsidP="00BF32F2">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01" w:type="dxa"/>
          </w:tcPr>
          <w:p w14:paraId="4168206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6E"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r>
      <w:tr w:rsidR="003F4AD4" w:rsidRPr="004744C5" w14:paraId="4168207B" w14:textId="77777777" w:rsidTr="00300A85">
        <w:trPr>
          <w:trHeight w:val="203"/>
        </w:trPr>
        <w:tc>
          <w:tcPr>
            <w:tcW w:w="1068" w:type="dxa"/>
          </w:tcPr>
          <w:p w14:paraId="41682070"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Bulgaria</w:t>
            </w:r>
          </w:p>
        </w:tc>
        <w:tc>
          <w:tcPr>
            <w:tcW w:w="862" w:type="dxa"/>
          </w:tcPr>
          <w:p w14:paraId="41682071"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07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073"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7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075"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7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859" w:type="dxa"/>
          </w:tcPr>
          <w:p w14:paraId="41682077"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00" w:type="dxa"/>
          </w:tcPr>
          <w:p w14:paraId="4168207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79"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7A"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087" w14:textId="77777777" w:rsidTr="00300A85">
        <w:trPr>
          <w:trHeight w:val="203"/>
        </w:trPr>
        <w:tc>
          <w:tcPr>
            <w:tcW w:w="1068" w:type="dxa"/>
          </w:tcPr>
          <w:p w14:paraId="4168207C"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Cyprus</w:t>
            </w:r>
          </w:p>
        </w:tc>
        <w:tc>
          <w:tcPr>
            <w:tcW w:w="862" w:type="dxa"/>
          </w:tcPr>
          <w:p w14:paraId="4168207D"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07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[50-60]%</w:t>
            </w:r>
          </w:p>
        </w:tc>
        <w:tc>
          <w:tcPr>
            <w:tcW w:w="701" w:type="dxa"/>
          </w:tcPr>
          <w:p w14:paraId="4168207F"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FFFFFF" w:themeFill="background1"/>
          </w:tcPr>
          <w:p w14:paraId="41682080"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[50-60]%</w:t>
            </w:r>
          </w:p>
        </w:tc>
        <w:tc>
          <w:tcPr>
            <w:tcW w:w="775" w:type="dxa"/>
          </w:tcPr>
          <w:p w14:paraId="41682081"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8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859" w:type="dxa"/>
          </w:tcPr>
          <w:p w14:paraId="41682083"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08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701" w:type="dxa"/>
          </w:tcPr>
          <w:p w14:paraId="41682085"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86"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093" w14:textId="77777777" w:rsidTr="00300A85">
        <w:trPr>
          <w:trHeight w:val="203"/>
        </w:trPr>
        <w:tc>
          <w:tcPr>
            <w:tcW w:w="1068" w:type="dxa"/>
          </w:tcPr>
          <w:p w14:paraId="41682088"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Croatia</w:t>
            </w:r>
          </w:p>
        </w:tc>
        <w:tc>
          <w:tcPr>
            <w:tcW w:w="862" w:type="dxa"/>
          </w:tcPr>
          <w:p w14:paraId="41682089"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08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08B"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8C"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75" w:type="dxa"/>
          </w:tcPr>
          <w:p w14:paraId="4168208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42" w:type="dxa"/>
          </w:tcPr>
          <w:p w14:paraId="4168208E"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08F"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[10-20]%</w:t>
            </w:r>
          </w:p>
        </w:tc>
        <w:tc>
          <w:tcPr>
            <w:tcW w:w="800" w:type="dxa"/>
          </w:tcPr>
          <w:p w14:paraId="41682090"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91"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9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09F" w14:textId="77777777" w:rsidTr="00300A85">
        <w:trPr>
          <w:trHeight w:val="203"/>
        </w:trPr>
        <w:tc>
          <w:tcPr>
            <w:tcW w:w="1068" w:type="dxa"/>
          </w:tcPr>
          <w:p w14:paraId="41682094"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Czech Republic</w:t>
            </w:r>
          </w:p>
        </w:tc>
        <w:tc>
          <w:tcPr>
            <w:tcW w:w="862" w:type="dxa"/>
          </w:tcPr>
          <w:p w14:paraId="41682095"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096"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01" w:type="dxa"/>
          </w:tcPr>
          <w:p w14:paraId="41682097"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9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09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9A"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09B" w14:textId="77777777" w:rsidR="003F4AD4" w:rsidRPr="004744C5" w:rsidRDefault="003F4AD4" w:rsidP="00E92C0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00" w:type="dxa"/>
          </w:tcPr>
          <w:p w14:paraId="4168209C"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9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9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r>
      <w:tr w:rsidR="003F4AD4" w:rsidRPr="004744C5" w14:paraId="416820AB" w14:textId="77777777" w:rsidTr="00300A85">
        <w:trPr>
          <w:trHeight w:val="203"/>
        </w:trPr>
        <w:tc>
          <w:tcPr>
            <w:tcW w:w="1068" w:type="dxa"/>
          </w:tcPr>
          <w:p w14:paraId="416820A0"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Denmark</w:t>
            </w:r>
          </w:p>
        </w:tc>
        <w:tc>
          <w:tcPr>
            <w:tcW w:w="862" w:type="dxa"/>
          </w:tcPr>
          <w:p w14:paraId="416820A1"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0A2"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01" w:type="dxa"/>
          </w:tcPr>
          <w:p w14:paraId="416820A3"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A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0A5"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A6"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r w:rsidR="003F4AD4" w:rsidRPr="004744C5">
              <w:rPr>
                <w:rFonts w:ascii="Times New Roman" w:hAnsi="Times New Roman"/>
                <w:sz w:val="14"/>
                <w:szCs w:val="14"/>
                <w:lang w:eastAsia="en-US"/>
              </w:rPr>
              <w:t>%</w:t>
            </w:r>
          </w:p>
        </w:tc>
        <w:tc>
          <w:tcPr>
            <w:tcW w:w="859" w:type="dxa"/>
          </w:tcPr>
          <w:p w14:paraId="416820A7"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00" w:type="dxa"/>
            <w:shd w:val="clear" w:color="auto" w:fill="BFBFBF" w:themeFill="background1" w:themeFillShade="BF"/>
          </w:tcPr>
          <w:p w14:paraId="416820A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01" w:type="dxa"/>
          </w:tcPr>
          <w:p w14:paraId="416820A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A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r>
      <w:tr w:rsidR="003F4AD4" w:rsidRPr="004744C5" w14:paraId="416820B7" w14:textId="77777777" w:rsidTr="00300A85">
        <w:trPr>
          <w:trHeight w:val="203"/>
        </w:trPr>
        <w:tc>
          <w:tcPr>
            <w:tcW w:w="1068" w:type="dxa"/>
          </w:tcPr>
          <w:p w14:paraId="416820AC"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Estonia</w:t>
            </w:r>
          </w:p>
        </w:tc>
        <w:tc>
          <w:tcPr>
            <w:tcW w:w="862" w:type="dxa"/>
          </w:tcPr>
          <w:p w14:paraId="416820AD"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0A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AF"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FFFFFF" w:themeFill="background1"/>
          </w:tcPr>
          <w:p w14:paraId="416820B0"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75" w:type="dxa"/>
          </w:tcPr>
          <w:p w14:paraId="416820B1"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B2"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r w:rsidR="003F4AD4" w:rsidRPr="004744C5">
              <w:rPr>
                <w:rFonts w:ascii="Times New Roman" w:hAnsi="Times New Roman"/>
                <w:sz w:val="14"/>
                <w:szCs w:val="14"/>
                <w:lang w:eastAsia="en-US"/>
              </w:rPr>
              <w:t>%</w:t>
            </w:r>
          </w:p>
        </w:tc>
        <w:tc>
          <w:tcPr>
            <w:tcW w:w="859" w:type="dxa"/>
          </w:tcPr>
          <w:p w14:paraId="416820B3"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00" w:type="dxa"/>
          </w:tcPr>
          <w:p w14:paraId="416820B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B5"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B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0C3" w14:textId="77777777" w:rsidTr="00300A85">
        <w:trPr>
          <w:trHeight w:val="203"/>
        </w:trPr>
        <w:tc>
          <w:tcPr>
            <w:tcW w:w="1068" w:type="dxa"/>
          </w:tcPr>
          <w:p w14:paraId="416820B8"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Finland</w:t>
            </w:r>
          </w:p>
        </w:tc>
        <w:tc>
          <w:tcPr>
            <w:tcW w:w="862" w:type="dxa"/>
          </w:tcPr>
          <w:p w14:paraId="416820B9"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0B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BB"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BC"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75" w:type="dxa"/>
          </w:tcPr>
          <w:p w14:paraId="416820B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BE" w14:textId="77777777" w:rsidR="003F4AD4" w:rsidRPr="004744C5" w:rsidRDefault="003F4AD4" w:rsidP="00BF32F2">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859" w:type="dxa"/>
          </w:tcPr>
          <w:p w14:paraId="416820BF"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0C0"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701" w:type="dxa"/>
          </w:tcPr>
          <w:p w14:paraId="416820C1"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0C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r>
      <w:tr w:rsidR="003F4AD4" w:rsidRPr="004744C5" w14:paraId="416820CF" w14:textId="77777777" w:rsidTr="00300A85">
        <w:trPr>
          <w:trHeight w:val="203"/>
        </w:trPr>
        <w:tc>
          <w:tcPr>
            <w:tcW w:w="1068" w:type="dxa"/>
          </w:tcPr>
          <w:p w14:paraId="416820C4"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France</w:t>
            </w:r>
          </w:p>
        </w:tc>
        <w:tc>
          <w:tcPr>
            <w:tcW w:w="862" w:type="dxa"/>
          </w:tcPr>
          <w:p w14:paraId="416820C5"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0C6"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01" w:type="dxa"/>
          </w:tcPr>
          <w:p w14:paraId="416820C7"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C8" w14:textId="77777777" w:rsidR="003F4AD4" w:rsidRPr="004744C5" w:rsidRDefault="003F4AD4" w:rsidP="003F4AD4">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0C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CA"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r w:rsidR="003F4AD4" w:rsidRPr="004744C5">
              <w:rPr>
                <w:rFonts w:ascii="Times New Roman" w:hAnsi="Times New Roman"/>
                <w:sz w:val="14"/>
                <w:szCs w:val="14"/>
                <w:lang w:eastAsia="en-US"/>
              </w:rPr>
              <w:t>%</w:t>
            </w:r>
          </w:p>
        </w:tc>
        <w:tc>
          <w:tcPr>
            <w:tcW w:w="859" w:type="dxa"/>
          </w:tcPr>
          <w:p w14:paraId="416820CB"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00" w:type="dxa"/>
          </w:tcPr>
          <w:p w14:paraId="416820CC"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C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auto"/>
          </w:tcPr>
          <w:p w14:paraId="416820C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r>
      <w:tr w:rsidR="003F4AD4" w:rsidRPr="004744C5" w14:paraId="416820DB" w14:textId="77777777" w:rsidTr="00300A85">
        <w:trPr>
          <w:trHeight w:val="203"/>
        </w:trPr>
        <w:tc>
          <w:tcPr>
            <w:tcW w:w="1068" w:type="dxa"/>
          </w:tcPr>
          <w:p w14:paraId="416820D0"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Germany</w:t>
            </w:r>
          </w:p>
        </w:tc>
        <w:tc>
          <w:tcPr>
            <w:tcW w:w="862" w:type="dxa"/>
          </w:tcPr>
          <w:p w14:paraId="416820D1"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0D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0D3"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D4"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75" w:type="dxa"/>
          </w:tcPr>
          <w:p w14:paraId="416820D5"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D6"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0D7"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0D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D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auto"/>
          </w:tcPr>
          <w:p w14:paraId="416820DA" w14:textId="77777777" w:rsidR="003F4AD4" w:rsidRPr="004744C5" w:rsidRDefault="003F4AD4" w:rsidP="00BF32F2">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r>
      <w:tr w:rsidR="003F4AD4" w:rsidRPr="004744C5" w14:paraId="416820E7" w14:textId="77777777" w:rsidTr="00300A85">
        <w:trPr>
          <w:trHeight w:val="203"/>
        </w:trPr>
        <w:tc>
          <w:tcPr>
            <w:tcW w:w="1068" w:type="dxa"/>
          </w:tcPr>
          <w:p w14:paraId="416820DC"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Greece</w:t>
            </w:r>
          </w:p>
        </w:tc>
        <w:tc>
          <w:tcPr>
            <w:tcW w:w="862" w:type="dxa"/>
          </w:tcPr>
          <w:p w14:paraId="416820DD" w14:textId="44AFCF0B" w:rsidR="003F4AD4" w:rsidRPr="004744C5" w:rsidRDefault="00D53519"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0D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DF" w14:textId="27A6A593" w:rsidR="003F4AD4" w:rsidRPr="004744C5" w:rsidRDefault="001255A8"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auto"/>
          </w:tcPr>
          <w:p w14:paraId="416820E0" w14:textId="77777777" w:rsidR="003F4AD4" w:rsidRPr="004744C5" w:rsidRDefault="003F4AD4" w:rsidP="003F4AD4">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75" w:type="dxa"/>
          </w:tcPr>
          <w:p w14:paraId="416820E1" w14:textId="3F2AC44E" w:rsidR="003F4AD4" w:rsidRPr="004744C5" w:rsidRDefault="001255A8"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E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859" w:type="dxa"/>
          </w:tcPr>
          <w:p w14:paraId="416820E3"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0E4" w14:textId="77777777" w:rsidR="003F4AD4" w:rsidRPr="004744C5" w:rsidRDefault="003F4AD4" w:rsidP="004E7BBD">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701" w:type="dxa"/>
          </w:tcPr>
          <w:p w14:paraId="416820E5"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r w:rsidR="003F4AD4" w:rsidRPr="004744C5">
              <w:rPr>
                <w:rFonts w:ascii="Times New Roman" w:hAnsi="Times New Roman"/>
                <w:i/>
                <w:sz w:val="14"/>
                <w:szCs w:val="14"/>
                <w:lang w:eastAsia="en-US"/>
              </w:rPr>
              <w:t>%</w:t>
            </w:r>
          </w:p>
        </w:tc>
        <w:tc>
          <w:tcPr>
            <w:tcW w:w="981" w:type="dxa"/>
          </w:tcPr>
          <w:p w14:paraId="416820E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0F3" w14:textId="77777777" w:rsidTr="00300A85">
        <w:trPr>
          <w:trHeight w:val="203"/>
        </w:trPr>
        <w:tc>
          <w:tcPr>
            <w:tcW w:w="1068" w:type="dxa"/>
          </w:tcPr>
          <w:p w14:paraId="416820E8"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Hungary</w:t>
            </w:r>
          </w:p>
        </w:tc>
        <w:tc>
          <w:tcPr>
            <w:tcW w:w="862" w:type="dxa"/>
          </w:tcPr>
          <w:p w14:paraId="416820E9"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0E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0EB"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0EC"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75" w:type="dxa"/>
          </w:tcPr>
          <w:p w14:paraId="416820E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E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859" w:type="dxa"/>
          </w:tcPr>
          <w:p w14:paraId="416820EF"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0F0" w14:textId="77777777" w:rsidR="003F4AD4" w:rsidRPr="004744C5" w:rsidRDefault="003F4AD4" w:rsidP="004E7BBD">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701" w:type="dxa"/>
          </w:tcPr>
          <w:p w14:paraId="416820F1" w14:textId="77777777" w:rsidR="003F4AD4" w:rsidRPr="004744C5" w:rsidRDefault="003F4AD4" w:rsidP="00E92C0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981" w:type="dxa"/>
          </w:tcPr>
          <w:p w14:paraId="416820F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r>
      <w:tr w:rsidR="003F4AD4" w:rsidRPr="004744C5" w14:paraId="416820FF" w14:textId="77777777" w:rsidTr="00300A85">
        <w:trPr>
          <w:trHeight w:val="203"/>
        </w:trPr>
        <w:tc>
          <w:tcPr>
            <w:tcW w:w="1068" w:type="dxa"/>
          </w:tcPr>
          <w:p w14:paraId="416820F4"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Iceland</w:t>
            </w:r>
          </w:p>
        </w:tc>
        <w:tc>
          <w:tcPr>
            <w:tcW w:w="862" w:type="dxa"/>
          </w:tcPr>
          <w:p w14:paraId="416820F5"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0F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0F7"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FFFFFF" w:themeFill="background1"/>
          </w:tcPr>
          <w:p w14:paraId="416820F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0F9"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0FA"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r w:rsidR="003F4AD4" w:rsidRPr="004744C5">
              <w:rPr>
                <w:rFonts w:ascii="Times New Roman" w:hAnsi="Times New Roman"/>
                <w:sz w:val="14"/>
                <w:szCs w:val="14"/>
                <w:lang w:eastAsia="en-US"/>
              </w:rPr>
              <w:t>%</w:t>
            </w:r>
          </w:p>
        </w:tc>
        <w:tc>
          <w:tcPr>
            <w:tcW w:w="859" w:type="dxa"/>
          </w:tcPr>
          <w:p w14:paraId="416820FB"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0FC"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r w:rsidR="003F4AD4" w:rsidRPr="004744C5">
              <w:rPr>
                <w:rFonts w:ascii="Times New Roman" w:hAnsi="Times New Roman"/>
                <w:sz w:val="14"/>
                <w:szCs w:val="14"/>
                <w:lang w:eastAsia="en-US"/>
              </w:rPr>
              <w:t>%</w:t>
            </w:r>
          </w:p>
        </w:tc>
        <w:tc>
          <w:tcPr>
            <w:tcW w:w="701" w:type="dxa"/>
          </w:tcPr>
          <w:p w14:paraId="416820FD"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0FE"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10B" w14:textId="77777777" w:rsidTr="00300A85">
        <w:trPr>
          <w:trHeight w:val="190"/>
        </w:trPr>
        <w:tc>
          <w:tcPr>
            <w:tcW w:w="1068" w:type="dxa"/>
          </w:tcPr>
          <w:p w14:paraId="41682100"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Ireland</w:t>
            </w:r>
          </w:p>
        </w:tc>
        <w:tc>
          <w:tcPr>
            <w:tcW w:w="862" w:type="dxa"/>
          </w:tcPr>
          <w:p w14:paraId="41682101"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102" w14:textId="3610F844"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r w:rsidR="00D53519" w:rsidRPr="004744C5">
              <w:rPr>
                <w:rFonts w:ascii="Times New Roman" w:hAnsi="Times New Roman"/>
                <w:sz w:val="14"/>
                <w:szCs w:val="14"/>
                <w:lang w:eastAsia="en-US"/>
              </w:rPr>
              <w:t>]</w:t>
            </w:r>
            <w:r w:rsidRPr="004744C5">
              <w:rPr>
                <w:rFonts w:ascii="Times New Roman" w:hAnsi="Times New Roman"/>
                <w:sz w:val="14"/>
                <w:szCs w:val="14"/>
                <w:lang w:eastAsia="en-US"/>
              </w:rPr>
              <w:t>%</w:t>
            </w:r>
          </w:p>
        </w:tc>
        <w:tc>
          <w:tcPr>
            <w:tcW w:w="701" w:type="dxa"/>
          </w:tcPr>
          <w:p w14:paraId="41682103"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0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75" w:type="dxa"/>
          </w:tcPr>
          <w:p w14:paraId="41682105"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106"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107"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[10-20]%</w:t>
            </w:r>
          </w:p>
        </w:tc>
        <w:tc>
          <w:tcPr>
            <w:tcW w:w="800" w:type="dxa"/>
          </w:tcPr>
          <w:p w14:paraId="4168210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109"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0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117" w14:textId="77777777" w:rsidTr="00300A85">
        <w:trPr>
          <w:trHeight w:val="203"/>
        </w:trPr>
        <w:tc>
          <w:tcPr>
            <w:tcW w:w="1068" w:type="dxa"/>
          </w:tcPr>
          <w:p w14:paraId="4168210C"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United Kingdom</w:t>
            </w:r>
          </w:p>
        </w:tc>
        <w:tc>
          <w:tcPr>
            <w:tcW w:w="862" w:type="dxa"/>
          </w:tcPr>
          <w:p w14:paraId="4168210D" w14:textId="77777777" w:rsidR="003F4AD4" w:rsidRPr="004744C5" w:rsidRDefault="003F4AD4" w:rsidP="00E92C0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981" w:type="dxa"/>
            <w:shd w:val="clear" w:color="auto" w:fill="BFBFBF" w:themeFill="background1" w:themeFillShade="BF"/>
          </w:tcPr>
          <w:p w14:paraId="4168210E"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01" w:type="dxa"/>
          </w:tcPr>
          <w:p w14:paraId="4168210F"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10"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111" w14:textId="77777777" w:rsidR="003F4AD4" w:rsidRPr="004744C5" w:rsidRDefault="003F4AD4" w:rsidP="00BF32F2">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[10-20]%</w:t>
            </w:r>
          </w:p>
        </w:tc>
        <w:tc>
          <w:tcPr>
            <w:tcW w:w="842" w:type="dxa"/>
            <w:shd w:val="clear" w:color="auto" w:fill="BFBFBF" w:themeFill="background1" w:themeFillShade="BF"/>
          </w:tcPr>
          <w:p w14:paraId="41682112"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r w:rsidR="003F4AD4" w:rsidRPr="004744C5">
              <w:rPr>
                <w:rFonts w:ascii="Times New Roman" w:hAnsi="Times New Roman"/>
                <w:sz w:val="14"/>
                <w:szCs w:val="14"/>
                <w:lang w:eastAsia="en-US"/>
              </w:rPr>
              <w:t>%</w:t>
            </w:r>
          </w:p>
        </w:tc>
        <w:tc>
          <w:tcPr>
            <w:tcW w:w="859" w:type="dxa"/>
          </w:tcPr>
          <w:p w14:paraId="41682113"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[10-20]%</w:t>
            </w:r>
          </w:p>
        </w:tc>
        <w:tc>
          <w:tcPr>
            <w:tcW w:w="800" w:type="dxa"/>
            <w:shd w:val="clear" w:color="auto" w:fill="BFBFBF" w:themeFill="background1" w:themeFillShade="BF"/>
          </w:tcPr>
          <w:p w14:paraId="4168211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115"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1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123" w14:textId="77777777" w:rsidTr="00300A85">
        <w:trPr>
          <w:trHeight w:val="203"/>
        </w:trPr>
        <w:tc>
          <w:tcPr>
            <w:tcW w:w="1068" w:type="dxa"/>
          </w:tcPr>
          <w:p w14:paraId="41682118"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Italy</w:t>
            </w:r>
          </w:p>
        </w:tc>
        <w:tc>
          <w:tcPr>
            <w:tcW w:w="862" w:type="dxa"/>
          </w:tcPr>
          <w:p w14:paraId="41682119"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11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11B"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1C"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11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11E"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r w:rsidR="003F4AD4" w:rsidRPr="004744C5">
              <w:rPr>
                <w:rFonts w:ascii="Times New Roman" w:hAnsi="Times New Roman"/>
                <w:sz w:val="14"/>
                <w:szCs w:val="14"/>
                <w:lang w:eastAsia="en-US"/>
              </w:rPr>
              <w:t>%</w:t>
            </w:r>
          </w:p>
        </w:tc>
        <w:tc>
          <w:tcPr>
            <w:tcW w:w="859" w:type="dxa"/>
          </w:tcPr>
          <w:p w14:paraId="4168211F"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120"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121"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22"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r>
      <w:tr w:rsidR="003F4AD4" w:rsidRPr="004744C5" w14:paraId="4168212F" w14:textId="77777777" w:rsidTr="00300A85">
        <w:trPr>
          <w:trHeight w:val="203"/>
        </w:trPr>
        <w:tc>
          <w:tcPr>
            <w:tcW w:w="1068" w:type="dxa"/>
          </w:tcPr>
          <w:p w14:paraId="41682124"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Latvia</w:t>
            </w:r>
          </w:p>
        </w:tc>
        <w:tc>
          <w:tcPr>
            <w:tcW w:w="862" w:type="dxa"/>
          </w:tcPr>
          <w:p w14:paraId="41682125"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12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127"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2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75" w:type="dxa"/>
          </w:tcPr>
          <w:p w14:paraId="4168212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42" w:type="dxa"/>
            <w:shd w:val="clear" w:color="auto" w:fill="BFBFBF" w:themeFill="background1" w:themeFillShade="BF"/>
          </w:tcPr>
          <w:p w14:paraId="4168212A"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r w:rsidR="003F4AD4" w:rsidRPr="004744C5">
              <w:rPr>
                <w:rFonts w:ascii="Times New Roman" w:hAnsi="Times New Roman"/>
                <w:sz w:val="14"/>
                <w:szCs w:val="14"/>
                <w:lang w:eastAsia="en-US"/>
              </w:rPr>
              <w:t>%</w:t>
            </w:r>
          </w:p>
        </w:tc>
        <w:tc>
          <w:tcPr>
            <w:tcW w:w="859" w:type="dxa"/>
          </w:tcPr>
          <w:p w14:paraId="4168212B"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10-20]%</w:t>
            </w:r>
          </w:p>
        </w:tc>
        <w:tc>
          <w:tcPr>
            <w:tcW w:w="800" w:type="dxa"/>
          </w:tcPr>
          <w:p w14:paraId="4168212C"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12D"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2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r>
      <w:tr w:rsidR="00300A85" w:rsidRPr="004744C5" w14:paraId="4168213B" w14:textId="77777777" w:rsidTr="00300A85">
        <w:trPr>
          <w:trHeight w:val="203"/>
        </w:trPr>
        <w:tc>
          <w:tcPr>
            <w:tcW w:w="1068" w:type="dxa"/>
          </w:tcPr>
          <w:p w14:paraId="41682130" w14:textId="77777777" w:rsidR="00300A85" w:rsidRPr="004744C5" w:rsidRDefault="00300A85"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Lichtenstein</w:t>
            </w:r>
          </w:p>
        </w:tc>
        <w:tc>
          <w:tcPr>
            <w:tcW w:w="862" w:type="dxa"/>
          </w:tcPr>
          <w:p w14:paraId="41682131"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132" w14:textId="77777777" w:rsidR="00300A85"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701" w:type="dxa"/>
          </w:tcPr>
          <w:p w14:paraId="41682133"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auto"/>
          </w:tcPr>
          <w:p w14:paraId="41682134" w14:textId="77777777" w:rsidR="00300A85"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775" w:type="dxa"/>
          </w:tcPr>
          <w:p w14:paraId="41682135"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auto"/>
          </w:tcPr>
          <w:p w14:paraId="41682136" w14:textId="77777777" w:rsidR="00300A85"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859" w:type="dxa"/>
          </w:tcPr>
          <w:p w14:paraId="41682137"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138" w14:textId="77777777" w:rsidR="00300A85"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701" w:type="dxa"/>
          </w:tcPr>
          <w:p w14:paraId="41682139"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3A" w14:textId="77777777" w:rsidR="00300A85" w:rsidRPr="004744C5" w:rsidRDefault="00300A85" w:rsidP="005965DC">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00A85" w:rsidRPr="004744C5" w14:paraId="41682147" w14:textId="77777777" w:rsidTr="00300A85">
        <w:trPr>
          <w:trHeight w:val="203"/>
        </w:trPr>
        <w:tc>
          <w:tcPr>
            <w:tcW w:w="1068" w:type="dxa"/>
          </w:tcPr>
          <w:p w14:paraId="4168213C" w14:textId="77777777" w:rsidR="00300A85" w:rsidRPr="004744C5" w:rsidRDefault="00300A85"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Lithuania</w:t>
            </w:r>
          </w:p>
        </w:tc>
        <w:tc>
          <w:tcPr>
            <w:tcW w:w="862" w:type="dxa"/>
          </w:tcPr>
          <w:p w14:paraId="4168213D"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13E" w14:textId="77777777" w:rsidR="00300A85"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13F"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40" w14:textId="77777777" w:rsidR="00300A85"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75" w:type="dxa"/>
          </w:tcPr>
          <w:p w14:paraId="41682141" w14:textId="77777777" w:rsidR="00300A85" w:rsidRPr="004744C5" w:rsidRDefault="00300A85"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auto"/>
          </w:tcPr>
          <w:p w14:paraId="41682142" w14:textId="77777777" w:rsidR="00300A85" w:rsidRPr="004744C5" w:rsidRDefault="00300A85"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143" w14:textId="77777777" w:rsidR="00300A85" w:rsidRPr="004744C5" w:rsidRDefault="00300A85" w:rsidP="00E92C0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00" w:type="dxa"/>
          </w:tcPr>
          <w:p w14:paraId="41682144" w14:textId="77777777" w:rsidR="00300A85"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145"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46" w14:textId="77777777" w:rsidR="00300A85" w:rsidRPr="004744C5" w:rsidRDefault="00300A85" w:rsidP="005965DC">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00A85" w:rsidRPr="004744C5" w14:paraId="41682153" w14:textId="77777777" w:rsidTr="00300A85">
        <w:trPr>
          <w:trHeight w:val="203"/>
        </w:trPr>
        <w:tc>
          <w:tcPr>
            <w:tcW w:w="1068" w:type="dxa"/>
          </w:tcPr>
          <w:p w14:paraId="41682148" w14:textId="77777777" w:rsidR="00300A85" w:rsidRPr="004744C5" w:rsidRDefault="00300A85"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Malta</w:t>
            </w:r>
          </w:p>
        </w:tc>
        <w:tc>
          <w:tcPr>
            <w:tcW w:w="862" w:type="dxa"/>
          </w:tcPr>
          <w:p w14:paraId="41682149"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14A" w14:textId="77777777" w:rsidR="00300A85"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14B"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FFFFFF" w:themeFill="background1"/>
          </w:tcPr>
          <w:p w14:paraId="4168214C" w14:textId="77777777" w:rsidR="00300A85"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75" w:type="dxa"/>
          </w:tcPr>
          <w:p w14:paraId="4168214D"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auto"/>
          </w:tcPr>
          <w:p w14:paraId="4168214E" w14:textId="77777777" w:rsidR="00300A85" w:rsidRPr="004744C5" w:rsidRDefault="00300A85"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14F"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150" w14:textId="77777777" w:rsidR="00300A85" w:rsidRPr="004744C5" w:rsidRDefault="00300A85"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701" w:type="dxa"/>
          </w:tcPr>
          <w:p w14:paraId="41682151" w14:textId="77777777" w:rsidR="00300A85"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52" w14:textId="77777777" w:rsidR="00300A85" w:rsidRPr="004744C5" w:rsidRDefault="00300A85" w:rsidP="005965DC">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15F" w14:textId="77777777" w:rsidTr="00300A85">
        <w:trPr>
          <w:trHeight w:val="203"/>
        </w:trPr>
        <w:tc>
          <w:tcPr>
            <w:tcW w:w="1068" w:type="dxa"/>
          </w:tcPr>
          <w:p w14:paraId="41682154"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Norway</w:t>
            </w:r>
          </w:p>
        </w:tc>
        <w:tc>
          <w:tcPr>
            <w:tcW w:w="862" w:type="dxa"/>
          </w:tcPr>
          <w:p w14:paraId="41682155"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15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157"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5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75" w:type="dxa"/>
          </w:tcPr>
          <w:p w14:paraId="4168215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auto"/>
          </w:tcPr>
          <w:p w14:paraId="4168215A"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15B"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15C"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701" w:type="dxa"/>
          </w:tcPr>
          <w:p w14:paraId="4168215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5E"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r>
      <w:tr w:rsidR="003F4AD4" w:rsidRPr="004744C5" w14:paraId="4168216B" w14:textId="77777777" w:rsidTr="00300A85">
        <w:trPr>
          <w:trHeight w:val="203"/>
        </w:trPr>
        <w:tc>
          <w:tcPr>
            <w:tcW w:w="1068" w:type="dxa"/>
          </w:tcPr>
          <w:p w14:paraId="41682160"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Poland</w:t>
            </w:r>
          </w:p>
        </w:tc>
        <w:tc>
          <w:tcPr>
            <w:tcW w:w="862" w:type="dxa"/>
          </w:tcPr>
          <w:p w14:paraId="41682161"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16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163"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6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75" w:type="dxa"/>
          </w:tcPr>
          <w:p w14:paraId="41682165"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auto"/>
          </w:tcPr>
          <w:p w14:paraId="41682166"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167"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168"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701" w:type="dxa"/>
          </w:tcPr>
          <w:p w14:paraId="4168216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6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177" w14:textId="77777777" w:rsidTr="00300A85">
        <w:trPr>
          <w:trHeight w:val="203"/>
        </w:trPr>
        <w:tc>
          <w:tcPr>
            <w:tcW w:w="1068" w:type="dxa"/>
          </w:tcPr>
          <w:p w14:paraId="4168216C"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Portugal</w:t>
            </w:r>
          </w:p>
        </w:tc>
        <w:tc>
          <w:tcPr>
            <w:tcW w:w="862" w:type="dxa"/>
          </w:tcPr>
          <w:p w14:paraId="4168216D"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FFFFFF" w:themeFill="background1"/>
          </w:tcPr>
          <w:p w14:paraId="4168216E"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16F"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70"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75" w:type="dxa"/>
          </w:tcPr>
          <w:p w14:paraId="41682171"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auto"/>
          </w:tcPr>
          <w:p w14:paraId="4168217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859" w:type="dxa"/>
          </w:tcPr>
          <w:p w14:paraId="41682173"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174"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701" w:type="dxa"/>
          </w:tcPr>
          <w:p w14:paraId="41682175"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76"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183" w14:textId="77777777" w:rsidTr="00300A85">
        <w:trPr>
          <w:trHeight w:val="203"/>
        </w:trPr>
        <w:tc>
          <w:tcPr>
            <w:tcW w:w="1068" w:type="dxa"/>
          </w:tcPr>
          <w:p w14:paraId="41682178"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Spain</w:t>
            </w:r>
          </w:p>
        </w:tc>
        <w:tc>
          <w:tcPr>
            <w:tcW w:w="862" w:type="dxa"/>
          </w:tcPr>
          <w:p w14:paraId="41682179"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17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17B"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7C"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75" w:type="dxa"/>
          </w:tcPr>
          <w:p w14:paraId="4168217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auto"/>
          </w:tcPr>
          <w:p w14:paraId="4168217E"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859" w:type="dxa"/>
          </w:tcPr>
          <w:p w14:paraId="4168217F"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180"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701" w:type="dxa"/>
          </w:tcPr>
          <w:p w14:paraId="41682181"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82"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18F" w14:textId="77777777" w:rsidTr="00300A85">
        <w:trPr>
          <w:trHeight w:val="203"/>
        </w:trPr>
        <w:tc>
          <w:tcPr>
            <w:tcW w:w="1068" w:type="dxa"/>
          </w:tcPr>
          <w:p w14:paraId="41682184"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Slovakia</w:t>
            </w:r>
          </w:p>
        </w:tc>
        <w:tc>
          <w:tcPr>
            <w:tcW w:w="862" w:type="dxa"/>
          </w:tcPr>
          <w:p w14:paraId="41682185"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186"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01" w:type="dxa"/>
          </w:tcPr>
          <w:p w14:paraId="41682187"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8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189"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auto"/>
          </w:tcPr>
          <w:p w14:paraId="4168218A"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r w:rsidR="003F4AD4" w:rsidRPr="004744C5">
              <w:rPr>
                <w:rFonts w:ascii="Times New Roman" w:hAnsi="Times New Roman"/>
                <w:sz w:val="14"/>
                <w:szCs w:val="14"/>
                <w:lang w:eastAsia="en-US"/>
              </w:rPr>
              <w:t>%</w:t>
            </w:r>
          </w:p>
        </w:tc>
        <w:tc>
          <w:tcPr>
            <w:tcW w:w="859" w:type="dxa"/>
          </w:tcPr>
          <w:p w14:paraId="4168218B"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00" w:type="dxa"/>
          </w:tcPr>
          <w:p w14:paraId="4168218C"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c>
          <w:tcPr>
            <w:tcW w:w="701" w:type="dxa"/>
          </w:tcPr>
          <w:p w14:paraId="4168218D"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8E"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19B" w14:textId="77777777" w:rsidTr="00300A85">
        <w:trPr>
          <w:trHeight w:val="203"/>
        </w:trPr>
        <w:tc>
          <w:tcPr>
            <w:tcW w:w="1068" w:type="dxa"/>
          </w:tcPr>
          <w:p w14:paraId="41682190"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Slovenia</w:t>
            </w:r>
          </w:p>
        </w:tc>
        <w:tc>
          <w:tcPr>
            <w:tcW w:w="862" w:type="dxa"/>
          </w:tcPr>
          <w:p w14:paraId="41682191"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192"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01" w:type="dxa"/>
          </w:tcPr>
          <w:p w14:paraId="41682193"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9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195"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42" w:type="dxa"/>
            <w:shd w:val="clear" w:color="auto" w:fill="BFBFBF" w:themeFill="background1" w:themeFillShade="BF"/>
          </w:tcPr>
          <w:p w14:paraId="41682196"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r w:rsidR="003F4AD4" w:rsidRPr="004744C5">
              <w:rPr>
                <w:rFonts w:ascii="Times New Roman" w:hAnsi="Times New Roman"/>
                <w:sz w:val="14"/>
                <w:szCs w:val="14"/>
                <w:lang w:eastAsia="en-US"/>
              </w:rPr>
              <w:t>%</w:t>
            </w:r>
          </w:p>
        </w:tc>
        <w:tc>
          <w:tcPr>
            <w:tcW w:w="859" w:type="dxa"/>
          </w:tcPr>
          <w:p w14:paraId="41682197"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[10-20]%</w:t>
            </w:r>
          </w:p>
        </w:tc>
        <w:tc>
          <w:tcPr>
            <w:tcW w:w="800" w:type="dxa"/>
            <w:shd w:val="clear" w:color="auto" w:fill="BFBFBF" w:themeFill="background1" w:themeFillShade="BF"/>
          </w:tcPr>
          <w:p w14:paraId="41682198"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199"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9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1A7" w14:textId="77777777" w:rsidTr="00300A85">
        <w:trPr>
          <w:trHeight w:val="203"/>
        </w:trPr>
        <w:tc>
          <w:tcPr>
            <w:tcW w:w="1068" w:type="dxa"/>
          </w:tcPr>
          <w:p w14:paraId="4168219C"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Romania</w:t>
            </w:r>
          </w:p>
        </w:tc>
        <w:tc>
          <w:tcPr>
            <w:tcW w:w="862" w:type="dxa"/>
          </w:tcPr>
          <w:p w14:paraId="4168219D"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19E"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01" w:type="dxa"/>
          </w:tcPr>
          <w:p w14:paraId="4168219F"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A0"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[40-50]%</w:t>
            </w:r>
          </w:p>
        </w:tc>
        <w:tc>
          <w:tcPr>
            <w:tcW w:w="775" w:type="dxa"/>
          </w:tcPr>
          <w:p w14:paraId="416821A1"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A2"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r w:rsidR="003F4AD4" w:rsidRPr="004744C5">
              <w:rPr>
                <w:rFonts w:ascii="Times New Roman" w:hAnsi="Times New Roman"/>
                <w:sz w:val="14"/>
                <w:szCs w:val="14"/>
                <w:lang w:eastAsia="en-US"/>
              </w:rPr>
              <w:t>%</w:t>
            </w:r>
          </w:p>
        </w:tc>
        <w:tc>
          <w:tcPr>
            <w:tcW w:w="859" w:type="dxa"/>
          </w:tcPr>
          <w:p w14:paraId="416821A3" w14:textId="77777777" w:rsidR="003F4AD4" w:rsidRPr="004744C5" w:rsidRDefault="003F4AD4" w:rsidP="00E92C0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[5-10]%</w:t>
            </w:r>
          </w:p>
        </w:tc>
        <w:tc>
          <w:tcPr>
            <w:tcW w:w="800" w:type="dxa"/>
          </w:tcPr>
          <w:p w14:paraId="416821A4"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p>
        </w:tc>
        <w:tc>
          <w:tcPr>
            <w:tcW w:w="701" w:type="dxa"/>
          </w:tcPr>
          <w:p w14:paraId="416821A5" w14:textId="77777777" w:rsidR="003F4AD4" w:rsidRPr="004744C5" w:rsidRDefault="00300A85"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A6"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r>
      <w:tr w:rsidR="003F4AD4" w:rsidRPr="004744C5" w14:paraId="416821B3" w14:textId="77777777" w:rsidTr="00300A85">
        <w:trPr>
          <w:trHeight w:val="203"/>
        </w:trPr>
        <w:tc>
          <w:tcPr>
            <w:tcW w:w="1068" w:type="dxa"/>
          </w:tcPr>
          <w:p w14:paraId="416821A8" w14:textId="77777777" w:rsidR="003F4AD4" w:rsidRPr="004744C5" w:rsidRDefault="003F4AD4" w:rsidP="00AD518A">
            <w:pPr>
              <w:spacing w:after="0" w:line="276" w:lineRule="auto"/>
              <w:jc w:val="center"/>
              <w:rPr>
                <w:rFonts w:ascii="Times New Roman" w:hAnsi="Times New Roman"/>
                <w:b/>
                <w:sz w:val="14"/>
                <w:szCs w:val="14"/>
                <w:lang w:eastAsia="en-US"/>
              </w:rPr>
            </w:pPr>
            <w:r w:rsidRPr="004744C5">
              <w:rPr>
                <w:rFonts w:ascii="Times New Roman" w:hAnsi="Times New Roman"/>
                <w:b/>
                <w:sz w:val="14"/>
                <w:szCs w:val="14"/>
                <w:lang w:eastAsia="en-US"/>
              </w:rPr>
              <w:t>Sweden</w:t>
            </w:r>
          </w:p>
        </w:tc>
        <w:tc>
          <w:tcPr>
            <w:tcW w:w="862" w:type="dxa"/>
          </w:tcPr>
          <w:p w14:paraId="416821A9"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shd w:val="clear" w:color="auto" w:fill="BFBFBF" w:themeFill="background1" w:themeFillShade="BF"/>
          </w:tcPr>
          <w:p w14:paraId="416821AA" w14:textId="77777777" w:rsidR="003F4AD4" w:rsidRPr="004744C5" w:rsidRDefault="003F4AD4"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[20-30]%</w:t>
            </w:r>
          </w:p>
        </w:tc>
        <w:tc>
          <w:tcPr>
            <w:tcW w:w="701" w:type="dxa"/>
          </w:tcPr>
          <w:p w14:paraId="416821AB" w14:textId="77777777" w:rsidR="003F4AD4" w:rsidRPr="004744C5" w:rsidRDefault="003F4AD4" w:rsidP="00AD518A">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shd w:val="clear" w:color="auto" w:fill="BFBFBF" w:themeFill="background1" w:themeFillShade="BF"/>
          </w:tcPr>
          <w:p w14:paraId="416821AC"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[30-40]%</w:t>
            </w:r>
          </w:p>
        </w:tc>
        <w:tc>
          <w:tcPr>
            <w:tcW w:w="775" w:type="dxa"/>
          </w:tcPr>
          <w:p w14:paraId="416821AD"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42" w:type="dxa"/>
          </w:tcPr>
          <w:p w14:paraId="416821AE" w14:textId="77777777" w:rsidR="003F4AD4" w:rsidRPr="004744C5" w:rsidRDefault="00300A85" w:rsidP="00AD518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[10-20]</w:t>
            </w:r>
            <w:r w:rsidR="003F4AD4" w:rsidRPr="004744C5">
              <w:rPr>
                <w:rFonts w:ascii="Times New Roman" w:hAnsi="Times New Roman"/>
                <w:sz w:val="14"/>
                <w:szCs w:val="14"/>
                <w:lang w:eastAsia="en-US"/>
              </w:rPr>
              <w:t>%</w:t>
            </w:r>
          </w:p>
        </w:tc>
        <w:tc>
          <w:tcPr>
            <w:tcW w:w="859" w:type="dxa"/>
          </w:tcPr>
          <w:p w14:paraId="416821AF"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800" w:type="dxa"/>
          </w:tcPr>
          <w:p w14:paraId="416821B0" w14:textId="77777777" w:rsidR="003F4AD4" w:rsidRPr="004744C5" w:rsidRDefault="003F4AD4" w:rsidP="004E7BBD">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[0-5]%</w:t>
            </w:r>
          </w:p>
        </w:tc>
        <w:tc>
          <w:tcPr>
            <w:tcW w:w="701" w:type="dxa"/>
          </w:tcPr>
          <w:p w14:paraId="416821B1" w14:textId="77777777" w:rsidR="003F4AD4" w:rsidRPr="004744C5" w:rsidRDefault="003F4AD4" w:rsidP="004E7BBD">
            <w:pPr>
              <w:spacing w:after="0" w:line="276" w:lineRule="auto"/>
              <w:jc w:val="center"/>
              <w:rPr>
                <w:rFonts w:ascii="Times New Roman" w:hAnsi="Times New Roman"/>
                <w:i/>
                <w:sz w:val="14"/>
                <w:szCs w:val="14"/>
                <w:lang w:eastAsia="en-US"/>
              </w:rPr>
            </w:pPr>
            <w:r w:rsidRPr="004744C5">
              <w:rPr>
                <w:rFonts w:ascii="Times New Roman" w:hAnsi="Times New Roman"/>
                <w:i/>
                <w:sz w:val="14"/>
                <w:szCs w:val="14"/>
                <w:lang w:eastAsia="en-US"/>
              </w:rPr>
              <w:t>[0-5]%</w:t>
            </w:r>
          </w:p>
        </w:tc>
        <w:tc>
          <w:tcPr>
            <w:tcW w:w="981" w:type="dxa"/>
          </w:tcPr>
          <w:p w14:paraId="416821B2" w14:textId="77777777" w:rsidR="003F4AD4" w:rsidRPr="004744C5" w:rsidRDefault="003F4AD4" w:rsidP="00E92C0A">
            <w:pPr>
              <w:spacing w:after="0" w:line="276" w:lineRule="auto"/>
              <w:jc w:val="center"/>
              <w:rPr>
                <w:rFonts w:ascii="Times New Roman" w:hAnsi="Times New Roman"/>
                <w:sz w:val="14"/>
                <w:szCs w:val="14"/>
                <w:lang w:eastAsia="en-US"/>
              </w:rPr>
            </w:pPr>
            <w:r w:rsidRPr="004744C5">
              <w:rPr>
                <w:rFonts w:ascii="Times New Roman" w:hAnsi="Times New Roman"/>
                <w:sz w:val="14"/>
                <w:szCs w:val="14"/>
                <w:lang w:eastAsia="en-US"/>
              </w:rPr>
              <w:t>[5-10]%</w:t>
            </w:r>
          </w:p>
        </w:tc>
      </w:tr>
    </w:tbl>
    <w:p w14:paraId="416821B4" w14:textId="77777777" w:rsidR="006A39E4" w:rsidRPr="004744C5" w:rsidRDefault="006A39E4" w:rsidP="00061F52">
      <w:pPr>
        <w:pStyle w:val="NumPar1"/>
        <w:jc w:val="center"/>
        <w:rPr>
          <w:b/>
        </w:rPr>
      </w:pPr>
      <w:r w:rsidRPr="004744C5">
        <w:rPr>
          <w:b/>
          <w:sz w:val="22"/>
          <w:szCs w:val="22"/>
        </w:rPr>
        <w:t xml:space="preserve">Source: </w:t>
      </w:r>
      <w:proofErr w:type="spellStart"/>
      <w:r w:rsidRPr="004744C5">
        <w:rPr>
          <w:b/>
          <w:sz w:val="22"/>
          <w:szCs w:val="22"/>
        </w:rPr>
        <w:t>Europartners</w:t>
      </w:r>
      <w:proofErr w:type="spellEnd"/>
      <w:r w:rsidRPr="004744C5">
        <w:rPr>
          <w:b/>
          <w:sz w:val="22"/>
          <w:szCs w:val="22"/>
        </w:rPr>
        <w:t xml:space="preserve"> </w:t>
      </w:r>
      <w:r w:rsidR="007E6864" w:rsidRPr="004744C5">
        <w:rPr>
          <w:b/>
          <w:sz w:val="22"/>
          <w:szCs w:val="22"/>
        </w:rPr>
        <w:t xml:space="preserve">Reports </w:t>
      </w:r>
      <w:r w:rsidRPr="004744C5">
        <w:rPr>
          <w:b/>
          <w:sz w:val="22"/>
          <w:szCs w:val="22"/>
        </w:rPr>
        <w:t>and Notifying Party's estimates</w:t>
      </w:r>
    </w:p>
    <w:p w14:paraId="416821B5" w14:textId="77777777" w:rsidR="00F83BD3" w:rsidRPr="004744C5" w:rsidRDefault="000E2BD5" w:rsidP="00B423F8">
      <w:pPr>
        <w:pStyle w:val="NumPar1"/>
        <w:numPr>
          <w:ilvl w:val="0"/>
          <w:numId w:val="2"/>
        </w:numPr>
        <w:ind w:left="851" w:hanging="851"/>
      </w:pPr>
      <w:r w:rsidRPr="004744C5">
        <w:t>As shown in Table 1 above, in m</w:t>
      </w:r>
      <w:r w:rsidR="0024261B" w:rsidRPr="004744C5">
        <w:t>any</w:t>
      </w:r>
      <w:r w:rsidRPr="004744C5">
        <w:t xml:space="preserve"> of the </w:t>
      </w:r>
      <w:r w:rsidR="0024261B" w:rsidRPr="004744C5">
        <w:t xml:space="preserve">possible </w:t>
      </w:r>
      <w:r w:rsidRPr="004744C5">
        <w:t>national markets as well as at EEA level, the Parties' combined market share will remain below 25% post-</w:t>
      </w:r>
      <w:r w:rsidR="00CA63E2" w:rsidRPr="004744C5">
        <w:t>Transaction</w:t>
      </w:r>
      <w:r w:rsidRPr="004744C5">
        <w:t xml:space="preserve">. </w:t>
      </w:r>
    </w:p>
    <w:p w14:paraId="416821B6" w14:textId="77777777" w:rsidR="00E03C11" w:rsidRPr="004744C5" w:rsidRDefault="00826571" w:rsidP="00CB2A79">
      <w:pPr>
        <w:pStyle w:val="NumPar1"/>
        <w:numPr>
          <w:ilvl w:val="0"/>
          <w:numId w:val="2"/>
        </w:numPr>
        <w:ind w:left="851" w:hanging="851"/>
      </w:pPr>
      <w:r w:rsidRPr="004744C5">
        <w:t xml:space="preserve">The following sub-sections will present the Commission's assessment in relation to the other affected markets at EEA and national level, in turn. </w:t>
      </w:r>
    </w:p>
    <w:p w14:paraId="416821B7" w14:textId="77777777" w:rsidR="003070E6" w:rsidRPr="004744C5" w:rsidRDefault="003070E6" w:rsidP="00FA4998">
      <w:pPr>
        <w:pStyle w:val="NumPar1"/>
        <w:rPr>
          <w:b/>
        </w:rPr>
      </w:pPr>
      <w:r w:rsidRPr="004744C5">
        <w:rPr>
          <w:b/>
        </w:rPr>
        <w:t>Assessment at EEA level</w:t>
      </w:r>
    </w:p>
    <w:p w14:paraId="416821B8" w14:textId="77777777" w:rsidR="000E2BD5" w:rsidRPr="004744C5" w:rsidRDefault="00CF0C21" w:rsidP="00EE6D01">
      <w:pPr>
        <w:pStyle w:val="NumPar1"/>
        <w:ind w:left="851"/>
        <w:rPr>
          <w:b/>
          <w:i/>
          <w:u w:val="single"/>
        </w:rPr>
      </w:pPr>
      <w:r w:rsidRPr="004744C5">
        <w:rPr>
          <w:b/>
          <w:i/>
          <w:u w:val="single"/>
        </w:rPr>
        <w:t xml:space="preserve">Overall market for the distribution of electronic components at EEA level </w:t>
      </w:r>
    </w:p>
    <w:p w14:paraId="416821B9" w14:textId="77777777" w:rsidR="000E2BD5" w:rsidRPr="004744C5" w:rsidRDefault="005830B9" w:rsidP="00B423F8">
      <w:pPr>
        <w:pStyle w:val="NumPar1"/>
        <w:numPr>
          <w:ilvl w:val="0"/>
          <w:numId w:val="2"/>
        </w:numPr>
        <w:ind w:left="851" w:hanging="851"/>
        <w:rPr>
          <w:i/>
          <w:lang w:val="en-US"/>
        </w:rPr>
      </w:pPr>
      <w:r w:rsidRPr="004744C5">
        <w:t>According to the information submitted by the Notifying Party, considering</w:t>
      </w:r>
      <w:r w:rsidRPr="004744C5" w:rsidDel="005830B9">
        <w:t xml:space="preserve"> </w:t>
      </w:r>
      <w:r w:rsidR="000E2BD5" w:rsidRPr="004744C5">
        <w:t xml:space="preserve">an </w:t>
      </w:r>
      <w:r w:rsidR="000E2BD5" w:rsidRPr="004744C5">
        <w:rPr>
          <w:b/>
          <w:u w:val="single"/>
        </w:rPr>
        <w:t>overall market for the distribution of electronic components at EEA level</w:t>
      </w:r>
      <w:r w:rsidR="000E2BD5" w:rsidRPr="004744C5">
        <w:t xml:space="preserve">, the parties' combined market shares would be </w:t>
      </w:r>
      <w:r w:rsidR="00F83BD3" w:rsidRPr="004744C5">
        <w:t xml:space="preserve">c. </w:t>
      </w:r>
      <w:r w:rsidR="006D2FF5" w:rsidRPr="004744C5">
        <w:t>[20-30]</w:t>
      </w:r>
      <w:r w:rsidR="000E2BD5" w:rsidRPr="004744C5">
        <w:t xml:space="preserve">% (Avnet: </w:t>
      </w:r>
      <w:r w:rsidR="006D2FF5" w:rsidRPr="004744C5">
        <w:t>[20-30]</w:t>
      </w:r>
      <w:r w:rsidR="000E2BD5" w:rsidRPr="004744C5">
        <w:t xml:space="preserve">%; Premier </w:t>
      </w:r>
      <w:proofErr w:type="spellStart"/>
      <w:r w:rsidR="000E2BD5" w:rsidRPr="004744C5">
        <w:t>Farnell</w:t>
      </w:r>
      <w:proofErr w:type="spellEnd"/>
      <w:r w:rsidR="000E2BD5" w:rsidRPr="004744C5">
        <w:t xml:space="preserve">: </w:t>
      </w:r>
      <w:r w:rsidR="006D2FF5" w:rsidRPr="004744C5">
        <w:t>[0-5]</w:t>
      </w:r>
      <w:r w:rsidR="000E2BD5" w:rsidRPr="004744C5">
        <w:t>%). Avnet would be the largest distributor of electronic components</w:t>
      </w:r>
      <w:r w:rsidR="000E2BD5" w:rsidRPr="004744C5">
        <w:rPr>
          <w:u w:val="single"/>
        </w:rPr>
        <w:t xml:space="preserve"> </w:t>
      </w:r>
      <w:r w:rsidR="000E2BD5" w:rsidRPr="004744C5">
        <w:t>in the EEA. However, the market share increment resulting from the Transaction is low (</w:t>
      </w:r>
      <w:r w:rsidR="006D2FF5" w:rsidRPr="004744C5">
        <w:t>[0-5</w:t>
      </w:r>
      <w:proofErr w:type="gramStart"/>
      <w:r w:rsidR="006D2FF5" w:rsidRPr="004744C5">
        <w:t>]</w:t>
      </w:r>
      <w:r w:rsidR="000E2BD5" w:rsidRPr="004744C5">
        <w:t>%</w:t>
      </w:r>
      <w:proofErr w:type="gramEnd"/>
      <w:r w:rsidR="000E2BD5" w:rsidRPr="004744C5">
        <w:t>), hence Avnet will marginally increase its position in the EEA market post-</w:t>
      </w:r>
      <w:r w:rsidR="00CA63E2" w:rsidRPr="004744C5">
        <w:t>Transaction</w:t>
      </w:r>
      <w:r w:rsidR="000E2BD5" w:rsidRPr="004744C5">
        <w:t>.</w:t>
      </w:r>
      <w:r w:rsidR="000E2BD5" w:rsidRPr="004744C5">
        <w:rPr>
          <w:lang w:val="en-US"/>
        </w:rPr>
        <w:t xml:space="preserve"> </w:t>
      </w:r>
      <w:r w:rsidR="000E2BD5" w:rsidRPr="004744C5">
        <w:t xml:space="preserve">In addition, the merged entity will </w:t>
      </w:r>
      <w:r w:rsidR="00F83BD3" w:rsidRPr="004744C5">
        <w:t xml:space="preserve">continue to </w:t>
      </w:r>
      <w:r w:rsidR="000E2BD5" w:rsidRPr="004744C5">
        <w:t xml:space="preserve">face competition </w:t>
      </w:r>
      <w:r w:rsidR="00A06607" w:rsidRPr="004744C5">
        <w:t xml:space="preserve">from </w:t>
      </w:r>
      <w:r w:rsidRPr="004744C5">
        <w:t>Arrow (</w:t>
      </w:r>
      <w:r w:rsidR="00F83BD3" w:rsidRPr="004744C5">
        <w:t>c.</w:t>
      </w:r>
      <w:r w:rsidR="009C1CF0" w:rsidRPr="004744C5">
        <w:t xml:space="preserve"> </w:t>
      </w:r>
      <w:r w:rsidR="006D2FF5" w:rsidRPr="004744C5">
        <w:t>[10-20]</w:t>
      </w:r>
      <w:r w:rsidRPr="004744C5">
        <w:t>% market share), a</w:t>
      </w:r>
      <w:r w:rsidR="000E2BD5" w:rsidRPr="004744C5">
        <w:t xml:space="preserve"> strong competitor in the electronic component distribution market in the EEA </w:t>
      </w:r>
      <w:r w:rsidRPr="004744C5">
        <w:t xml:space="preserve">as well as from </w:t>
      </w:r>
      <w:r w:rsidR="000E2BD5" w:rsidRPr="004744C5">
        <w:t xml:space="preserve">other medium and small rival distributors, such as </w:t>
      </w:r>
      <w:proofErr w:type="spellStart"/>
      <w:r w:rsidR="000E2BD5" w:rsidRPr="004744C5">
        <w:t>Rutronik</w:t>
      </w:r>
      <w:proofErr w:type="spellEnd"/>
      <w:r w:rsidR="000E2BD5" w:rsidRPr="004744C5">
        <w:t xml:space="preserve"> Group (</w:t>
      </w:r>
      <w:r w:rsidR="00F83BD3" w:rsidRPr="004744C5">
        <w:t>c.</w:t>
      </w:r>
      <w:r w:rsidR="009C1CF0" w:rsidRPr="004744C5">
        <w:t xml:space="preserve"> </w:t>
      </w:r>
      <w:r w:rsidR="006D2FF5" w:rsidRPr="004744C5">
        <w:t>[5-10]</w:t>
      </w:r>
      <w:r w:rsidR="000E2BD5" w:rsidRPr="004744C5">
        <w:t xml:space="preserve">%), Future Group </w:t>
      </w:r>
      <w:r w:rsidR="00F83BD3" w:rsidRPr="004744C5">
        <w:t xml:space="preserve">and </w:t>
      </w:r>
      <w:r w:rsidR="000E2BD5" w:rsidRPr="004744C5">
        <w:t xml:space="preserve">TTI </w:t>
      </w:r>
      <w:r w:rsidR="000E2BD5" w:rsidRPr="004744C5">
        <w:lastRenderedPageBreak/>
        <w:t>Group (</w:t>
      </w:r>
      <w:r w:rsidR="00F83BD3" w:rsidRPr="004744C5">
        <w:t>c.</w:t>
      </w:r>
      <w:r w:rsidR="009C1CF0" w:rsidRPr="004744C5">
        <w:t xml:space="preserve"> </w:t>
      </w:r>
      <w:r w:rsidR="006D2FF5" w:rsidRPr="004744C5">
        <w:t>[0-5]</w:t>
      </w:r>
      <w:r w:rsidR="000E2BD5" w:rsidRPr="004744C5" w:rsidDel="00F83BD3">
        <w:t>%</w:t>
      </w:r>
      <w:r w:rsidR="00F83BD3" w:rsidRPr="004744C5">
        <w:t xml:space="preserve"> each</w:t>
      </w:r>
      <w:r w:rsidR="000E2BD5" w:rsidRPr="004744C5">
        <w:t>)</w:t>
      </w:r>
      <w:r w:rsidR="00F83BD3" w:rsidRPr="004744C5">
        <w:t>.</w:t>
      </w:r>
      <w:r w:rsidR="003070E6" w:rsidRPr="004744C5">
        <w:t xml:space="preserve"> Furthermore, the market investigation revealed that the parties are not close competitors in </w:t>
      </w:r>
      <w:r w:rsidR="00C44241" w:rsidRPr="004744C5">
        <w:t xml:space="preserve">the overall market for the distribution of electronic components neither at EEA level nor at national </w:t>
      </w:r>
      <w:r w:rsidR="003070E6" w:rsidRPr="004744C5">
        <w:t>market</w:t>
      </w:r>
      <w:r w:rsidR="00C44241" w:rsidRPr="004744C5">
        <w:t xml:space="preserve"> level,</w:t>
      </w:r>
      <w:r w:rsidR="008D06D3" w:rsidRPr="004744C5">
        <w:rPr>
          <w:rStyle w:val="FootnoteReference"/>
        </w:rPr>
        <w:footnoteReference w:id="78"/>
      </w:r>
      <w:r w:rsidR="00C44241" w:rsidRPr="004744C5">
        <w:t xml:space="preserve"> as will be </w:t>
      </w:r>
      <w:r w:rsidR="008D06D3" w:rsidRPr="004744C5">
        <w:t xml:space="preserve">further </w:t>
      </w:r>
      <w:r w:rsidR="00C44241" w:rsidRPr="004744C5">
        <w:t>elaborated below</w:t>
      </w:r>
      <w:r w:rsidR="00097C5E" w:rsidRPr="004744C5">
        <w:t xml:space="preserve"> in paragraphs </w:t>
      </w:r>
      <w:r w:rsidR="00097C5E" w:rsidRPr="004744C5">
        <w:fldChar w:fldCharType="begin"/>
      </w:r>
      <w:r w:rsidR="00097C5E" w:rsidRPr="004744C5">
        <w:instrText xml:space="preserve"> REF _Ref463274333 \r \h </w:instrText>
      </w:r>
      <w:r w:rsidR="00EA4D07" w:rsidRPr="004744C5">
        <w:instrText xml:space="preserve"> \* MERGEFORMAT </w:instrText>
      </w:r>
      <w:r w:rsidR="00097C5E" w:rsidRPr="004744C5">
        <w:fldChar w:fldCharType="separate"/>
      </w:r>
      <w:r w:rsidR="00BA4E96">
        <w:t>(67)</w:t>
      </w:r>
      <w:r w:rsidR="00097C5E" w:rsidRPr="004744C5">
        <w:fldChar w:fldCharType="end"/>
      </w:r>
      <w:r w:rsidR="00097C5E" w:rsidRPr="004744C5">
        <w:t>,</w:t>
      </w:r>
      <w:r w:rsidR="00097C5E" w:rsidRPr="004744C5">
        <w:fldChar w:fldCharType="begin"/>
      </w:r>
      <w:r w:rsidR="00097C5E" w:rsidRPr="004744C5">
        <w:instrText xml:space="preserve"> REF _Ref463274344 \r \h </w:instrText>
      </w:r>
      <w:r w:rsidR="00EA4D07" w:rsidRPr="004744C5">
        <w:instrText xml:space="preserve"> \* MERGEFORMAT </w:instrText>
      </w:r>
      <w:r w:rsidR="00097C5E" w:rsidRPr="004744C5">
        <w:fldChar w:fldCharType="separate"/>
      </w:r>
      <w:r w:rsidR="00BA4E96">
        <w:t>(68)</w:t>
      </w:r>
      <w:r w:rsidR="00097C5E" w:rsidRPr="004744C5">
        <w:fldChar w:fldCharType="end"/>
      </w:r>
      <w:r w:rsidR="008D06D3" w:rsidRPr="004744C5">
        <w:t xml:space="preserve"> </w:t>
      </w:r>
      <w:r w:rsidR="00097C5E" w:rsidRPr="004744C5">
        <w:t xml:space="preserve">and </w:t>
      </w:r>
      <w:r w:rsidR="00097C5E" w:rsidRPr="004744C5">
        <w:fldChar w:fldCharType="begin"/>
      </w:r>
      <w:r w:rsidR="00097C5E" w:rsidRPr="004744C5">
        <w:instrText xml:space="preserve"> REF _Ref463274347 \r \h </w:instrText>
      </w:r>
      <w:r w:rsidR="00EA4D07" w:rsidRPr="004744C5">
        <w:instrText xml:space="preserve"> \* MERGEFORMAT </w:instrText>
      </w:r>
      <w:r w:rsidR="00097C5E" w:rsidRPr="004744C5">
        <w:fldChar w:fldCharType="separate"/>
      </w:r>
      <w:r w:rsidR="00BA4E96">
        <w:t>(69)</w:t>
      </w:r>
      <w:r w:rsidR="00097C5E" w:rsidRPr="004744C5">
        <w:fldChar w:fldCharType="end"/>
      </w:r>
      <w:r w:rsidR="008D06D3" w:rsidRPr="004744C5">
        <w:t xml:space="preserve"> of this decision</w:t>
      </w:r>
      <w:r w:rsidR="00C44241" w:rsidRPr="004744C5">
        <w:t>.</w:t>
      </w:r>
    </w:p>
    <w:p w14:paraId="416821BA" w14:textId="77777777" w:rsidR="00F83BD3" w:rsidRPr="004744C5" w:rsidRDefault="00F83BD3" w:rsidP="00EE6D01">
      <w:pPr>
        <w:pStyle w:val="NumPar1"/>
        <w:ind w:left="851"/>
        <w:rPr>
          <w:i/>
          <w:lang w:val="en-US"/>
        </w:rPr>
      </w:pPr>
      <w:r w:rsidRPr="004744C5">
        <w:rPr>
          <w:b/>
          <w:i/>
          <w:u w:val="single"/>
        </w:rPr>
        <w:t>Segments of electronic components at EEA level</w:t>
      </w:r>
    </w:p>
    <w:p w14:paraId="416821BB" w14:textId="77777777" w:rsidR="000E2BD5" w:rsidRPr="004744C5" w:rsidRDefault="000E2BD5" w:rsidP="00B423F8">
      <w:pPr>
        <w:pStyle w:val="NumPar1"/>
        <w:numPr>
          <w:ilvl w:val="0"/>
          <w:numId w:val="2"/>
        </w:numPr>
        <w:ind w:left="851" w:hanging="851"/>
        <w:rPr>
          <w:i/>
          <w:lang w:val="en-US"/>
        </w:rPr>
      </w:pPr>
      <w:bookmarkStart w:id="11" w:name="_Ref462753844"/>
      <w:r w:rsidRPr="004744C5">
        <w:t xml:space="preserve">Also at </w:t>
      </w:r>
      <w:r w:rsidRPr="004744C5">
        <w:rPr>
          <w:b/>
        </w:rPr>
        <w:t>EEA</w:t>
      </w:r>
      <w:r w:rsidRPr="004744C5">
        <w:t xml:space="preserve"> level, but according to a narrower definition of the relevant markets based on the </w:t>
      </w:r>
      <w:r w:rsidRPr="004744C5">
        <w:rPr>
          <w:b/>
          <w:u w:val="single"/>
        </w:rPr>
        <w:t>different segments of electronic components</w:t>
      </w:r>
      <w:r w:rsidRPr="004744C5">
        <w:t xml:space="preserve">, the parties' combined market share would be above 25% only in the wholesale distribution of semiconductors market (Combined: </w:t>
      </w:r>
      <w:r w:rsidR="00C31F4B" w:rsidRPr="004744C5">
        <w:t>c.</w:t>
      </w:r>
      <w:r w:rsidR="00F3165B" w:rsidRPr="004744C5">
        <w:t xml:space="preserve"> </w:t>
      </w:r>
      <w:r w:rsidR="008E7355" w:rsidRPr="004744C5">
        <w:t>[30-40</w:t>
      </w:r>
      <w:proofErr w:type="gramStart"/>
      <w:r w:rsidR="008E7355" w:rsidRPr="004744C5">
        <w:t>]</w:t>
      </w:r>
      <w:r w:rsidRPr="004744C5">
        <w:t>%</w:t>
      </w:r>
      <w:proofErr w:type="gramEnd"/>
      <w:r w:rsidRPr="004744C5">
        <w:t xml:space="preserve">; Avnet: </w:t>
      </w:r>
      <w:r w:rsidR="008E7355" w:rsidRPr="004744C5">
        <w:t>[30-40]</w:t>
      </w:r>
      <w:r w:rsidRPr="004744C5">
        <w:t xml:space="preserve">%; Premier </w:t>
      </w:r>
      <w:proofErr w:type="spellStart"/>
      <w:r w:rsidRPr="004744C5">
        <w:t>Farnell</w:t>
      </w:r>
      <w:proofErr w:type="spellEnd"/>
      <w:r w:rsidRPr="004744C5">
        <w:t xml:space="preserve">: </w:t>
      </w:r>
      <w:r w:rsidR="008E7355" w:rsidRPr="004744C5">
        <w:t>[0-5]</w:t>
      </w:r>
      <w:r w:rsidRPr="004744C5">
        <w:t xml:space="preserve">%) with Avnet already being the largest distributor in this segment on an EEA-wide </w:t>
      </w:r>
      <w:r w:rsidR="00C31F4B" w:rsidRPr="004744C5">
        <w:t>level</w:t>
      </w:r>
      <w:r w:rsidRPr="004744C5">
        <w:t xml:space="preserve"> pre-merger. However, in this market segment, the increment resulting from the Transaction will again be low </w:t>
      </w:r>
      <w:r w:rsidR="002433A7" w:rsidRPr="004744C5">
        <w:t>(</w:t>
      </w:r>
      <w:r w:rsidR="008E7355" w:rsidRPr="004744C5">
        <w:t>[0-5</w:t>
      </w:r>
      <w:proofErr w:type="gramStart"/>
      <w:r w:rsidR="008E7355" w:rsidRPr="004744C5">
        <w:t>]</w:t>
      </w:r>
      <w:r w:rsidRPr="004744C5">
        <w:t>%</w:t>
      </w:r>
      <w:proofErr w:type="gramEnd"/>
      <w:r w:rsidR="002433A7" w:rsidRPr="004744C5">
        <w:t>)</w:t>
      </w:r>
      <w:r w:rsidRPr="004744C5">
        <w:t xml:space="preserve"> and the merged entity will face competition from strong competitors in the semiconductor distribution market in the EEA such as Arrow (</w:t>
      </w:r>
      <w:r w:rsidR="00312E03" w:rsidRPr="004744C5">
        <w:t xml:space="preserve">c. </w:t>
      </w:r>
      <w:r w:rsidR="008E7355" w:rsidRPr="004744C5">
        <w:t>[20-30]</w:t>
      </w:r>
      <w:r w:rsidRPr="004744C5">
        <w:t xml:space="preserve">%) and other medium and small rival distributors, such as </w:t>
      </w:r>
      <w:proofErr w:type="spellStart"/>
      <w:r w:rsidRPr="004744C5">
        <w:t>Rutronik</w:t>
      </w:r>
      <w:proofErr w:type="spellEnd"/>
      <w:r w:rsidRPr="004744C5">
        <w:t xml:space="preserve"> Group (</w:t>
      </w:r>
      <w:r w:rsidR="00312E03" w:rsidRPr="004744C5">
        <w:t xml:space="preserve">c. </w:t>
      </w:r>
      <w:r w:rsidR="008E7355" w:rsidRPr="004744C5">
        <w:t>[5-10]</w:t>
      </w:r>
      <w:r w:rsidRPr="004744C5">
        <w:t>%) and Future Group (</w:t>
      </w:r>
      <w:r w:rsidR="00312E03" w:rsidRPr="004744C5">
        <w:t xml:space="preserve">c. </w:t>
      </w:r>
      <w:r w:rsidR="008E7355" w:rsidRPr="004744C5">
        <w:t>[</w:t>
      </w:r>
      <w:r w:rsidR="00312E03" w:rsidRPr="004744C5">
        <w:t>5</w:t>
      </w:r>
      <w:r w:rsidR="008E7355" w:rsidRPr="004744C5">
        <w:t>-10]</w:t>
      </w:r>
      <w:r w:rsidRPr="004744C5">
        <w:t>%).</w:t>
      </w:r>
      <w:r w:rsidR="00C44241" w:rsidRPr="004744C5">
        <w:t xml:space="preserve"> According to the market participants who replied to the market investigation, the impact of the Transaction in the wholesale distribution of semiconductors market will be mostly neutral.</w:t>
      </w:r>
      <w:r w:rsidR="00C44241" w:rsidRPr="004744C5">
        <w:rPr>
          <w:rStyle w:val="FootnoteReference"/>
        </w:rPr>
        <w:footnoteReference w:id="79"/>
      </w:r>
      <w:bookmarkEnd w:id="11"/>
    </w:p>
    <w:p w14:paraId="416821BC" w14:textId="77777777" w:rsidR="000E2BD5" w:rsidRPr="004744C5" w:rsidRDefault="000E2BD5" w:rsidP="000E2BD5">
      <w:pPr>
        <w:pStyle w:val="NumPar1"/>
        <w:rPr>
          <w:b/>
        </w:rPr>
      </w:pPr>
      <w:r w:rsidRPr="004744C5">
        <w:rPr>
          <w:b/>
        </w:rPr>
        <w:t>Assessment of the national markets</w:t>
      </w:r>
    </w:p>
    <w:p w14:paraId="416821BD" w14:textId="77777777" w:rsidR="000E2BD5" w:rsidRPr="004744C5" w:rsidRDefault="000E2BD5" w:rsidP="00B423F8">
      <w:pPr>
        <w:pStyle w:val="NumPar1"/>
        <w:numPr>
          <w:ilvl w:val="0"/>
          <w:numId w:val="2"/>
        </w:numPr>
        <w:ind w:left="851" w:hanging="851"/>
      </w:pPr>
      <w:r w:rsidRPr="004744C5">
        <w:t xml:space="preserve">First, as can be seen in Table 2 below, with regard to the </w:t>
      </w:r>
      <w:r w:rsidRPr="004744C5">
        <w:rPr>
          <w:b/>
          <w:u w:val="single"/>
        </w:rPr>
        <w:t>overall market for the wholesale distribution of all electronic components</w:t>
      </w:r>
      <w:r w:rsidRPr="004744C5">
        <w:rPr>
          <w:b/>
        </w:rPr>
        <w:t xml:space="preserve"> </w:t>
      </w:r>
      <w:r w:rsidRPr="004744C5">
        <w:t xml:space="preserve">at </w:t>
      </w:r>
      <w:r w:rsidR="00E85655" w:rsidRPr="004744C5">
        <w:t>the</w:t>
      </w:r>
      <w:r w:rsidRPr="004744C5">
        <w:t xml:space="preserve"> national level, the combined entity's market shares are above 25% in Austria (</w:t>
      </w:r>
      <w:r w:rsidR="001B321D" w:rsidRPr="004744C5">
        <w:t xml:space="preserve">c. </w:t>
      </w:r>
      <w:r w:rsidR="006D2FF5" w:rsidRPr="004744C5">
        <w:t>[20-30]</w:t>
      </w:r>
      <w:r w:rsidRPr="004744C5">
        <w:t>%), Belgium (</w:t>
      </w:r>
      <w:r w:rsidR="00EE6D01" w:rsidRPr="004744C5">
        <w:t xml:space="preserve">c. </w:t>
      </w:r>
      <w:r w:rsidR="006D2FF5" w:rsidRPr="004744C5">
        <w:t>[30-40]</w:t>
      </w:r>
      <w:r w:rsidRPr="004744C5">
        <w:t>%), Bulgaria (</w:t>
      </w:r>
      <w:r w:rsidR="00EE6D01" w:rsidRPr="004744C5">
        <w:t xml:space="preserve">c. </w:t>
      </w:r>
      <w:r w:rsidR="006D2FF5" w:rsidRPr="004744C5">
        <w:t>[20-30]%</w:t>
      </w:r>
      <w:r w:rsidRPr="004744C5">
        <w:t>), Czech Republic (</w:t>
      </w:r>
      <w:r w:rsidR="00EE6D01" w:rsidRPr="004744C5">
        <w:t xml:space="preserve">c. </w:t>
      </w:r>
      <w:r w:rsidR="006D2FF5" w:rsidRPr="004744C5">
        <w:t>[</w:t>
      </w:r>
      <w:r w:rsidRPr="004744C5">
        <w:t>30</w:t>
      </w:r>
      <w:r w:rsidR="006D2FF5" w:rsidRPr="004744C5">
        <w:t>-40]</w:t>
      </w:r>
      <w:r w:rsidRPr="004744C5">
        <w:t>%), Denmark (</w:t>
      </w:r>
      <w:r w:rsidR="00EE6D01" w:rsidRPr="004744C5">
        <w:t xml:space="preserve">c. </w:t>
      </w:r>
      <w:r w:rsidR="006D2FF5" w:rsidRPr="004744C5">
        <w:t>[30-40]%</w:t>
      </w:r>
      <w:r w:rsidRPr="004744C5">
        <w:t>), France (</w:t>
      </w:r>
      <w:r w:rsidR="00EE6D01" w:rsidRPr="004744C5">
        <w:t xml:space="preserve">c. </w:t>
      </w:r>
      <w:r w:rsidR="006D2FF5" w:rsidRPr="004744C5">
        <w:t>[30-40]%</w:t>
      </w:r>
      <w:r w:rsidRPr="004744C5">
        <w:t>), Germany (</w:t>
      </w:r>
      <w:r w:rsidR="00EE6D01" w:rsidRPr="004744C5">
        <w:t xml:space="preserve">c. </w:t>
      </w:r>
      <w:r w:rsidR="006D2FF5" w:rsidRPr="004744C5">
        <w:t>[20-30]%),</w:t>
      </w:r>
      <w:r w:rsidRPr="004744C5">
        <w:t xml:space="preserve"> Italy (</w:t>
      </w:r>
      <w:r w:rsidR="00EE6D01" w:rsidRPr="004744C5">
        <w:t xml:space="preserve">c. </w:t>
      </w:r>
      <w:r w:rsidR="006D2FF5" w:rsidRPr="004744C5">
        <w:t>[20-30]%),</w:t>
      </w:r>
      <w:r w:rsidRPr="004744C5">
        <w:t xml:space="preserve"> </w:t>
      </w:r>
      <w:r w:rsidR="00E85655" w:rsidRPr="004744C5">
        <w:t>the Netherlands (</w:t>
      </w:r>
      <w:r w:rsidR="00EE6D01" w:rsidRPr="004744C5">
        <w:t xml:space="preserve">c. </w:t>
      </w:r>
      <w:r w:rsidR="006D2FF5" w:rsidRPr="004744C5">
        <w:t>[20-30]%)</w:t>
      </w:r>
      <w:r w:rsidR="00E85655" w:rsidRPr="004744C5">
        <w:t>, Romania (</w:t>
      </w:r>
      <w:r w:rsidR="00EE6D01" w:rsidRPr="004744C5">
        <w:t xml:space="preserve">c. </w:t>
      </w:r>
      <w:r w:rsidR="006D2FF5" w:rsidRPr="004744C5">
        <w:t>[30-40]%</w:t>
      </w:r>
      <w:r w:rsidR="00E85655" w:rsidRPr="004744C5">
        <w:t xml:space="preserve">), </w:t>
      </w:r>
      <w:r w:rsidRPr="004744C5">
        <w:t>Slovakia (</w:t>
      </w:r>
      <w:r w:rsidR="00EE6D01" w:rsidRPr="004744C5">
        <w:t xml:space="preserve">c. </w:t>
      </w:r>
      <w:r w:rsidR="006D2FF5" w:rsidRPr="004744C5">
        <w:t>[30-40]%</w:t>
      </w:r>
      <w:r w:rsidRPr="004744C5">
        <w:t>), Slovenia (</w:t>
      </w:r>
      <w:r w:rsidR="00EE6D01" w:rsidRPr="004744C5">
        <w:t xml:space="preserve">c. </w:t>
      </w:r>
      <w:r w:rsidR="006D2FF5" w:rsidRPr="004744C5">
        <w:t>[30-40]%</w:t>
      </w:r>
      <w:r w:rsidRPr="004744C5">
        <w:t xml:space="preserve">) and </w:t>
      </w:r>
      <w:r w:rsidR="00E85655" w:rsidRPr="004744C5">
        <w:t>the United Kingdom (</w:t>
      </w:r>
      <w:r w:rsidR="00EE6D01" w:rsidRPr="004744C5">
        <w:t xml:space="preserve">c. </w:t>
      </w:r>
      <w:r w:rsidR="006D2FF5" w:rsidRPr="004744C5">
        <w:t>[30-40]%</w:t>
      </w:r>
      <w:r w:rsidR="00E85655" w:rsidRPr="004744C5">
        <w:t>)</w:t>
      </w:r>
      <w:r w:rsidRPr="004744C5">
        <w:t xml:space="preserve">. The market share increment resulting from the Transaction is less than </w:t>
      </w:r>
      <w:r w:rsidR="006D2FF5" w:rsidRPr="004744C5">
        <w:t>[0-5]</w:t>
      </w:r>
      <w:r w:rsidRPr="004744C5">
        <w:t xml:space="preserve">% in each of the above mentioned Member States, except in the </w:t>
      </w:r>
      <w:r w:rsidR="002F34B0" w:rsidRPr="004744C5">
        <w:t>United Kingdom</w:t>
      </w:r>
      <w:r w:rsidRPr="004744C5">
        <w:t xml:space="preserve"> (</w:t>
      </w:r>
      <w:r w:rsidR="00EE6D01" w:rsidRPr="004744C5">
        <w:t xml:space="preserve">c. </w:t>
      </w:r>
      <w:r w:rsidR="006D2FF5" w:rsidRPr="004744C5">
        <w:t>[5-10]</w:t>
      </w:r>
      <w:r w:rsidRPr="004744C5">
        <w:t>%) and the Netherlands (</w:t>
      </w:r>
      <w:r w:rsidR="00EE6D01" w:rsidRPr="004744C5">
        <w:t xml:space="preserve">c. </w:t>
      </w:r>
      <w:r w:rsidR="006D2FF5" w:rsidRPr="004744C5">
        <w:t>[5-10]%</w:t>
      </w:r>
      <w:r w:rsidRPr="004744C5">
        <w:t>).</w:t>
      </w:r>
    </w:p>
    <w:p w14:paraId="5FFD6725" w14:textId="77777777" w:rsidR="0060677A" w:rsidRDefault="0060677A">
      <w:pPr>
        <w:spacing w:after="0"/>
        <w:jc w:val="left"/>
        <w:rPr>
          <w:rFonts w:ascii="Times New Roman Bold" w:hAnsi="Times New Roman Bold"/>
          <w:b/>
          <w:sz w:val="22"/>
          <w:szCs w:val="22"/>
        </w:rPr>
      </w:pPr>
      <w:r>
        <w:rPr>
          <w:b/>
          <w:sz w:val="22"/>
          <w:szCs w:val="22"/>
        </w:rPr>
        <w:br w:type="page"/>
      </w:r>
    </w:p>
    <w:p w14:paraId="416821BE" w14:textId="20EDDB29" w:rsidR="000E2BD5" w:rsidRPr="004744C5" w:rsidRDefault="000E2BD5" w:rsidP="000E2BD5">
      <w:pPr>
        <w:pStyle w:val="NumPar1"/>
        <w:spacing w:after="0"/>
        <w:ind w:left="360"/>
        <w:jc w:val="center"/>
        <w:rPr>
          <w:b/>
          <w:sz w:val="22"/>
          <w:szCs w:val="22"/>
        </w:rPr>
      </w:pPr>
      <w:r w:rsidRPr="004744C5">
        <w:rPr>
          <w:b/>
          <w:sz w:val="22"/>
          <w:szCs w:val="22"/>
        </w:rPr>
        <w:lastRenderedPageBreak/>
        <w:t xml:space="preserve">Table 2: Overview of market shares on Member State level for the wholesale distribution of all electronic components - 2015 </w:t>
      </w:r>
    </w:p>
    <w:tbl>
      <w:tblPr>
        <w:tblStyle w:val="TableGrid"/>
        <w:tblW w:w="9221" w:type="dxa"/>
        <w:tblInd w:w="360" w:type="dxa"/>
        <w:tblLayout w:type="fixed"/>
        <w:tblLook w:val="04A0" w:firstRow="1" w:lastRow="0" w:firstColumn="1" w:lastColumn="0" w:noHBand="0" w:noVBand="1"/>
      </w:tblPr>
      <w:tblGrid>
        <w:gridCol w:w="1166"/>
        <w:gridCol w:w="850"/>
        <w:gridCol w:w="851"/>
        <w:gridCol w:w="992"/>
        <w:gridCol w:w="851"/>
        <w:gridCol w:w="850"/>
        <w:gridCol w:w="851"/>
        <w:gridCol w:w="850"/>
        <w:gridCol w:w="1133"/>
        <w:gridCol w:w="827"/>
      </w:tblGrid>
      <w:tr w:rsidR="000E2BD5" w:rsidRPr="004744C5" w14:paraId="416821C9" w14:textId="77777777" w:rsidTr="00275B5A">
        <w:trPr>
          <w:trHeight w:val="227"/>
        </w:trPr>
        <w:tc>
          <w:tcPr>
            <w:tcW w:w="1166" w:type="dxa"/>
            <w:shd w:val="clear" w:color="auto" w:fill="D6E3BC" w:themeFill="accent3" w:themeFillTint="66"/>
          </w:tcPr>
          <w:p w14:paraId="416821BF" w14:textId="77777777" w:rsidR="000E2BD5" w:rsidRPr="004744C5" w:rsidRDefault="000E2BD5" w:rsidP="00B423F8">
            <w:pPr>
              <w:pStyle w:val="NumPar1"/>
              <w:spacing w:after="0"/>
              <w:jc w:val="center"/>
              <w:rPr>
                <w:b/>
                <w:sz w:val="16"/>
                <w:szCs w:val="16"/>
              </w:rPr>
            </w:pPr>
            <w:r w:rsidRPr="004744C5">
              <w:rPr>
                <w:b/>
                <w:sz w:val="16"/>
                <w:szCs w:val="16"/>
              </w:rPr>
              <w:t>2015</w:t>
            </w:r>
          </w:p>
        </w:tc>
        <w:tc>
          <w:tcPr>
            <w:tcW w:w="850" w:type="dxa"/>
          </w:tcPr>
          <w:p w14:paraId="416821C0" w14:textId="77777777" w:rsidR="000E2BD5" w:rsidRPr="004744C5" w:rsidRDefault="000E2BD5" w:rsidP="002433A7">
            <w:pPr>
              <w:pStyle w:val="NumPar1"/>
              <w:spacing w:after="0"/>
              <w:jc w:val="center"/>
              <w:rPr>
                <w:b/>
                <w:sz w:val="16"/>
                <w:szCs w:val="16"/>
              </w:rPr>
            </w:pPr>
            <w:r w:rsidRPr="004744C5">
              <w:rPr>
                <w:b/>
                <w:sz w:val="16"/>
                <w:szCs w:val="16"/>
              </w:rPr>
              <w:t>Avnet</w:t>
            </w:r>
          </w:p>
        </w:tc>
        <w:tc>
          <w:tcPr>
            <w:tcW w:w="851" w:type="dxa"/>
          </w:tcPr>
          <w:p w14:paraId="416821C1" w14:textId="77777777" w:rsidR="000E2BD5" w:rsidRPr="004744C5" w:rsidRDefault="000E2BD5" w:rsidP="002433A7">
            <w:pPr>
              <w:pStyle w:val="NumPar1"/>
              <w:spacing w:after="0"/>
              <w:jc w:val="center"/>
              <w:rPr>
                <w:b/>
                <w:sz w:val="16"/>
                <w:szCs w:val="16"/>
              </w:rPr>
            </w:pPr>
            <w:r w:rsidRPr="004744C5">
              <w:rPr>
                <w:b/>
                <w:sz w:val="16"/>
                <w:szCs w:val="16"/>
              </w:rPr>
              <w:t xml:space="preserve">Premier </w:t>
            </w:r>
            <w:proofErr w:type="spellStart"/>
            <w:r w:rsidRPr="004744C5">
              <w:rPr>
                <w:b/>
                <w:sz w:val="16"/>
                <w:szCs w:val="16"/>
              </w:rPr>
              <w:t>Farnell</w:t>
            </w:r>
            <w:proofErr w:type="spellEnd"/>
          </w:p>
        </w:tc>
        <w:tc>
          <w:tcPr>
            <w:tcW w:w="992" w:type="dxa"/>
            <w:shd w:val="clear" w:color="auto" w:fill="D9D9D9" w:themeFill="background1" w:themeFillShade="D9"/>
          </w:tcPr>
          <w:p w14:paraId="416821C2" w14:textId="77777777" w:rsidR="000E2BD5" w:rsidRPr="004744C5" w:rsidRDefault="000E2BD5" w:rsidP="002433A7">
            <w:pPr>
              <w:pStyle w:val="NumPar1"/>
              <w:spacing w:after="0"/>
              <w:jc w:val="center"/>
              <w:rPr>
                <w:b/>
                <w:sz w:val="16"/>
                <w:szCs w:val="16"/>
              </w:rPr>
            </w:pPr>
            <w:r w:rsidRPr="004744C5">
              <w:rPr>
                <w:b/>
                <w:sz w:val="16"/>
                <w:szCs w:val="16"/>
              </w:rPr>
              <w:t>Combined</w:t>
            </w:r>
          </w:p>
        </w:tc>
        <w:tc>
          <w:tcPr>
            <w:tcW w:w="851" w:type="dxa"/>
          </w:tcPr>
          <w:p w14:paraId="416821C3" w14:textId="77777777" w:rsidR="000E2BD5" w:rsidRPr="004744C5" w:rsidRDefault="000E2BD5" w:rsidP="002433A7">
            <w:pPr>
              <w:pStyle w:val="NumPar1"/>
              <w:spacing w:after="0"/>
              <w:jc w:val="center"/>
              <w:rPr>
                <w:b/>
                <w:sz w:val="16"/>
                <w:szCs w:val="16"/>
              </w:rPr>
            </w:pPr>
            <w:r w:rsidRPr="004744C5">
              <w:rPr>
                <w:b/>
                <w:sz w:val="16"/>
                <w:szCs w:val="16"/>
              </w:rPr>
              <w:t>Arrow</w:t>
            </w:r>
          </w:p>
        </w:tc>
        <w:tc>
          <w:tcPr>
            <w:tcW w:w="850" w:type="dxa"/>
          </w:tcPr>
          <w:p w14:paraId="416821C4" w14:textId="77777777" w:rsidR="000E2BD5" w:rsidRPr="004744C5" w:rsidRDefault="000E2BD5" w:rsidP="002433A7">
            <w:pPr>
              <w:pStyle w:val="NumPar1"/>
              <w:spacing w:after="0"/>
              <w:jc w:val="center"/>
              <w:rPr>
                <w:b/>
                <w:sz w:val="16"/>
                <w:szCs w:val="16"/>
              </w:rPr>
            </w:pPr>
            <w:proofErr w:type="spellStart"/>
            <w:r w:rsidRPr="004744C5">
              <w:rPr>
                <w:b/>
                <w:sz w:val="16"/>
                <w:szCs w:val="16"/>
              </w:rPr>
              <w:t>Rutronik</w:t>
            </w:r>
            <w:proofErr w:type="spellEnd"/>
            <w:r w:rsidRPr="004744C5">
              <w:rPr>
                <w:b/>
                <w:sz w:val="16"/>
                <w:szCs w:val="16"/>
              </w:rPr>
              <w:t xml:space="preserve"> Group</w:t>
            </w:r>
          </w:p>
        </w:tc>
        <w:tc>
          <w:tcPr>
            <w:tcW w:w="851" w:type="dxa"/>
          </w:tcPr>
          <w:p w14:paraId="416821C5" w14:textId="77777777" w:rsidR="000E2BD5" w:rsidRPr="004744C5" w:rsidRDefault="000E2BD5" w:rsidP="002433A7">
            <w:pPr>
              <w:pStyle w:val="NumPar1"/>
              <w:spacing w:after="0"/>
              <w:jc w:val="center"/>
              <w:rPr>
                <w:b/>
                <w:sz w:val="16"/>
                <w:szCs w:val="16"/>
              </w:rPr>
            </w:pPr>
            <w:r w:rsidRPr="004744C5">
              <w:rPr>
                <w:b/>
                <w:sz w:val="16"/>
                <w:szCs w:val="16"/>
              </w:rPr>
              <w:t>Future Group</w:t>
            </w:r>
          </w:p>
        </w:tc>
        <w:tc>
          <w:tcPr>
            <w:tcW w:w="850" w:type="dxa"/>
          </w:tcPr>
          <w:p w14:paraId="416821C6" w14:textId="77777777" w:rsidR="000E2BD5" w:rsidRPr="004744C5" w:rsidRDefault="000E2BD5" w:rsidP="00E85655">
            <w:pPr>
              <w:pStyle w:val="NumPar1"/>
              <w:spacing w:after="0"/>
              <w:jc w:val="center"/>
              <w:rPr>
                <w:b/>
                <w:sz w:val="16"/>
                <w:szCs w:val="16"/>
              </w:rPr>
            </w:pPr>
            <w:r w:rsidRPr="004744C5">
              <w:rPr>
                <w:b/>
                <w:sz w:val="16"/>
                <w:szCs w:val="16"/>
              </w:rPr>
              <w:t>TTI Group</w:t>
            </w:r>
          </w:p>
        </w:tc>
        <w:tc>
          <w:tcPr>
            <w:tcW w:w="1133" w:type="dxa"/>
          </w:tcPr>
          <w:p w14:paraId="416821C7" w14:textId="77777777" w:rsidR="000E2BD5" w:rsidRPr="004744C5" w:rsidRDefault="000E2BD5" w:rsidP="00275B5A">
            <w:pPr>
              <w:pStyle w:val="NumPar1"/>
              <w:spacing w:after="0"/>
              <w:jc w:val="center"/>
              <w:rPr>
                <w:b/>
                <w:sz w:val="16"/>
                <w:szCs w:val="16"/>
              </w:rPr>
            </w:pPr>
            <w:r w:rsidRPr="004744C5">
              <w:rPr>
                <w:b/>
                <w:sz w:val="16"/>
                <w:szCs w:val="16"/>
              </w:rPr>
              <w:t>Electro-</w:t>
            </w:r>
            <w:r w:rsidRPr="004744C5">
              <w:rPr>
                <w:b/>
                <w:sz w:val="16"/>
                <w:szCs w:val="16"/>
              </w:rPr>
              <w:br/>
            </w:r>
            <w:proofErr w:type="spellStart"/>
            <w:r w:rsidR="00275B5A" w:rsidRPr="004744C5">
              <w:rPr>
                <w:b/>
                <w:sz w:val="16"/>
                <w:szCs w:val="16"/>
              </w:rPr>
              <w:t>components</w:t>
            </w:r>
            <w:r w:rsidRPr="004744C5">
              <w:rPr>
                <w:b/>
                <w:sz w:val="16"/>
                <w:szCs w:val="16"/>
              </w:rPr>
              <w:t>Group</w:t>
            </w:r>
            <w:proofErr w:type="spellEnd"/>
          </w:p>
        </w:tc>
        <w:tc>
          <w:tcPr>
            <w:tcW w:w="827" w:type="dxa"/>
          </w:tcPr>
          <w:p w14:paraId="416821C8" w14:textId="77777777" w:rsidR="000E2BD5" w:rsidRPr="004744C5" w:rsidRDefault="000E2BD5" w:rsidP="001E070E">
            <w:pPr>
              <w:pStyle w:val="NumPar1"/>
              <w:spacing w:after="0"/>
              <w:jc w:val="center"/>
              <w:rPr>
                <w:b/>
                <w:sz w:val="16"/>
                <w:szCs w:val="16"/>
              </w:rPr>
            </w:pPr>
            <w:proofErr w:type="spellStart"/>
            <w:r w:rsidRPr="004744C5">
              <w:rPr>
                <w:b/>
                <w:sz w:val="16"/>
                <w:szCs w:val="16"/>
              </w:rPr>
              <w:t>Codico</w:t>
            </w:r>
            <w:proofErr w:type="spellEnd"/>
          </w:p>
        </w:tc>
      </w:tr>
      <w:tr w:rsidR="002A7707" w:rsidRPr="004744C5" w14:paraId="416821D4" w14:textId="77777777" w:rsidTr="00275B5A">
        <w:trPr>
          <w:trHeight w:val="227"/>
        </w:trPr>
        <w:tc>
          <w:tcPr>
            <w:tcW w:w="1166" w:type="dxa"/>
          </w:tcPr>
          <w:p w14:paraId="416821CA" w14:textId="77777777" w:rsidR="002A7707" w:rsidRPr="004744C5" w:rsidRDefault="002A7707" w:rsidP="00B423F8">
            <w:pPr>
              <w:pStyle w:val="NumPar1"/>
              <w:spacing w:after="0"/>
              <w:jc w:val="left"/>
              <w:rPr>
                <w:b/>
                <w:sz w:val="16"/>
                <w:szCs w:val="16"/>
              </w:rPr>
            </w:pPr>
            <w:r w:rsidRPr="004744C5">
              <w:rPr>
                <w:b/>
                <w:sz w:val="16"/>
                <w:szCs w:val="16"/>
              </w:rPr>
              <w:t>Austria</w:t>
            </w:r>
          </w:p>
        </w:tc>
        <w:tc>
          <w:tcPr>
            <w:tcW w:w="850" w:type="dxa"/>
          </w:tcPr>
          <w:p w14:paraId="416821CB" w14:textId="77777777" w:rsidR="002A7707" w:rsidRPr="004744C5" w:rsidRDefault="002A7707" w:rsidP="00B423F8">
            <w:pPr>
              <w:pStyle w:val="NumPar1"/>
              <w:spacing w:after="0"/>
              <w:jc w:val="center"/>
              <w:rPr>
                <w:sz w:val="16"/>
                <w:szCs w:val="16"/>
              </w:rPr>
            </w:pPr>
            <w:r w:rsidRPr="004744C5">
              <w:rPr>
                <w:sz w:val="16"/>
                <w:szCs w:val="16"/>
              </w:rPr>
              <w:t>[20-30]%</w:t>
            </w:r>
          </w:p>
        </w:tc>
        <w:tc>
          <w:tcPr>
            <w:tcW w:w="851" w:type="dxa"/>
          </w:tcPr>
          <w:p w14:paraId="416821CC" w14:textId="77777777" w:rsidR="002A7707" w:rsidRPr="004744C5" w:rsidRDefault="002A7707" w:rsidP="00B423F8">
            <w:pPr>
              <w:pStyle w:val="NumPar1"/>
              <w:spacing w:after="0"/>
              <w:jc w:val="center"/>
              <w:rPr>
                <w:sz w:val="16"/>
                <w:szCs w:val="16"/>
              </w:rPr>
            </w:pPr>
            <w:r w:rsidRPr="004744C5">
              <w:rPr>
                <w:sz w:val="16"/>
                <w:szCs w:val="16"/>
              </w:rPr>
              <w:t>[0-5]%</w:t>
            </w:r>
          </w:p>
        </w:tc>
        <w:tc>
          <w:tcPr>
            <w:tcW w:w="992" w:type="dxa"/>
            <w:shd w:val="clear" w:color="auto" w:fill="D9D9D9" w:themeFill="background1" w:themeFillShade="D9"/>
          </w:tcPr>
          <w:p w14:paraId="416821CD" w14:textId="77777777" w:rsidR="002A7707" w:rsidRPr="004744C5" w:rsidRDefault="002A7707" w:rsidP="00E92C0A">
            <w:pPr>
              <w:pStyle w:val="NumPar1"/>
              <w:spacing w:after="0"/>
              <w:jc w:val="center"/>
              <w:rPr>
                <w:sz w:val="16"/>
                <w:szCs w:val="16"/>
              </w:rPr>
            </w:pPr>
            <w:r w:rsidRPr="004744C5">
              <w:rPr>
                <w:sz w:val="16"/>
                <w:szCs w:val="16"/>
              </w:rPr>
              <w:t>[20-30]%</w:t>
            </w:r>
          </w:p>
        </w:tc>
        <w:tc>
          <w:tcPr>
            <w:tcW w:w="851" w:type="dxa"/>
          </w:tcPr>
          <w:p w14:paraId="416821CE" w14:textId="77777777" w:rsidR="002A7707" w:rsidRPr="004744C5" w:rsidRDefault="002A7707" w:rsidP="00B423F8">
            <w:pPr>
              <w:pStyle w:val="NumPar1"/>
              <w:spacing w:after="0"/>
              <w:jc w:val="center"/>
              <w:rPr>
                <w:sz w:val="16"/>
                <w:szCs w:val="16"/>
              </w:rPr>
            </w:pPr>
            <w:r w:rsidRPr="004744C5">
              <w:rPr>
                <w:sz w:val="16"/>
                <w:szCs w:val="16"/>
              </w:rPr>
              <w:t>[10-20]%</w:t>
            </w:r>
          </w:p>
        </w:tc>
        <w:tc>
          <w:tcPr>
            <w:tcW w:w="850" w:type="dxa"/>
          </w:tcPr>
          <w:p w14:paraId="416821CF" w14:textId="77777777" w:rsidR="002A7707" w:rsidRPr="004744C5" w:rsidRDefault="002A7707" w:rsidP="00B423F8">
            <w:pPr>
              <w:pStyle w:val="NumPar1"/>
              <w:spacing w:after="0"/>
              <w:jc w:val="center"/>
              <w:rPr>
                <w:sz w:val="16"/>
                <w:szCs w:val="16"/>
              </w:rPr>
            </w:pPr>
            <w:r w:rsidRPr="004744C5">
              <w:rPr>
                <w:sz w:val="16"/>
                <w:szCs w:val="16"/>
              </w:rPr>
              <w:t>[5-10]%</w:t>
            </w:r>
          </w:p>
        </w:tc>
        <w:tc>
          <w:tcPr>
            <w:tcW w:w="851" w:type="dxa"/>
          </w:tcPr>
          <w:p w14:paraId="416821D0" w14:textId="77777777" w:rsidR="002A7707" w:rsidRPr="004744C5" w:rsidRDefault="002A7707" w:rsidP="00B423F8">
            <w:pPr>
              <w:pStyle w:val="NumPar1"/>
              <w:spacing w:after="0"/>
              <w:jc w:val="center"/>
              <w:rPr>
                <w:sz w:val="16"/>
                <w:szCs w:val="16"/>
              </w:rPr>
            </w:pPr>
            <w:r w:rsidRPr="004744C5">
              <w:rPr>
                <w:sz w:val="16"/>
                <w:szCs w:val="16"/>
              </w:rPr>
              <w:t>[0-5]%</w:t>
            </w:r>
          </w:p>
        </w:tc>
        <w:tc>
          <w:tcPr>
            <w:tcW w:w="850" w:type="dxa"/>
          </w:tcPr>
          <w:p w14:paraId="416821D1" w14:textId="77777777" w:rsidR="002A7707" w:rsidRPr="004744C5" w:rsidRDefault="002A7707" w:rsidP="00B423F8">
            <w:pPr>
              <w:pStyle w:val="NumPar1"/>
              <w:spacing w:after="0"/>
              <w:jc w:val="center"/>
              <w:rPr>
                <w:sz w:val="16"/>
                <w:szCs w:val="16"/>
              </w:rPr>
            </w:pPr>
            <w:r w:rsidRPr="004744C5">
              <w:rPr>
                <w:sz w:val="16"/>
                <w:szCs w:val="16"/>
              </w:rPr>
              <w:t>[0-5]%</w:t>
            </w:r>
          </w:p>
        </w:tc>
        <w:tc>
          <w:tcPr>
            <w:tcW w:w="1133" w:type="dxa"/>
          </w:tcPr>
          <w:p w14:paraId="416821D2" w14:textId="77777777" w:rsidR="002A7707" w:rsidRPr="004744C5" w:rsidRDefault="002A7707" w:rsidP="00B423F8">
            <w:pPr>
              <w:pStyle w:val="NumPar1"/>
              <w:spacing w:after="0"/>
              <w:jc w:val="center"/>
              <w:rPr>
                <w:sz w:val="16"/>
                <w:szCs w:val="16"/>
              </w:rPr>
            </w:pPr>
            <w:r w:rsidRPr="004744C5">
              <w:rPr>
                <w:sz w:val="16"/>
                <w:szCs w:val="16"/>
              </w:rPr>
              <w:t>[0-5]%</w:t>
            </w:r>
          </w:p>
        </w:tc>
        <w:tc>
          <w:tcPr>
            <w:tcW w:w="827" w:type="dxa"/>
          </w:tcPr>
          <w:p w14:paraId="416821D3" w14:textId="77777777" w:rsidR="002A7707" w:rsidRPr="004744C5" w:rsidRDefault="002A7707" w:rsidP="00E92C0A">
            <w:pPr>
              <w:pStyle w:val="NumPar1"/>
              <w:spacing w:after="0"/>
              <w:jc w:val="center"/>
              <w:rPr>
                <w:sz w:val="16"/>
                <w:szCs w:val="16"/>
              </w:rPr>
            </w:pPr>
            <w:r w:rsidRPr="004744C5">
              <w:rPr>
                <w:sz w:val="16"/>
                <w:szCs w:val="16"/>
              </w:rPr>
              <w:t>[5-10]%</w:t>
            </w:r>
          </w:p>
        </w:tc>
      </w:tr>
      <w:tr w:rsidR="002A7707" w:rsidRPr="004744C5" w14:paraId="416821DF" w14:textId="77777777" w:rsidTr="00275B5A">
        <w:trPr>
          <w:trHeight w:val="227"/>
        </w:trPr>
        <w:tc>
          <w:tcPr>
            <w:tcW w:w="1166" w:type="dxa"/>
          </w:tcPr>
          <w:p w14:paraId="416821D5" w14:textId="77777777" w:rsidR="002A7707" w:rsidRPr="004744C5" w:rsidRDefault="002A7707" w:rsidP="00B423F8">
            <w:pPr>
              <w:pStyle w:val="NumPar1"/>
              <w:spacing w:after="0"/>
              <w:jc w:val="left"/>
              <w:rPr>
                <w:b/>
                <w:sz w:val="16"/>
                <w:szCs w:val="16"/>
              </w:rPr>
            </w:pPr>
            <w:r w:rsidRPr="004744C5">
              <w:rPr>
                <w:b/>
                <w:sz w:val="16"/>
                <w:szCs w:val="16"/>
              </w:rPr>
              <w:t>Belgium</w:t>
            </w:r>
          </w:p>
        </w:tc>
        <w:tc>
          <w:tcPr>
            <w:tcW w:w="850" w:type="dxa"/>
          </w:tcPr>
          <w:p w14:paraId="416821D6" w14:textId="77777777" w:rsidR="002A7707" w:rsidRPr="004744C5" w:rsidRDefault="002A7707" w:rsidP="00E92C0A">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1D7"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992" w:type="dxa"/>
            <w:shd w:val="clear" w:color="auto" w:fill="D9D9D9" w:themeFill="background1" w:themeFillShade="D9"/>
          </w:tcPr>
          <w:p w14:paraId="416821D8" w14:textId="77777777" w:rsidR="002A7707" w:rsidRPr="004744C5" w:rsidRDefault="002A7707" w:rsidP="00E92C0A">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1D9" w14:textId="77777777" w:rsidR="002A7707" w:rsidRPr="004744C5" w:rsidRDefault="002A7707" w:rsidP="00E92C0A">
            <w:pPr>
              <w:pStyle w:val="NumPar1"/>
              <w:spacing w:after="0"/>
              <w:jc w:val="center"/>
              <w:rPr>
                <w:sz w:val="16"/>
                <w:szCs w:val="16"/>
              </w:rPr>
            </w:pPr>
            <w:r w:rsidRPr="004744C5">
              <w:rPr>
                <w:sz w:val="16"/>
                <w:szCs w:val="16"/>
              </w:rPr>
              <w:t>[10-20]%</w:t>
            </w:r>
          </w:p>
        </w:tc>
        <w:tc>
          <w:tcPr>
            <w:tcW w:w="850" w:type="dxa"/>
          </w:tcPr>
          <w:p w14:paraId="416821DA"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51" w:type="dxa"/>
          </w:tcPr>
          <w:p w14:paraId="416821DB"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50" w:type="dxa"/>
          </w:tcPr>
          <w:p w14:paraId="416821DC"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1133" w:type="dxa"/>
          </w:tcPr>
          <w:p w14:paraId="416821DD"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27" w:type="dxa"/>
          </w:tcPr>
          <w:p w14:paraId="416821DE" w14:textId="66B9BE3F" w:rsidR="002A7707"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2A7707" w:rsidRPr="004744C5" w14:paraId="416821EA" w14:textId="77777777" w:rsidTr="00275B5A">
        <w:trPr>
          <w:trHeight w:val="227"/>
        </w:trPr>
        <w:tc>
          <w:tcPr>
            <w:tcW w:w="1166" w:type="dxa"/>
          </w:tcPr>
          <w:p w14:paraId="416821E0" w14:textId="77777777" w:rsidR="002A7707" w:rsidRPr="004744C5" w:rsidRDefault="002A7707" w:rsidP="00B423F8">
            <w:pPr>
              <w:pStyle w:val="NumPar1"/>
              <w:spacing w:after="0"/>
              <w:jc w:val="left"/>
              <w:rPr>
                <w:b/>
                <w:sz w:val="16"/>
                <w:szCs w:val="16"/>
              </w:rPr>
            </w:pPr>
            <w:r w:rsidRPr="004744C5">
              <w:rPr>
                <w:b/>
                <w:sz w:val="16"/>
                <w:szCs w:val="16"/>
              </w:rPr>
              <w:t>Netherlands</w:t>
            </w:r>
          </w:p>
        </w:tc>
        <w:tc>
          <w:tcPr>
            <w:tcW w:w="850" w:type="dxa"/>
          </w:tcPr>
          <w:p w14:paraId="416821E1" w14:textId="77777777" w:rsidR="002A7707" w:rsidRPr="004744C5" w:rsidRDefault="002A7707" w:rsidP="00E92C0A">
            <w:pPr>
              <w:pStyle w:val="NumPar1"/>
              <w:spacing w:after="0"/>
              <w:jc w:val="center"/>
              <w:rPr>
                <w:sz w:val="16"/>
                <w:szCs w:val="16"/>
              </w:rPr>
            </w:pPr>
            <w:r w:rsidRPr="004744C5">
              <w:rPr>
                <w:sz w:val="16"/>
                <w:szCs w:val="16"/>
              </w:rPr>
              <w:t>[20-30]%</w:t>
            </w:r>
          </w:p>
        </w:tc>
        <w:tc>
          <w:tcPr>
            <w:tcW w:w="851" w:type="dxa"/>
          </w:tcPr>
          <w:p w14:paraId="416821E2" w14:textId="77777777" w:rsidR="002A7707" w:rsidRPr="004744C5" w:rsidRDefault="002A7707"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992" w:type="dxa"/>
            <w:shd w:val="clear" w:color="auto" w:fill="D9D9D9" w:themeFill="background1" w:themeFillShade="D9"/>
          </w:tcPr>
          <w:p w14:paraId="416821E3" w14:textId="77777777" w:rsidR="002A7707" w:rsidRPr="004744C5" w:rsidRDefault="002A7707" w:rsidP="00E92C0A">
            <w:pPr>
              <w:pStyle w:val="NumPar1"/>
              <w:spacing w:after="0"/>
              <w:jc w:val="center"/>
              <w:rPr>
                <w:sz w:val="16"/>
                <w:szCs w:val="16"/>
              </w:rPr>
            </w:pPr>
            <w:r w:rsidRPr="004744C5">
              <w:rPr>
                <w:sz w:val="16"/>
                <w:szCs w:val="16"/>
              </w:rPr>
              <w:t>[20-30]%</w:t>
            </w:r>
          </w:p>
        </w:tc>
        <w:tc>
          <w:tcPr>
            <w:tcW w:w="851" w:type="dxa"/>
          </w:tcPr>
          <w:p w14:paraId="416821E4" w14:textId="77777777" w:rsidR="002A7707" w:rsidRPr="004744C5" w:rsidRDefault="002A7707" w:rsidP="00E92C0A">
            <w:pPr>
              <w:pStyle w:val="NumPar1"/>
              <w:spacing w:after="0"/>
              <w:jc w:val="center"/>
              <w:rPr>
                <w:sz w:val="16"/>
                <w:szCs w:val="16"/>
              </w:rPr>
            </w:pPr>
            <w:r w:rsidRPr="004744C5">
              <w:rPr>
                <w:sz w:val="16"/>
                <w:szCs w:val="16"/>
              </w:rPr>
              <w:t>[10-20]%</w:t>
            </w:r>
          </w:p>
        </w:tc>
        <w:tc>
          <w:tcPr>
            <w:tcW w:w="850" w:type="dxa"/>
          </w:tcPr>
          <w:p w14:paraId="416821E5"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51" w:type="dxa"/>
          </w:tcPr>
          <w:p w14:paraId="416821E6"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50" w:type="dxa"/>
          </w:tcPr>
          <w:p w14:paraId="416821E7"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1133" w:type="dxa"/>
          </w:tcPr>
          <w:p w14:paraId="416821E8"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27" w:type="dxa"/>
          </w:tcPr>
          <w:p w14:paraId="416821E9" w14:textId="7EC475E3" w:rsidR="002A7707"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2A7707" w:rsidRPr="004744C5" w14:paraId="416821F5" w14:textId="77777777" w:rsidTr="00275B5A">
        <w:trPr>
          <w:trHeight w:val="227"/>
        </w:trPr>
        <w:tc>
          <w:tcPr>
            <w:tcW w:w="1166" w:type="dxa"/>
          </w:tcPr>
          <w:p w14:paraId="416821EB" w14:textId="77777777" w:rsidR="002A7707" w:rsidRPr="004744C5" w:rsidRDefault="002A7707" w:rsidP="00B423F8">
            <w:pPr>
              <w:pStyle w:val="NumPar1"/>
              <w:spacing w:after="0"/>
              <w:jc w:val="left"/>
              <w:rPr>
                <w:b/>
                <w:sz w:val="16"/>
                <w:szCs w:val="16"/>
              </w:rPr>
            </w:pPr>
            <w:r w:rsidRPr="004744C5">
              <w:rPr>
                <w:b/>
                <w:sz w:val="16"/>
                <w:szCs w:val="16"/>
              </w:rPr>
              <w:t>Bulgaria</w:t>
            </w:r>
          </w:p>
        </w:tc>
        <w:tc>
          <w:tcPr>
            <w:tcW w:w="850" w:type="dxa"/>
          </w:tcPr>
          <w:p w14:paraId="416821EC" w14:textId="77777777" w:rsidR="002A7707" w:rsidRPr="004744C5" w:rsidRDefault="002A7707" w:rsidP="00E92C0A">
            <w:pPr>
              <w:pStyle w:val="NumPar1"/>
              <w:spacing w:after="0"/>
              <w:jc w:val="center"/>
              <w:rPr>
                <w:sz w:val="16"/>
                <w:szCs w:val="16"/>
              </w:rPr>
            </w:pPr>
            <w:r w:rsidRPr="004744C5">
              <w:rPr>
                <w:sz w:val="16"/>
                <w:szCs w:val="16"/>
              </w:rPr>
              <w:t>[20-30]%</w:t>
            </w:r>
          </w:p>
        </w:tc>
        <w:tc>
          <w:tcPr>
            <w:tcW w:w="851" w:type="dxa"/>
          </w:tcPr>
          <w:p w14:paraId="416821ED"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992" w:type="dxa"/>
            <w:shd w:val="clear" w:color="auto" w:fill="D9D9D9" w:themeFill="background1" w:themeFillShade="D9"/>
          </w:tcPr>
          <w:p w14:paraId="416821EE" w14:textId="77777777" w:rsidR="002A7707" w:rsidRPr="004744C5" w:rsidRDefault="002A7707" w:rsidP="00E92C0A">
            <w:pPr>
              <w:pStyle w:val="NumPar1"/>
              <w:spacing w:after="0"/>
              <w:jc w:val="center"/>
              <w:rPr>
                <w:sz w:val="16"/>
                <w:szCs w:val="16"/>
              </w:rPr>
            </w:pPr>
            <w:r w:rsidRPr="004744C5">
              <w:rPr>
                <w:sz w:val="16"/>
                <w:szCs w:val="16"/>
              </w:rPr>
              <w:t>[20-30]%</w:t>
            </w:r>
          </w:p>
        </w:tc>
        <w:tc>
          <w:tcPr>
            <w:tcW w:w="851" w:type="dxa"/>
          </w:tcPr>
          <w:p w14:paraId="416821EF" w14:textId="77777777" w:rsidR="002A7707" w:rsidRPr="004744C5" w:rsidRDefault="002A7707" w:rsidP="00E92C0A">
            <w:pPr>
              <w:pStyle w:val="NumPar1"/>
              <w:spacing w:after="0"/>
              <w:jc w:val="center"/>
              <w:rPr>
                <w:sz w:val="16"/>
                <w:szCs w:val="16"/>
              </w:rPr>
            </w:pPr>
            <w:r w:rsidRPr="004744C5">
              <w:rPr>
                <w:sz w:val="16"/>
                <w:szCs w:val="16"/>
              </w:rPr>
              <w:t>[20-30]%</w:t>
            </w:r>
          </w:p>
        </w:tc>
        <w:tc>
          <w:tcPr>
            <w:tcW w:w="850" w:type="dxa"/>
          </w:tcPr>
          <w:p w14:paraId="416821F0" w14:textId="77777777" w:rsidR="002A7707" w:rsidRPr="004744C5" w:rsidRDefault="002A7707" w:rsidP="00E92C0A">
            <w:pPr>
              <w:pStyle w:val="NumPar1"/>
              <w:spacing w:after="0"/>
              <w:jc w:val="center"/>
              <w:rPr>
                <w:sz w:val="16"/>
                <w:szCs w:val="16"/>
              </w:rPr>
            </w:pPr>
            <w:r w:rsidRPr="004744C5">
              <w:rPr>
                <w:sz w:val="16"/>
                <w:szCs w:val="16"/>
              </w:rPr>
              <w:t>[5-10]%</w:t>
            </w:r>
          </w:p>
        </w:tc>
        <w:tc>
          <w:tcPr>
            <w:tcW w:w="851" w:type="dxa"/>
          </w:tcPr>
          <w:p w14:paraId="416821F1" w14:textId="77777777" w:rsidR="002A7707" w:rsidRPr="004744C5" w:rsidRDefault="002A7707" w:rsidP="00E92C0A">
            <w:pPr>
              <w:pStyle w:val="NumPar1"/>
              <w:spacing w:after="0"/>
              <w:jc w:val="center"/>
              <w:rPr>
                <w:sz w:val="16"/>
                <w:szCs w:val="16"/>
              </w:rPr>
            </w:pPr>
            <w:r w:rsidRPr="004744C5">
              <w:rPr>
                <w:sz w:val="16"/>
                <w:szCs w:val="16"/>
              </w:rPr>
              <w:t>[5-10]%</w:t>
            </w:r>
          </w:p>
        </w:tc>
        <w:tc>
          <w:tcPr>
            <w:tcW w:w="850" w:type="dxa"/>
          </w:tcPr>
          <w:p w14:paraId="416821F2" w14:textId="77777777" w:rsidR="002A7707" w:rsidRPr="004744C5" w:rsidRDefault="002A7707" w:rsidP="00E92C0A">
            <w:pPr>
              <w:pStyle w:val="NumPar1"/>
              <w:spacing w:after="0"/>
              <w:jc w:val="center"/>
              <w:rPr>
                <w:sz w:val="16"/>
                <w:szCs w:val="16"/>
              </w:rPr>
            </w:pPr>
            <w:r w:rsidRPr="004744C5">
              <w:rPr>
                <w:sz w:val="16"/>
                <w:szCs w:val="16"/>
              </w:rPr>
              <w:t>[5-10]%</w:t>
            </w:r>
          </w:p>
        </w:tc>
        <w:tc>
          <w:tcPr>
            <w:tcW w:w="1133" w:type="dxa"/>
          </w:tcPr>
          <w:p w14:paraId="416821F3" w14:textId="51EB8119" w:rsidR="002A7707"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827" w:type="dxa"/>
          </w:tcPr>
          <w:p w14:paraId="416821F4" w14:textId="77777777" w:rsidR="002A7707" w:rsidRPr="004744C5" w:rsidRDefault="002A7707" w:rsidP="00E92C0A">
            <w:pPr>
              <w:pStyle w:val="NumPar1"/>
              <w:spacing w:after="0"/>
              <w:jc w:val="center"/>
              <w:rPr>
                <w:sz w:val="16"/>
                <w:szCs w:val="16"/>
              </w:rPr>
            </w:pPr>
            <w:r w:rsidRPr="004744C5">
              <w:rPr>
                <w:sz w:val="16"/>
                <w:szCs w:val="16"/>
              </w:rPr>
              <w:t>[5-10]%</w:t>
            </w:r>
          </w:p>
        </w:tc>
      </w:tr>
      <w:tr w:rsidR="002A7707" w:rsidRPr="004744C5" w14:paraId="41682200" w14:textId="77777777" w:rsidTr="00275B5A">
        <w:trPr>
          <w:trHeight w:val="227"/>
        </w:trPr>
        <w:tc>
          <w:tcPr>
            <w:tcW w:w="1166" w:type="dxa"/>
          </w:tcPr>
          <w:p w14:paraId="416821F6" w14:textId="77777777" w:rsidR="002A7707" w:rsidRPr="004744C5" w:rsidRDefault="002A7707" w:rsidP="00B423F8">
            <w:pPr>
              <w:pStyle w:val="NumPar1"/>
              <w:spacing w:after="0"/>
              <w:jc w:val="left"/>
              <w:rPr>
                <w:b/>
                <w:sz w:val="16"/>
                <w:szCs w:val="16"/>
              </w:rPr>
            </w:pPr>
            <w:r w:rsidRPr="004744C5">
              <w:rPr>
                <w:b/>
                <w:sz w:val="16"/>
                <w:szCs w:val="16"/>
              </w:rPr>
              <w:t>Czech Republic</w:t>
            </w:r>
          </w:p>
        </w:tc>
        <w:tc>
          <w:tcPr>
            <w:tcW w:w="850" w:type="dxa"/>
          </w:tcPr>
          <w:p w14:paraId="416821F7" w14:textId="77777777" w:rsidR="002A7707" w:rsidRPr="004744C5" w:rsidRDefault="002A7707" w:rsidP="00E92C0A">
            <w:pPr>
              <w:pStyle w:val="NumPar1"/>
              <w:spacing w:after="0"/>
              <w:jc w:val="center"/>
              <w:rPr>
                <w:sz w:val="16"/>
                <w:szCs w:val="16"/>
              </w:rPr>
            </w:pPr>
            <w:r w:rsidRPr="004744C5">
              <w:rPr>
                <w:sz w:val="16"/>
                <w:szCs w:val="16"/>
              </w:rPr>
              <w:t>[20-30]%</w:t>
            </w:r>
          </w:p>
        </w:tc>
        <w:tc>
          <w:tcPr>
            <w:tcW w:w="851" w:type="dxa"/>
          </w:tcPr>
          <w:p w14:paraId="416821F8"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992" w:type="dxa"/>
            <w:shd w:val="clear" w:color="auto" w:fill="D9D9D9" w:themeFill="background1" w:themeFillShade="D9"/>
          </w:tcPr>
          <w:p w14:paraId="416821F9" w14:textId="77777777" w:rsidR="002A7707" w:rsidRPr="004744C5" w:rsidRDefault="002A7707" w:rsidP="00E92C0A">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1FA" w14:textId="77777777" w:rsidR="002A7707" w:rsidRPr="004744C5" w:rsidRDefault="002A7707" w:rsidP="00E92C0A">
            <w:pPr>
              <w:pStyle w:val="NumPar1"/>
              <w:spacing w:after="0"/>
              <w:jc w:val="center"/>
              <w:rPr>
                <w:sz w:val="16"/>
                <w:szCs w:val="16"/>
              </w:rPr>
            </w:pPr>
            <w:r w:rsidRPr="004744C5">
              <w:rPr>
                <w:sz w:val="16"/>
                <w:szCs w:val="16"/>
              </w:rPr>
              <w:t>[10-20]%</w:t>
            </w:r>
          </w:p>
        </w:tc>
        <w:tc>
          <w:tcPr>
            <w:tcW w:w="850" w:type="dxa"/>
          </w:tcPr>
          <w:p w14:paraId="416821FB" w14:textId="77777777" w:rsidR="002A7707" w:rsidRPr="004744C5" w:rsidRDefault="002A7707" w:rsidP="00E92C0A">
            <w:pPr>
              <w:pStyle w:val="NumPar1"/>
              <w:spacing w:after="0"/>
              <w:jc w:val="center"/>
              <w:rPr>
                <w:sz w:val="16"/>
                <w:szCs w:val="16"/>
              </w:rPr>
            </w:pPr>
            <w:r w:rsidRPr="004744C5">
              <w:rPr>
                <w:sz w:val="16"/>
                <w:szCs w:val="16"/>
              </w:rPr>
              <w:t>[5-10]%</w:t>
            </w:r>
          </w:p>
        </w:tc>
        <w:tc>
          <w:tcPr>
            <w:tcW w:w="851" w:type="dxa"/>
          </w:tcPr>
          <w:p w14:paraId="416821FC"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50" w:type="dxa"/>
          </w:tcPr>
          <w:p w14:paraId="416821FD"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1133" w:type="dxa"/>
          </w:tcPr>
          <w:p w14:paraId="416821FE"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27" w:type="dxa"/>
          </w:tcPr>
          <w:p w14:paraId="416821FF"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r>
      <w:tr w:rsidR="002A7707" w:rsidRPr="004744C5" w14:paraId="4168220B" w14:textId="77777777" w:rsidTr="00275B5A">
        <w:trPr>
          <w:trHeight w:val="227"/>
        </w:trPr>
        <w:tc>
          <w:tcPr>
            <w:tcW w:w="1166" w:type="dxa"/>
          </w:tcPr>
          <w:p w14:paraId="41682201" w14:textId="77777777" w:rsidR="002A7707" w:rsidRPr="004744C5" w:rsidRDefault="002A7707" w:rsidP="00B423F8">
            <w:pPr>
              <w:pStyle w:val="NumPar1"/>
              <w:spacing w:after="0"/>
              <w:jc w:val="left"/>
              <w:rPr>
                <w:b/>
                <w:sz w:val="16"/>
                <w:szCs w:val="16"/>
              </w:rPr>
            </w:pPr>
            <w:r w:rsidRPr="004744C5">
              <w:rPr>
                <w:b/>
                <w:sz w:val="16"/>
                <w:szCs w:val="16"/>
              </w:rPr>
              <w:t>Denmark</w:t>
            </w:r>
          </w:p>
        </w:tc>
        <w:tc>
          <w:tcPr>
            <w:tcW w:w="850" w:type="dxa"/>
          </w:tcPr>
          <w:p w14:paraId="41682202" w14:textId="77777777" w:rsidR="002A7707" w:rsidRPr="004744C5" w:rsidRDefault="002A7707" w:rsidP="00E92C0A">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03"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992" w:type="dxa"/>
            <w:shd w:val="clear" w:color="auto" w:fill="D9D9D9" w:themeFill="background1" w:themeFillShade="D9"/>
          </w:tcPr>
          <w:p w14:paraId="41682204" w14:textId="77777777" w:rsidR="002A7707" w:rsidRPr="004744C5" w:rsidRDefault="002A7707" w:rsidP="00E92C0A">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05" w14:textId="77777777" w:rsidR="002A7707" w:rsidRPr="004744C5" w:rsidRDefault="002A7707" w:rsidP="00E92C0A">
            <w:pPr>
              <w:pStyle w:val="NumPar1"/>
              <w:spacing w:after="0"/>
              <w:jc w:val="center"/>
              <w:rPr>
                <w:sz w:val="16"/>
                <w:szCs w:val="16"/>
              </w:rPr>
            </w:pPr>
            <w:r w:rsidRPr="004744C5">
              <w:rPr>
                <w:sz w:val="16"/>
                <w:szCs w:val="16"/>
              </w:rPr>
              <w:t>[10-20]%</w:t>
            </w:r>
          </w:p>
        </w:tc>
        <w:tc>
          <w:tcPr>
            <w:tcW w:w="850" w:type="dxa"/>
          </w:tcPr>
          <w:p w14:paraId="41682206" w14:textId="77777777" w:rsidR="002A7707" w:rsidRPr="004744C5" w:rsidRDefault="002A7707" w:rsidP="00E92C0A">
            <w:pPr>
              <w:pStyle w:val="NumPar1"/>
              <w:spacing w:after="0"/>
              <w:jc w:val="center"/>
              <w:rPr>
                <w:sz w:val="16"/>
                <w:szCs w:val="16"/>
              </w:rPr>
            </w:pPr>
            <w:r w:rsidRPr="004744C5">
              <w:rPr>
                <w:sz w:val="16"/>
                <w:szCs w:val="16"/>
              </w:rPr>
              <w:t>[5-10]%</w:t>
            </w:r>
          </w:p>
        </w:tc>
        <w:tc>
          <w:tcPr>
            <w:tcW w:w="851" w:type="dxa"/>
          </w:tcPr>
          <w:p w14:paraId="41682207"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50" w:type="dxa"/>
          </w:tcPr>
          <w:p w14:paraId="41682208"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1133" w:type="dxa"/>
          </w:tcPr>
          <w:p w14:paraId="41682209"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27" w:type="dxa"/>
          </w:tcPr>
          <w:p w14:paraId="4168220A"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r>
      <w:tr w:rsidR="002A7707" w:rsidRPr="004744C5" w14:paraId="41682216" w14:textId="77777777" w:rsidTr="00275B5A">
        <w:trPr>
          <w:trHeight w:val="227"/>
        </w:trPr>
        <w:tc>
          <w:tcPr>
            <w:tcW w:w="1166" w:type="dxa"/>
          </w:tcPr>
          <w:p w14:paraId="4168220C" w14:textId="77777777" w:rsidR="002A7707" w:rsidRPr="004744C5" w:rsidRDefault="002A7707" w:rsidP="00B423F8">
            <w:pPr>
              <w:pStyle w:val="NumPar1"/>
              <w:spacing w:after="0"/>
              <w:jc w:val="left"/>
              <w:rPr>
                <w:b/>
                <w:sz w:val="16"/>
                <w:szCs w:val="16"/>
              </w:rPr>
            </w:pPr>
            <w:r w:rsidRPr="004744C5">
              <w:rPr>
                <w:b/>
                <w:sz w:val="16"/>
                <w:szCs w:val="16"/>
              </w:rPr>
              <w:t>France</w:t>
            </w:r>
          </w:p>
        </w:tc>
        <w:tc>
          <w:tcPr>
            <w:tcW w:w="850" w:type="dxa"/>
          </w:tcPr>
          <w:p w14:paraId="4168220D" w14:textId="77777777" w:rsidR="002A7707" w:rsidRPr="004744C5" w:rsidRDefault="002A7707" w:rsidP="00E92C0A">
            <w:pPr>
              <w:pStyle w:val="NumPar1"/>
              <w:spacing w:after="0"/>
              <w:jc w:val="center"/>
              <w:rPr>
                <w:sz w:val="16"/>
                <w:szCs w:val="16"/>
              </w:rPr>
            </w:pPr>
            <w:r w:rsidRPr="004744C5">
              <w:rPr>
                <w:sz w:val="16"/>
                <w:szCs w:val="16"/>
              </w:rPr>
              <w:t>[20-30]%</w:t>
            </w:r>
          </w:p>
        </w:tc>
        <w:tc>
          <w:tcPr>
            <w:tcW w:w="851" w:type="dxa"/>
          </w:tcPr>
          <w:p w14:paraId="4168220E"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992" w:type="dxa"/>
            <w:shd w:val="clear" w:color="auto" w:fill="D9D9D9" w:themeFill="background1" w:themeFillShade="D9"/>
          </w:tcPr>
          <w:p w14:paraId="4168220F" w14:textId="77777777" w:rsidR="002A7707" w:rsidRPr="004744C5" w:rsidRDefault="002A7707" w:rsidP="00E92C0A">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10"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50" w:type="dxa"/>
          </w:tcPr>
          <w:p w14:paraId="41682211" w14:textId="77777777" w:rsidR="002A7707" w:rsidRPr="004744C5" w:rsidRDefault="002A7707" w:rsidP="00E92C0A">
            <w:pPr>
              <w:pStyle w:val="NumPar1"/>
              <w:spacing w:after="0"/>
              <w:jc w:val="center"/>
              <w:rPr>
                <w:sz w:val="16"/>
                <w:szCs w:val="16"/>
              </w:rPr>
            </w:pPr>
            <w:r w:rsidRPr="004744C5">
              <w:rPr>
                <w:sz w:val="16"/>
                <w:szCs w:val="16"/>
              </w:rPr>
              <w:t>[10-20]%</w:t>
            </w:r>
          </w:p>
        </w:tc>
        <w:tc>
          <w:tcPr>
            <w:tcW w:w="851" w:type="dxa"/>
          </w:tcPr>
          <w:p w14:paraId="41682212" w14:textId="77777777" w:rsidR="002A7707" w:rsidRPr="004744C5" w:rsidRDefault="002A7707" w:rsidP="00E92C0A">
            <w:pPr>
              <w:pStyle w:val="NumPar1"/>
              <w:spacing w:after="0"/>
              <w:jc w:val="center"/>
              <w:rPr>
                <w:sz w:val="16"/>
                <w:szCs w:val="16"/>
              </w:rPr>
            </w:pPr>
            <w:r w:rsidRPr="004744C5">
              <w:rPr>
                <w:sz w:val="16"/>
                <w:szCs w:val="16"/>
              </w:rPr>
              <w:t>[5-10]%</w:t>
            </w:r>
          </w:p>
        </w:tc>
        <w:tc>
          <w:tcPr>
            <w:tcW w:w="850" w:type="dxa"/>
          </w:tcPr>
          <w:p w14:paraId="41682213" w14:textId="77777777" w:rsidR="002A7707" w:rsidRPr="004744C5" w:rsidRDefault="002A7707" w:rsidP="00E92C0A">
            <w:pPr>
              <w:pStyle w:val="NumPar1"/>
              <w:spacing w:after="0"/>
              <w:jc w:val="center"/>
              <w:rPr>
                <w:sz w:val="16"/>
                <w:szCs w:val="16"/>
              </w:rPr>
            </w:pPr>
            <w:r w:rsidRPr="004744C5">
              <w:rPr>
                <w:sz w:val="16"/>
                <w:szCs w:val="16"/>
              </w:rPr>
              <w:t>[5-10]%</w:t>
            </w:r>
          </w:p>
        </w:tc>
        <w:tc>
          <w:tcPr>
            <w:tcW w:w="1133" w:type="dxa"/>
          </w:tcPr>
          <w:p w14:paraId="41682214" w14:textId="77777777" w:rsidR="002A7707" w:rsidRPr="004744C5" w:rsidRDefault="002A7707" w:rsidP="00E92C0A">
            <w:pPr>
              <w:pStyle w:val="NumPar1"/>
              <w:spacing w:after="0"/>
              <w:jc w:val="center"/>
              <w:rPr>
                <w:sz w:val="16"/>
                <w:szCs w:val="16"/>
              </w:rPr>
            </w:pPr>
            <w:r w:rsidRPr="004744C5">
              <w:rPr>
                <w:sz w:val="16"/>
                <w:szCs w:val="16"/>
              </w:rPr>
              <w:t>[5-10]%</w:t>
            </w:r>
          </w:p>
        </w:tc>
        <w:tc>
          <w:tcPr>
            <w:tcW w:w="827" w:type="dxa"/>
          </w:tcPr>
          <w:p w14:paraId="41682215"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r>
      <w:tr w:rsidR="002A7707" w:rsidRPr="004744C5" w14:paraId="41682221" w14:textId="77777777" w:rsidTr="00275B5A">
        <w:trPr>
          <w:trHeight w:val="227"/>
        </w:trPr>
        <w:tc>
          <w:tcPr>
            <w:tcW w:w="1166" w:type="dxa"/>
          </w:tcPr>
          <w:p w14:paraId="41682217" w14:textId="77777777" w:rsidR="002A7707" w:rsidRPr="004744C5" w:rsidRDefault="002A7707" w:rsidP="00B423F8">
            <w:pPr>
              <w:pStyle w:val="NumPar1"/>
              <w:spacing w:after="0"/>
              <w:jc w:val="left"/>
              <w:rPr>
                <w:b/>
                <w:sz w:val="16"/>
                <w:szCs w:val="16"/>
              </w:rPr>
            </w:pPr>
            <w:r w:rsidRPr="004744C5">
              <w:rPr>
                <w:b/>
                <w:sz w:val="16"/>
                <w:szCs w:val="16"/>
              </w:rPr>
              <w:t>Germany</w:t>
            </w:r>
          </w:p>
        </w:tc>
        <w:tc>
          <w:tcPr>
            <w:tcW w:w="850" w:type="dxa"/>
          </w:tcPr>
          <w:p w14:paraId="41682218" w14:textId="77777777" w:rsidR="002A7707" w:rsidRPr="004744C5" w:rsidRDefault="002A7707" w:rsidP="00E92C0A">
            <w:pPr>
              <w:pStyle w:val="NumPar1"/>
              <w:spacing w:after="0"/>
              <w:jc w:val="center"/>
              <w:rPr>
                <w:sz w:val="16"/>
                <w:szCs w:val="16"/>
              </w:rPr>
            </w:pPr>
            <w:r w:rsidRPr="004744C5">
              <w:rPr>
                <w:sz w:val="16"/>
                <w:szCs w:val="16"/>
              </w:rPr>
              <w:t>[20-30]%</w:t>
            </w:r>
          </w:p>
        </w:tc>
        <w:tc>
          <w:tcPr>
            <w:tcW w:w="851" w:type="dxa"/>
          </w:tcPr>
          <w:p w14:paraId="41682219"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992" w:type="dxa"/>
            <w:shd w:val="clear" w:color="auto" w:fill="D9D9D9" w:themeFill="background1" w:themeFillShade="D9"/>
          </w:tcPr>
          <w:p w14:paraId="4168221A" w14:textId="77777777" w:rsidR="002A7707" w:rsidRPr="004744C5" w:rsidRDefault="002A7707" w:rsidP="00E92C0A">
            <w:pPr>
              <w:pStyle w:val="NumPar1"/>
              <w:spacing w:after="0"/>
              <w:jc w:val="center"/>
              <w:rPr>
                <w:sz w:val="16"/>
                <w:szCs w:val="16"/>
              </w:rPr>
            </w:pPr>
            <w:r w:rsidRPr="004744C5">
              <w:rPr>
                <w:sz w:val="16"/>
                <w:szCs w:val="16"/>
              </w:rPr>
              <w:t>[20-30]%</w:t>
            </w:r>
          </w:p>
        </w:tc>
        <w:tc>
          <w:tcPr>
            <w:tcW w:w="851" w:type="dxa"/>
          </w:tcPr>
          <w:p w14:paraId="4168221B" w14:textId="77777777" w:rsidR="002A7707" w:rsidRPr="004744C5" w:rsidRDefault="002A7707" w:rsidP="00E92C0A">
            <w:pPr>
              <w:pStyle w:val="NumPar1"/>
              <w:spacing w:after="0"/>
              <w:jc w:val="center"/>
              <w:rPr>
                <w:sz w:val="16"/>
                <w:szCs w:val="16"/>
              </w:rPr>
            </w:pPr>
            <w:r w:rsidRPr="004744C5">
              <w:rPr>
                <w:sz w:val="16"/>
                <w:szCs w:val="16"/>
              </w:rPr>
              <w:t>[10-20]%</w:t>
            </w:r>
          </w:p>
        </w:tc>
        <w:tc>
          <w:tcPr>
            <w:tcW w:w="850" w:type="dxa"/>
          </w:tcPr>
          <w:p w14:paraId="4168221C" w14:textId="77777777" w:rsidR="002A7707" w:rsidRPr="004744C5" w:rsidRDefault="002A7707" w:rsidP="00E92C0A">
            <w:pPr>
              <w:pStyle w:val="NumPar1"/>
              <w:spacing w:after="0"/>
              <w:jc w:val="center"/>
              <w:rPr>
                <w:sz w:val="16"/>
                <w:szCs w:val="16"/>
              </w:rPr>
            </w:pPr>
            <w:r w:rsidRPr="004744C5">
              <w:rPr>
                <w:sz w:val="16"/>
                <w:szCs w:val="16"/>
              </w:rPr>
              <w:t>[10-20]%</w:t>
            </w:r>
          </w:p>
        </w:tc>
        <w:tc>
          <w:tcPr>
            <w:tcW w:w="851" w:type="dxa"/>
          </w:tcPr>
          <w:p w14:paraId="4168221D"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50" w:type="dxa"/>
          </w:tcPr>
          <w:p w14:paraId="4168221E"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1133" w:type="dxa"/>
          </w:tcPr>
          <w:p w14:paraId="4168221F"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c>
          <w:tcPr>
            <w:tcW w:w="827" w:type="dxa"/>
          </w:tcPr>
          <w:p w14:paraId="41682220" w14:textId="77777777" w:rsidR="002A7707" w:rsidRPr="004744C5" w:rsidRDefault="002A7707" w:rsidP="00B423F8">
            <w:pPr>
              <w:pStyle w:val="NumPar1"/>
              <w:spacing w:after="0"/>
              <w:jc w:val="center"/>
              <w:rPr>
                <w:rFonts w:ascii="Times New Roman" w:hAnsi="Times New Roman"/>
                <w:sz w:val="16"/>
                <w:szCs w:val="16"/>
              </w:rPr>
            </w:pPr>
            <w:r w:rsidRPr="004744C5">
              <w:rPr>
                <w:sz w:val="16"/>
                <w:szCs w:val="16"/>
              </w:rPr>
              <w:t>[0-5]%</w:t>
            </w:r>
          </w:p>
        </w:tc>
      </w:tr>
      <w:tr w:rsidR="00275B5A" w:rsidRPr="004744C5" w14:paraId="4168222C" w14:textId="77777777" w:rsidTr="00275B5A">
        <w:trPr>
          <w:trHeight w:val="227"/>
        </w:trPr>
        <w:tc>
          <w:tcPr>
            <w:tcW w:w="1166" w:type="dxa"/>
          </w:tcPr>
          <w:p w14:paraId="41682222" w14:textId="77777777" w:rsidR="00275B5A" w:rsidRPr="004744C5" w:rsidRDefault="00275B5A" w:rsidP="00B423F8">
            <w:pPr>
              <w:pStyle w:val="NumPar1"/>
              <w:spacing w:after="0"/>
              <w:jc w:val="left"/>
              <w:rPr>
                <w:b/>
                <w:sz w:val="16"/>
                <w:szCs w:val="16"/>
              </w:rPr>
            </w:pPr>
            <w:r w:rsidRPr="004744C5">
              <w:rPr>
                <w:b/>
                <w:sz w:val="16"/>
                <w:szCs w:val="16"/>
              </w:rPr>
              <w:t>United Kingdom</w:t>
            </w:r>
          </w:p>
        </w:tc>
        <w:tc>
          <w:tcPr>
            <w:tcW w:w="850" w:type="dxa"/>
          </w:tcPr>
          <w:p w14:paraId="41682223" w14:textId="77777777" w:rsidR="00275B5A" w:rsidRPr="004744C5" w:rsidRDefault="00275B5A" w:rsidP="005965DC">
            <w:pPr>
              <w:pStyle w:val="NumPar1"/>
              <w:spacing w:after="0"/>
              <w:jc w:val="center"/>
              <w:rPr>
                <w:sz w:val="16"/>
                <w:szCs w:val="16"/>
              </w:rPr>
            </w:pPr>
            <w:r w:rsidRPr="004744C5">
              <w:rPr>
                <w:sz w:val="16"/>
                <w:szCs w:val="16"/>
              </w:rPr>
              <w:t>[20-30]%</w:t>
            </w:r>
          </w:p>
        </w:tc>
        <w:tc>
          <w:tcPr>
            <w:tcW w:w="851" w:type="dxa"/>
          </w:tcPr>
          <w:p w14:paraId="41682224" w14:textId="77777777" w:rsidR="00275B5A" w:rsidRPr="004744C5" w:rsidRDefault="00275B5A"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992" w:type="dxa"/>
            <w:shd w:val="clear" w:color="auto" w:fill="D9D9D9" w:themeFill="background1" w:themeFillShade="D9"/>
          </w:tcPr>
          <w:p w14:paraId="41682225" w14:textId="77777777" w:rsidR="00275B5A" w:rsidRPr="004744C5" w:rsidRDefault="00275B5A" w:rsidP="005965DC">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26" w14:textId="77777777" w:rsidR="00275B5A" w:rsidRPr="004744C5" w:rsidRDefault="00275B5A"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850" w:type="dxa"/>
          </w:tcPr>
          <w:p w14:paraId="41682227"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851" w:type="dxa"/>
          </w:tcPr>
          <w:p w14:paraId="41682228" w14:textId="77777777" w:rsidR="00275B5A" w:rsidRPr="004744C5" w:rsidRDefault="00275B5A" w:rsidP="005965DC">
            <w:pPr>
              <w:pStyle w:val="NumPar1"/>
              <w:spacing w:after="0"/>
              <w:jc w:val="center"/>
              <w:rPr>
                <w:sz w:val="16"/>
                <w:szCs w:val="16"/>
              </w:rPr>
            </w:pPr>
            <w:r w:rsidRPr="004744C5">
              <w:rPr>
                <w:sz w:val="16"/>
                <w:szCs w:val="16"/>
              </w:rPr>
              <w:t>[5-10]%</w:t>
            </w:r>
          </w:p>
        </w:tc>
        <w:tc>
          <w:tcPr>
            <w:tcW w:w="850" w:type="dxa"/>
          </w:tcPr>
          <w:p w14:paraId="41682229"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1133" w:type="dxa"/>
          </w:tcPr>
          <w:p w14:paraId="4168222A" w14:textId="77777777" w:rsidR="00275B5A" w:rsidRPr="004744C5" w:rsidRDefault="00275B5A" w:rsidP="00E92C0A">
            <w:pPr>
              <w:pStyle w:val="NumPar1"/>
              <w:spacing w:after="0"/>
              <w:jc w:val="center"/>
              <w:rPr>
                <w:sz w:val="16"/>
                <w:szCs w:val="16"/>
              </w:rPr>
            </w:pPr>
            <w:r w:rsidRPr="004744C5">
              <w:rPr>
                <w:sz w:val="16"/>
                <w:szCs w:val="16"/>
              </w:rPr>
              <w:t>[5-10]%</w:t>
            </w:r>
          </w:p>
        </w:tc>
        <w:tc>
          <w:tcPr>
            <w:tcW w:w="827" w:type="dxa"/>
          </w:tcPr>
          <w:p w14:paraId="4168222B"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r>
      <w:tr w:rsidR="00275B5A" w:rsidRPr="004744C5" w14:paraId="41682237" w14:textId="77777777" w:rsidTr="00275B5A">
        <w:trPr>
          <w:trHeight w:val="227"/>
        </w:trPr>
        <w:tc>
          <w:tcPr>
            <w:tcW w:w="1166" w:type="dxa"/>
          </w:tcPr>
          <w:p w14:paraId="4168222D" w14:textId="77777777" w:rsidR="00275B5A" w:rsidRPr="004744C5" w:rsidRDefault="00275B5A" w:rsidP="00B423F8">
            <w:pPr>
              <w:pStyle w:val="NumPar1"/>
              <w:spacing w:after="0"/>
              <w:jc w:val="left"/>
              <w:rPr>
                <w:b/>
                <w:sz w:val="16"/>
                <w:szCs w:val="16"/>
              </w:rPr>
            </w:pPr>
            <w:r w:rsidRPr="004744C5">
              <w:rPr>
                <w:b/>
                <w:sz w:val="16"/>
                <w:szCs w:val="16"/>
              </w:rPr>
              <w:t>Italy</w:t>
            </w:r>
          </w:p>
        </w:tc>
        <w:tc>
          <w:tcPr>
            <w:tcW w:w="850" w:type="dxa"/>
          </w:tcPr>
          <w:p w14:paraId="4168222E" w14:textId="77777777" w:rsidR="00275B5A" w:rsidRPr="004744C5" w:rsidRDefault="00275B5A" w:rsidP="005965DC">
            <w:pPr>
              <w:pStyle w:val="NumPar1"/>
              <w:spacing w:after="0"/>
              <w:jc w:val="center"/>
              <w:rPr>
                <w:sz w:val="16"/>
                <w:szCs w:val="16"/>
              </w:rPr>
            </w:pPr>
            <w:r w:rsidRPr="004744C5">
              <w:rPr>
                <w:sz w:val="16"/>
                <w:szCs w:val="16"/>
              </w:rPr>
              <w:t>[20-30]%</w:t>
            </w:r>
          </w:p>
        </w:tc>
        <w:tc>
          <w:tcPr>
            <w:tcW w:w="851" w:type="dxa"/>
          </w:tcPr>
          <w:p w14:paraId="4168222F"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992" w:type="dxa"/>
            <w:shd w:val="clear" w:color="auto" w:fill="D9D9D9" w:themeFill="background1" w:themeFillShade="D9"/>
          </w:tcPr>
          <w:p w14:paraId="41682230" w14:textId="77777777" w:rsidR="00275B5A" w:rsidRPr="004744C5" w:rsidRDefault="00275B5A" w:rsidP="005965DC">
            <w:pPr>
              <w:pStyle w:val="NumPar1"/>
              <w:spacing w:after="0"/>
              <w:jc w:val="center"/>
              <w:rPr>
                <w:sz w:val="16"/>
                <w:szCs w:val="16"/>
              </w:rPr>
            </w:pPr>
            <w:r w:rsidRPr="004744C5">
              <w:rPr>
                <w:sz w:val="16"/>
                <w:szCs w:val="16"/>
              </w:rPr>
              <w:t>[20-30]%</w:t>
            </w:r>
          </w:p>
        </w:tc>
        <w:tc>
          <w:tcPr>
            <w:tcW w:w="851" w:type="dxa"/>
          </w:tcPr>
          <w:p w14:paraId="41682231" w14:textId="77777777" w:rsidR="00275B5A" w:rsidRPr="004744C5" w:rsidRDefault="00275B5A" w:rsidP="005965DC">
            <w:pPr>
              <w:pStyle w:val="NumPar1"/>
              <w:spacing w:after="0"/>
              <w:jc w:val="center"/>
              <w:rPr>
                <w:sz w:val="16"/>
                <w:szCs w:val="16"/>
              </w:rPr>
            </w:pPr>
            <w:r w:rsidRPr="004744C5">
              <w:rPr>
                <w:sz w:val="16"/>
                <w:szCs w:val="16"/>
              </w:rPr>
              <w:t>[20-30]%</w:t>
            </w:r>
          </w:p>
        </w:tc>
        <w:tc>
          <w:tcPr>
            <w:tcW w:w="850" w:type="dxa"/>
          </w:tcPr>
          <w:p w14:paraId="41682232"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851" w:type="dxa"/>
          </w:tcPr>
          <w:p w14:paraId="41682233"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850" w:type="dxa"/>
          </w:tcPr>
          <w:p w14:paraId="41682234"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1133" w:type="dxa"/>
          </w:tcPr>
          <w:p w14:paraId="41682235"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827" w:type="dxa"/>
          </w:tcPr>
          <w:p w14:paraId="41682236"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r>
      <w:tr w:rsidR="00275B5A" w:rsidRPr="004744C5" w14:paraId="41682242" w14:textId="77777777" w:rsidTr="00275B5A">
        <w:trPr>
          <w:trHeight w:val="227"/>
        </w:trPr>
        <w:tc>
          <w:tcPr>
            <w:tcW w:w="1166" w:type="dxa"/>
          </w:tcPr>
          <w:p w14:paraId="41682238" w14:textId="77777777" w:rsidR="00275B5A" w:rsidRPr="004744C5" w:rsidRDefault="00275B5A" w:rsidP="00B423F8">
            <w:pPr>
              <w:pStyle w:val="NumPar1"/>
              <w:spacing w:after="0"/>
              <w:jc w:val="left"/>
              <w:rPr>
                <w:b/>
                <w:sz w:val="16"/>
                <w:szCs w:val="16"/>
              </w:rPr>
            </w:pPr>
            <w:r w:rsidRPr="004744C5">
              <w:rPr>
                <w:b/>
                <w:sz w:val="16"/>
                <w:szCs w:val="16"/>
              </w:rPr>
              <w:t>Slovakia</w:t>
            </w:r>
          </w:p>
        </w:tc>
        <w:tc>
          <w:tcPr>
            <w:tcW w:w="850" w:type="dxa"/>
          </w:tcPr>
          <w:p w14:paraId="41682239" w14:textId="77777777" w:rsidR="00275B5A" w:rsidRPr="004744C5" w:rsidRDefault="00275B5A" w:rsidP="005965DC">
            <w:pPr>
              <w:pStyle w:val="NumPar1"/>
              <w:spacing w:after="0"/>
              <w:jc w:val="center"/>
              <w:rPr>
                <w:sz w:val="16"/>
                <w:szCs w:val="16"/>
              </w:rPr>
            </w:pPr>
            <w:r w:rsidRPr="004744C5">
              <w:rPr>
                <w:sz w:val="16"/>
                <w:szCs w:val="16"/>
              </w:rPr>
              <w:t>[20-30]%</w:t>
            </w:r>
          </w:p>
        </w:tc>
        <w:tc>
          <w:tcPr>
            <w:tcW w:w="851" w:type="dxa"/>
          </w:tcPr>
          <w:p w14:paraId="4168223A"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992" w:type="dxa"/>
            <w:shd w:val="clear" w:color="auto" w:fill="D9D9D9" w:themeFill="background1" w:themeFillShade="D9"/>
          </w:tcPr>
          <w:p w14:paraId="4168223B" w14:textId="77777777" w:rsidR="00275B5A" w:rsidRPr="004744C5" w:rsidRDefault="00275B5A" w:rsidP="005965DC">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3C" w14:textId="77777777" w:rsidR="00275B5A" w:rsidRPr="004744C5" w:rsidRDefault="00275B5A" w:rsidP="005965DC">
            <w:pPr>
              <w:pStyle w:val="NumPar1"/>
              <w:spacing w:after="0"/>
              <w:jc w:val="center"/>
              <w:rPr>
                <w:sz w:val="16"/>
                <w:szCs w:val="16"/>
              </w:rPr>
            </w:pPr>
            <w:r w:rsidRPr="004744C5">
              <w:rPr>
                <w:sz w:val="16"/>
                <w:szCs w:val="16"/>
              </w:rPr>
              <w:t>[10-20]%</w:t>
            </w:r>
          </w:p>
        </w:tc>
        <w:tc>
          <w:tcPr>
            <w:tcW w:w="850" w:type="dxa"/>
          </w:tcPr>
          <w:p w14:paraId="4168223D" w14:textId="77777777" w:rsidR="00275B5A" w:rsidRPr="004744C5" w:rsidRDefault="00275B5A" w:rsidP="005965DC">
            <w:pPr>
              <w:pStyle w:val="NumPar1"/>
              <w:spacing w:after="0"/>
              <w:jc w:val="center"/>
              <w:rPr>
                <w:sz w:val="16"/>
                <w:szCs w:val="16"/>
              </w:rPr>
            </w:pPr>
            <w:r w:rsidRPr="004744C5">
              <w:rPr>
                <w:sz w:val="16"/>
                <w:szCs w:val="16"/>
              </w:rPr>
              <w:t>[10-20]%</w:t>
            </w:r>
          </w:p>
        </w:tc>
        <w:tc>
          <w:tcPr>
            <w:tcW w:w="851" w:type="dxa"/>
          </w:tcPr>
          <w:p w14:paraId="4168223E" w14:textId="52C46AAE" w:rsidR="00275B5A"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850" w:type="dxa"/>
          </w:tcPr>
          <w:p w14:paraId="4168223F" w14:textId="77777777" w:rsidR="00275B5A" w:rsidRPr="004744C5" w:rsidRDefault="00275B5A" w:rsidP="00275B5A">
            <w:pPr>
              <w:pStyle w:val="NumPar1"/>
              <w:tabs>
                <w:tab w:val="clear" w:pos="851"/>
                <w:tab w:val="left" w:pos="600"/>
              </w:tabs>
              <w:spacing w:after="0"/>
              <w:jc w:val="center"/>
              <w:rPr>
                <w:rFonts w:ascii="Times New Roman" w:hAnsi="Times New Roman"/>
                <w:sz w:val="16"/>
                <w:szCs w:val="16"/>
              </w:rPr>
            </w:pPr>
            <w:r w:rsidRPr="004744C5">
              <w:rPr>
                <w:rFonts w:ascii="Times New Roman" w:hAnsi="Times New Roman"/>
                <w:sz w:val="16"/>
                <w:szCs w:val="16"/>
              </w:rPr>
              <w:t>[5-10]%</w:t>
            </w:r>
          </w:p>
        </w:tc>
        <w:tc>
          <w:tcPr>
            <w:tcW w:w="1133" w:type="dxa"/>
          </w:tcPr>
          <w:p w14:paraId="41682240" w14:textId="543D83CE" w:rsidR="00275B5A"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827" w:type="dxa"/>
          </w:tcPr>
          <w:p w14:paraId="41682241" w14:textId="56F65392" w:rsidR="00275B5A"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275B5A" w:rsidRPr="004744C5" w14:paraId="4168224D" w14:textId="77777777" w:rsidTr="00275B5A">
        <w:trPr>
          <w:trHeight w:val="227"/>
        </w:trPr>
        <w:tc>
          <w:tcPr>
            <w:tcW w:w="1166" w:type="dxa"/>
          </w:tcPr>
          <w:p w14:paraId="41682243" w14:textId="77777777" w:rsidR="00275B5A" w:rsidRPr="004744C5" w:rsidRDefault="00275B5A" w:rsidP="00B423F8">
            <w:pPr>
              <w:pStyle w:val="NumPar1"/>
              <w:spacing w:after="0"/>
              <w:jc w:val="left"/>
              <w:rPr>
                <w:b/>
                <w:sz w:val="16"/>
                <w:szCs w:val="16"/>
              </w:rPr>
            </w:pPr>
            <w:r w:rsidRPr="004744C5">
              <w:rPr>
                <w:b/>
                <w:sz w:val="16"/>
                <w:szCs w:val="16"/>
              </w:rPr>
              <w:t>Slovenia</w:t>
            </w:r>
          </w:p>
        </w:tc>
        <w:tc>
          <w:tcPr>
            <w:tcW w:w="850" w:type="dxa"/>
          </w:tcPr>
          <w:p w14:paraId="41682244" w14:textId="77777777" w:rsidR="00275B5A" w:rsidRPr="004744C5" w:rsidRDefault="00275B5A" w:rsidP="005965DC">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45"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992" w:type="dxa"/>
            <w:shd w:val="clear" w:color="auto" w:fill="D9D9D9" w:themeFill="background1" w:themeFillShade="D9"/>
          </w:tcPr>
          <w:p w14:paraId="41682246" w14:textId="77777777" w:rsidR="00275B5A" w:rsidRPr="004744C5" w:rsidRDefault="00275B5A" w:rsidP="005965DC">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47" w14:textId="77777777" w:rsidR="00275B5A" w:rsidRPr="004744C5" w:rsidRDefault="00275B5A" w:rsidP="005965DC">
            <w:pPr>
              <w:pStyle w:val="NumPar1"/>
              <w:spacing w:after="0"/>
              <w:jc w:val="center"/>
              <w:rPr>
                <w:sz w:val="16"/>
                <w:szCs w:val="16"/>
              </w:rPr>
            </w:pPr>
            <w:r w:rsidRPr="004744C5">
              <w:rPr>
                <w:sz w:val="16"/>
                <w:szCs w:val="16"/>
              </w:rPr>
              <w:t>[10-20]%</w:t>
            </w:r>
          </w:p>
        </w:tc>
        <w:tc>
          <w:tcPr>
            <w:tcW w:w="850" w:type="dxa"/>
          </w:tcPr>
          <w:p w14:paraId="41682248" w14:textId="77777777" w:rsidR="00275B5A" w:rsidRPr="004744C5" w:rsidRDefault="00275B5A" w:rsidP="005965DC">
            <w:pPr>
              <w:pStyle w:val="NumPar1"/>
              <w:spacing w:after="0"/>
              <w:jc w:val="center"/>
              <w:rPr>
                <w:sz w:val="16"/>
                <w:szCs w:val="16"/>
              </w:rPr>
            </w:pPr>
            <w:r w:rsidRPr="004744C5">
              <w:rPr>
                <w:sz w:val="16"/>
                <w:szCs w:val="16"/>
              </w:rPr>
              <w:t>[10-20]%</w:t>
            </w:r>
          </w:p>
        </w:tc>
        <w:tc>
          <w:tcPr>
            <w:tcW w:w="851" w:type="dxa"/>
          </w:tcPr>
          <w:p w14:paraId="41682249" w14:textId="77777777" w:rsidR="00275B5A" w:rsidRPr="004744C5" w:rsidRDefault="00275B5A" w:rsidP="005965DC">
            <w:pPr>
              <w:pStyle w:val="NumPar1"/>
              <w:spacing w:after="0"/>
              <w:jc w:val="center"/>
              <w:rPr>
                <w:sz w:val="16"/>
                <w:szCs w:val="16"/>
              </w:rPr>
            </w:pPr>
            <w:r w:rsidRPr="004744C5">
              <w:rPr>
                <w:sz w:val="16"/>
                <w:szCs w:val="16"/>
              </w:rPr>
              <w:t>[5-10]%</w:t>
            </w:r>
          </w:p>
        </w:tc>
        <w:tc>
          <w:tcPr>
            <w:tcW w:w="850" w:type="dxa"/>
          </w:tcPr>
          <w:p w14:paraId="4168224A"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1133" w:type="dxa"/>
          </w:tcPr>
          <w:p w14:paraId="4168224B" w14:textId="42F0EACB" w:rsidR="00275B5A"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827" w:type="dxa"/>
          </w:tcPr>
          <w:p w14:paraId="4168224C"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r>
      <w:tr w:rsidR="00275B5A" w:rsidRPr="004744C5" w14:paraId="41682258" w14:textId="77777777" w:rsidTr="00275B5A">
        <w:trPr>
          <w:trHeight w:val="227"/>
        </w:trPr>
        <w:tc>
          <w:tcPr>
            <w:tcW w:w="1166" w:type="dxa"/>
          </w:tcPr>
          <w:p w14:paraId="4168224E" w14:textId="77777777" w:rsidR="00275B5A" w:rsidRPr="004744C5" w:rsidRDefault="00275B5A" w:rsidP="00B423F8">
            <w:pPr>
              <w:pStyle w:val="NumPar1"/>
              <w:spacing w:after="0"/>
              <w:jc w:val="left"/>
              <w:rPr>
                <w:b/>
                <w:sz w:val="16"/>
                <w:szCs w:val="16"/>
              </w:rPr>
            </w:pPr>
            <w:r w:rsidRPr="004744C5">
              <w:rPr>
                <w:b/>
                <w:sz w:val="16"/>
                <w:szCs w:val="16"/>
              </w:rPr>
              <w:t>Romania</w:t>
            </w:r>
          </w:p>
        </w:tc>
        <w:tc>
          <w:tcPr>
            <w:tcW w:w="850" w:type="dxa"/>
          </w:tcPr>
          <w:p w14:paraId="4168224F" w14:textId="77777777" w:rsidR="00275B5A" w:rsidRPr="004744C5" w:rsidRDefault="00275B5A" w:rsidP="005965DC">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50"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992" w:type="dxa"/>
            <w:shd w:val="clear" w:color="auto" w:fill="D9D9D9" w:themeFill="background1" w:themeFillShade="D9"/>
          </w:tcPr>
          <w:p w14:paraId="41682251" w14:textId="77777777" w:rsidR="00275B5A" w:rsidRPr="004744C5" w:rsidRDefault="00275B5A" w:rsidP="005965DC">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52" w14:textId="77777777" w:rsidR="00275B5A" w:rsidRPr="004744C5" w:rsidRDefault="00275B5A" w:rsidP="005965DC">
            <w:pPr>
              <w:pStyle w:val="NumPar1"/>
              <w:spacing w:after="0"/>
              <w:jc w:val="center"/>
              <w:rPr>
                <w:sz w:val="16"/>
                <w:szCs w:val="16"/>
              </w:rPr>
            </w:pPr>
            <w:r w:rsidRPr="004744C5">
              <w:rPr>
                <w:sz w:val="16"/>
                <w:szCs w:val="16"/>
              </w:rPr>
              <w:t>[10-20]%</w:t>
            </w:r>
          </w:p>
        </w:tc>
        <w:tc>
          <w:tcPr>
            <w:tcW w:w="850" w:type="dxa"/>
          </w:tcPr>
          <w:p w14:paraId="41682253"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851" w:type="dxa"/>
          </w:tcPr>
          <w:p w14:paraId="41682254"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850" w:type="dxa"/>
          </w:tcPr>
          <w:p w14:paraId="41682255" w14:textId="77777777" w:rsidR="00275B5A" w:rsidRPr="004744C5" w:rsidRDefault="00275B5A" w:rsidP="00B423F8">
            <w:pPr>
              <w:pStyle w:val="NumPar1"/>
              <w:spacing w:after="0"/>
              <w:jc w:val="center"/>
              <w:rPr>
                <w:rFonts w:ascii="Times New Roman" w:hAnsi="Times New Roman"/>
                <w:sz w:val="16"/>
                <w:szCs w:val="16"/>
              </w:rPr>
            </w:pPr>
            <w:r w:rsidRPr="004744C5">
              <w:rPr>
                <w:sz w:val="16"/>
                <w:szCs w:val="16"/>
              </w:rPr>
              <w:t>[0-5]%</w:t>
            </w:r>
          </w:p>
        </w:tc>
        <w:tc>
          <w:tcPr>
            <w:tcW w:w="1133" w:type="dxa"/>
          </w:tcPr>
          <w:p w14:paraId="41682256" w14:textId="2F6C5706" w:rsidR="00275B5A"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827" w:type="dxa"/>
          </w:tcPr>
          <w:p w14:paraId="41682257" w14:textId="6A533C85" w:rsidR="00275B5A"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bl>
    <w:p w14:paraId="41682259" w14:textId="77777777" w:rsidR="000E2BD5" w:rsidRPr="004744C5" w:rsidRDefault="000E2BD5" w:rsidP="000E2BD5">
      <w:pPr>
        <w:pStyle w:val="NumPar1"/>
        <w:ind w:left="360"/>
        <w:jc w:val="center"/>
        <w:rPr>
          <w:sz w:val="20"/>
        </w:rPr>
      </w:pPr>
      <w:r w:rsidRPr="004744C5">
        <w:rPr>
          <w:b/>
          <w:sz w:val="20"/>
        </w:rPr>
        <w:t xml:space="preserve">Source: </w:t>
      </w:r>
      <w:proofErr w:type="spellStart"/>
      <w:r w:rsidRPr="004744C5">
        <w:rPr>
          <w:b/>
          <w:sz w:val="20"/>
        </w:rPr>
        <w:t>Europartners</w:t>
      </w:r>
      <w:proofErr w:type="spellEnd"/>
      <w:r w:rsidRPr="004744C5">
        <w:rPr>
          <w:b/>
          <w:sz w:val="20"/>
        </w:rPr>
        <w:t xml:space="preserve"> Reports and Notifying Party's estimates</w:t>
      </w:r>
    </w:p>
    <w:p w14:paraId="4168225A" w14:textId="77777777" w:rsidR="000E2BD5" w:rsidRPr="004744C5" w:rsidRDefault="00B53EEA" w:rsidP="00B423F8">
      <w:pPr>
        <w:pStyle w:val="NumPar1"/>
        <w:numPr>
          <w:ilvl w:val="0"/>
          <w:numId w:val="2"/>
        </w:numPr>
        <w:ind w:left="851" w:hanging="851"/>
      </w:pPr>
      <w:bookmarkStart w:id="12" w:name="_Ref462753651"/>
      <w:r w:rsidRPr="004744C5">
        <w:t>As t</w:t>
      </w:r>
      <w:r w:rsidR="001B321D" w:rsidRPr="004744C5">
        <w:t>he</w:t>
      </w:r>
      <w:r w:rsidR="000E2BD5" w:rsidRPr="004744C5" w:rsidDel="001B321D">
        <w:t xml:space="preserve"> </w:t>
      </w:r>
      <w:r w:rsidR="000E2BD5" w:rsidRPr="004744C5">
        <w:t>increment</w:t>
      </w:r>
      <w:r w:rsidR="001B321D" w:rsidRPr="004744C5">
        <w:t xml:space="preserve"> resulting from the </w:t>
      </w:r>
      <w:r w:rsidR="00783319" w:rsidRPr="004744C5">
        <w:t>transaction is low</w:t>
      </w:r>
      <w:r w:rsidR="000E2BD5" w:rsidRPr="004744C5">
        <w:t>, Avnet will marginally increase its position in the overall market for the electronic components' distribution post-</w:t>
      </w:r>
      <w:r w:rsidR="00CA63E2" w:rsidRPr="004744C5">
        <w:t xml:space="preserve">Transaction </w:t>
      </w:r>
      <w:r w:rsidR="000E2BD5" w:rsidRPr="004744C5">
        <w:t>while, pre-</w:t>
      </w:r>
      <w:proofErr w:type="gramStart"/>
      <w:r w:rsidR="00CA63E2" w:rsidRPr="004744C5">
        <w:t>Transaction</w:t>
      </w:r>
      <w:r w:rsidR="000E2BD5" w:rsidRPr="004744C5">
        <w:rPr>
          <w:lang w:val="en-US"/>
        </w:rPr>
        <w:t>,</w:t>
      </w:r>
      <w:proofErr w:type="gramEnd"/>
      <w:r w:rsidR="000E2BD5" w:rsidRPr="004744C5">
        <w:rPr>
          <w:lang w:val="en-US"/>
        </w:rPr>
        <w:t xml:space="preserve"> Avnet was already the strongest player in all </w:t>
      </w:r>
      <w:r w:rsidR="00D2476D" w:rsidRPr="004744C5">
        <w:rPr>
          <w:lang w:val="en-US"/>
        </w:rPr>
        <w:t xml:space="preserve">of </w:t>
      </w:r>
      <w:r w:rsidR="000E2BD5" w:rsidRPr="004744C5">
        <w:rPr>
          <w:lang w:val="en-US"/>
        </w:rPr>
        <w:t xml:space="preserve">the above mentioned territories. Furthermore, in </w:t>
      </w:r>
      <w:proofErr w:type="gramStart"/>
      <w:r w:rsidR="000E2BD5" w:rsidRPr="004744C5">
        <w:rPr>
          <w:lang w:val="en-US"/>
        </w:rPr>
        <w:t>these</w:t>
      </w:r>
      <w:proofErr w:type="gramEnd"/>
      <w:r w:rsidR="000E2BD5" w:rsidRPr="004744C5">
        <w:rPr>
          <w:lang w:val="en-US"/>
        </w:rPr>
        <w:t xml:space="preserve"> Member States </w:t>
      </w:r>
      <w:r w:rsidR="000E2BD5" w:rsidRPr="004744C5">
        <w:t xml:space="preserve">Avnet will continue to be confronted with strong competitors such as Arrow, other rival distributors such as </w:t>
      </w:r>
      <w:proofErr w:type="spellStart"/>
      <w:r w:rsidR="000E2BD5" w:rsidRPr="004744C5">
        <w:t>Rutronik</w:t>
      </w:r>
      <w:proofErr w:type="spellEnd"/>
      <w:r w:rsidR="000E2BD5" w:rsidRPr="004744C5">
        <w:t xml:space="preserve"> Group, Future Group, TTI Group, </w:t>
      </w:r>
      <w:proofErr w:type="spellStart"/>
      <w:r w:rsidR="000E2BD5" w:rsidRPr="004744C5">
        <w:t>Electrocomponents</w:t>
      </w:r>
      <w:proofErr w:type="spellEnd"/>
      <w:r w:rsidR="000E2BD5" w:rsidRPr="004744C5">
        <w:t xml:space="preserve"> Group</w:t>
      </w:r>
      <w:r w:rsidR="00C81A52" w:rsidRPr="004744C5">
        <w:t>,</w:t>
      </w:r>
      <w:r w:rsidR="000E2BD5" w:rsidRPr="004744C5">
        <w:t xml:space="preserve"> as well as a number of small</w:t>
      </w:r>
      <w:r w:rsidR="005830B9" w:rsidRPr="004744C5">
        <w:t>er</w:t>
      </w:r>
      <w:r w:rsidR="000E2BD5" w:rsidRPr="004744C5">
        <w:t xml:space="preserve"> distributors. </w:t>
      </w:r>
      <w:r w:rsidR="003E37EB" w:rsidRPr="004744C5">
        <w:t>This was confirmed by the market investigation.</w:t>
      </w:r>
      <w:r w:rsidR="003E37EB" w:rsidRPr="004744C5">
        <w:rPr>
          <w:rStyle w:val="FootnoteReference"/>
        </w:rPr>
        <w:footnoteReference w:id="80"/>
      </w:r>
      <w:r w:rsidR="003E37EB" w:rsidRPr="004744C5">
        <w:t xml:space="preserve"> The merged entity will also be constrained by the increasing overseas sourcing by customers</w:t>
      </w:r>
      <w:r w:rsidR="00C1035A" w:rsidRPr="004744C5">
        <w:t>.</w:t>
      </w:r>
      <w:r w:rsidR="005830B9" w:rsidRPr="004744C5">
        <w:rPr>
          <w:rStyle w:val="FootnoteReference"/>
        </w:rPr>
        <w:footnoteReference w:id="81"/>
      </w:r>
      <w:bookmarkEnd w:id="12"/>
      <w:r w:rsidR="003E37EB" w:rsidRPr="004744C5">
        <w:t xml:space="preserve"> </w:t>
      </w:r>
    </w:p>
    <w:p w14:paraId="4168225B" w14:textId="77777777" w:rsidR="000E2BD5" w:rsidRPr="004744C5" w:rsidRDefault="000E2BD5" w:rsidP="00B423F8">
      <w:pPr>
        <w:pStyle w:val="NumPar1"/>
        <w:numPr>
          <w:ilvl w:val="0"/>
          <w:numId w:val="2"/>
        </w:numPr>
        <w:ind w:left="851" w:hanging="851"/>
      </w:pPr>
      <w:r w:rsidRPr="004744C5">
        <w:t xml:space="preserve">Second, as can be seen in Table 3 below, in the possible narrower market segment for the </w:t>
      </w:r>
      <w:r w:rsidRPr="004744C5">
        <w:rPr>
          <w:b/>
          <w:u w:val="single"/>
        </w:rPr>
        <w:t>wholesale distribution of semiconductors</w:t>
      </w:r>
      <w:r w:rsidRPr="004744C5">
        <w:t>, where Avnet is particularly strong, the combined entity's market shares is above 25% in the EEA (</w:t>
      </w:r>
      <w:r w:rsidR="00BF02AD" w:rsidRPr="004744C5">
        <w:t xml:space="preserve">c. </w:t>
      </w:r>
      <w:r w:rsidR="00E63D6A" w:rsidRPr="004744C5">
        <w:t>[30-40]</w:t>
      </w:r>
      <w:r w:rsidRPr="004744C5">
        <w:t>%), Croatia (</w:t>
      </w:r>
      <w:r w:rsidR="00BF02AD" w:rsidRPr="004744C5">
        <w:t xml:space="preserve">c. </w:t>
      </w:r>
      <w:r w:rsidR="00E63D6A" w:rsidRPr="004744C5">
        <w:t>[20-30]</w:t>
      </w:r>
      <w:r w:rsidRPr="004744C5">
        <w:t>%), Finland (</w:t>
      </w:r>
      <w:r w:rsidR="00BF02AD" w:rsidRPr="004744C5">
        <w:t xml:space="preserve">c. </w:t>
      </w:r>
      <w:r w:rsidR="00E63D6A" w:rsidRPr="004744C5">
        <w:t>[20-30]</w:t>
      </w:r>
      <w:r w:rsidRPr="004744C5">
        <w:t>%), Germany (</w:t>
      </w:r>
      <w:r w:rsidR="00BF02AD" w:rsidRPr="004744C5">
        <w:t xml:space="preserve">c. </w:t>
      </w:r>
      <w:r w:rsidR="00E63D6A" w:rsidRPr="004744C5">
        <w:t>[30-40]</w:t>
      </w:r>
      <w:r w:rsidRPr="004744C5">
        <w:t>%), Ireland (</w:t>
      </w:r>
      <w:r w:rsidR="00BF02AD" w:rsidRPr="004744C5">
        <w:t xml:space="preserve">c. </w:t>
      </w:r>
      <w:r w:rsidR="00E63D6A" w:rsidRPr="004744C5">
        <w:t>[30-40]</w:t>
      </w:r>
      <w:r w:rsidRPr="004744C5">
        <w:t xml:space="preserve">%), </w:t>
      </w:r>
      <w:r w:rsidR="00B66943" w:rsidRPr="004744C5">
        <w:t>the Netherlands (</w:t>
      </w:r>
      <w:r w:rsidR="00BF02AD" w:rsidRPr="004744C5">
        <w:t xml:space="preserve">c. </w:t>
      </w:r>
      <w:r w:rsidR="00E63D6A" w:rsidRPr="004744C5">
        <w:t>[30-40]</w:t>
      </w:r>
      <w:r w:rsidR="00B66943" w:rsidRPr="004744C5">
        <w:t xml:space="preserve">%), </w:t>
      </w:r>
      <w:r w:rsidRPr="004744C5">
        <w:t>Norway (</w:t>
      </w:r>
      <w:r w:rsidR="00BF02AD" w:rsidRPr="004744C5">
        <w:t xml:space="preserve">c. </w:t>
      </w:r>
      <w:r w:rsidR="00E63D6A" w:rsidRPr="004744C5">
        <w:t>[30-40]</w:t>
      </w:r>
      <w:r w:rsidRPr="004744C5">
        <w:t>%), Poland (</w:t>
      </w:r>
      <w:r w:rsidR="00BF02AD" w:rsidRPr="004744C5">
        <w:t xml:space="preserve">c. </w:t>
      </w:r>
      <w:r w:rsidR="00E63D6A" w:rsidRPr="004744C5">
        <w:t>[20-30]</w:t>
      </w:r>
      <w:r w:rsidRPr="004744C5">
        <w:t>%), Portugal (</w:t>
      </w:r>
      <w:r w:rsidR="00BF02AD" w:rsidRPr="004744C5">
        <w:t xml:space="preserve">c. </w:t>
      </w:r>
      <w:r w:rsidR="00E63D6A" w:rsidRPr="004744C5">
        <w:t>[30-40]</w:t>
      </w:r>
      <w:r w:rsidRPr="004744C5">
        <w:t>%), Spain (</w:t>
      </w:r>
      <w:r w:rsidR="00E63D6A" w:rsidRPr="004744C5">
        <w:t>[30-40]</w:t>
      </w:r>
      <w:r w:rsidRPr="004744C5">
        <w:t>%) and Sweden (</w:t>
      </w:r>
      <w:r w:rsidR="00BF02AD" w:rsidRPr="004744C5">
        <w:t xml:space="preserve">c. </w:t>
      </w:r>
      <w:r w:rsidR="00E63D6A" w:rsidRPr="004744C5">
        <w:t>[30-40]</w:t>
      </w:r>
      <w:r w:rsidRPr="004744C5">
        <w:t>%). The combined market shares of the parties will exceed 40% post-Transaction in Austria (</w:t>
      </w:r>
      <w:r w:rsidR="00BF02AD" w:rsidRPr="004744C5">
        <w:t xml:space="preserve">c </w:t>
      </w:r>
      <w:r w:rsidR="00E63D6A" w:rsidRPr="004744C5">
        <w:t>[</w:t>
      </w:r>
      <w:r w:rsidRPr="004744C5">
        <w:t>4</w:t>
      </w:r>
      <w:r w:rsidR="00E63D6A" w:rsidRPr="004744C5">
        <w:t>0-50]</w:t>
      </w:r>
      <w:r w:rsidRPr="004744C5">
        <w:t>%), Bulgaria (</w:t>
      </w:r>
      <w:r w:rsidR="00BF02AD" w:rsidRPr="004744C5">
        <w:t xml:space="preserve">c. </w:t>
      </w:r>
      <w:r w:rsidR="00E63D6A" w:rsidRPr="004744C5">
        <w:t>[40-50]</w:t>
      </w:r>
      <w:r w:rsidRPr="004744C5">
        <w:t>%), Czech Republic (</w:t>
      </w:r>
      <w:r w:rsidR="00BF02AD" w:rsidRPr="004744C5">
        <w:t xml:space="preserve">c. </w:t>
      </w:r>
      <w:r w:rsidR="00E63D6A" w:rsidRPr="004744C5">
        <w:t>[40-50]</w:t>
      </w:r>
      <w:r w:rsidRPr="004744C5">
        <w:t>%), Denmark (</w:t>
      </w:r>
      <w:r w:rsidR="00BF02AD" w:rsidRPr="004744C5">
        <w:t xml:space="preserve">c. </w:t>
      </w:r>
      <w:r w:rsidR="00E63D6A" w:rsidRPr="004744C5">
        <w:t>[40-50]</w:t>
      </w:r>
      <w:r w:rsidRPr="004744C5">
        <w:t>%), France (</w:t>
      </w:r>
      <w:r w:rsidR="00BF02AD" w:rsidRPr="004744C5">
        <w:t xml:space="preserve">c. </w:t>
      </w:r>
      <w:r w:rsidR="00E63D6A" w:rsidRPr="004744C5">
        <w:t>[40-50]</w:t>
      </w:r>
      <w:r w:rsidRPr="004744C5">
        <w:t>%), Italy (</w:t>
      </w:r>
      <w:r w:rsidR="00BF02AD" w:rsidRPr="004744C5">
        <w:t xml:space="preserve">c. </w:t>
      </w:r>
      <w:r w:rsidR="00E63D6A" w:rsidRPr="004744C5">
        <w:t>[40-50]</w:t>
      </w:r>
      <w:r w:rsidRPr="004744C5">
        <w:t xml:space="preserve">%), </w:t>
      </w:r>
      <w:r w:rsidR="00B66943" w:rsidRPr="004744C5">
        <w:t>Romania (</w:t>
      </w:r>
      <w:r w:rsidR="00BF02AD" w:rsidRPr="004744C5">
        <w:t xml:space="preserve">c. </w:t>
      </w:r>
      <w:r w:rsidR="00E63D6A" w:rsidRPr="004744C5">
        <w:t>[40-50]</w:t>
      </w:r>
      <w:r w:rsidR="00B66943" w:rsidRPr="004744C5">
        <w:t xml:space="preserve">%), </w:t>
      </w:r>
      <w:r w:rsidRPr="004744C5">
        <w:t>Slovakia (</w:t>
      </w:r>
      <w:r w:rsidR="00BF02AD" w:rsidRPr="004744C5">
        <w:t xml:space="preserve">c. </w:t>
      </w:r>
      <w:r w:rsidR="00E63D6A" w:rsidRPr="004744C5">
        <w:t>[40-50]</w:t>
      </w:r>
      <w:r w:rsidRPr="004744C5">
        <w:t>%), Slovenia (</w:t>
      </w:r>
      <w:r w:rsidR="00BF02AD" w:rsidRPr="004744C5">
        <w:t xml:space="preserve">c. </w:t>
      </w:r>
      <w:r w:rsidR="00E63D6A" w:rsidRPr="004744C5">
        <w:t>[40-50]</w:t>
      </w:r>
      <w:r w:rsidRPr="004744C5">
        <w:t xml:space="preserve">%) </w:t>
      </w:r>
      <w:r w:rsidR="00B66943" w:rsidRPr="004744C5">
        <w:t>and United Kingdom (</w:t>
      </w:r>
      <w:r w:rsidR="00BF02AD" w:rsidRPr="004744C5">
        <w:t xml:space="preserve">c. </w:t>
      </w:r>
      <w:r w:rsidR="00E63D6A" w:rsidRPr="004744C5">
        <w:t>[40-50]</w:t>
      </w:r>
      <w:r w:rsidR="00B66943" w:rsidRPr="004744C5">
        <w:t>%)</w:t>
      </w:r>
      <w:r w:rsidRPr="004744C5">
        <w:t>. The parties' market shares will exceed 50% only in Belgium (</w:t>
      </w:r>
      <w:r w:rsidR="00BF02AD" w:rsidRPr="004744C5">
        <w:t xml:space="preserve">c. </w:t>
      </w:r>
      <w:r w:rsidR="00E63D6A" w:rsidRPr="004744C5">
        <w:t>[50-60</w:t>
      </w:r>
      <w:proofErr w:type="gramStart"/>
      <w:r w:rsidR="00E63D6A" w:rsidRPr="004744C5">
        <w:t>]</w:t>
      </w:r>
      <w:r w:rsidRPr="004744C5">
        <w:t>%</w:t>
      </w:r>
      <w:proofErr w:type="gramEnd"/>
      <w:r w:rsidRPr="004744C5">
        <w:t>).</w:t>
      </w:r>
    </w:p>
    <w:p w14:paraId="4C4A87D9" w14:textId="77777777" w:rsidR="0060677A" w:rsidRDefault="0060677A">
      <w:pPr>
        <w:spacing w:after="0"/>
        <w:jc w:val="left"/>
        <w:rPr>
          <w:rFonts w:ascii="Times New Roman Bold" w:hAnsi="Times New Roman Bold"/>
          <w:b/>
          <w:sz w:val="22"/>
          <w:szCs w:val="22"/>
        </w:rPr>
      </w:pPr>
      <w:r>
        <w:rPr>
          <w:b/>
          <w:sz w:val="22"/>
          <w:szCs w:val="22"/>
        </w:rPr>
        <w:br w:type="page"/>
      </w:r>
    </w:p>
    <w:p w14:paraId="4168225C" w14:textId="79299BCA" w:rsidR="000E2BD5" w:rsidRPr="004744C5" w:rsidRDefault="000E2BD5" w:rsidP="000E2BD5">
      <w:pPr>
        <w:pStyle w:val="NumPar1"/>
        <w:spacing w:after="0"/>
        <w:ind w:left="360"/>
        <w:jc w:val="center"/>
        <w:rPr>
          <w:b/>
          <w:sz w:val="22"/>
          <w:szCs w:val="22"/>
        </w:rPr>
      </w:pPr>
      <w:r w:rsidRPr="004744C5">
        <w:rPr>
          <w:b/>
          <w:sz w:val="22"/>
          <w:szCs w:val="22"/>
        </w:rPr>
        <w:lastRenderedPageBreak/>
        <w:t xml:space="preserve">3: Overview of market shares on Member State level for the wholesale distribution of semiconductors - 2015 </w:t>
      </w:r>
    </w:p>
    <w:tbl>
      <w:tblPr>
        <w:tblStyle w:val="TableGrid"/>
        <w:tblW w:w="9104" w:type="dxa"/>
        <w:tblInd w:w="360" w:type="dxa"/>
        <w:tblLayout w:type="fixed"/>
        <w:tblLook w:val="04A0" w:firstRow="1" w:lastRow="0" w:firstColumn="1" w:lastColumn="0" w:noHBand="0" w:noVBand="1"/>
      </w:tblPr>
      <w:tblGrid>
        <w:gridCol w:w="1166"/>
        <w:gridCol w:w="850"/>
        <w:gridCol w:w="851"/>
        <w:gridCol w:w="992"/>
        <w:gridCol w:w="851"/>
        <w:gridCol w:w="850"/>
        <w:gridCol w:w="709"/>
        <w:gridCol w:w="709"/>
        <w:gridCol w:w="1134"/>
        <w:gridCol w:w="992"/>
      </w:tblGrid>
      <w:tr w:rsidR="000E2BD5" w:rsidRPr="004744C5" w14:paraId="41682267" w14:textId="77777777" w:rsidTr="00FF4CAA">
        <w:trPr>
          <w:trHeight w:val="227"/>
        </w:trPr>
        <w:tc>
          <w:tcPr>
            <w:tcW w:w="1166" w:type="dxa"/>
            <w:shd w:val="clear" w:color="auto" w:fill="D6E3BC" w:themeFill="accent3" w:themeFillTint="66"/>
          </w:tcPr>
          <w:p w14:paraId="4168225D" w14:textId="77777777" w:rsidR="000E2BD5" w:rsidRPr="004744C5" w:rsidRDefault="000E2BD5" w:rsidP="00B423F8">
            <w:pPr>
              <w:pStyle w:val="NumPar1"/>
              <w:spacing w:after="0"/>
              <w:jc w:val="center"/>
              <w:rPr>
                <w:b/>
                <w:sz w:val="16"/>
                <w:szCs w:val="16"/>
              </w:rPr>
            </w:pPr>
            <w:r w:rsidRPr="004744C5">
              <w:rPr>
                <w:b/>
                <w:sz w:val="16"/>
                <w:szCs w:val="16"/>
              </w:rPr>
              <w:t>2015</w:t>
            </w:r>
          </w:p>
        </w:tc>
        <w:tc>
          <w:tcPr>
            <w:tcW w:w="850" w:type="dxa"/>
          </w:tcPr>
          <w:p w14:paraId="4168225E" w14:textId="77777777" w:rsidR="000E2BD5" w:rsidRPr="004744C5" w:rsidRDefault="000E2BD5" w:rsidP="002433A7">
            <w:pPr>
              <w:pStyle w:val="NumPar1"/>
              <w:spacing w:after="0"/>
              <w:rPr>
                <w:b/>
                <w:sz w:val="16"/>
                <w:szCs w:val="16"/>
              </w:rPr>
            </w:pPr>
            <w:r w:rsidRPr="004744C5">
              <w:rPr>
                <w:b/>
                <w:sz w:val="16"/>
                <w:szCs w:val="16"/>
              </w:rPr>
              <w:t>Avnet</w:t>
            </w:r>
          </w:p>
        </w:tc>
        <w:tc>
          <w:tcPr>
            <w:tcW w:w="851" w:type="dxa"/>
          </w:tcPr>
          <w:p w14:paraId="4168225F" w14:textId="77777777" w:rsidR="000E2BD5" w:rsidRPr="004744C5" w:rsidRDefault="000E2BD5" w:rsidP="002433A7">
            <w:pPr>
              <w:pStyle w:val="NumPar1"/>
              <w:spacing w:after="0"/>
              <w:rPr>
                <w:b/>
                <w:sz w:val="16"/>
                <w:szCs w:val="16"/>
              </w:rPr>
            </w:pPr>
            <w:r w:rsidRPr="004744C5">
              <w:rPr>
                <w:b/>
                <w:sz w:val="16"/>
                <w:szCs w:val="16"/>
              </w:rPr>
              <w:t xml:space="preserve">Premier </w:t>
            </w:r>
            <w:proofErr w:type="spellStart"/>
            <w:r w:rsidRPr="004744C5">
              <w:rPr>
                <w:b/>
                <w:sz w:val="16"/>
                <w:szCs w:val="16"/>
              </w:rPr>
              <w:t>Farnell</w:t>
            </w:r>
            <w:proofErr w:type="spellEnd"/>
          </w:p>
        </w:tc>
        <w:tc>
          <w:tcPr>
            <w:tcW w:w="992" w:type="dxa"/>
            <w:shd w:val="clear" w:color="auto" w:fill="D9D9D9" w:themeFill="background1" w:themeFillShade="D9"/>
          </w:tcPr>
          <w:p w14:paraId="41682260" w14:textId="77777777" w:rsidR="000E2BD5" w:rsidRPr="004744C5" w:rsidRDefault="000E2BD5" w:rsidP="002433A7">
            <w:pPr>
              <w:pStyle w:val="NumPar1"/>
              <w:spacing w:after="0"/>
              <w:rPr>
                <w:b/>
                <w:sz w:val="16"/>
                <w:szCs w:val="16"/>
              </w:rPr>
            </w:pPr>
            <w:r w:rsidRPr="004744C5">
              <w:rPr>
                <w:b/>
                <w:sz w:val="16"/>
                <w:szCs w:val="16"/>
              </w:rPr>
              <w:t>Combined</w:t>
            </w:r>
          </w:p>
        </w:tc>
        <w:tc>
          <w:tcPr>
            <w:tcW w:w="851" w:type="dxa"/>
          </w:tcPr>
          <w:p w14:paraId="41682261" w14:textId="77777777" w:rsidR="000E2BD5" w:rsidRPr="004744C5" w:rsidRDefault="000E2BD5" w:rsidP="002433A7">
            <w:pPr>
              <w:pStyle w:val="NumPar1"/>
              <w:spacing w:after="0"/>
              <w:rPr>
                <w:b/>
                <w:sz w:val="16"/>
                <w:szCs w:val="16"/>
              </w:rPr>
            </w:pPr>
            <w:r w:rsidRPr="004744C5">
              <w:rPr>
                <w:b/>
                <w:sz w:val="16"/>
                <w:szCs w:val="16"/>
              </w:rPr>
              <w:t>Arrow</w:t>
            </w:r>
          </w:p>
        </w:tc>
        <w:tc>
          <w:tcPr>
            <w:tcW w:w="850" w:type="dxa"/>
          </w:tcPr>
          <w:p w14:paraId="41682262" w14:textId="77777777" w:rsidR="000E2BD5" w:rsidRPr="004744C5" w:rsidRDefault="000E2BD5" w:rsidP="002433A7">
            <w:pPr>
              <w:pStyle w:val="NumPar1"/>
              <w:spacing w:after="0"/>
              <w:rPr>
                <w:b/>
                <w:sz w:val="16"/>
                <w:szCs w:val="16"/>
              </w:rPr>
            </w:pPr>
            <w:proofErr w:type="spellStart"/>
            <w:r w:rsidRPr="004744C5">
              <w:rPr>
                <w:b/>
                <w:sz w:val="16"/>
                <w:szCs w:val="16"/>
              </w:rPr>
              <w:t>Rutronik</w:t>
            </w:r>
            <w:proofErr w:type="spellEnd"/>
            <w:r w:rsidRPr="004744C5">
              <w:rPr>
                <w:b/>
                <w:sz w:val="16"/>
                <w:szCs w:val="16"/>
              </w:rPr>
              <w:t xml:space="preserve"> Group</w:t>
            </w:r>
          </w:p>
        </w:tc>
        <w:tc>
          <w:tcPr>
            <w:tcW w:w="709" w:type="dxa"/>
          </w:tcPr>
          <w:p w14:paraId="41682263" w14:textId="77777777" w:rsidR="000E2BD5" w:rsidRPr="004744C5" w:rsidRDefault="000E2BD5" w:rsidP="00E85655">
            <w:pPr>
              <w:pStyle w:val="NumPar1"/>
              <w:spacing w:after="0"/>
              <w:rPr>
                <w:b/>
                <w:sz w:val="16"/>
                <w:szCs w:val="16"/>
              </w:rPr>
            </w:pPr>
            <w:r w:rsidRPr="004744C5">
              <w:rPr>
                <w:b/>
                <w:sz w:val="16"/>
                <w:szCs w:val="16"/>
              </w:rPr>
              <w:t>Future Group</w:t>
            </w:r>
          </w:p>
        </w:tc>
        <w:tc>
          <w:tcPr>
            <w:tcW w:w="709" w:type="dxa"/>
          </w:tcPr>
          <w:p w14:paraId="41682264" w14:textId="77777777" w:rsidR="000E2BD5" w:rsidRPr="004744C5" w:rsidRDefault="000E2BD5" w:rsidP="00294F03">
            <w:pPr>
              <w:pStyle w:val="NumPar1"/>
              <w:spacing w:after="0"/>
              <w:rPr>
                <w:b/>
                <w:sz w:val="16"/>
                <w:szCs w:val="16"/>
              </w:rPr>
            </w:pPr>
            <w:r w:rsidRPr="004744C5">
              <w:rPr>
                <w:b/>
                <w:sz w:val="16"/>
                <w:szCs w:val="16"/>
              </w:rPr>
              <w:t>TTI Group</w:t>
            </w:r>
          </w:p>
        </w:tc>
        <w:tc>
          <w:tcPr>
            <w:tcW w:w="1134" w:type="dxa"/>
          </w:tcPr>
          <w:p w14:paraId="41682265" w14:textId="77777777" w:rsidR="000E2BD5" w:rsidRPr="004744C5" w:rsidRDefault="000E2BD5" w:rsidP="005965DC">
            <w:pPr>
              <w:pStyle w:val="NumPar1"/>
              <w:spacing w:after="0"/>
              <w:rPr>
                <w:b/>
                <w:sz w:val="16"/>
                <w:szCs w:val="16"/>
              </w:rPr>
            </w:pPr>
            <w:r w:rsidRPr="004744C5">
              <w:rPr>
                <w:b/>
                <w:sz w:val="16"/>
                <w:szCs w:val="16"/>
              </w:rPr>
              <w:t>Electro-</w:t>
            </w:r>
            <w:r w:rsidRPr="004744C5">
              <w:rPr>
                <w:b/>
                <w:sz w:val="16"/>
                <w:szCs w:val="16"/>
              </w:rPr>
              <w:br/>
              <w:t>components</w:t>
            </w:r>
            <w:r w:rsidR="005965DC" w:rsidRPr="004744C5">
              <w:rPr>
                <w:b/>
                <w:sz w:val="16"/>
                <w:szCs w:val="16"/>
              </w:rPr>
              <w:t xml:space="preserve"> </w:t>
            </w:r>
            <w:r w:rsidRPr="004744C5">
              <w:rPr>
                <w:b/>
                <w:sz w:val="16"/>
                <w:szCs w:val="16"/>
              </w:rPr>
              <w:t>Group</w:t>
            </w:r>
          </w:p>
        </w:tc>
        <w:tc>
          <w:tcPr>
            <w:tcW w:w="992" w:type="dxa"/>
          </w:tcPr>
          <w:p w14:paraId="41682266" w14:textId="77777777" w:rsidR="000E2BD5" w:rsidRPr="004744C5" w:rsidRDefault="000E2BD5" w:rsidP="00085AAF">
            <w:pPr>
              <w:pStyle w:val="NumPar1"/>
              <w:spacing w:after="0"/>
              <w:rPr>
                <w:b/>
                <w:sz w:val="16"/>
                <w:szCs w:val="16"/>
              </w:rPr>
            </w:pPr>
            <w:proofErr w:type="spellStart"/>
            <w:r w:rsidRPr="004744C5">
              <w:rPr>
                <w:b/>
                <w:sz w:val="16"/>
                <w:szCs w:val="16"/>
              </w:rPr>
              <w:t>Codico</w:t>
            </w:r>
            <w:proofErr w:type="spellEnd"/>
          </w:p>
        </w:tc>
      </w:tr>
      <w:tr w:rsidR="00275B5A" w:rsidRPr="004744C5" w14:paraId="41682272" w14:textId="77777777" w:rsidTr="00FF4CAA">
        <w:trPr>
          <w:trHeight w:val="227"/>
        </w:trPr>
        <w:tc>
          <w:tcPr>
            <w:tcW w:w="1166" w:type="dxa"/>
          </w:tcPr>
          <w:p w14:paraId="41682268" w14:textId="77777777" w:rsidR="00275B5A" w:rsidRPr="004744C5" w:rsidRDefault="00275B5A" w:rsidP="00B423F8">
            <w:pPr>
              <w:pStyle w:val="NumPar1"/>
              <w:spacing w:after="0"/>
              <w:rPr>
                <w:b/>
                <w:sz w:val="16"/>
                <w:szCs w:val="16"/>
              </w:rPr>
            </w:pPr>
            <w:r w:rsidRPr="004744C5">
              <w:rPr>
                <w:b/>
                <w:sz w:val="16"/>
                <w:szCs w:val="16"/>
              </w:rPr>
              <w:t>Austria</w:t>
            </w:r>
          </w:p>
        </w:tc>
        <w:tc>
          <w:tcPr>
            <w:tcW w:w="850" w:type="dxa"/>
          </w:tcPr>
          <w:p w14:paraId="41682269" w14:textId="77777777" w:rsidR="00275B5A" w:rsidRPr="004744C5" w:rsidRDefault="00275B5A"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6A" w14:textId="77777777" w:rsidR="00275B5A" w:rsidRPr="004744C5" w:rsidRDefault="00275B5A"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6B" w14:textId="77777777" w:rsidR="00275B5A"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r w:rsidR="00275B5A" w:rsidRPr="004744C5">
              <w:rPr>
                <w:rFonts w:ascii="Times New Roman" w:hAnsi="Times New Roman"/>
                <w:sz w:val="16"/>
                <w:szCs w:val="16"/>
              </w:rPr>
              <w:t>%</w:t>
            </w:r>
          </w:p>
        </w:tc>
        <w:tc>
          <w:tcPr>
            <w:tcW w:w="851" w:type="dxa"/>
          </w:tcPr>
          <w:p w14:paraId="4168226C" w14:textId="77777777" w:rsidR="00275B5A"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[20-30]</w:t>
            </w:r>
            <w:r w:rsidR="00275B5A" w:rsidRPr="004744C5">
              <w:rPr>
                <w:rFonts w:ascii="Times New Roman" w:hAnsi="Times New Roman"/>
                <w:sz w:val="16"/>
                <w:szCs w:val="16"/>
              </w:rPr>
              <w:t>%</w:t>
            </w:r>
          </w:p>
        </w:tc>
        <w:tc>
          <w:tcPr>
            <w:tcW w:w="850" w:type="dxa"/>
          </w:tcPr>
          <w:p w14:paraId="4168226D" w14:textId="77777777" w:rsidR="00275B5A"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6E" w14:textId="77777777" w:rsidR="00275B5A"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709" w:type="dxa"/>
          </w:tcPr>
          <w:p w14:paraId="4168226F" w14:textId="77777777" w:rsidR="00275B5A" w:rsidRPr="004744C5" w:rsidRDefault="00275B5A"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70" w14:textId="77777777" w:rsidR="00275B5A" w:rsidRPr="004744C5" w:rsidRDefault="00275B5A"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71" w14:textId="77777777" w:rsidR="00275B5A"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27D" w14:textId="77777777" w:rsidTr="00FF4CAA">
        <w:trPr>
          <w:trHeight w:val="227"/>
        </w:trPr>
        <w:tc>
          <w:tcPr>
            <w:tcW w:w="1166" w:type="dxa"/>
          </w:tcPr>
          <w:p w14:paraId="41682273" w14:textId="77777777" w:rsidR="005965DC" w:rsidRPr="004744C5" w:rsidRDefault="005965DC" w:rsidP="00B423F8">
            <w:pPr>
              <w:pStyle w:val="NumPar1"/>
              <w:spacing w:after="0"/>
              <w:rPr>
                <w:b/>
                <w:sz w:val="16"/>
                <w:szCs w:val="16"/>
              </w:rPr>
            </w:pPr>
            <w:r w:rsidRPr="004744C5">
              <w:rPr>
                <w:b/>
                <w:sz w:val="16"/>
                <w:szCs w:val="16"/>
              </w:rPr>
              <w:t>Belgium</w:t>
            </w:r>
          </w:p>
        </w:tc>
        <w:tc>
          <w:tcPr>
            <w:tcW w:w="850" w:type="dxa"/>
          </w:tcPr>
          <w:p w14:paraId="41682274"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[50-60]%</w:t>
            </w:r>
          </w:p>
        </w:tc>
        <w:tc>
          <w:tcPr>
            <w:tcW w:w="851" w:type="dxa"/>
          </w:tcPr>
          <w:p w14:paraId="41682275"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76"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[50-60]%</w:t>
            </w:r>
          </w:p>
        </w:tc>
        <w:tc>
          <w:tcPr>
            <w:tcW w:w="851" w:type="dxa"/>
          </w:tcPr>
          <w:p w14:paraId="41682277"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850" w:type="dxa"/>
          </w:tcPr>
          <w:p w14:paraId="41682278"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79"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7A"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7B"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7C" w14:textId="1645B520"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288" w14:textId="77777777" w:rsidTr="00FF4CAA">
        <w:trPr>
          <w:trHeight w:val="227"/>
        </w:trPr>
        <w:tc>
          <w:tcPr>
            <w:tcW w:w="1166" w:type="dxa"/>
          </w:tcPr>
          <w:p w14:paraId="4168227E" w14:textId="77777777" w:rsidR="005965DC" w:rsidRPr="004744C5" w:rsidRDefault="005965DC" w:rsidP="00B423F8">
            <w:pPr>
              <w:pStyle w:val="NumPar1"/>
              <w:spacing w:after="0"/>
              <w:rPr>
                <w:b/>
                <w:sz w:val="16"/>
                <w:szCs w:val="16"/>
              </w:rPr>
            </w:pPr>
            <w:r w:rsidRPr="004744C5">
              <w:rPr>
                <w:b/>
                <w:sz w:val="16"/>
                <w:szCs w:val="16"/>
              </w:rPr>
              <w:t>Netherlands</w:t>
            </w:r>
          </w:p>
        </w:tc>
        <w:tc>
          <w:tcPr>
            <w:tcW w:w="850" w:type="dxa"/>
          </w:tcPr>
          <w:p w14:paraId="4168227F"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1" w:type="dxa"/>
          </w:tcPr>
          <w:p w14:paraId="41682280"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81"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82"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850" w:type="dxa"/>
          </w:tcPr>
          <w:p w14:paraId="41682283"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84"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85"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86"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87" w14:textId="0B425B4E"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293" w14:textId="77777777" w:rsidTr="00FF4CAA">
        <w:trPr>
          <w:trHeight w:val="227"/>
        </w:trPr>
        <w:tc>
          <w:tcPr>
            <w:tcW w:w="1166" w:type="dxa"/>
          </w:tcPr>
          <w:p w14:paraId="41682289" w14:textId="77777777" w:rsidR="005965DC" w:rsidRPr="004744C5" w:rsidRDefault="005965DC" w:rsidP="00B423F8">
            <w:pPr>
              <w:pStyle w:val="NumPar1"/>
              <w:spacing w:after="0"/>
              <w:rPr>
                <w:b/>
                <w:sz w:val="16"/>
                <w:szCs w:val="16"/>
              </w:rPr>
            </w:pPr>
            <w:r w:rsidRPr="004744C5">
              <w:rPr>
                <w:b/>
                <w:sz w:val="16"/>
                <w:szCs w:val="16"/>
              </w:rPr>
              <w:t>Bulgaria</w:t>
            </w:r>
          </w:p>
        </w:tc>
        <w:tc>
          <w:tcPr>
            <w:tcW w:w="850" w:type="dxa"/>
          </w:tcPr>
          <w:p w14:paraId="4168228A"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8B"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8C"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8D"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0" w:type="dxa"/>
          </w:tcPr>
          <w:p w14:paraId="4168228E" w14:textId="77777777" w:rsidR="005965DC" w:rsidRPr="004744C5" w:rsidRDefault="00FF4CAA"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r w:rsidR="005965DC" w:rsidRPr="004744C5">
              <w:rPr>
                <w:rFonts w:ascii="Times New Roman" w:hAnsi="Times New Roman"/>
                <w:sz w:val="16"/>
                <w:szCs w:val="16"/>
              </w:rPr>
              <w:t>%</w:t>
            </w:r>
          </w:p>
        </w:tc>
        <w:tc>
          <w:tcPr>
            <w:tcW w:w="709" w:type="dxa"/>
          </w:tcPr>
          <w:p w14:paraId="4168228F"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709" w:type="dxa"/>
          </w:tcPr>
          <w:p w14:paraId="41682290" w14:textId="0BB5682D"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91" w14:textId="496A3999"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92"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r>
      <w:tr w:rsidR="005965DC" w:rsidRPr="004744C5" w14:paraId="4168229E" w14:textId="77777777" w:rsidTr="00FF4CAA">
        <w:trPr>
          <w:trHeight w:val="227"/>
        </w:trPr>
        <w:tc>
          <w:tcPr>
            <w:tcW w:w="1166" w:type="dxa"/>
          </w:tcPr>
          <w:p w14:paraId="41682294" w14:textId="77777777" w:rsidR="005965DC" w:rsidRPr="004744C5" w:rsidRDefault="005965DC" w:rsidP="00B423F8">
            <w:pPr>
              <w:pStyle w:val="NumPar1"/>
              <w:spacing w:after="0"/>
              <w:rPr>
                <w:b/>
                <w:sz w:val="16"/>
                <w:szCs w:val="16"/>
              </w:rPr>
            </w:pPr>
            <w:r w:rsidRPr="004744C5">
              <w:rPr>
                <w:b/>
                <w:sz w:val="16"/>
                <w:szCs w:val="16"/>
              </w:rPr>
              <w:t>Croatia</w:t>
            </w:r>
          </w:p>
        </w:tc>
        <w:tc>
          <w:tcPr>
            <w:tcW w:w="850" w:type="dxa"/>
          </w:tcPr>
          <w:p w14:paraId="41682295"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1" w:type="dxa"/>
          </w:tcPr>
          <w:p w14:paraId="41682296"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97"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1" w:type="dxa"/>
          </w:tcPr>
          <w:p w14:paraId="41682298" w14:textId="0B3085B7"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850" w:type="dxa"/>
          </w:tcPr>
          <w:p w14:paraId="41682299"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709" w:type="dxa"/>
          </w:tcPr>
          <w:p w14:paraId="4168229A" w14:textId="5F867CDE"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9B" w14:textId="77777777" w:rsidR="005965DC" w:rsidRPr="004744C5" w:rsidRDefault="00FF4CAA"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r w:rsidR="005965DC" w:rsidRPr="004744C5">
              <w:rPr>
                <w:rFonts w:ascii="Times New Roman" w:hAnsi="Times New Roman"/>
                <w:sz w:val="16"/>
                <w:szCs w:val="16"/>
              </w:rPr>
              <w:t>%</w:t>
            </w:r>
          </w:p>
        </w:tc>
        <w:tc>
          <w:tcPr>
            <w:tcW w:w="1134" w:type="dxa"/>
          </w:tcPr>
          <w:p w14:paraId="4168229C" w14:textId="4571441D"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9D"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r>
      <w:tr w:rsidR="005965DC" w:rsidRPr="004744C5" w14:paraId="416822A9" w14:textId="77777777" w:rsidTr="00FF4CAA">
        <w:trPr>
          <w:trHeight w:val="227"/>
        </w:trPr>
        <w:tc>
          <w:tcPr>
            <w:tcW w:w="1166" w:type="dxa"/>
          </w:tcPr>
          <w:p w14:paraId="4168229F" w14:textId="77777777" w:rsidR="005965DC" w:rsidRPr="004744C5" w:rsidRDefault="005965DC" w:rsidP="00B423F8">
            <w:pPr>
              <w:pStyle w:val="NumPar1"/>
              <w:spacing w:after="0"/>
              <w:rPr>
                <w:b/>
                <w:sz w:val="16"/>
                <w:szCs w:val="16"/>
              </w:rPr>
            </w:pPr>
            <w:r w:rsidRPr="004744C5">
              <w:rPr>
                <w:b/>
                <w:sz w:val="16"/>
                <w:szCs w:val="16"/>
              </w:rPr>
              <w:t>Czech Republic</w:t>
            </w:r>
          </w:p>
        </w:tc>
        <w:tc>
          <w:tcPr>
            <w:tcW w:w="850" w:type="dxa"/>
          </w:tcPr>
          <w:p w14:paraId="416822A0"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A1"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A2"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A3"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850" w:type="dxa"/>
          </w:tcPr>
          <w:p w14:paraId="416822A4"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709" w:type="dxa"/>
          </w:tcPr>
          <w:p w14:paraId="416822A5"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A6"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A7"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A8"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2B4" w14:textId="77777777" w:rsidTr="00FF4CAA">
        <w:trPr>
          <w:trHeight w:val="227"/>
        </w:trPr>
        <w:tc>
          <w:tcPr>
            <w:tcW w:w="1166" w:type="dxa"/>
          </w:tcPr>
          <w:p w14:paraId="416822AA" w14:textId="77777777" w:rsidR="005965DC" w:rsidRPr="004744C5" w:rsidRDefault="005965DC" w:rsidP="00B423F8">
            <w:pPr>
              <w:pStyle w:val="NumPar1"/>
              <w:spacing w:after="0"/>
              <w:rPr>
                <w:b/>
                <w:sz w:val="16"/>
                <w:szCs w:val="16"/>
              </w:rPr>
            </w:pPr>
            <w:r w:rsidRPr="004744C5">
              <w:rPr>
                <w:b/>
                <w:sz w:val="16"/>
                <w:szCs w:val="16"/>
              </w:rPr>
              <w:t>Denmark</w:t>
            </w:r>
          </w:p>
        </w:tc>
        <w:tc>
          <w:tcPr>
            <w:tcW w:w="850" w:type="dxa"/>
          </w:tcPr>
          <w:p w14:paraId="416822AB"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AC"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AD"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AE"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0" w:type="dxa"/>
          </w:tcPr>
          <w:p w14:paraId="416822AF"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B0"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709" w:type="dxa"/>
          </w:tcPr>
          <w:p w14:paraId="416822B1"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B2"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B3"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2BF" w14:textId="77777777" w:rsidTr="00FF4CAA">
        <w:trPr>
          <w:trHeight w:val="227"/>
        </w:trPr>
        <w:tc>
          <w:tcPr>
            <w:tcW w:w="1166" w:type="dxa"/>
          </w:tcPr>
          <w:p w14:paraId="416822B5" w14:textId="77777777" w:rsidR="005965DC" w:rsidRPr="004744C5" w:rsidRDefault="005965DC" w:rsidP="00B423F8">
            <w:pPr>
              <w:pStyle w:val="NumPar1"/>
              <w:spacing w:after="0"/>
              <w:rPr>
                <w:b/>
                <w:sz w:val="16"/>
                <w:szCs w:val="16"/>
              </w:rPr>
            </w:pPr>
            <w:r w:rsidRPr="004744C5">
              <w:rPr>
                <w:b/>
                <w:sz w:val="16"/>
                <w:szCs w:val="16"/>
              </w:rPr>
              <w:t>Finland</w:t>
            </w:r>
          </w:p>
        </w:tc>
        <w:tc>
          <w:tcPr>
            <w:tcW w:w="850" w:type="dxa"/>
          </w:tcPr>
          <w:p w14:paraId="416822B6"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1" w:type="dxa"/>
          </w:tcPr>
          <w:p w14:paraId="416822B7"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B8"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1" w:type="dxa"/>
          </w:tcPr>
          <w:p w14:paraId="416822B9"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850" w:type="dxa"/>
          </w:tcPr>
          <w:p w14:paraId="416822BA"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BB"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BC"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BD" w14:textId="254EE2DB"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BE" w14:textId="5E61A8A0"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2CA" w14:textId="77777777" w:rsidTr="00FF4CAA">
        <w:trPr>
          <w:trHeight w:val="227"/>
        </w:trPr>
        <w:tc>
          <w:tcPr>
            <w:tcW w:w="1166" w:type="dxa"/>
          </w:tcPr>
          <w:p w14:paraId="416822C0" w14:textId="77777777" w:rsidR="005965DC" w:rsidRPr="004744C5" w:rsidRDefault="005965DC" w:rsidP="00B423F8">
            <w:pPr>
              <w:pStyle w:val="NumPar1"/>
              <w:spacing w:after="0"/>
              <w:rPr>
                <w:b/>
                <w:sz w:val="16"/>
                <w:szCs w:val="16"/>
              </w:rPr>
            </w:pPr>
            <w:r w:rsidRPr="004744C5">
              <w:rPr>
                <w:b/>
                <w:sz w:val="16"/>
                <w:szCs w:val="16"/>
              </w:rPr>
              <w:t>France</w:t>
            </w:r>
          </w:p>
        </w:tc>
        <w:tc>
          <w:tcPr>
            <w:tcW w:w="850" w:type="dxa"/>
          </w:tcPr>
          <w:p w14:paraId="416822C1"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C2"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C3"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C4"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850" w:type="dxa"/>
          </w:tcPr>
          <w:p w14:paraId="416822C5"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C6"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709" w:type="dxa"/>
          </w:tcPr>
          <w:p w14:paraId="416822C7"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C8"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C9"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2D5" w14:textId="77777777" w:rsidTr="00FF4CAA">
        <w:trPr>
          <w:trHeight w:val="227"/>
        </w:trPr>
        <w:tc>
          <w:tcPr>
            <w:tcW w:w="1166" w:type="dxa"/>
          </w:tcPr>
          <w:p w14:paraId="416822CB" w14:textId="77777777" w:rsidR="005965DC" w:rsidRPr="004744C5" w:rsidRDefault="005965DC" w:rsidP="00B423F8">
            <w:pPr>
              <w:pStyle w:val="NumPar1"/>
              <w:spacing w:after="0"/>
              <w:rPr>
                <w:b/>
                <w:sz w:val="16"/>
                <w:szCs w:val="16"/>
              </w:rPr>
            </w:pPr>
            <w:r w:rsidRPr="004744C5">
              <w:rPr>
                <w:b/>
                <w:sz w:val="16"/>
                <w:szCs w:val="16"/>
              </w:rPr>
              <w:t>Germany</w:t>
            </w:r>
          </w:p>
        </w:tc>
        <w:tc>
          <w:tcPr>
            <w:tcW w:w="850" w:type="dxa"/>
          </w:tcPr>
          <w:p w14:paraId="416822CC"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CD"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CE"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CF"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850" w:type="dxa"/>
          </w:tcPr>
          <w:p w14:paraId="416822D0"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10.57%</w:t>
            </w:r>
          </w:p>
        </w:tc>
        <w:tc>
          <w:tcPr>
            <w:tcW w:w="709" w:type="dxa"/>
          </w:tcPr>
          <w:p w14:paraId="416822D1"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D2"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D3"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D4"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2E0" w14:textId="77777777" w:rsidTr="00FF4CAA">
        <w:trPr>
          <w:trHeight w:val="227"/>
        </w:trPr>
        <w:tc>
          <w:tcPr>
            <w:tcW w:w="1166" w:type="dxa"/>
          </w:tcPr>
          <w:p w14:paraId="416822D6" w14:textId="77777777" w:rsidR="005965DC" w:rsidRPr="004744C5" w:rsidRDefault="005965DC" w:rsidP="00B423F8">
            <w:pPr>
              <w:pStyle w:val="NumPar1"/>
              <w:spacing w:after="0"/>
              <w:rPr>
                <w:b/>
                <w:sz w:val="16"/>
                <w:szCs w:val="16"/>
              </w:rPr>
            </w:pPr>
            <w:r w:rsidRPr="004744C5">
              <w:rPr>
                <w:b/>
                <w:sz w:val="16"/>
                <w:szCs w:val="16"/>
              </w:rPr>
              <w:t>United Kingdom</w:t>
            </w:r>
          </w:p>
        </w:tc>
        <w:tc>
          <w:tcPr>
            <w:tcW w:w="850" w:type="dxa"/>
          </w:tcPr>
          <w:p w14:paraId="416822D7"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D8"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D9"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DA"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0" w:type="dxa"/>
          </w:tcPr>
          <w:p w14:paraId="416822DB"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DC"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709" w:type="dxa"/>
          </w:tcPr>
          <w:p w14:paraId="416822DD"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DE"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DF"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2EB" w14:textId="77777777" w:rsidTr="00FF4CAA">
        <w:trPr>
          <w:trHeight w:val="227"/>
        </w:trPr>
        <w:tc>
          <w:tcPr>
            <w:tcW w:w="1166" w:type="dxa"/>
          </w:tcPr>
          <w:p w14:paraId="416822E1" w14:textId="77777777" w:rsidR="005965DC" w:rsidRPr="004744C5" w:rsidRDefault="005965DC" w:rsidP="00B423F8">
            <w:pPr>
              <w:pStyle w:val="NumPar1"/>
              <w:spacing w:after="0"/>
              <w:rPr>
                <w:b/>
                <w:sz w:val="16"/>
                <w:szCs w:val="16"/>
              </w:rPr>
            </w:pPr>
            <w:r w:rsidRPr="004744C5">
              <w:rPr>
                <w:b/>
                <w:sz w:val="16"/>
                <w:szCs w:val="16"/>
              </w:rPr>
              <w:t>Ireland</w:t>
            </w:r>
          </w:p>
        </w:tc>
        <w:tc>
          <w:tcPr>
            <w:tcW w:w="850" w:type="dxa"/>
          </w:tcPr>
          <w:p w14:paraId="416822E2"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E3"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E4"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E5"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850" w:type="dxa"/>
          </w:tcPr>
          <w:p w14:paraId="416822E6"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E7"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709" w:type="dxa"/>
          </w:tcPr>
          <w:p w14:paraId="416822E8"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E9"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992" w:type="dxa"/>
          </w:tcPr>
          <w:p w14:paraId="416822EA"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2F6" w14:textId="77777777" w:rsidTr="00FF4CAA">
        <w:trPr>
          <w:trHeight w:val="227"/>
        </w:trPr>
        <w:tc>
          <w:tcPr>
            <w:tcW w:w="1166" w:type="dxa"/>
          </w:tcPr>
          <w:p w14:paraId="416822EC" w14:textId="77777777" w:rsidR="005965DC" w:rsidRPr="004744C5" w:rsidRDefault="005965DC" w:rsidP="00B423F8">
            <w:pPr>
              <w:pStyle w:val="NumPar1"/>
              <w:spacing w:after="0"/>
              <w:rPr>
                <w:b/>
                <w:sz w:val="16"/>
                <w:szCs w:val="16"/>
              </w:rPr>
            </w:pPr>
            <w:r w:rsidRPr="004744C5">
              <w:rPr>
                <w:b/>
                <w:sz w:val="16"/>
                <w:szCs w:val="16"/>
              </w:rPr>
              <w:t>Italy</w:t>
            </w:r>
          </w:p>
        </w:tc>
        <w:tc>
          <w:tcPr>
            <w:tcW w:w="850" w:type="dxa"/>
          </w:tcPr>
          <w:p w14:paraId="416822ED"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EE"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EF"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2F0"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0" w:type="dxa"/>
          </w:tcPr>
          <w:p w14:paraId="416822F1"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F2"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709" w:type="dxa"/>
          </w:tcPr>
          <w:p w14:paraId="416822F3"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F4"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2F5"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301" w14:textId="77777777" w:rsidTr="00FF4CAA">
        <w:trPr>
          <w:trHeight w:val="227"/>
        </w:trPr>
        <w:tc>
          <w:tcPr>
            <w:tcW w:w="1166" w:type="dxa"/>
          </w:tcPr>
          <w:p w14:paraId="416822F7" w14:textId="77777777" w:rsidR="005965DC" w:rsidRPr="004744C5" w:rsidRDefault="005965DC" w:rsidP="00B423F8">
            <w:pPr>
              <w:pStyle w:val="NumPar1"/>
              <w:spacing w:after="0"/>
              <w:rPr>
                <w:b/>
                <w:sz w:val="16"/>
                <w:szCs w:val="16"/>
              </w:rPr>
            </w:pPr>
            <w:r w:rsidRPr="004744C5">
              <w:rPr>
                <w:b/>
                <w:sz w:val="16"/>
                <w:szCs w:val="16"/>
              </w:rPr>
              <w:t>Norway</w:t>
            </w:r>
          </w:p>
        </w:tc>
        <w:tc>
          <w:tcPr>
            <w:tcW w:w="850" w:type="dxa"/>
          </w:tcPr>
          <w:p w14:paraId="416822F8"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F9"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2FA"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2FB"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0" w:type="dxa"/>
          </w:tcPr>
          <w:p w14:paraId="416822FC" w14:textId="638EDD63"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2FD"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709" w:type="dxa"/>
          </w:tcPr>
          <w:p w14:paraId="416822FE"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2FF"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300" w14:textId="7AD001F1"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30C" w14:textId="77777777" w:rsidTr="00FF4CAA">
        <w:trPr>
          <w:trHeight w:val="227"/>
        </w:trPr>
        <w:tc>
          <w:tcPr>
            <w:tcW w:w="1166" w:type="dxa"/>
          </w:tcPr>
          <w:p w14:paraId="41682302" w14:textId="77777777" w:rsidR="005965DC" w:rsidRPr="004744C5" w:rsidRDefault="005965DC" w:rsidP="00B423F8">
            <w:pPr>
              <w:pStyle w:val="NumPar1"/>
              <w:spacing w:after="0"/>
              <w:rPr>
                <w:b/>
                <w:sz w:val="16"/>
                <w:szCs w:val="16"/>
              </w:rPr>
            </w:pPr>
            <w:r w:rsidRPr="004744C5">
              <w:rPr>
                <w:b/>
                <w:sz w:val="16"/>
                <w:szCs w:val="16"/>
              </w:rPr>
              <w:t>Poland</w:t>
            </w:r>
          </w:p>
        </w:tc>
        <w:tc>
          <w:tcPr>
            <w:tcW w:w="850" w:type="dxa"/>
          </w:tcPr>
          <w:p w14:paraId="41682303"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1" w:type="dxa"/>
          </w:tcPr>
          <w:p w14:paraId="41682304"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305"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1" w:type="dxa"/>
          </w:tcPr>
          <w:p w14:paraId="41682306"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0" w:type="dxa"/>
          </w:tcPr>
          <w:p w14:paraId="41682307"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08"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09"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30A"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30B"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317" w14:textId="77777777" w:rsidTr="00FF4CAA">
        <w:trPr>
          <w:trHeight w:val="227"/>
        </w:trPr>
        <w:tc>
          <w:tcPr>
            <w:tcW w:w="1166" w:type="dxa"/>
          </w:tcPr>
          <w:p w14:paraId="4168230D" w14:textId="77777777" w:rsidR="005965DC" w:rsidRPr="004744C5" w:rsidRDefault="005965DC" w:rsidP="00B423F8">
            <w:pPr>
              <w:pStyle w:val="NumPar1"/>
              <w:spacing w:after="0"/>
              <w:rPr>
                <w:b/>
                <w:sz w:val="16"/>
                <w:szCs w:val="16"/>
              </w:rPr>
            </w:pPr>
            <w:r w:rsidRPr="004744C5">
              <w:rPr>
                <w:b/>
                <w:sz w:val="16"/>
                <w:szCs w:val="16"/>
              </w:rPr>
              <w:t>Portugal</w:t>
            </w:r>
          </w:p>
        </w:tc>
        <w:tc>
          <w:tcPr>
            <w:tcW w:w="850" w:type="dxa"/>
          </w:tcPr>
          <w:p w14:paraId="4168230E"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30F"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310"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311"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0" w:type="dxa"/>
          </w:tcPr>
          <w:p w14:paraId="41682312"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13"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14"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315"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316" w14:textId="18E778BC"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322" w14:textId="77777777" w:rsidTr="00FF4CAA">
        <w:trPr>
          <w:trHeight w:val="227"/>
        </w:trPr>
        <w:tc>
          <w:tcPr>
            <w:tcW w:w="1166" w:type="dxa"/>
          </w:tcPr>
          <w:p w14:paraId="41682318" w14:textId="77777777" w:rsidR="005965DC" w:rsidRPr="004744C5" w:rsidRDefault="005965DC" w:rsidP="00B423F8">
            <w:pPr>
              <w:pStyle w:val="NumPar1"/>
              <w:spacing w:after="0"/>
              <w:rPr>
                <w:b/>
                <w:sz w:val="16"/>
                <w:szCs w:val="16"/>
              </w:rPr>
            </w:pPr>
            <w:r w:rsidRPr="004744C5">
              <w:rPr>
                <w:b/>
                <w:sz w:val="16"/>
                <w:szCs w:val="16"/>
              </w:rPr>
              <w:t>Spain</w:t>
            </w:r>
          </w:p>
        </w:tc>
        <w:tc>
          <w:tcPr>
            <w:tcW w:w="850" w:type="dxa"/>
          </w:tcPr>
          <w:p w14:paraId="41682319"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31A"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31B"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31C"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0" w:type="dxa"/>
          </w:tcPr>
          <w:p w14:paraId="4168231D"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1E"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1F"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320"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321" w14:textId="030F7348"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32D" w14:textId="77777777" w:rsidTr="00FF4CAA">
        <w:trPr>
          <w:trHeight w:val="227"/>
        </w:trPr>
        <w:tc>
          <w:tcPr>
            <w:tcW w:w="1166" w:type="dxa"/>
          </w:tcPr>
          <w:p w14:paraId="41682323" w14:textId="77777777" w:rsidR="005965DC" w:rsidRPr="004744C5" w:rsidRDefault="005965DC" w:rsidP="00B423F8">
            <w:pPr>
              <w:pStyle w:val="NumPar1"/>
              <w:spacing w:after="0"/>
              <w:rPr>
                <w:b/>
                <w:sz w:val="16"/>
                <w:szCs w:val="16"/>
              </w:rPr>
            </w:pPr>
            <w:r w:rsidRPr="004744C5">
              <w:rPr>
                <w:b/>
                <w:sz w:val="16"/>
                <w:szCs w:val="16"/>
              </w:rPr>
              <w:t>Sweden</w:t>
            </w:r>
          </w:p>
        </w:tc>
        <w:tc>
          <w:tcPr>
            <w:tcW w:w="850" w:type="dxa"/>
          </w:tcPr>
          <w:p w14:paraId="41682324"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325"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326"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[30-40]%</w:t>
            </w:r>
          </w:p>
        </w:tc>
        <w:tc>
          <w:tcPr>
            <w:tcW w:w="851" w:type="dxa"/>
          </w:tcPr>
          <w:p w14:paraId="41682327"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0" w:type="dxa"/>
          </w:tcPr>
          <w:p w14:paraId="41682328"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29"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2A"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32B"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32C" w14:textId="02C6405D"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338" w14:textId="77777777" w:rsidTr="00FF4CAA">
        <w:trPr>
          <w:trHeight w:val="227"/>
        </w:trPr>
        <w:tc>
          <w:tcPr>
            <w:tcW w:w="1166" w:type="dxa"/>
          </w:tcPr>
          <w:p w14:paraId="4168232E" w14:textId="77777777" w:rsidR="005965DC" w:rsidRPr="004744C5" w:rsidRDefault="005965DC" w:rsidP="00B423F8">
            <w:pPr>
              <w:pStyle w:val="NumPar1"/>
              <w:spacing w:after="0"/>
              <w:rPr>
                <w:b/>
                <w:sz w:val="16"/>
                <w:szCs w:val="16"/>
              </w:rPr>
            </w:pPr>
            <w:r w:rsidRPr="004744C5">
              <w:rPr>
                <w:b/>
                <w:sz w:val="16"/>
                <w:szCs w:val="16"/>
              </w:rPr>
              <w:t>Slovakia</w:t>
            </w:r>
          </w:p>
        </w:tc>
        <w:tc>
          <w:tcPr>
            <w:tcW w:w="850" w:type="dxa"/>
          </w:tcPr>
          <w:p w14:paraId="4168232F"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330"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331"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332"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0" w:type="dxa"/>
          </w:tcPr>
          <w:p w14:paraId="41682333"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709" w:type="dxa"/>
          </w:tcPr>
          <w:p w14:paraId="41682334" w14:textId="0A9FF3E7"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35" w14:textId="355C8D4D"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336" w14:textId="3AA59184"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337" w14:textId="7CCC54BF"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343" w14:textId="77777777" w:rsidTr="00FF4CAA">
        <w:trPr>
          <w:trHeight w:val="227"/>
        </w:trPr>
        <w:tc>
          <w:tcPr>
            <w:tcW w:w="1166" w:type="dxa"/>
          </w:tcPr>
          <w:p w14:paraId="41682339" w14:textId="77777777" w:rsidR="005965DC" w:rsidRPr="004744C5" w:rsidRDefault="005965DC" w:rsidP="00B423F8">
            <w:pPr>
              <w:pStyle w:val="NumPar1"/>
              <w:spacing w:after="0"/>
              <w:rPr>
                <w:b/>
                <w:sz w:val="16"/>
                <w:szCs w:val="16"/>
              </w:rPr>
            </w:pPr>
            <w:r w:rsidRPr="004744C5">
              <w:rPr>
                <w:b/>
                <w:sz w:val="16"/>
                <w:szCs w:val="16"/>
              </w:rPr>
              <w:t>Slovenia</w:t>
            </w:r>
          </w:p>
        </w:tc>
        <w:tc>
          <w:tcPr>
            <w:tcW w:w="850" w:type="dxa"/>
          </w:tcPr>
          <w:p w14:paraId="4168233A"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33B"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33C"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33D"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850" w:type="dxa"/>
          </w:tcPr>
          <w:p w14:paraId="4168233E"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[10-20]%</w:t>
            </w:r>
          </w:p>
        </w:tc>
        <w:tc>
          <w:tcPr>
            <w:tcW w:w="709" w:type="dxa"/>
          </w:tcPr>
          <w:p w14:paraId="4168233F"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[5-10]%</w:t>
            </w:r>
          </w:p>
        </w:tc>
        <w:tc>
          <w:tcPr>
            <w:tcW w:w="709" w:type="dxa"/>
          </w:tcPr>
          <w:p w14:paraId="41682340" w14:textId="45DC192D"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341" w14:textId="27BE9B81"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342"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r w:rsidR="005965DC" w:rsidRPr="004744C5" w14:paraId="4168234E" w14:textId="77777777" w:rsidTr="00FF4CAA">
        <w:trPr>
          <w:trHeight w:val="227"/>
        </w:trPr>
        <w:tc>
          <w:tcPr>
            <w:tcW w:w="1166" w:type="dxa"/>
          </w:tcPr>
          <w:p w14:paraId="41682344" w14:textId="77777777" w:rsidR="005965DC" w:rsidRPr="004744C5" w:rsidRDefault="005965DC" w:rsidP="00B423F8">
            <w:pPr>
              <w:pStyle w:val="NumPar1"/>
              <w:spacing w:after="0"/>
              <w:rPr>
                <w:b/>
                <w:sz w:val="16"/>
                <w:szCs w:val="16"/>
              </w:rPr>
            </w:pPr>
            <w:r w:rsidRPr="004744C5">
              <w:rPr>
                <w:b/>
                <w:sz w:val="16"/>
                <w:szCs w:val="16"/>
              </w:rPr>
              <w:t>Romania</w:t>
            </w:r>
          </w:p>
        </w:tc>
        <w:tc>
          <w:tcPr>
            <w:tcW w:w="850" w:type="dxa"/>
          </w:tcPr>
          <w:p w14:paraId="41682345"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346"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shd w:val="clear" w:color="auto" w:fill="D9D9D9" w:themeFill="background1" w:themeFillShade="D9"/>
          </w:tcPr>
          <w:p w14:paraId="41682347"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[40-50]%</w:t>
            </w:r>
          </w:p>
        </w:tc>
        <w:tc>
          <w:tcPr>
            <w:tcW w:w="851" w:type="dxa"/>
          </w:tcPr>
          <w:p w14:paraId="41682348"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[20-30]%</w:t>
            </w:r>
          </w:p>
        </w:tc>
        <w:tc>
          <w:tcPr>
            <w:tcW w:w="850" w:type="dxa"/>
          </w:tcPr>
          <w:p w14:paraId="41682349" w14:textId="77777777" w:rsidR="005965DC" w:rsidRPr="004744C5" w:rsidRDefault="005965DC" w:rsidP="005965DC">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4A" w14:textId="77777777" w:rsidR="005965DC" w:rsidRPr="004744C5" w:rsidRDefault="005965DC"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709" w:type="dxa"/>
          </w:tcPr>
          <w:p w14:paraId="4168234B" w14:textId="56607AA1"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1134" w:type="dxa"/>
          </w:tcPr>
          <w:p w14:paraId="4168234C" w14:textId="4E4D595D"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c>
          <w:tcPr>
            <w:tcW w:w="992" w:type="dxa"/>
          </w:tcPr>
          <w:p w14:paraId="4168234D" w14:textId="086A2DB0" w:rsidR="005965DC" w:rsidRPr="004744C5" w:rsidRDefault="00C14859" w:rsidP="00B423F8">
            <w:pPr>
              <w:pStyle w:val="NumPar1"/>
              <w:spacing w:after="0"/>
              <w:jc w:val="center"/>
              <w:rPr>
                <w:rFonts w:ascii="Times New Roman" w:hAnsi="Times New Roman"/>
                <w:sz w:val="16"/>
                <w:szCs w:val="16"/>
              </w:rPr>
            </w:pPr>
            <w:r w:rsidRPr="004744C5">
              <w:rPr>
                <w:rFonts w:ascii="Times New Roman" w:hAnsi="Times New Roman"/>
                <w:sz w:val="16"/>
                <w:szCs w:val="16"/>
              </w:rPr>
              <w:t>[0-5]%</w:t>
            </w:r>
          </w:p>
        </w:tc>
      </w:tr>
    </w:tbl>
    <w:p w14:paraId="4168234F" w14:textId="77777777" w:rsidR="000E2BD5" w:rsidRPr="004744C5" w:rsidRDefault="000E2BD5" w:rsidP="000E2BD5">
      <w:pPr>
        <w:pStyle w:val="NumPar1"/>
        <w:ind w:left="360"/>
        <w:jc w:val="center"/>
        <w:rPr>
          <w:sz w:val="20"/>
        </w:rPr>
      </w:pPr>
      <w:r w:rsidRPr="004744C5">
        <w:rPr>
          <w:b/>
          <w:sz w:val="20"/>
        </w:rPr>
        <w:t xml:space="preserve">Source: </w:t>
      </w:r>
      <w:proofErr w:type="spellStart"/>
      <w:r w:rsidRPr="004744C5">
        <w:rPr>
          <w:b/>
          <w:sz w:val="20"/>
        </w:rPr>
        <w:t>Europartners</w:t>
      </w:r>
      <w:proofErr w:type="spellEnd"/>
      <w:r w:rsidRPr="004744C5">
        <w:rPr>
          <w:b/>
          <w:sz w:val="20"/>
        </w:rPr>
        <w:t xml:space="preserve"> Reports and Notifying Party's estimates</w:t>
      </w:r>
    </w:p>
    <w:p w14:paraId="41682350" w14:textId="6C6777CD" w:rsidR="001309CD" w:rsidRPr="004744C5" w:rsidRDefault="000E2BD5" w:rsidP="001309CD">
      <w:pPr>
        <w:pStyle w:val="NumPar1"/>
        <w:numPr>
          <w:ilvl w:val="0"/>
          <w:numId w:val="2"/>
        </w:numPr>
        <w:ind w:left="851" w:hanging="851"/>
      </w:pPr>
      <w:bookmarkStart w:id="13" w:name="_Ref463274333"/>
      <w:r w:rsidRPr="004744C5">
        <w:t xml:space="preserve">However, also in this narrower segment, the market share increment resulting from the Transaction is limited (below </w:t>
      </w:r>
      <w:r w:rsidR="005E455E" w:rsidRPr="004744C5">
        <w:t>[</w:t>
      </w:r>
      <w:r w:rsidR="00C14859" w:rsidRPr="004744C5">
        <w:t>0</w:t>
      </w:r>
      <w:r w:rsidR="005E455E" w:rsidRPr="004744C5">
        <w:t>-5</w:t>
      </w:r>
      <w:proofErr w:type="gramStart"/>
      <w:r w:rsidR="005E455E" w:rsidRPr="004744C5">
        <w:t>]</w:t>
      </w:r>
      <w:r w:rsidRPr="004744C5">
        <w:t>%</w:t>
      </w:r>
      <w:proofErr w:type="gramEnd"/>
      <w:r w:rsidRPr="004744C5">
        <w:t xml:space="preserve"> in all national markets). </w:t>
      </w:r>
      <w:r w:rsidR="003D63A7" w:rsidRPr="004744C5">
        <w:t xml:space="preserve">In particular, as regards Austria, Belgium, Bulgaria, the Czech Republic, Denmark, Italy, Romania and Slovakia (where the market shares are over </w:t>
      </w:r>
      <w:r w:rsidR="005E455E" w:rsidRPr="004744C5">
        <w:t>[</w:t>
      </w:r>
      <w:r w:rsidR="003D63A7" w:rsidRPr="004744C5">
        <w:t>40</w:t>
      </w:r>
      <w:r w:rsidR="005E455E" w:rsidRPr="004744C5">
        <w:t>-50]</w:t>
      </w:r>
      <w:r w:rsidR="003D63A7" w:rsidRPr="004744C5">
        <w:t>%) the increment is below c.</w:t>
      </w:r>
      <w:r w:rsidR="005E455E" w:rsidRPr="004744C5">
        <w:t>[0-5]</w:t>
      </w:r>
      <w:r w:rsidR="003D63A7" w:rsidRPr="004744C5">
        <w:t xml:space="preserve">%. In France and Slovenia (where the market shares are over </w:t>
      </w:r>
      <w:r w:rsidR="00C14859" w:rsidRPr="004744C5">
        <w:t>[</w:t>
      </w:r>
      <w:r w:rsidR="005E455E" w:rsidRPr="004744C5">
        <w:t>40-50</w:t>
      </w:r>
      <w:proofErr w:type="gramStart"/>
      <w:r w:rsidR="005E455E" w:rsidRPr="004744C5">
        <w:t>]%</w:t>
      </w:r>
      <w:proofErr w:type="gramEnd"/>
      <w:r w:rsidR="00502779" w:rsidRPr="004744C5">
        <w:t>) the</w:t>
      </w:r>
      <w:r w:rsidR="003D63A7" w:rsidRPr="004744C5">
        <w:t xml:space="preserve"> increment is c</w:t>
      </w:r>
      <w:r w:rsidR="005E455E" w:rsidRPr="004744C5">
        <w:t>.[0-5]%</w:t>
      </w:r>
      <w:r w:rsidR="003D63A7" w:rsidRPr="004744C5">
        <w:t xml:space="preserve">. </w:t>
      </w:r>
      <w:r w:rsidR="005830B9" w:rsidRPr="004744C5">
        <w:t xml:space="preserve">The </w:t>
      </w:r>
      <w:r w:rsidR="00B66943" w:rsidRPr="004744C5">
        <w:t>T</w:t>
      </w:r>
      <w:r w:rsidR="005830B9" w:rsidRPr="004744C5">
        <w:t xml:space="preserve">ransaction would therefore only marginally affect the current market structure due to Premier </w:t>
      </w:r>
      <w:proofErr w:type="spellStart"/>
      <w:r w:rsidR="005830B9" w:rsidRPr="004744C5">
        <w:t>Farnell's</w:t>
      </w:r>
      <w:proofErr w:type="spellEnd"/>
      <w:r w:rsidR="005830B9" w:rsidRPr="004744C5">
        <w:t xml:space="preserve"> small market shares compared both to Avnet and other distributors active in these </w:t>
      </w:r>
      <w:r w:rsidR="00B66943" w:rsidRPr="004744C5">
        <w:t>countries</w:t>
      </w:r>
      <w:r w:rsidR="005830B9" w:rsidRPr="004744C5">
        <w:t xml:space="preserve">. </w:t>
      </w:r>
      <w:r w:rsidRPr="004744C5">
        <w:t>Arrow, who is active in all of the above geographic markets except in Croatia</w:t>
      </w:r>
      <w:r w:rsidR="00B66943" w:rsidRPr="004744C5">
        <w:t>,</w:t>
      </w:r>
      <w:r w:rsidR="007C293C" w:rsidRPr="004744C5">
        <w:rPr>
          <w:rStyle w:val="FootnoteReference"/>
        </w:rPr>
        <w:footnoteReference w:id="82"/>
      </w:r>
      <w:r w:rsidRPr="004744C5">
        <w:t xml:space="preserve"> is the </w:t>
      </w:r>
      <w:r w:rsidR="00030B16" w:rsidRPr="004744C5">
        <w:t xml:space="preserve">closest and </w:t>
      </w:r>
      <w:r w:rsidRPr="004744C5">
        <w:t>strongest competitor to Avnet</w:t>
      </w:r>
      <w:r w:rsidR="00C81A52" w:rsidRPr="004744C5">
        <w:t>.</w:t>
      </w:r>
      <w:r w:rsidR="00E025CC" w:rsidRPr="004744C5">
        <w:t xml:space="preserve"> Respectively, </w:t>
      </w:r>
      <w:proofErr w:type="spellStart"/>
      <w:r w:rsidR="00E025CC" w:rsidRPr="004744C5">
        <w:t>Digikey</w:t>
      </w:r>
      <w:proofErr w:type="spellEnd"/>
      <w:r w:rsidR="00E025CC" w:rsidRPr="004744C5">
        <w:t xml:space="preserve">, RS Components and Mouser were reported as closest competitors to Premier </w:t>
      </w:r>
      <w:proofErr w:type="spellStart"/>
      <w:r w:rsidR="00E025CC" w:rsidRPr="004744C5">
        <w:t>Farnell</w:t>
      </w:r>
      <w:proofErr w:type="spellEnd"/>
      <w:r w:rsidR="001309CD" w:rsidRPr="004744C5">
        <w:t xml:space="preserve"> in this market segment</w:t>
      </w:r>
      <w:r w:rsidR="00E025CC" w:rsidRPr="004744C5">
        <w:t>.</w:t>
      </w:r>
      <w:r w:rsidR="00CF3CF5" w:rsidRPr="004744C5">
        <w:rPr>
          <w:rStyle w:val="FootnoteReference"/>
        </w:rPr>
        <w:footnoteReference w:id="83"/>
      </w:r>
      <w:r w:rsidR="00C81A52" w:rsidRPr="004744C5">
        <w:t xml:space="preserve"> In addition, </w:t>
      </w:r>
      <w:r w:rsidR="003D63A7" w:rsidRPr="004744C5">
        <w:t>the market investigation confirmed that</w:t>
      </w:r>
      <w:r w:rsidR="00C81A52" w:rsidRPr="004744C5">
        <w:t xml:space="preserve">, </w:t>
      </w:r>
      <w:r w:rsidRPr="004744C5">
        <w:t xml:space="preserve">in most of these </w:t>
      </w:r>
      <w:r w:rsidR="00B66943" w:rsidRPr="004744C5">
        <w:t>countries</w:t>
      </w:r>
      <w:r w:rsidRPr="004744C5">
        <w:t xml:space="preserve"> other medium and small</w:t>
      </w:r>
      <w:r w:rsidR="00B66943" w:rsidRPr="004744C5">
        <w:t>-</w:t>
      </w:r>
      <w:r w:rsidRPr="004744C5">
        <w:t xml:space="preserve">sized distributors are present, such as Future Group, </w:t>
      </w:r>
      <w:proofErr w:type="spellStart"/>
      <w:r w:rsidRPr="004744C5">
        <w:t>Rutronik</w:t>
      </w:r>
      <w:proofErr w:type="spellEnd"/>
      <w:r w:rsidRPr="004744C5">
        <w:t xml:space="preserve"> Group, </w:t>
      </w:r>
      <w:proofErr w:type="spellStart"/>
      <w:r w:rsidRPr="004744C5">
        <w:t>Electrocomponents</w:t>
      </w:r>
      <w:proofErr w:type="spellEnd"/>
      <w:r w:rsidRPr="004744C5">
        <w:t xml:space="preserve">, TTI Group </w:t>
      </w:r>
      <w:r w:rsidR="00CD486A" w:rsidRPr="004744C5">
        <w:t>and/</w:t>
      </w:r>
      <w:r w:rsidRPr="004744C5">
        <w:t xml:space="preserve">or </w:t>
      </w:r>
      <w:proofErr w:type="spellStart"/>
      <w:r w:rsidRPr="004744C5">
        <w:t>Codico</w:t>
      </w:r>
      <w:proofErr w:type="spellEnd"/>
      <w:r w:rsidR="001B15CF" w:rsidRPr="004744C5">
        <w:t xml:space="preserve">, who will exert competitive </w:t>
      </w:r>
      <w:r w:rsidR="001B15CF" w:rsidRPr="004744C5">
        <w:lastRenderedPageBreak/>
        <w:t>constraint to the merged entity, post-merger</w:t>
      </w:r>
      <w:r w:rsidRPr="004744C5">
        <w:t>.</w:t>
      </w:r>
      <w:r w:rsidR="00A068E5" w:rsidRPr="004744C5">
        <w:rPr>
          <w:rStyle w:val="FootnoteReference"/>
        </w:rPr>
        <w:footnoteReference w:id="84"/>
      </w:r>
      <w:r w:rsidR="00DF00A7" w:rsidRPr="004744C5">
        <w:t xml:space="preserve"> </w:t>
      </w:r>
      <w:r w:rsidR="004526A3" w:rsidRPr="004744C5">
        <w:t>The market investigation also did not bring to light any elements which would indicate the existence of barriers to switching between different distributors of semiconductors in any of these national markets.</w:t>
      </w:r>
      <w:r w:rsidR="004526A3" w:rsidRPr="004744C5">
        <w:rPr>
          <w:rStyle w:val="FootnoteReference"/>
        </w:rPr>
        <w:footnoteReference w:id="85"/>
      </w:r>
      <w:bookmarkEnd w:id="13"/>
    </w:p>
    <w:p w14:paraId="41682351" w14:textId="77777777" w:rsidR="000E2BD5" w:rsidRPr="004744C5" w:rsidRDefault="000E2BD5" w:rsidP="00B423F8">
      <w:pPr>
        <w:pStyle w:val="NumPar1"/>
        <w:numPr>
          <w:ilvl w:val="0"/>
          <w:numId w:val="2"/>
        </w:numPr>
        <w:ind w:left="851" w:hanging="851"/>
        <w:rPr>
          <w:i/>
          <w:lang w:val="en-US"/>
        </w:rPr>
      </w:pPr>
      <w:bookmarkStart w:id="14" w:name="_Ref463274344"/>
      <w:r w:rsidRPr="004744C5">
        <w:t xml:space="preserve">Third, in the market segment for the </w:t>
      </w:r>
      <w:r w:rsidRPr="004744C5">
        <w:rPr>
          <w:b/>
          <w:u w:val="single"/>
        </w:rPr>
        <w:t>wholesale distribution of passive components</w:t>
      </w:r>
      <w:r w:rsidRPr="004744C5">
        <w:t xml:space="preserve">, the combined entity's market share is above 25% only in the </w:t>
      </w:r>
      <w:r w:rsidR="002F34B0" w:rsidRPr="004744C5">
        <w:t>United Kingdom</w:t>
      </w:r>
      <w:r w:rsidRPr="004744C5">
        <w:t xml:space="preserve"> (</w:t>
      </w:r>
      <w:r w:rsidR="00582C2E" w:rsidRPr="004744C5">
        <w:t xml:space="preserve">c. </w:t>
      </w:r>
      <w:r w:rsidR="00B648F8" w:rsidRPr="004744C5">
        <w:t>[20-30</w:t>
      </w:r>
      <w:proofErr w:type="gramStart"/>
      <w:r w:rsidR="00B648F8" w:rsidRPr="004744C5">
        <w:t>]</w:t>
      </w:r>
      <w:r w:rsidRPr="004744C5">
        <w:t>%</w:t>
      </w:r>
      <w:proofErr w:type="gramEnd"/>
      <w:r w:rsidRPr="004744C5">
        <w:t xml:space="preserve">). </w:t>
      </w:r>
      <w:r w:rsidR="00C81A52" w:rsidRPr="004744C5">
        <w:t xml:space="preserve">In </w:t>
      </w:r>
      <w:r w:rsidR="00C82011" w:rsidRPr="004744C5">
        <w:t>this Member State</w:t>
      </w:r>
      <w:r w:rsidR="00077178" w:rsidRPr="004744C5">
        <w:t xml:space="preserve"> and segment</w:t>
      </w:r>
      <w:r w:rsidR="00C81A52" w:rsidRPr="004744C5">
        <w:t xml:space="preserve">, a large number of competitors to </w:t>
      </w:r>
      <w:r w:rsidR="00C82011" w:rsidRPr="004744C5">
        <w:t>Avnet</w:t>
      </w:r>
      <w:r w:rsidR="00C81A52" w:rsidRPr="004744C5">
        <w:t xml:space="preserve"> are present, such as </w:t>
      </w:r>
      <w:r w:rsidR="00C82011" w:rsidRPr="004744C5">
        <w:t>TTI Group (</w:t>
      </w:r>
      <w:r w:rsidR="00582C2E" w:rsidRPr="004744C5">
        <w:t xml:space="preserve">c. </w:t>
      </w:r>
      <w:r w:rsidR="00B648F8" w:rsidRPr="004744C5">
        <w:t>[10-20]</w:t>
      </w:r>
      <w:r w:rsidR="00C82011" w:rsidRPr="004744C5">
        <w:t xml:space="preserve">%), </w:t>
      </w:r>
      <w:r w:rsidR="00C81A52" w:rsidRPr="004744C5">
        <w:t>Arrow (</w:t>
      </w:r>
      <w:r w:rsidR="00582C2E" w:rsidRPr="004744C5">
        <w:t xml:space="preserve">c. </w:t>
      </w:r>
      <w:r w:rsidR="00B648F8" w:rsidRPr="004744C5">
        <w:t>[5-10]</w:t>
      </w:r>
      <w:r w:rsidR="00C81A52" w:rsidRPr="004744C5">
        <w:t xml:space="preserve">%), </w:t>
      </w:r>
      <w:proofErr w:type="spellStart"/>
      <w:r w:rsidR="00C82011" w:rsidRPr="004744C5">
        <w:t>Electrocomponents</w:t>
      </w:r>
      <w:proofErr w:type="spellEnd"/>
      <w:r w:rsidR="00C82011" w:rsidRPr="004744C5">
        <w:t xml:space="preserve"> Group (</w:t>
      </w:r>
      <w:r w:rsidR="00582C2E" w:rsidRPr="004744C5">
        <w:t xml:space="preserve">c. </w:t>
      </w:r>
      <w:r w:rsidR="00B648F8" w:rsidRPr="004744C5">
        <w:t>[5-10]</w:t>
      </w:r>
      <w:r w:rsidR="00C82011" w:rsidRPr="004744C5">
        <w:t xml:space="preserve">%), </w:t>
      </w:r>
      <w:r w:rsidR="00C81A52" w:rsidRPr="004744C5">
        <w:t>Anglia (</w:t>
      </w:r>
      <w:r w:rsidR="00582C2E" w:rsidRPr="004744C5">
        <w:t xml:space="preserve">c. </w:t>
      </w:r>
      <w:r w:rsidR="00B648F8" w:rsidRPr="004744C5">
        <w:t>[</w:t>
      </w:r>
      <w:r w:rsidR="00C81A52" w:rsidRPr="004744C5">
        <w:t>5</w:t>
      </w:r>
      <w:r w:rsidR="00B648F8" w:rsidRPr="004744C5">
        <w:t>-10]</w:t>
      </w:r>
      <w:r w:rsidR="00C81A52" w:rsidRPr="004744C5">
        <w:t xml:space="preserve">%), </w:t>
      </w:r>
      <w:proofErr w:type="spellStart"/>
      <w:r w:rsidR="00C81A52" w:rsidRPr="004744C5">
        <w:t>Digi</w:t>
      </w:r>
      <w:proofErr w:type="spellEnd"/>
      <w:r w:rsidR="00C81A52" w:rsidRPr="004744C5">
        <w:t>-key</w:t>
      </w:r>
      <w:r w:rsidR="00C82011" w:rsidRPr="004744C5">
        <w:t xml:space="preserve"> (</w:t>
      </w:r>
      <w:r w:rsidR="00582C2E" w:rsidRPr="004744C5">
        <w:t xml:space="preserve">c. </w:t>
      </w:r>
      <w:r w:rsidR="00B648F8" w:rsidRPr="004744C5">
        <w:t>[5-10]%</w:t>
      </w:r>
      <w:r w:rsidR="00C82011" w:rsidRPr="004744C5">
        <w:t>), Future Group (</w:t>
      </w:r>
      <w:r w:rsidR="00582C2E" w:rsidRPr="004744C5">
        <w:t xml:space="preserve">c. </w:t>
      </w:r>
      <w:r w:rsidR="00B648F8" w:rsidRPr="004744C5">
        <w:t>[5-10]%</w:t>
      </w:r>
      <w:r w:rsidR="00C82011" w:rsidRPr="004744C5">
        <w:t xml:space="preserve">), </w:t>
      </w:r>
      <w:proofErr w:type="spellStart"/>
      <w:r w:rsidR="00C82011" w:rsidRPr="004744C5">
        <w:t>Charcroft</w:t>
      </w:r>
      <w:proofErr w:type="spellEnd"/>
      <w:r w:rsidR="00C82011" w:rsidRPr="004744C5">
        <w:t xml:space="preserve"> Electronics (</w:t>
      </w:r>
      <w:r w:rsidR="00582C2E" w:rsidRPr="004744C5">
        <w:t xml:space="preserve">c. </w:t>
      </w:r>
      <w:r w:rsidR="00B648F8" w:rsidRPr="004744C5">
        <w:t>[0-5]%</w:t>
      </w:r>
      <w:r w:rsidR="00C82011" w:rsidRPr="004744C5">
        <w:t xml:space="preserve">). </w:t>
      </w:r>
      <w:r w:rsidR="005B2858" w:rsidRPr="004744C5">
        <w:t xml:space="preserve">More particularly, Arrow </w:t>
      </w:r>
      <w:r w:rsidR="00B267FB" w:rsidRPr="004744C5">
        <w:t>was reported as</w:t>
      </w:r>
      <w:r w:rsidR="005B2858" w:rsidRPr="004744C5">
        <w:t xml:space="preserve"> the closest and strongest competitor to Avnet</w:t>
      </w:r>
      <w:r w:rsidR="00B267FB" w:rsidRPr="004744C5">
        <w:t xml:space="preserve"> in this market segment in the United Kingdom, along with </w:t>
      </w:r>
      <w:proofErr w:type="spellStart"/>
      <w:r w:rsidR="00E025CC" w:rsidRPr="004744C5">
        <w:t>Digikey</w:t>
      </w:r>
      <w:proofErr w:type="spellEnd"/>
      <w:r w:rsidR="00B267FB" w:rsidRPr="004744C5">
        <w:t>, Future Group</w:t>
      </w:r>
      <w:r w:rsidR="000C34E4" w:rsidRPr="004744C5">
        <w:t xml:space="preserve"> and</w:t>
      </w:r>
      <w:r w:rsidR="00B267FB" w:rsidRPr="004744C5">
        <w:t xml:space="preserve"> </w:t>
      </w:r>
      <w:r w:rsidR="00E025CC" w:rsidRPr="004744C5">
        <w:t>TTI Group</w:t>
      </w:r>
      <w:r w:rsidR="005B2858" w:rsidRPr="004744C5">
        <w:t>.</w:t>
      </w:r>
      <w:r w:rsidR="00686A96" w:rsidRPr="004744C5">
        <w:t xml:space="preserve"> </w:t>
      </w:r>
      <w:r w:rsidR="00E025CC" w:rsidRPr="004744C5">
        <w:t>Respectively</w:t>
      </w:r>
      <w:r w:rsidR="00686A96" w:rsidRPr="004744C5">
        <w:t xml:space="preserve">, </w:t>
      </w:r>
      <w:proofErr w:type="spellStart"/>
      <w:r w:rsidR="00686A96" w:rsidRPr="004744C5">
        <w:t>Digikey</w:t>
      </w:r>
      <w:proofErr w:type="spellEnd"/>
      <w:r w:rsidR="00686A96" w:rsidRPr="004744C5">
        <w:t xml:space="preserve">, </w:t>
      </w:r>
      <w:proofErr w:type="spellStart"/>
      <w:r w:rsidR="00686A96" w:rsidRPr="004744C5">
        <w:t>Electrocomponents</w:t>
      </w:r>
      <w:proofErr w:type="spellEnd"/>
      <w:r w:rsidR="00E025CC" w:rsidRPr="004744C5">
        <w:t>,</w:t>
      </w:r>
      <w:r w:rsidR="00686A96" w:rsidRPr="004744C5">
        <w:t xml:space="preserve"> </w:t>
      </w:r>
      <w:r w:rsidR="00E025CC" w:rsidRPr="004744C5">
        <w:t xml:space="preserve">Arrow, RS Components and Mouser </w:t>
      </w:r>
      <w:r w:rsidR="00686A96" w:rsidRPr="004744C5">
        <w:t xml:space="preserve">were reported as closest competitors to Premier </w:t>
      </w:r>
      <w:proofErr w:type="spellStart"/>
      <w:r w:rsidR="00686A96" w:rsidRPr="004744C5">
        <w:t>Farnell</w:t>
      </w:r>
      <w:proofErr w:type="spellEnd"/>
      <w:r w:rsidR="00686A96" w:rsidRPr="004744C5">
        <w:t>.</w:t>
      </w:r>
      <w:r w:rsidR="005B2858" w:rsidRPr="004744C5">
        <w:rPr>
          <w:rStyle w:val="FootnoteReference"/>
        </w:rPr>
        <w:footnoteReference w:id="86"/>
      </w:r>
      <w:r w:rsidR="00E025CC" w:rsidRPr="004744C5">
        <w:t xml:space="preserve"> </w:t>
      </w:r>
      <w:r w:rsidR="000C34E4" w:rsidRPr="004744C5">
        <w:t>Moreover, the market investigation did not point towards the existence of barriers to switching between different distributors of passive components.</w:t>
      </w:r>
      <w:r w:rsidR="000C34E4" w:rsidRPr="004744C5">
        <w:rPr>
          <w:rStyle w:val="FootnoteReference"/>
        </w:rPr>
        <w:footnoteReference w:id="87"/>
      </w:r>
      <w:r w:rsidR="000C34E4" w:rsidRPr="004744C5">
        <w:t xml:space="preserve"> C</w:t>
      </w:r>
      <w:r w:rsidR="00C82011" w:rsidRPr="004744C5">
        <w:t xml:space="preserve">ustomers </w:t>
      </w:r>
      <w:r w:rsidR="00440BF8" w:rsidRPr="004744C5">
        <w:t>from the United Kingdom</w:t>
      </w:r>
      <w:r w:rsidR="00C82011" w:rsidRPr="004744C5">
        <w:t xml:space="preserve"> wh</w:t>
      </w:r>
      <w:r w:rsidR="00C03A96" w:rsidRPr="004744C5">
        <w:t>o</w:t>
      </w:r>
      <w:r w:rsidR="00C82011" w:rsidRPr="004744C5">
        <w:t xml:space="preserve"> submitted a response to th</w:t>
      </w:r>
      <w:r w:rsidR="00077178" w:rsidRPr="004744C5">
        <w:t>e</w:t>
      </w:r>
      <w:r w:rsidR="00C82011" w:rsidRPr="004744C5">
        <w:t xml:space="preserve"> market investigation </w:t>
      </w:r>
      <w:r w:rsidR="003D63A7" w:rsidRPr="004744C5">
        <w:t xml:space="preserve">did not </w:t>
      </w:r>
      <w:r w:rsidR="004E3A06" w:rsidRPr="004744C5">
        <w:t>express</w:t>
      </w:r>
      <w:r w:rsidR="00C82011" w:rsidRPr="004744C5">
        <w:t xml:space="preserve"> competition concerns </w:t>
      </w:r>
      <w:r w:rsidR="00C03A96" w:rsidRPr="004744C5">
        <w:t>arising from</w:t>
      </w:r>
      <w:r w:rsidR="00077178" w:rsidRPr="004744C5">
        <w:t xml:space="preserve"> this</w:t>
      </w:r>
      <w:r w:rsidR="00C82011" w:rsidRPr="004744C5">
        <w:t xml:space="preserve"> Transaction and confirmed that</w:t>
      </w:r>
      <w:r w:rsidR="00077178" w:rsidRPr="004744C5">
        <w:t>, post-</w:t>
      </w:r>
      <w:r w:rsidR="00CA63E2" w:rsidRPr="004744C5">
        <w:t>Transaction</w:t>
      </w:r>
      <w:r w:rsidR="00077178" w:rsidRPr="004744C5">
        <w:t>,</w:t>
      </w:r>
      <w:r w:rsidR="00C82011" w:rsidRPr="004744C5">
        <w:t xml:space="preserve"> they will have easy access to sufficient alternatives to the merged entity.</w:t>
      </w:r>
      <w:r w:rsidR="00077178" w:rsidRPr="004744C5">
        <w:rPr>
          <w:rStyle w:val="FootnoteReference"/>
        </w:rPr>
        <w:footnoteReference w:id="88"/>
      </w:r>
      <w:bookmarkEnd w:id="14"/>
    </w:p>
    <w:p w14:paraId="41682352" w14:textId="77777777" w:rsidR="00C03A96" w:rsidRPr="004744C5" w:rsidRDefault="000E2BD5" w:rsidP="00B423F8">
      <w:pPr>
        <w:pStyle w:val="NumPar1"/>
        <w:numPr>
          <w:ilvl w:val="0"/>
          <w:numId w:val="2"/>
        </w:numPr>
        <w:ind w:left="851" w:hanging="851"/>
        <w:rPr>
          <w:i/>
          <w:lang w:val="en-US"/>
        </w:rPr>
      </w:pPr>
      <w:bookmarkStart w:id="15" w:name="_Ref463274347"/>
      <w:r w:rsidRPr="004744C5">
        <w:rPr>
          <w:lang w:val="en-US"/>
        </w:rPr>
        <w:t>Fourth, t</w:t>
      </w:r>
      <w:r w:rsidRPr="004744C5">
        <w:t xml:space="preserve">he Parties' combined market shares are also above 25% (but below 40%) in the segment for the </w:t>
      </w:r>
      <w:r w:rsidRPr="004744C5">
        <w:rPr>
          <w:b/>
          <w:u w:val="single"/>
        </w:rPr>
        <w:t>wholesale distribution of electromechanical and interconnect components</w:t>
      </w:r>
      <w:r w:rsidRPr="004744C5">
        <w:t xml:space="preserve"> in Belgium (</w:t>
      </w:r>
      <w:r w:rsidR="00582C2E" w:rsidRPr="004744C5">
        <w:t xml:space="preserve">c. </w:t>
      </w:r>
      <w:r w:rsidR="008222FE" w:rsidRPr="004744C5">
        <w:t>[20-30</w:t>
      </w:r>
      <w:proofErr w:type="gramStart"/>
      <w:r w:rsidR="008222FE" w:rsidRPr="004744C5">
        <w:t>]</w:t>
      </w:r>
      <w:r w:rsidRPr="004744C5">
        <w:t>%</w:t>
      </w:r>
      <w:proofErr w:type="gramEnd"/>
      <w:r w:rsidRPr="004744C5">
        <w:t>)</w:t>
      </w:r>
      <w:r w:rsidR="0009543B" w:rsidRPr="004744C5">
        <w:t>,</w:t>
      </w:r>
      <w:r w:rsidR="00035CED" w:rsidRPr="004744C5">
        <w:rPr>
          <w:rStyle w:val="FootnoteReference"/>
        </w:rPr>
        <w:footnoteReference w:id="89"/>
      </w:r>
      <w:r w:rsidRPr="004744C5">
        <w:t xml:space="preserve">  Denmark (</w:t>
      </w:r>
      <w:r w:rsidR="00582C2E" w:rsidRPr="004744C5">
        <w:t xml:space="preserve">c. </w:t>
      </w:r>
      <w:r w:rsidR="008222FE" w:rsidRPr="004744C5">
        <w:t>[30-40]</w:t>
      </w:r>
      <w:r w:rsidRPr="004744C5">
        <w:t>%)</w:t>
      </w:r>
      <w:r w:rsidR="0009543B" w:rsidRPr="004744C5">
        <w:t>,</w:t>
      </w:r>
      <w:r w:rsidR="00035CED" w:rsidRPr="004744C5">
        <w:rPr>
          <w:rStyle w:val="FootnoteReference"/>
        </w:rPr>
        <w:footnoteReference w:id="90"/>
      </w:r>
      <w:r w:rsidR="0009543B" w:rsidRPr="004744C5">
        <w:t xml:space="preserve"> the Netherlands (</w:t>
      </w:r>
      <w:r w:rsidR="00582C2E" w:rsidRPr="004744C5">
        <w:t xml:space="preserve">c. </w:t>
      </w:r>
      <w:r w:rsidR="008222FE" w:rsidRPr="004744C5">
        <w:t>30-40]%</w:t>
      </w:r>
      <w:r w:rsidR="0009543B" w:rsidRPr="004744C5">
        <w:t>)</w:t>
      </w:r>
      <w:r w:rsidR="00E867C3" w:rsidRPr="004744C5">
        <w:t>,</w:t>
      </w:r>
      <w:r w:rsidR="0009543B" w:rsidRPr="004744C5">
        <w:rPr>
          <w:rStyle w:val="FootnoteReference"/>
        </w:rPr>
        <w:footnoteReference w:id="91"/>
      </w:r>
      <w:r w:rsidR="00E867C3" w:rsidRPr="004744C5">
        <w:t xml:space="preserve"> Slovenia (c. </w:t>
      </w:r>
      <w:r w:rsidR="008222FE" w:rsidRPr="004744C5">
        <w:t>30-40]%</w:t>
      </w:r>
      <w:r w:rsidR="0009543B" w:rsidRPr="004744C5">
        <w:t>)</w:t>
      </w:r>
      <w:r w:rsidR="0009543B" w:rsidRPr="004744C5">
        <w:rPr>
          <w:rStyle w:val="FootnoteReference"/>
        </w:rPr>
        <w:footnoteReference w:id="92"/>
      </w:r>
      <w:r w:rsidRPr="004744C5">
        <w:t xml:space="preserve"> and the </w:t>
      </w:r>
      <w:r w:rsidR="002F34B0" w:rsidRPr="004744C5">
        <w:t>United Kingdom</w:t>
      </w:r>
      <w:r w:rsidRPr="004744C5">
        <w:t xml:space="preserve"> (</w:t>
      </w:r>
      <w:r w:rsidR="00582C2E" w:rsidRPr="004744C5">
        <w:t xml:space="preserve">c. </w:t>
      </w:r>
      <w:r w:rsidR="008222FE" w:rsidRPr="004744C5">
        <w:t>[20-30]%</w:t>
      </w:r>
      <w:r w:rsidRPr="004744C5">
        <w:t>)</w:t>
      </w:r>
      <w:r w:rsidR="0009543B" w:rsidRPr="004744C5">
        <w:t>.</w:t>
      </w:r>
      <w:r w:rsidR="00035CED" w:rsidRPr="004744C5">
        <w:rPr>
          <w:rStyle w:val="FootnoteReference"/>
        </w:rPr>
        <w:footnoteReference w:id="93"/>
      </w:r>
      <w:r w:rsidRPr="004744C5">
        <w:t xml:space="preserve"> </w:t>
      </w:r>
      <w:r w:rsidR="00E867C3" w:rsidRPr="004744C5">
        <w:t xml:space="preserve">In this narrower segment, the market share increment resulting </w:t>
      </w:r>
      <w:r w:rsidR="00E867C3" w:rsidRPr="004744C5">
        <w:lastRenderedPageBreak/>
        <w:t xml:space="preserve">from the Transaction is ranging between c. </w:t>
      </w:r>
      <w:r w:rsidR="008222FE" w:rsidRPr="004744C5">
        <w:t>[5-10</w:t>
      </w:r>
      <w:proofErr w:type="gramStart"/>
      <w:r w:rsidR="008222FE" w:rsidRPr="004744C5">
        <w:t>]%</w:t>
      </w:r>
      <w:proofErr w:type="gramEnd"/>
      <w:r w:rsidR="00E867C3" w:rsidRPr="004744C5">
        <w:t xml:space="preserve"> and c. </w:t>
      </w:r>
      <w:r w:rsidR="008222FE" w:rsidRPr="004744C5">
        <w:t>[20-30]%</w:t>
      </w:r>
      <w:r w:rsidR="00E867C3" w:rsidRPr="004744C5">
        <w:t>.</w:t>
      </w:r>
      <w:r w:rsidR="00E867C3" w:rsidRPr="004744C5">
        <w:rPr>
          <w:rStyle w:val="FootnoteReference"/>
        </w:rPr>
        <w:footnoteReference w:id="94"/>
      </w:r>
      <w:r w:rsidR="00E867C3" w:rsidRPr="004744C5">
        <w:t xml:space="preserve"> However, a</w:t>
      </w:r>
      <w:r w:rsidR="00B50BFF" w:rsidRPr="004744C5">
        <w:t xml:space="preserve">s confirmed by the market investigation, the </w:t>
      </w:r>
      <w:proofErr w:type="gramStart"/>
      <w:r w:rsidR="00B50BFF" w:rsidRPr="004744C5">
        <w:t xml:space="preserve">number of </w:t>
      </w:r>
      <w:r w:rsidR="00CF3CF5" w:rsidRPr="004744C5">
        <w:t xml:space="preserve">alternative </w:t>
      </w:r>
      <w:r w:rsidR="00B50BFF" w:rsidRPr="004744C5">
        <w:t xml:space="preserve">distributors to the parties </w:t>
      </w:r>
      <w:r w:rsidR="00035CED" w:rsidRPr="004744C5">
        <w:t>and</w:t>
      </w:r>
      <w:r w:rsidR="00B50BFF" w:rsidRPr="004744C5">
        <w:t xml:space="preserve"> present i</w:t>
      </w:r>
      <w:r w:rsidR="00077178" w:rsidRPr="004744C5">
        <w:t xml:space="preserve">n </w:t>
      </w:r>
      <w:r w:rsidR="00B50BFF" w:rsidRPr="004744C5">
        <w:t>the</w:t>
      </w:r>
      <w:r w:rsidR="00035CED" w:rsidRPr="004744C5">
        <w:t xml:space="preserve"> above-mentioned national markets </w:t>
      </w:r>
      <w:r w:rsidR="00B50BFF" w:rsidRPr="004744C5">
        <w:t>are</w:t>
      </w:r>
      <w:proofErr w:type="gramEnd"/>
      <w:r w:rsidR="00B50BFF" w:rsidRPr="004744C5">
        <w:t xml:space="preserve"> considered by customers to be sufficient as to source their products.</w:t>
      </w:r>
      <w:r w:rsidR="00035CED" w:rsidRPr="004744C5">
        <w:rPr>
          <w:rStyle w:val="FootnoteReference"/>
        </w:rPr>
        <w:footnoteReference w:id="95"/>
      </w:r>
      <w:r w:rsidR="00B50BFF" w:rsidRPr="004744C5">
        <w:t xml:space="preserve"> </w:t>
      </w:r>
      <w:r w:rsidR="00C75DF6" w:rsidRPr="004744C5">
        <w:t xml:space="preserve">Arrow was reported as the closest and strongest competitor to Avnet in all these national markets, along with TTI Group and </w:t>
      </w:r>
      <w:proofErr w:type="spellStart"/>
      <w:r w:rsidR="00C75DF6" w:rsidRPr="004744C5">
        <w:t>Rutronik</w:t>
      </w:r>
      <w:proofErr w:type="spellEnd"/>
      <w:r w:rsidR="00C75DF6" w:rsidRPr="004744C5">
        <w:t xml:space="preserve">. </w:t>
      </w:r>
      <w:r w:rsidR="005E7EF1" w:rsidRPr="004744C5">
        <w:t xml:space="preserve">Respectively, </w:t>
      </w:r>
      <w:proofErr w:type="spellStart"/>
      <w:r w:rsidR="005E7EF1" w:rsidRPr="004744C5">
        <w:t>Digikey</w:t>
      </w:r>
      <w:proofErr w:type="spellEnd"/>
      <w:r w:rsidR="005E7EF1" w:rsidRPr="004744C5">
        <w:t xml:space="preserve">, Mouser and RS Components were reported as closest competitors to Premier </w:t>
      </w:r>
      <w:proofErr w:type="spellStart"/>
      <w:r w:rsidR="005E7EF1" w:rsidRPr="004744C5">
        <w:t>Farnell</w:t>
      </w:r>
      <w:proofErr w:type="spellEnd"/>
      <w:r w:rsidR="00C5549E" w:rsidRPr="004744C5">
        <w:t xml:space="preserve"> in this market segment</w:t>
      </w:r>
      <w:r w:rsidR="005E7EF1" w:rsidRPr="004744C5">
        <w:t>.</w:t>
      </w:r>
      <w:r w:rsidR="00686A96" w:rsidRPr="004744C5">
        <w:rPr>
          <w:rStyle w:val="FootnoteReference"/>
        </w:rPr>
        <w:footnoteReference w:id="96"/>
      </w:r>
      <w:r w:rsidR="00686A96" w:rsidRPr="004744C5">
        <w:t xml:space="preserve"> </w:t>
      </w:r>
      <w:r w:rsidR="00B50BFF" w:rsidRPr="004744C5">
        <w:t xml:space="preserve">The market investigation also did not bring to light any </w:t>
      </w:r>
      <w:r w:rsidR="00035CED" w:rsidRPr="004744C5">
        <w:t>elements which would indicate the existence of barriers to switching between different distributors.</w:t>
      </w:r>
      <w:r w:rsidR="00035CED" w:rsidRPr="004744C5">
        <w:rPr>
          <w:rStyle w:val="FootnoteReference"/>
        </w:rPr>
        <w:footnoteReference w:id="97"/>
      </w:r>
      <w:bookmarkEnd w:id="15"/>
      <w:r w:rsidR="001B2C8D" w:rsidRPr="004744C5">
        <w:t xml:space="preserve"> </w:t>
      </w:r>
    </w:p>
    <w:p w14:paraId="41682353" w14:textId="77777777" w:rsidR="000E2BD5" w:rsidRPr="004744C5" w:rsidRDefault="000E2BD5" w:rsidP="00B423F8">
      <w:pPr>
        <w:pStyle w:val="NumPar1"/>
        <w:numPr>
          <w:ilvl w:val="0"/>
          <w:numId w:val="2"/>
        </w:numPr>
        <w:ind w:left="851" w:hanging="851"/>
      </w:pPr>
      <w:r w:rsidRPr="004744C5">
        <w:rPr>
          <w:lang w:val="en-US"/>
        </w:rPr>
        <w:t xml:space="preserve">Fifth, </w:t>
      </w:r>
      <w:proofErr w:type="spellStart"/>
      <w:r w:rsidRPr="004744C5">
        <w:rPr>
          <w:lang w:val="en-US"/>
        </w:rPr>
        <w:t>i</w:t>
      </w:r>
      <w:proofErr w:type="spellEnd"/>
      <w:r w:rsidRPr="004744C5">
        <w:t xml:space="preserve">n the segment for the </w:t>
      </w:r>
      <w:r w:rsidRPr="004744C5">
        <w:rPr>
          <w:b/>
          <w:u w:val="single"/>
        </w:rPr>
        <w:t>wholesale distribution of embedded products</w:t>
      </w:r>
      <w:r w:rsidRPr="004744C5">
        <w:t xml:space="preserve"> the combined entity's market share does not exceed 25% in any Member State or in the EEA.</w:t>
      </w:r>
    </w:p>
    <w:p w14:paraId="41682354" w14:textId="77777777" w:rsidR="007C293C" w:rsidRPr="004744C5" w:rsidRDefault="001643A0" w:rsidP="00B423F8">
      <w:pPr>
        <w:pStyle w:val="NumPar1"/>
        <w:numPr>
          <w:ilvl w:val="0"/>
          <w:numId w:val="2"/>
        </w:numPr>
        <w:ind w:left="851" w:hanging="851"/>
      </w:pPr>
      <w:r w:rsidRPr="004744C5">
        <w:t>With regard to all segments concerned by this Transaction</w:t>
      </w:r>
      <w:r w:rsidR="00820CE0" w:rsidRPr="004744C5">
        <w:t xml:space="preserve"> </w:t>
      </w:r>
      <w:r w:rsidRPr="004744C5">
        <w:t>and i</w:t>
      </w:r>
      <w:r w:rsidR="003E37EB" w:rsidRPr="004744C5">
        <w:t xml:space="preserve">n </w:t>
      </w:r>
      <w:r w:rsidR="00820CE0" w:rsidRPr="004744C5">
        <w:t xml:space="preserve">all </w:t>
      </w:r>
      <w:r w:rsidR="003E37EB" w:rsidRPr="004744C5">
        <w:t xml:space="preserve">of the </w:t>
      </w:r>
      <w:r w:rsidR="00820CE0" w:rsidRPr="004744C5">
        <w:t xml:space="preserve">affected </w:t>
      </w:r>
      <w:r w:rsidRPr="004744C5">
        <w:t>national markets</w:t>
      </w:r>
      <w:r w:rsidR="003E37EB" w:rsidRPr="004744C5">
        <w:t xml:space="preserve"> reported above,</w:t>
      </w:r>
      <w:r w:rsidRPr="004744C5">
        <w:rPr>
          <w:rStyle w:val="FootnoteReference"/>
        </w:rPr>
        <w:footnoteReference w:id="98"/>
      </w:r>
      <w:r w:rsidR="00A67ABE" w:rsidRPr="004744C5">
        <w:t xml:space="preserve"> as well as at EEA level, </w:t>
      </w:r>
      <w:r w:rsidR="003E37EB" w:rsidRPr="004744C5">
        <w:t xml:space="preserve">the market investigation </w:t>
      </w:r>
      <w:r w:rsidR="00F72A2F" w:rsidRPr="004744C5">
        <w:t>indicated that</w:t>
      </w:r>
      <w:r w:rsidR="0053147B" w:rsidRPr="004744C5">
        <w:t>,</w:t>
      </w:r>
      <w:r w:rsidR="003E37EB" w:rsidRPr="004744C5">
        <w:t xml:space="preserve"> </w:t>
      </w:r>
      <w:r w:rsidR="00F72A2F" w:rsidRPr="004744C5">
        <w:t>in view of the strong position of Arrow</w:t>
      </w:r>
      <w:r w:rsidR="00820CE0" w:rsidRPr="004744C5">
        <w:rPr>
          <w:rStyle w:val="FootnoteReference"/>
        </w:rPr>
        <w:footnoteReference w:id="99"/>
      </w:r>
      <w:r w:rsidR="00820CE0" w:rsidRPr="004744C5">
        <w:t xml:space="preserve"> </w:t>
      </w:r>
      <w:r w:rsidR="003E37EB" w:rsidRPr="004744C5">
        <w:t xml:space="preserve">the impact of the Transaction </w:t>
      </w:r>
      <w:r w:rsidR="00440BF8" w:rsidRPr="004744C5">
        <w:t xml:space="preserve">will be </w:t>
      </w:r>
      <w:r w:rsidR="00D47C19" w:rsidRPr="004744C5">
        <w:t xml:space="preserve">mostly </w:t>
      </w:r>
      <w:r w:rsidR="003E37EB" w:rsidRPr="004744C5">
        <w:t>neutral</w:t>
      </w:r>
      <w:r w:rsidR="004F093D" w:rsidRPr="004744C5">
        <w:t>.</w:t>
      </w:r>
      <w:r w:rsidR="007C293C" w:rsidRPr="004744C5">
        <w:rPr>
          <w:rStyle w:val="FootnoteReference"/>
        </w:rPr>
        <w:footnoteReference w:id="100"/>
      </w:r>
      <w:r w:rsidR="003E37EB" w:rsidRPr="004744C5">
        <w:t xml:space="preserve"> </w:t>
      </w:r>
      <w:r w:rsidRPr="004744C5">
        <w:t>In addition, n</w:t>
      </w:r>
      <w:r w:rsidR="004F093D" w:rsidRPr="004744C5">
        <w:t xml:space="preserve">o respondent raised concerns in relation to the proposed transaction </w:t>
      </w:r>
      <w:r w:rsidR="00077178" w:rsidRPr="004744C5">
        <w:t>i</w:t>
      </w:r>
      <w:r w:rsidR="007C293C" w:rsidRPr="004744C5">
        <w:t xml:space="preserve">n </w:t>
      </w:r>
      <w:r w:rsidR="00A67ABE" w:rsidRPr="004744C5">
        <w:t xml:space="preserve">neither of </w:t>
      </w:r>
      <w:r w:rsidR="007C293C" w:rsidRPr="004744C5">
        <w:t>these national markets</w:t>
      </w:r>
      <w:r w:rsidR="00A67ABE" w:rsidRPr="004744C5">
        <w:t xml:space="preserve"> nor at EEA level</w:t>
      </w:r>
      <w:r w:rsidR="007C293C" w:rsidRPr="004744C5">
        <w:t>.</w:t>
      </w:r>
    </w:p>
    <w:p w14:paraId="41682355" w14:textId="77777777" w:rsidR="003E37EB" w:rsidRPr="004744C5" w:rsidRDefault="00E3015C" w:rsidP="00B423F8">
      <w:pPr>
        <w:pStyle w:val="NumPar1"/>
        <w:numPr>
          <w:ilvl w:val="0"/>
          <w:numId w:val="2"/>
        </w:numPr>
        <w:ind w:left="851" w:hanging="851"/>
      </w:pPr>
      <w:r w:rsidRPr="004744C5">
        <w:t>Indeed, t</w:t>
      </w:r>
      <w:r w:rsidR="00124198" w:rsidRPr="004744C5">
        <w:t xml:space="preserve">he majority of customers who provided a reply </w:t>
      </w:r>
      <w:r w:rsidR="00440BF8" w:rsidRPr="004744C5">
        <w:t xml:space="preserve">to the market investigation </w:t>
      </w:r>
      <w:r w:rsidR="00124198" w:rsidRPr="004744C5">
        <w:t xml:space="preserve">expect no </w:t>
      </w:r>
      <w:r w:rsidR="00294F03" w:rsidRPr="004744C5">
        <w:t>negative effects from the Transaction</w:t>
      </w:r>
      <w:r w:rsidR="00124198" w:rsidRPr="004744C5">
        <w:t xml:space="preserve"> due to the existence of a </w:t>
      </w:r>
      <w:r w:rsidR="00440BF8" w:rsidRPr="004744C5">
        <w:t xml:space="preserve">large </w:t>
      </w:r>
      <w:r w:rsidR="00124198" w:rsidRPr="004744C5">
        <w:t>number of alternative distributors.</w:t>
      </w:r>
      <w:r w:rsidR="00124198" w:rsidRPr="004744C5">
        <w:rPr>
          <w:rStyle w:val="FootnoteReference"/>
        </w:rPr>
        <w:footnoteReference w:id="101"/>
      </w:r>
    </w:p>
    <w:p w14:paraId="41682356" w14:textId="77777777" w:rsidR="004E5CC9" w:rsidRPr="004744C5" w:rsidRDefault="004E5CC9" w:rsidP="00B423F8">
      <w:pPr>
        <w:pStyle w:val="NumPar1"/>
        <w:numPr>
          <w:ilvl w:val="0"/>
          <w:numId w:val="2"/>
        </w:numPr>
        <w:ind w:left="851" w:hanging="851"/>
      </w:pPr>
      <w:r w:rsidRPr="004744C5">
        <w:t xml:space="preserve">Moreover, </w:t>
      </w:r>
      <w:r w:rsidR="00502779" w:rsidRPr="004744C5">
        <w:t>with regard to all segments concerned by this Transaction</w:t>
      </w:r>
      <w:r w:rsidRPr="004744C5">
        <w:t xml:space="preserve">, the market investigation confirmed that manufacturers of electronic components are able to restrain the merged entity's </w:t>
      </w:r>
      <w:r w:rsidR="00294F03" w:rsidRPr="004744C5">
        <w:t xml:space="preserve">potential </w:t>
      </w:r>
      <w:r w:rsidRPr="004744C5">
        <w:t>market power and ability to influence market prices for electronic components by switching away from the merged entity to other distributors or by selling directly to customers.</w:t>
      </w:r>
      <w:r w:rsidRPr="004744C5">
        <w:rPr>
          <w:rStyle w:val="FootnoteReference"/>
        </w:rPr>
        <w:footnoteReference w:id="102"/>
      </w:r>
      <w:r w:rsidRPr="004744C5">
        <w:t xml:space="preserve"> This would be the case in the event that price increases or decreases, imposed by the merged entity, would directly affect the manufacturers' volume of sales by leading to a decrease of quantities of electronic components sold. The manufacturer-distributor contracts </w:t>
      </w:r>
      <w:r w:rsidRPr="004744C5">
        <w:lastRenderedPageBreak/>
        <w:t>are usually concluded on a non-exclusive basis and for a short period of time, therefore facilitating switching.</w:t>
      </w:r>
      <w:r w:rsidRPr="004744C5">
        <w:rPr>
          <w:rStyle w:val="FootnoteReference"/>
        </w:rPr>
        <w:footnoteReference w:id="103"/>
      </w:r>
      <w:r w:rsidRPr="004744C5">
        <w:t xml:space="preserve"> </w:t>
      </w:r>
      <w:r w:rsidR="00EB68EB" w:rsidRPr="004744C5">
        <w:t>Moreover, the market investigation indicates that barriers to entry appear not to be high; with</w:t>
      </w:r>
      <w:r w:rsidRPr="004744C5">
        <w:t xml:space="preserve"> the majority of suppliers </w:t>
      </w:r>
      <w:r w:rsidR="00EB68EB" w:rsidRPr="004744C5">
        <w:t xml:space="preserve">indicating that </w:t>
      </w:r>
      <w:r w:rsidRPr="004744C5">
        <w:t>they would be able to sponsor entry of new distributors in the market.</w:t>
      </w:r>
      <w:r w:rsidRPr="004744C5">
        <w:rPr>
          <w:rStyle w:val="FootnoteReference"/>
        </w:rPr>
        <w:footnoteReference w:id="104"/>
      </w:r>
    </w:p>
    <w:p w14:paraId="41682357" w14:textId="77777777" w:rsidR="004E5CC9" w:rsidRPr="004744C5" w:rsidRDefault="004E5CC9" w:rsidP="00B423F8">
      <w:pPr>
        <w:pStyle w:val="NumPar1"/>
        <w:numPr>
          <w:ilvl w:val="0"/>
          <w:numId w:val="2"/>
        </w:numPr>
        <w:ind w:left="851" w:hanging="851"/>
      </w:pPr>
      <w:bookmarkStart w:id="16" w:name="_Ref462753676"/>
      <w:r w:rsidRPr="004744C5">
        <w:t>Finally, the majority of respondents to the market investigation mentioned that there will remain sufficient alternative distributors to the merged entity for customers to source their products following the Transaction.</w:t>
      </w:r>
      <w:r w:rsidRPr="004744C5">
        <w:rPr>
          <w:rStyle w:val="FootnoteReference"/>
        </w:rPr>
        <w:footnoteReference w:id="105"/>
      </w:r>
      <w:r w:rsidRPr="004744C5">
        <w:t xml:space="preserve"> The majority of customers who provided a reply confirmed that it would be easy to switch their purchases from the merged entity to other distributors if the merged entity were to raise its prices.</w:t>
      </w:r>
      <w:r w:rsidRPr="004744C5">
        <w:rPr>
          <w:rStyle w:val="FootnoteReference"/>
        </w:rPr>
        <w:footnoteReference w:id="106"/>
      </w:r>
      <w:r w:rsidRPr="004744C5">
        <w:t xml:space="preserve"> Furthermore, the majority of these customers also submitted that they already source electronic components, irrespective of </w:t>
      </w:r>
      <w:r w:rsidR="00294F03" w:rsidRPr="004744C5">
        <w:t xml:space="preserve">the </w:t>
      </w:r>
      <w:r w:rsidRPr="004744C5">
        <w:t>product category, either from a large number of different distributors or directly from manufacturers.</w:t>
      </w:r>
      <w:r w:rsidRPr="004744C5">
        <w:rPr>
          <w:rStyle w:val="FootnoteReference"/>
        </w:rPr>
        <w:footnoteReference w:id="107"/>
      </w:r>
      <w:bookmarkEnd w:id="16"/>
      <w:r w:rsidRPr="004744C5">
        <w:t xml:space="preserve"> </w:t>
      </w:r>
    </w:p>
    <w:p w14:paraId="41682358" w14:textId="77777777" w:rsidR="00CB119F" w:rsidRPr="004744C5" w:rsidRDefault="005C567B" w:rsidP="005C567B">
      <w:pPr>
        <w:pStyle w:val="NumPar1"/>
        <w:numPr>
          <w:ilvl w:val="0"/>
          <w:numId w:val="2"/>
        </w:numPr>
        <w:ind w:left="851" w:hanging="851"/>
      </w:pPr>
      <w:r w:rsidRPr="004744C5">
        <w:t>According to the Guidelines on the assessment of horizontal mergers under the Council Regulation on the control of concentrations between undertakings ("Horizontal Guidelines")</w:t>
      </w:r>
      <w:proofErr w:type="gramStart"/>
      <w:r w:rsidRPr="004744C5">
        <w:t>,</w:t>
      </w:r>
      <w:proofErr w:type="gramEnd"/>
      <w:r w:rsidRPr="004744C5">
        <w:rPr>
          <w:rStyle w:val="FootnoteReference"/>
        </w:rPr>
        <w:footnoteReference w:id="108"/>
      </w:r>
      <w:r w:rsidRPr="004744C5">
        <w:rPr>
          <w:rStyle w:val="FootnoteReference"/>
        </w:rPr>
        <w:t xml:space="preserve"> </w:t>
      </w:r>
      <w:r w:rsidRPr="004744C5">
        <w:t>combined market shares below 25% may indicate</w:t>
      </w:r>
      <w:r w:rsidRPr="004744C5" w:rsidDel="00E03C11">
        <w:t xml:space="preserve"> </w:t>
      </w:r>
      <w:r w:rsidRPr="004744C5">
        <w:t xml:space="preserve">that the concentration is not likely to impede effective competition. The market investigation has not revealed special circumstances which would indicate otherwise. On most of the affected national markets as well as at EEA level the merged entity will continue to face competition from another strong competitor, Arrow. In addition, other medium and small rival distributors, such as </w:t>
      </w:r>
      <w:proofErr w:type="spellStart"/>
      <w:r w:rsidRPr="004744C5">
        <w:t>Rutronik</w:t>
      </w:r>
      <w:proofErr w:type="spellEnd"/>
      <w:r w:rsidRPr="004744C5">
        <w:t xml:space="preserve"> Group, Future Group, </w:t>
      </w:r>
      <w:proofErr w:type="spellStart"/>
      <w:r w:rsidRPr="004744C5">
        <w:t>Electrocomponents</w:t>
      </w:r>
      <w:proofErr w:type="spellEnd"/>
      <w:r w:rsidRPr="004744C5">
        <w:t xml:space="preserve"> Group and/or TTI Group are present on these markets and will continue to exert competitive constraint on the merged entity, post-merger.</w:t>
      </w:r>
    </w:p>
    <w:p w14:paraId="41682359" w14:textId="77777777" w:rsidR="005C567B" w:rsidRPr="004744C5" w:rsidRDefault="00CB119F" w:rsidP="005C567B">
      <w:pPr>
        <w:pStyle w:val="NumPar1"/>
        <w:numPr>
          <w:ilvl w:val="0"/>
          <w:numId w:val="2"/>
        </w:numPr>
        <w:ind w:left="851" w:hanging="851"/>
      </w:pPr>
      <w:r w:rsidRPr="004744C5">
        <w:t xml:space="preserve">In relation to provision of value-added services, referred to in Section </w:t>
      </w:r>
      <w:r w:rsidRPr="004744C5">
        <w:fldChar w:fldCharType="begin"/>
      </w:r>
      <w:r w:rsidRPr="004744C5">
        <w:instrText xml:space="preserve"> REF _Ref463285759 \r \h </w:instrText>
      </w:r>
      <w:r w:rsidR="0088288B" w:rsidRPr="004744C5">
        <w:instrText xml:space="preserve"> \* MERGEFORMAT </w:instrText>
      </w:r>
      <w:r w:rsidRPr="004744C5">
        <w:fldChar w:fldCharType="separate"/>
      </w:r>
      <w:r w:rsidR="00BA4E96">
        <w:t>4.1.1.4</w:t>
      </w:r>
      <w:r w:rsidRPr="004744C5">
        <w:fldChar w:fldCharType="end"/>
      </w:r>
      <w:r w:rsidRPr="004744C5">
        <w:t>, the market investigation did not reveal any competition concerns. In any event, the Commission considers that value-added services only represent a small amount of the Parties' overall distribution revenues</w:t>
      </w:r>
      <w:r w:rsidRPr="004744C5">
        <w:rPr>
          <w:rStyle w:val="FootnoteReference"/>
        </w:rPr>
        <w:footnoteReference w:id="109"/>
      </w:r>
      <w:r w:rsidRPr="004744C5">
        <w:t xml:space="preserve"> and, post-Transaction, these services would continue to be available from a range of competing distributors.</w:t>
      </w:r>
      <w:r w:rsidR="00425EE0" w:rsidRPr="004744C5">
        <w:t xml:space="preserve"> </w:t>
      </w:r>
    </w:p>
    <w:p w14:paraId="4168235A" w14:textId="77777777" w:rsidR="004E5CC9" w:rsidRPr="004744C5" w:rsidRDefault="004E5CC9" w:rsidP="00B423F8">
      <w:pPr>
        <w:pStyle w:val="NumPar1"/>
        <w:numPr>
          <w:ilvl w:val="0"/>
          <w:numId w:val="2"/>
        </w:numPr>
        <w:ind w:left="851" w:hanging="851"/>
      </w:pPr>
      <w:r w:rsidRPr="004744C5">
        <w:t>In light of all the foregoing factors</w:t>
      </w:r>
      <w:r w:rsidR="00E93273" w:rsidRPr="004744C5">
        <w:t xml:space="preserve">, </w:t>
      </w:r>
      <w:r w:rsidRPr="004744C5">
        <w:t xml:space="preserve">with regard to the horizontal </w:t>
      </w:r>
      <w:r w:rsidR="00E93273" w:rsidRPr="004744C5">
        <w:t>overlaps arising from the proposed Transaction</w:t>
      </w:r>
      <w:r w:rsidRPr="004744C5">
        <w:t xml:space="preserve">, the Commission considers that the Transaction </w:t>
      </w:r>
      <w:r w:rsidR="00294F03" w:rsidRPr="004744C5">
        <w:t>would not raise serious doubts as to its compatibility with the internal market in relation to horizontal overlaps</w:t>
      </w:r>
      <w:r w:rsidRPr="004744C5">
        <w:t xml:space="preserve"> in the overall market for the wholesale distribution of electronic components, as well as in all possible segments thereof, neither </w:t>
      </w:r>
      <w:r w:rsidR="00E93273" w:rsidRPr="004744C5">
        <w:t>at</w:t>
      </w:r>
      <w:r w:rsidRPr="004744C5">
        <w:t xml:space="preserve"> EEA </w:t>
      </w:r>
      <w:r w:rsidR="00E93273" w:rsidRPr="004744C5">
        <w:t xml:space="preserve">level </w:t>
      </w:r>
      <w:r w:rsidRPr="004744C5">
        <w:t xml:space="preserve">nor </w:t>
      </w:r>
      <w:r w:rsidR="00E93273" w:rsidRPr="004744C5">
        <w:t>at</w:t>
      </w:r>
      <w:r w:rsidRPr="004744C5">
        <w:t xml:space="preserve"> national </w:t>
      </w:r>
      <w:r w:rsidR="00E93273" w:rsidRPr="004744C5">
        <w:t>level</w:t>
      </w:r>
      <w:r w:rsidRPr="004744C5">
        <w:t>.</w:t>
      </w:r>
    </w:p>
    <w:p w14:paraId="4168235B" w14:textId="77777777" w:rsidR="004A5988" w:rsidRPr="004744C5" w:rsidRDefault="004A5988" w:rsidP="004A5988">
      <w:pPr>
        <w:pStyle w:val="Heading2"/>
      </w:pPr>
      <w:r w:rsidRPr="004744C5">
        <w:lastRenderedPageBreak/>
        <w:t xml:space="preserve">Vertical </w:t>
      </w:r>
      <w:r w:rsidR="00EC70E4" w:rsidRPr="004744C5">
        <w:t>assessment</w:t>
      </w:r>
    </w:p>
    <w:p w14:paraId="4168235C" w14:textId="77777777" w:rsidR="003560B5" w:rsidRPr="004744C5" w:rsidRDefault="0085207F" w:rsidP="006422C0">
      <w:pPr>
        <w:pStyle w:val="NumPar1"/>
        <w:numPr>
          <w:ilvl w:val="0"/>
          <w:numId w:val="2"/>
        </w:numPr>
        <w:ind w:left="851" w:hanging="851"/>
      </w:pPr>
      <w:r w:rsidRPr="004744C5">
        <w:t>Avnet</w:t>
      </w:r>
      <w:r w:rsidR="005F043E" w:rsidRPr="004744C5">
        <w:t xml:space="preserve"> </w:t>
      </w:r>
      <w:r w:rsidRPr="004744C5">
        <w:t>is</w:t>
      </w:r>
      <w:r w:rsidR="005F043E" w:rsidRPr="004744C5">
        <w:t xml:space="preserve"> active in the manufacture of electronic components (</w:t>
      </w:r>
      <w:r w:rsidR="00D86025" w:rsidRPr="004744C5">
        <w:t>upstream</w:t>
      </w:r>
      <w:r w:rsidR="005F043E" w:rsidRPr="004744C5">
        <w:t xml:space="preserve"> of the market for the wholesale distribution of electronic components), which gives rise to a vertical relationship</w:t>
      </w:r>
      <w:r w:rsidR="00D86025" w:rsidRPr="004744C5">
        <w:t xml:space="preserve"> which the Commission will discuss in Section </w:t>
      </w:r>
      <w:r w:rsidR="00D86025" w:rsidRPr="004744C5">
        <w:fldChar w:fldCharType="begin"/>
      </w:r>
      <w:r w:rsidR="00D86025" w:rsidRPr="004744C5">
        <w:instrText xml:space="preserve"> REF _Ref463271589 \r \h </w:instrText>
      </w:r>
      <w:r w:rsidR="00EA4D07" w:rsidRPr="004744C5">
        <w:instrText xml:space="preserve"> \* MERGEFORMAT </w:instrText>
      </w:r>
      <w:r w:rsidR="00D86025" w:rsidRPr="004744C5">
        <w:fldChar w:fldCharType="separate"/>
      </w:r>
      <w:r w:rsidR="00BA4E96">
        <w:t>5.2.1</w:t>
      </w:r>
      <w:r w:rsidR="00D86025" w:rsidRPr="004744C5">
        <w:fldChar w:fldCharType="end"/>
      </w:r>
      <w:r w:rsidR="005F043E" w:rsidRPr="004744C5">
        <w:t xml:space="preserve">. In addition, both Avnet and Premier </w:t>
      </w:r>
      <w:proofErr w:type="spellStart"/>
      <w:r w:rsidR="005F043E" w:rsidRPr="004744C5">
        <w:t>Farnell</w:t>
      </w:r>
      <w:proofErr w:type="spellEnd"/>
      <w:r w:rsidR="005F043E" w:rsidRPr="004744C5">
        <w:t xml:space="preserve"> sell small </w:t>
      </w:r>
      <w:r w:rsidR="006422C0" w:rsidRPr="004744C5">
        <w:t>amounts of electronic components</w:t>
      </w:r>
      <w:r w:rsidR="00402F25" w:rsidRPr="004744C5">
        <w:t xml:space="preserve"> to each other</w:t>
      </w:r>
      <w:r w:rsidR="006422C0" w:rsidRPr="004744C5">
        <w:t xml:space="preserve">, therefore amounting to another vertical relationship (see Section </w:t>
      </w:r>
      <w:r w:rsidR="006422C0" w:rsidRPr="004744C5">
        <w:fldChar w:fldCharType="begin"/>
      </w:r>
      <w:r w:rsidR="006422C0" w:rsidRPr="004744C5">
        <w:instrText xml:space="preserve"> REF _Ref463271900 \r \h </w:instrText>
      </w:r>
      <w:r w:rsidR="00EA4D07" w:rsidRPr="004744C5">
        <w:instrText xml:space="preserve"> \* MERGEFORMAT </w:instrText>
      </w:r>
      <w:r w:rsidR="006422C0" w:rsidRPr="004744C5">
        <w:fldChar w:fldCharType="separate"/>
      </w:r>
      <w:r w:rsidR="00BA4E96">
        <w:t>5.2.2</w:t>
      </w:r>
      <w:r w:rsidR="006422C0" w:rsidRPr="004744C5">
        <w:fldChar w:fldCharType="end"/>
      </w:r>
      <w:r w:rsidR="006422C0" w:rsidRPr="004744C5">
        <w:t>).</w:t>
      </w:r>
      <w:r w:rsidR="00A64F56" w:rsidRPr="004744C5">
        <w:rPr>
          <w:rStyle w:val="FootnoteReference"/>
        </w:rPr>
        <w:footnoteReference w:id="110"/>
      </w:r>
      <w:r w:rsidR="00E02E88" w:rsidRPr="004744C5">
        <w:t xml:space="preserve"> </w:t>
      </w:r>
      <w:r w:rsidR="005F043E" w:rsidRPr="004744C5">
        <w:t>Therefore, t</w:t>
      </w:r>
      <w:r w:rsidR="00C74B2D" w:rsidRPr="004744C5">
        <w:t>he Transaction gives rise to the following vertical relationships:</w:t>
      </w:r>
    </w:p>
    <w:p w14:paraId="4168235D" w14:textId="77777777" w:rsidR="00C74B2D" w:rsidRPr="004744C5" w:rsidRDefault="00C74B2D" w:rsidP="00E02E88">
      <w:pPr>
        <w:pStyle w:val="NumPar1"/>
        <w:numPr>
          <w:ilvl w:val="1"/>
          <w:numId w:val="2"/>
        </w:numPr>
      </w:pPr>
      <w:r w:rsidRPr="004744C5">
        <w:t>The manufacture of electronic components upstream</w:t>
      </w:r>
      <w:r w:rsidR="00DA4E34" w:rsidRPr="004744C5">
        <w:t>, where Avnet is active,</w:t>
      </w:r>
      <w:r w:rsidRPr="004744C5">
        <w:t xml:space="preserve"> and the distribution of electronic components downstream</w:t>
      </w:r>
      <w:r w:rsidR="00DA4E34" w:rsidRPr="004744C5">
        <w:t xml:space="preserve">, where both Parties are active </w:t>
      </w:r>
      <w:r w:rsidRPr="004744C5">
        <w:t xml:space="preserve">(in both markets, further segments in relation to the manufacture/distribution of semiconductors, passive components, electromechanical and interconnect components and embedded </w:t>
      </w:r>
      <w:r w:rsidR="00097847" w:rsidRPr="004744C5">
        <w:t>products</w:t>
      </w:r>
      <w:r w:rsidRPr="004744C5">
        <w:t xml:space="preserve"> </w:t>
      </w:r>
      <w:r w:rsidR="00E02E88" w:rsidRPr="004744C5">
        <w:t>were</w:t>
      </w:r>
      <w:r w:rsidRPr="004744C5">
        <w:t xml:space="preserve"> identified</w:t>
      </w:r>
      <w:r w:rsidR="00E02E88" w:rsidRPr="004744C5">
        <w:t xml:space="preserve"> as per paragraph </w:t>
      </w:r>
      <w:r w:rsidR="00E02E88" w:rsidRPr="004744C5">
        <w:fldChar w:fldCharType="begin"/>
      </w:r>
      <w:r w:rsidR="00E02E88" w:rsidRPr="004744C5">
        <w:instrText xml:space="preserve"> REF _Ref463364682 \r \h  \* MERGEFORMAT </w:instrText>
      </w:r>
      <w:r w:rsidR="00E02E88" w:rsidRPr="004744C5">
        <w:fldChar w:fldCharType="separate"/>
      </w:r>
      <w:r w:rsidR="00BA4E96">
        <w:t>(9)</w:t>
      </w:r>
      <w:r w:rsidR="00E02E88" w:rsidRPr="004744C5">
        <w:fldChar w:fldCharType="end"/>
      </w:r>
      <w:r w:rsidR="00E02E88" w:rsidRPr="004744C5">
        <w:t>.</w:t>
      </w:r>
    </w:p>
    <w:p w14:paraId="4168235E" w14:textId="77777777" w:rsidR="00C74B2D" w:rsidRPr="004744C5" w:rsidRDefault="00C74B2D" w:rsidP="00061F52">
      <w:pPr>
        <w:pStyle w:val="NumPar1"/>
        <w:numPr>
          <w:ilvl w:val="1"/>
          <w:numId w:val="2"/>
        </w:numPr>
      </w:pPr>
      <w:r w:rsidRPr="004744C5">
        <w:t xml:space="preserve">The wholesale distribution of electronic components by the Parties to </w:t>
      </w:r>
      <w:r w:rsidR="007E76CD" w:rsidRPr="004744C5">
        <w:t>competing</w:t>
      </w:r>
      <w:r w:rsidRPr="004744C5">
        <w:t xml:space="preserve"> distributors of electronic components.</w:t>
      </w:r>
    </w:p>
    <w:p w14:paraId="4168235F" w14:textId="77777777" w:rsidR="00FD5B69" w:rsidRPr="004744C5" w:rsidRDefault="00C74B2D" w:rsidP="00B423F8">
      <w:pPr>
        <w:pStyle w:val="NumPar1"/>
        <w:numPr>
          <w:ilvl w:val="0"/>
          <w:numId w:val="2"/>
        </w:numPr>
        <w:ind w:left="851" w:hanging="851"/>
      </w:pPr>
      <w:r w:rsidRPr="004744C5">
        <w:t>The Commission will consider each of these vertical relationships in turn.</w:t>
      </w:r>
    </w:p>
    <w:p w14:paraId="41682360" w14:textId="77777777" w:rsidR="00C74B2D" w:rsidRPr="004744C5" w:rsidRDefault="00C74B2D" w:rsidP="00061F52">
      <w:pPr>
        <w:pStyle w:val="Heading3"/>
      </w:pPr>
      <w:bookmarkStart w:id="17" w:name="_Ref463271589"/>
      <w:r w:rsidRPr="004744C5">
        <w:t>Manufacture and distribution of electronic components</w:t>
      </w:r>
      <w:bookmarkEnd w:id="17"/>
    </w:p>
    <w:p w14:paraId="41682361" w14:textId="77777777" w:rsidR="000E1805" w:rsidRPr="004744C5" w:rsidRDefault="0085207F" w:rsidP="00B423F8">
      <w:pPr>
        <w:pStyle w:val="NumPar1"/>
        <w:numPr>
          <w:ilvl w:val="0"/>
          <w:numId w:val="2"/>
        </w:numPr>
        <w:ind w:left="851" w:hanging="851"/>
      </w:pPr>
      <w:r w:rsidRPr="004744C5">
        <w:t>Avnet</w:t>
      </w:r>
      <w:r w:rsidR="00143DA1" w:rsidRPr="004744C5">
        <w:t xml:space="preserve"> ha</w:t>
      </w:r>
      <w:r w:rsidRPr="004744C5">
        <w:t>s</w:t>
      </w:r>
      <w:r w:rsidR="00143DA1" w:rsidRPr="004744C5">
        <w:t xml:space="preserve"> certain activities in the manufacture of electronic components</w:t>
      </w:r>
      <w:r w:rsidR="00927D68" w:rsidRPr="004744C5">
        <w:t xml:space="preserve"> (upstream market)</w:t>
      </w:r>
      <w:r w:rsidR="00143DA1" w:rsidRPr="004744C5">
        <w:t>. Since the</w:t>
      </w:r>
      <w:r w:rsidRPr="004744C5">
        <w:t xml:space="preserve"> Parties</w:t>
      </w:r>
      <w:r w:rsidR="00143DA1" w:rsidRPr="004744C5">
        <w:t xml:space="preserve"> are also active in the downstream market for the </w:t>
      </w:r>
      <w:r w:rsidR="00927D68" w:rsidRPr="004744C5">
        <w:t xml:space="preserve">wholesale </w:t>
      </w:r>
      <w:r w:rsidR="00143DA1" w:rsidRPr="004744C5">
        <w:t xml:space="preserve">distribution of electronic components (as discussed in Section </w:t>
      </w:r>
      <w:r w:rsidR="00143DA1" w:rsidRPr="004744C5">
        <w:fldChar w:fldCharType="begin"/>
      </w:r>
      <w:r w:rsidR="00143DA1" w:rsidRPr="004744C5">
        <w:instrText xml:space="preserve"> REF _Ref462752609 \r \h </w:instrText>
      </w:r>
      <w:r w:rsidR="00EA4D07" w:rsidRPr="004744C5">
        <w:instrText xml:space="preserve"> \* MERGEFORMAT </w:instrText>
      </w:r>
      <w:r w:rsidR="00143DA1" w:rsidRPr="004744C5">
        <w:fldChar w:fldCharType="separate"/>
      </w:r>
      <w:r w:rsidR="00BA4E96">
        <w:t>5.1</w:t>
      </w:r>
      <w:r w:rsidR="00143DA1" w:rsidRPr="004744C5">
        <w:fldChar w:fldCharType="end"/>
      </w:r>
      <w:r w:rsidR="00143DA1" w:rsidRPr="004744C5">
        <w:t>), this would lead to an affected market because: (</w:t>
      </w:r>
      <w:proofErr w:type="spellStart"/>
      <w:r w:rsidR="00143DA1" w:rsidRPr="004744C5">
        <w:t>i</w:t>
      </w:r>
      <w:proofErr w:type="spellEnd"/>
      <w:r w:rsidR="00143DA1" w:rsidRPr="004744C5">
        <w:t xml:space="preserve">) the Parties are active in two vertically related markets (the manufacture and distribution of electronic components), (ii) under some of the hypothetical </w:t>
      </w:r>
      <w:r w:rsidR="00927D68" w:rsidRPr="004744C5">
        <w:t xml:space="preserve">product and geographic </w:t>
      </w:r>
      <w:r w:rsidR="00143DA1" w:rsidRPr="004744C5">
        <w:t>market</w:t>
      </w:r>
      <w:r w:rsidR="00927D68" w:rsidRPr="004744C5">
        <w:t>s for</w:t>
      </w:r>
      <w:r w:rsidR="00143DA1" w:rsidRPr="004744C5">
        <w:t xml:space="preserve"> the downstream market (e.g. national markets, different product markets for semiconductors, passive components, etc.) the Parties</w:t>
      </w:r>
      <w:r w:rsidR="00927D68" w:rsidRPr="004744C5">
        <w:t>'</w:t>
      </w:r>
      <w:r w:rsidR="00143DA1" w:rsidRPr="004744C5">
        <w:t xml:space="preserve"> combined market share i</w:t>
      </w:r>
      <w:r w:rsidR="00446B08" w:rsidRPr="004744C5">
        <w:t>s</w:t>
      </w:r>
      <w:r w:rsidR="00143DA1" w:rsidRPr="004744C5">
        <w:t xml:space="preserve"> above 30% (e.g.</w:t>
      </w:r>
      <w:r w:rsidR="00EA067B" w:rsidRPr="004744C5">
        <w:t xml:space="preserve"> the</w:t>
      </w:r>
      <w:r w:rsidR="00143DA1" w:rsidRPr="004744C5">
        <w:t xml:space="preserve"> overall market </w:t>
      </w:r>
      <w:r w:rsidR="00EA067B" w:rsidRPr="004744C5">
        <w:t xml:space="preserve">for the distribution of electronic components </w:t>
      </w:r>
      <w:r w:rsidR="00143DA1" w:rsidRPr="004744C5">
        <w:t xml:space="preserve">in </w:t>
      </w:r>
      <w:r w:rsidR="00EA067B" w:rsidRPr="004744C5">
        <w:t>France</w:t>
      </w:r>
      <w:r w:rsidR="00143DA1" w:rsidRPr="004744C5">
        <w:t xml:space="preserve"> or the United Kingdom), and (iii) the Transaction leads to </w:t>
      </w:r>
      <w:r w:rsidR="00FA4998" w:rsidRPr="004744C5">
        <w:t>an overlap</w:t>
      </w:r>
      <w:r w:rsidR="00143DA1" w:rsidRPr="004744C5">
        <w:t xml:space="preserve"> in the downstream market for the distribution of electronic components.</w:t>
      </w:r>
    </w:p>
    <w:p w14:paraId="41682362" w14:textId="77777777" w:rsidR="00E66CFD" w:rsidRPr="004744C5" w:rsidRDefault="001B5168" w:rsidP="00B423F8">
      <w:pPr>
        <w:pStyle w:val="NumPar1"/>
        <w:numPr>
          <w:ilvl w:val="0"/>
          <w:numId w:val="2"/>
        </w:numPr>
        <w:ind w:left="851" w:hanging="851"/>
      </w:pPr>
      <w:r w:rsidRPr="004744C5">
        <w:t>The Commission assesses</w:t>
      </w:r>
      <w:r w:rsidR="00E66CFD" w:rsidRPr="004744C5">
        <w:t xml:space="preserve"> whether the Transaction could reinforce the ability and incentive of the merged entity to either foreclose other distributors of electronic components to source electronic components</w:t>
      </w:r>
      <w:r w:rsidR="006B29A3" w:rsidRPr="004744C5">
        <w:t xml:space="preserve"> manufactured by the merged entity</w:t>
      </w:r>
      <w:r w:rsidR="00E66CFD" w:rsidRPr="004744C5">
        <w:t xml:space="preserve"> (input foreclosure) or foreclose electronic components produced by manufacturers other than the merged entity from being used in the merged entity's distribution activities (customer foreclosure).</w:t>
      </w:r>
    </w:p>
    <w:p w14:paraId="41682363" w14:textId="0992C87F" w:rsidR="005C0719" w:rsidRPr="004744C5" w:rsidRDefault="006B29A3" w:rsidP="00B423F8">
      <w:pPr>
        <w:pStyle w:val="NumPar1"/>
        <w:numPr>
          <w:ilvl w:val="0"/>
          <w:numId w:val="2"/>
        </w:numPr>
        <w:ind w:left="851" w:hanging="851"/>
      </w:pPr>
      <w:r w:rsidRPr="004744C5">
        <w:t xml:space="preserve">According to the information provided by the Notifying Party, </w:t>
      </w:r>
      <w:r w:rsidR="005C0719" w:rsidRPr="004744C5">
        <w:t xml:space="preserve">Avnet </w:t>
      </w:r>
      <w:r w:rsidR="009F5ACA" w:rsidRPr="004744C5">
        <w:t xml:space="preserve">sells </w:t>
      </w:r>
      <w:r w:rsidR="00F33BF8" w:rsidRPr="004744C5">
        <w:t>[</w:t>
      </w:r>
      <w:r w:rsidR="00A8647D" w:rsidRPr="004744C5">
        <w:t>Avnet</w:t>
      </w:r>
      <w:r w:rsidR="00A8647D" w:rsidRPr="004744C5">
        <w:rPr>
          <w:rFonts w:hint="eastAsia"/>
        </w:rPr>
        <w:t>’</w:t>
      </w:r>
      <w:r w:rsidR="00A8647D" w:rsidRPr="004744C5">
        <w:t>s source of supply</w:t>
      </w:r>
      <w:r w:rsidR="00F33BF8" w:rsidRPr="004744C5">
        <w:t>]</w:t>
      </w:r>
      <w:r w:rsidR="009F5ACA" w:rsidRPr="004744C5">
        <w:t xml:space="preserve"> </w:t>
      </w:r>
      <w:r w:rsidR="005C0719" w:rsidRPr="004744C5">
        <w:t>ele</w:t>
      </w:r>
      <w:r w:rsidR="00A53A0C" w:rsidRPr="004744C5">
        <w:t>c</w:t>
      </w:r>
      <w:r w:rsidR="005C0719" w:rsidRPr="004744C5">
        <w:t>tromechanical and interconnect components</w:t>
      </w:r>
      <w:r w:rsidR="009F5ACA" w:rsidRPr="004744C5">
        <w:t xml:space="preserve"> although it submits </w:t>
      </w:r>
      <w:r w:rsidR="00F33BF8" w:rsidRPr="004744C5">
        <w:t>[</w:t>
      </w:r>
      <w:r w:rsidR="00A8647D" w:rsidRPr="004744C5">
        <w:t>Avnet</w:t>
      </w:r>
      <w:r w:rsidR="00A8647D" w:rsidRPr="004744C5">
        <w:rPr>
          <w:rFonts w:hint="eastAsia"/>
        </w:rPr>
        <w:t>’</w:t>
      </w:r>
      <w:r w:rsidR="00A8647D" w:rsidRPr="004744C5">
        <w:t>s source of supply</w:t>
      </w:r>
      <w:r w:rsidR="00F33BF8" w:rsidRPr="004744C5">
        <w:t>]</w:t>
      </w:r>
      <w:r w:rsidR="009F5ACA" w:rsidRPr="004744C5">
        <w:t>, usually categorised as part of the same category</w:t>
      </w:r>
      <w:r w:rsidR="009F5ACA" w:rsidRPr="004744C5">
        <w:rPr>
          <w:rStyle w:val="FootnoteReference"/>
        </w:rPr>
        <w:footnoteReference w:id="111"/>
      </w:r>
      <w:r w:rsidR="005C0719" w:rsidRPr="004744C5">
        <w:t xml:space="preserve"> </w:t>
      </w:r>
      <w:r w:rsidR="00530F72" w:rsidRPr="004744C5">
        <w:t>Whereas</w:t>
      </w:r>
      <w:r w:rsidR="005C0719" w:rsidRPr="004744C5">
        <w:t xml:space="preserve"> Avnet sells some passive components, it is not active in </w:t>
      </w:r>
      <w:r w:rsidR="00530F72" w:rsidRPr="004744C5">
        <w:t xml:space="preserve">their </w:t>
      </w:r>
      <w:r w:rsidR="005C0719" w:rsidRPr="004744C5">
        <w:lastRenderedPageBreak/>
        <w:t>manufacture. Moreover, the Notifying Party reports that Avnet's sales of these t</w:t>
      </w:r>
      <w:r w:rsidR="009F5ACA" w:rsidRPr="004744C5">
        <w:t>wo</w:t>
      </w:r>
      <w:r w:rsidR="005C0719" w:rsidRPr="004744C5">
        <w:t xml:space="preserve"> types of components are minimal. For example, </w:t>
      </w:r>
      <w:r w:rsidR="00F33BF8" w:rsidRPr="004744C5">
        <w:t>[</w:t>
      </w:r>
      <w:r w:rsidR="00A8647D" w:rsidRPr="004744C5">
        <w:t>Avnet</w:t>
      </w:r>
      <w:r w:rsidR="00A8647D" w:rsidRPr="004744C5">
        <w:rPr>
          <w:rFonts w:hint="eastAsia"/>
        </w:rPr>
        <w:t>’</w:t>
      </w:r>
      <w:r w:rsidR="00A8647D" w:rsidRPr="004744C5">
        <w:t>s source of supply</w:t>
      </w:r>
      <w:r w:rsidR="00F33BF8" w:rsidRPr="004744C5">
        <w:t>]</w:t>
      </w:r>
      <w:r w:rsidR="009F5ACA" w:rsidRPr="004744C5">
        <w:t xml:space="preserve">, </w:t>
      </w:r>
      <w:r w:rsidR="005C0719" w:rsidRPr="004744C5">
        <w:t xml:space="preserve">Avnet's share in the manufacture of components overall would represent less than </w:t>
      </w:r>
      <w:r w:rsidR="008847A1" w:rsidRPr="004744C5">
        <w:t>[0-5</w:t>
      </w:r>
      <w:proofErr w:type="gramStart"/>
      <w:r w:rsidR="008847A1" w:rsidRPr="004744C5">
        <w:t>]</w:t>
      </w:r>
      <w:r w:rsidR="005C0719" w:rsidRPr="004744C5">
        <w:t>%</w:t>
      </w:r>
      <w:proofErr w:type="gramEnd"/>
      <w:r w:rsidR="005C0719" w:rsidRPr="004744C5">
        <w:t xml:space="preserve"> of the EEA and less than </w:t>
      </w:r>
      <w:r w:rsidR="008847A1" w:rsidRPr="004744C5">
        <w:t>[0-5]</w:t>
      </w:r>
      <w:r w:rsidR="005C0719" w:rsidRPr="004744C5">
        <w:t>% of the global market.</w:t>
      </w:r>
      <w:r w:rsidR="00E02E88" w:rsidRPr="004744C5">
        <w:rPr>
          <w:rStyle w:val="FootnoteReference"/>
        </w:rPr>
        <w:footnoteReference w:id="112"/>
      </w:r>
      <w:r w:rsidR="005C0719" w:rsidRPr="004744C5">
        <w:t xml:space="preserve"> In any event, according to the Notifying Party, the combined share </w:t>
      </w:r>
      <w:r w:rsidR="00A53A0C" w:rsidRPr="004744C5">
        <w:t xml:space="preserve">of each of these types considered separately would be below </w:t>
      </w:r>
      <w:r w:rsidR="008847A1" w:rsidRPr="004744C5">
        <w:t>[</w:t>
      </w:r>
      <w:r w:rsidR="00A53A0C" w:rsidRPr="004744C5">
        <w:t>10</w:t>
      </w:r>
      <w:r w:rsidR="008847A1" w:rsidRPr="004744C5">
        <w:t>-20</w:t>
      </w:r>
      <w:proofErr w:type="gramStart"/>
      <w:r w:rsidR="008847A1" w:rsidRPr="004744C5">
        <w:t>]</w:t>
      </w:r>
      <w:r w:rsidR="00A53A0C" w:rsidRPr="004744C5">
        <w:t>%</w:t>
      </w:r>
      <w:proofErr w:type="gramEnd"/>
      <w:r w:rsidR="00A53A0C" w:rsidRPr="004744C5">
        <w:t>, irrespective of whether the geographic scope of the market is global or EEA-wide.</w:t>
      </w:r>
      <w:r w:rsidR="00A53A0C" w:rsidRPr="004744C5">
        <w:rPr>
          <w:rStyle w:val="FootnoteReference"/>
        </w:rPr>
        <w:footnoteReference w:id="113"/>
      </w:r>
    </w:p>
    <w:p w14:paraId="41682364" w14:textId="77777777" w:rsidR="00EA067B" w:rsidRPr="004744C5" w:rsidRDefault="00EA067B" w:rsidP="00B423F8">
      <w:pPr>
        <w:pStyle w:val="NumPar1"/>
        <w:numPr>
          <w:ilvl w:val="0"/>
          <w:numId w:val="2"/>
        </w:numPr>
        <w:ind w:left="851" w:hanging="851"/>
      </w:pPr>
      <w:r w:rsidRPr="004744C5">
        <w:t xml:space="preserve">In relation to customer foreclosure of competing manufacturers, the Commission notes that, as discussed in Section </w:t>
      </w:r>
      <w:r w:rsidRPr="004744C5">
        <w:fldChar w:fldCharType="begin"/>
      </w:r>
      <w:r w:rsidRPr="004744C5">
        <w:instrText xml:space="preserve"> REF _Ref462752609 \r \h </w:instrText>
      </w:r>
      <w:r w:rsidR="00EA4D07" w:rsidRPr="004744C5">
        <w:instrText xml:space="preserve"> \* MERGEFORMAT </w:instrText>
      </w:r>
      <w:r w:rsidRPr="004744C5">
        <w:fldChar w:fldCharType="separate"/>
      </w:r>
      <w:r w:rsidR="00BA4E96">
        <w:t>5.1</w:t>
      </w:r>
      <w:r w:rsidRPr="004744C5">
        <w:fldChar w:fldCharType="end"/>
      </w:r>
      <w:r w:rsidRPr="004744C5">
        <w:t xml:space="preserve">, the Transaction is unlikely to have a material effect on the merged entity's ability and incentive to engage in customer foreclosure because, first, the Transaction only gives rise to a small increment in the market for wholesale distribution of electronic components (see paragraph </w:t>
      </w:r>
      <w:r w:rsidRPr="004744C5">
        <w:fldChar w:fldCharType="begin"/>
      </w:r>
      <w:r w:rsidRPr="004744C5">
        <w:instrText xml:space="preserve"> REF _Ref462753651 \r \h </w:instrText>
      </w:r>
      <w:r w:rsidR="00EA4D07" w:rsidRPr="004744C5">
        <w:instrText xml:space="preserve"> \* MERGEFORMAT </w:instrText>
      </w:r>
      <w:r w:rsidRPr="004744C5">
        <w:fldChar w:fldCharType="separate"/>
      </w:r>
      <w:r w:rsidR="00BA4E96">
        <w:t>(65)</w:t>
      </w:r>
      <w:r w:rsidRPr="004744C5">
        <w:fldChar w:fldCharType="end"/>
      </w:r>
      <w:r w:rsidRPr="004744C5">
        <w:t xml:space="preserve">)  and, second, as highlighted in paragraph </w:t>
      </w:r>
      <w:r w:rsidRPr="004744C5">
        <w:fldChar w:fldCharType="begin"/>
      </w:r>
      <w:r w:rsidRPr="004744C5">
        <w:instrText xml:space="preserve"> REF _Ref462753676 \r \h </w:instrText>
      </w:r>
      <w:r w:rsidR="00EA4D07" w:rsidRPr="004744C5">
        <w:instrText xml:space="preserve"> \* MERGEFORMAT </w:instrText>
      </w:r>
      <w:r w:rsidRPr="004744C5">
        <w:fldChar w:fldCharType="separate"/>
      </w:r>
      <w:r w:rsidR="00BA4E96">
        <w:t>(74)</w:t>
      </w:r>
      <w:r w:rsidRPr="004744C5">
        <w:fldChar w:fldCharType="end"/>
      </w:r>
      <w:r w:rsidRPr="004744C5">
        <w:t xml:space="preserve">, there will remain a sufficient number of competing distributors of electronic components, to which competing manufacturers can sell. The Commission therefore considers that the merged entity is </w:t>
      </w:r>
      <w:r w:rsidR="00FA4998" w:rsidRPr="004744C5">
        <w:t>un</w:t>
      </w:r>
      <w:r w:rsidRPr="004744C5">
        <w:t>likely to engage in customer foreclosure in relation its manufacturing activities of electronic components.</w:t>
      </w:r>
    </w:p>
    <w:p w14:paraId="41682365" w14:textId="77777777" w:rsidR="00A53A0C" w:rsidRPr="004744C5" w:rsidRDefault="00A53A0C" w:rsidP="00B423F8">
      <w:pPr>
        <w:pStyle w:val="NumPar1"/>
        <w:numPr>
          <w:ilvl w:val="0"/>
          <w:numId w:val="2"/>
        </w:numPr>
        <w:ind w:left="851" w:hanging="851"/>
      </w:pPr>
      <w:r w:rsidRPr="004744C5">
        <w:t>The Commission considers that Avnet's minimal market shares in the markets for the manufacture of electronic components makes it unlikely that the merged entity will have the ability or the incentive to engage in an input or customer foreclosure strategy.</w:t>
      </w:r>
    </w:p>
    <w:p w14:paraId="41682366" w14:textId="77777777" w:rsidR="006B29A3" w:rsidRPr="004744C5" w:rsidRDefault="00A53A0C" w:rsidP="00B423F8">
      <w:pPr>
        <w:pStyle w:val="NumPar1"/>
        <w:numPr>
          <w:ilvl w:val="0"/>
          <w:numId w:val="2"/>
        </w:numPr>
        <w:ind w:left="851" w:hanging="851"/>
      </w:pPr>
      <w:r w:rsidRPr="004744C5">
        <w:t>Based on the above and the available evidence, the Commission concludes that the Transaction would not raise serious doubts as to its compatibility with the internal market due to input or customer foreclosure of competitors in relation to the manufacture and distribution of electronic components.</w:t>
      </w:r>
    </w:p>
    <w:p w14:paraId="41682367" w14:textId="77777777" w:rsidR="00C74B2D" w:rsidRPr="004744C5" w:rsidRDefault="00C74B2D" w:rsidP="00C74B2D">
      <w:pPr>
        <w:pStyle w:val="Heading3"/>
      </w:pPr>
      <w:bookmarkStart w:id="18" w:name="_Ref463271900"/>
      <w:r w:rsidRPr="004744C5">
        <w:t>Wholesale distribution of electronic components by the Parties to other distributors of electronic components</w:t>
      </w:r>
      <w:bookmarkEnd w:id="18"/>
    </w:p>
    <w:p w14:paraId="41682368" w14:textId="77777777" w:rsidR="00711E9F" w:rsidRPr="004744C5" w:rsidRDefault="00A2461C" w:rsidP="00B423F8">
      <w:pPr>
        <w:pStyle w:val="NumPar1"/>
        <w:numPr>
          <w:ilvl w:val="0"/>
          <w:numId w:val="2"/>
        </w:numPr>
        <w:ind w:left="851" w:hanging="851"/>
      </w:pPr>
      <w:r w:rsidRPr="004744C5">
        <w:t>Some distributors of electronic component</w:t>
      </w:r>
      <w:r w:rsidR="0097101B" w:rsidRPr="004744C5">
        <w:t>s source these components</w:t>
      </w:r>
      <w:r w:rsidRPr="004744C5">
        <w:t xml:space="preserve"> not only from manufacturers but also from competing distributors of electronic components. For example, high-volume distributors may sell components to low-volume distributors, wh</w:t>
      </w:r>
      <w:r w:rsidR="005B497D" w:rsidRPr="004744C5">
        <w:t>o</w:t>
      </w:r>
      <w:r w:rsidRPr="004744C5">
        <w:t xml:space="preserve"> will in turn sell them to final customers.</w:t>
      </w:r>
      <w:r w:rsidR="00D86025" w:rsidRPr="004744C5">
        <w:t xml:space="preserve"> In </w:t>
      </w:r>
      <w:r w:rsidR="002026F4" w:rsidRPr="004744C5">
        <w:t xml:space="preserve">the </w:t>
      </w:r>
      <w:r w:rsidR="00D86025" w:rsidRPr="004744C5">
        <w:t xml:space="preserve">present case, Avnet and Premier </w:t>
      </w:r>
      <w:proofErr w:type="spellStart"/>
      <w:r w:rsidR="00D86025" w:rsidRPr="004744C5">
        <w:t>Farnell</w:t>
      </w:r>
      <w:proofErr w:type="spellEnd"/>
      <w:r w:rsidR="00D86025" w:rsidRPr="004744C5">
        <w:t xml:space="preserve"> sell each other small amounts of electronic componen</w:t>
      </w:r>
      <w:r w:rsidR="001E7A69" w:rsidRPr="004744C5">
        <w:t>t</w:t>
      </w:r>
      <w:r w:rsidR="00D86025" w:rsidRPr="004744C5">
        <w:t>s.</w:t>
      </w:r>
      <w:r w:rsidRPr="004744C5">
        <w:rPr>
          <w:rStyle w:val="FootnoteReference"/>
        </w:rPr>
        <w:footnoteReference w:id="114"/>
      </w:r>
      <w:r w:rsidR="00682D9E" w:rsidRPr="004744C5">
        <w:t xml:space="preserve"> </w:t>
      </w:r>
    </w:p>
    <w:p w14:paraId="41682369" w14:textId="77777777" w:rsidR="00C74B2D" w:rsidRPr="004744C5" w:rsidRDefault="00682D9E" w:rsidP="00B423F8">
      <w:pPr>
        <w:pStyle w:val="NumPar1"/>
        <w:numPr>
          <w:ilvl w:val="0"/>
          <w:numId w:val="2"/>
        </w:numPr>
        <w:ind w:left="851" w:hanging="851"/>
      </w:pPr>
      <w:r w:rsidRPr="004744C5">
        <w:lastRenderedPageBreak/>
        <w:t>According to the information provided by the Notifying Party, Avnet's sales to other distributors represent a small fraction of Avnet's total sales in the EEA.</w:t>
      </w:r>
      <w:r w:rsidRPr="004744C5">
        <w:rPr>
          <w:rStyle w:val="FootnoteReference"/>
        </w:rPr>
        <w:footnoteReference w:id="115"/>
      </w:r>
    </w:p>
    <w:p w14:paraId="4168236A" w14:textId="77777777" w:rsidR="00E66CFD" w:rsidRPr="004744C5" w:rsidRDefault="00711E9F" w:rsidP="00B423F8">
      <w:pPr>
        <w:pStyle w:val="NumPar1"/>
        <w:numPr>
          <w:ilvl w:val="0"/>
          <w:numId w:val="2"/>
        </w:numPr>
        <w:ind w:left="851" w:hanging="851"/>
      </w:pPr>
      <w:r w:rsidRPr="004744C5">
        <w:t>The Commission has</w:t>
      </w:r>
      <w:r w:rsidR="00E66CFD" w:rsidRPr="004744C5">
        <w:t xml:space="preserve"> assessed whether the Transaction could reinforce the ability and incentive of the merged entity to either foreclose other distributors of electronic components to source electronic components (input foreclosure) or foreclose electronic components produced by </w:t>
      </w:r>
      <w:r w:rsidR="00FC7B59" w:rsidRPr="004744C5">
        <w:t>distributors</w:t>
      </w:r>
      <w:r w:rsidR="00E66CFD" w:rsidRPr="004744C5">
        <w:t xml:space="preserve"> other than the merged entity from being used in the merged entity's distribution activities (customer foreclosure).</w:t>
      </w:r>
    </w:p>
    <w:p w14:paraId="4168236B" w14:textId="77777777" w:rsidR="00B9111C" w:rsidRPr="004744C5" w:rsidRDefault="00B9111C" w:rsidP="00B423F8">
      <w:pPr>
        <w:pStyle w:val="NumPar1"/>
        <w:numPr>
          <w:ilvl w:val="0"/>
          <w:numId w:val="2"/>
        </w:numPr>
        <w:ind w:left="851" w:hanging="851"/>
      </w:pPr>
      <w:r w:rsidRPr="004744C5">
        <w:t xml:space="preserve">In relation to input foreclosure </w:t>
      </w:r>
      <w:r w:rsidR="00003C44" w:rsidRPr="004744C5">
        <w:t>by the merged entity in relation to sales</w:t>
      </w:r>
      <w:r w:rsidRPr="004744C5">
        <w:t xml:space="preserve"> of electronic components </w:t>
      </w:r>
      <w:r w:rsidR="00AA41E3" w:rsidRPr="004744C5">
        <w:t>to competing distributors of electronic components, the Commission</w:t>
      </w:r>
      <w:r w:rsidR="00614BCC" w:rsidRPr="004744C5">
        <w:t xml:space="preserve"> examines, first, whether the merged entity would have, post-Transaction, the ability to substantially foreclose access to inputs, second, whether it would have the incentive to do so, and third, whether a foreclosure strategy would have a significant detrimental effect on competition downstream.</w:t>
      </w:r>
      <w:r w:rsidR="00AA41E3" w:rsidRPr="004744C5">
        <w:rPr>
          <w:rStyle w:val="FootnoteReference"/>
        </w:rPr>
        <w:footnoteReference w:id="116"/>
      </w:r>
    </w:p>
    <w:p w14:paraId="4168236C" w14:textId="77777777" w:rsidR="006D1775" w:rsidRPr="004744C5" w:rsidRDefault="006D1775" w:rsidP="00B423F8">
      <w:pPr>
        <w:pStyle w:val="NumPar1"/>
        <w:numPr>
          <w:ilvl w:val="0"/>
          <w:numId w:val="2"/>
        </w:numPr>
        <w:ind w:left="851" w:hanging="851"/>
      </w:pPr>
      <w:r w:rsidRPr="004744C5">
        <w:t>First, a</w:t>
      </w:r>
      <w:r w:rsidR="00697F71" w:rsidRPr="004744C5">
        <w:t xml:space="preserve">s regards the merged entity's ability to engage in input foreclosure of competing distributors of electronic components (to which it sells electronic components), the Commission </w:t>
      </w:r>
      <w:r w:rsidRPr="004744C5">
        <w:t>considers that Avnet's sales to competing distributors</w:t>
      </w:r>
      <w:r w:rsidR="00E03C09" w:rsidRPr="004744C5">
        <w:t xml:space="preserve"> are unlikely to</w:t>
      </w:r>
      <w:r w:rsidRPr="004744C5">
        <w:t xml:space="preserve"> constitute an important input in the</w:t>
      </w:r>
      <w:r w:rsidR="00E03C09" w:rsidRPr="004744C5">
        <w:t xml:space="preserve"> meaning</w:t>
      </w:r>
      <w:r w:rsidRPr="004744C5">
        <w:t xml:space="preserve"> of paragraph 34 of the Non-Horizontal Merger Guidelines. </w:t>
      </w:r>
      <w:r w:rsidR="0075680F" w:rsidRPr="004744C5">
        <w:t>In addition, these components cannot be considered important for other reasons such as being a critical component to a downstream product,</w:t>
      </w:r>
      <w:r w:rsidR="0075680F" w:rsidRPr="004744C5">
        <w:rPr>
          <w:rStyle w:val="FootnoteReference"/>
        </w:rPr>
        <w:footnoteReference w:id="117"/>
      </w:r>
      <w:r w:rsidR="0075680F" w:rsidRPr="004744C5">
        <w:t xml:space="preserve"> as these inputs are typically resold by competing distributors to end-customers.</w:t>
      </w:r>
      <w:r w:rsidR="00711E9F" w:rsidRPr="004744C5">
        <w:rPr>
          <w:rStyle w:val="FootnoteReference"/>
        </w:rPr>
        <w:footnoteReference w:id="118"/>
      </w:r>
      <w:r w:rsidRPr="004744C5">
        <w:t xml:space="preserve"> Therefore, th</w:t>
      </w:r>
      <w:r w:rsidR="0075680F" w:rsidRPr="004744C5">
        <w:t>e Commission concludes</w:t>
      </w:r>
      <w:r w:rsidRPr="004744C5">
        <w:t xml:space="preserve"> that electronic components sold by the merged entity are not likely to constitute an important input for competing distributors. </w:t>
      </w:r>
    </w:p>
    <w:p w14:paraId="4168236D" w14:textId="77777777" w:rsidR="00003C44" w:rsidRPr="004744C5" w:rsidRDefault="006D1775" w:rsidP="00B423F8">
      <w:pPr>
        <w:pStyle w:val="NumPar1"/>
        <w:numPr>
          <w:ilvl w:val="0"/>
          <w:numId w:val="2"/>
        </w:numPr>
        <w:ind w:left="851" w:hanging="851"/>
      </w:pPr>
      <w:r w:rsidRPr="004744C5">
        <w:t xml:space="preserve">Second, </w:t>
      </w:r>
      <w:r w:rsidR="002735C2" w:rsidRPr="004744C5">
        <w:t>the Commission considers it unlikely that the merged entity has market power in the sale of electronic components to competing distributors</w:t>
      </w:r>
      <w:r w:rsidR="00711E9F" w:rsidRPr="004744C5">
        <w:t xml:space="preserve"> on an overall market at EEA level as the combined market share post </w:t>
      </w:r>
      <w:r w:rsidR="00725431" w:rsidRPr="004744C5">
        <w:t>Transaction</w:t>
      </w:r>
      <w:r w:rsidR="00711E9F" w:rsidRPr="004744C5">
        <w:t xml:space="preserve"> would be below 30</w:t>
      </w:r>
      <w:r w:rsidR="00725431" w:rsidRPr="004744C5">
        <w:t>%</w:t>
      </w:r>
      <w:r w:rsidR="00711E9F" w:rsidRPr="004744C5">
        <w:t>.</w:t>
      </w:r>
      <w:r w:rsidR="002D3042" w:rsidRPr="004744C5">
        <w:rPr>
          <w:rStyle w:val="FootnoteReference"/>
        </w:rPr>
        <w:footnoteReference w:id="119"/>
      </w:r>
      <w:r w:rsidR="002735C2" w:rsidRPr="004744C5">
        <w:t xml:space="preserve"> </w:t>
      </w:r>
    </w:p>
    <w:p w14:paraId="4168236E" w14:textId="77777777" w:rsidR="006D1775" w:rsidRPr="004744C5" w:rsidRDefault="00003C44" w:rsidP="00B423F8">
      <w:pPr>
        <w:pStyle w:val="NumPar1"/>
        <w:numPr>
          <w:ilvl w:val="0"/>
          <w:numId w:val="2"/>
        </w:numPr>
        <w:ind w:left="851" w:hanging="851"/>
      </w:pPr>
      <w:r w:rsidRPr="004744C5">
        <w:t>T</w:t>
      </w:r>
      <w:r w:rsidR="002735C2" w:rsidRPr="004744C5">
        <w:t xml:space="preserve">he Commission </w:t>
      </w:r>
      <w:r w:rsidRPr="004744C5">
        <w:t>also</w:t>
      </w:r>
      <w:r w:rsidR="002735C2" w:rsidRPr="004744C5">
        <w:t xml:space="preserve"> considers that high-volume distributors of electronic components may be more likely to sell components to competing distributors than low-volume competitors. In that respect, even considering the merged entity's presence in the </w:t>
      </w:r>
      <w:r w:rsidR="00E03C09" w:rsidRPr="004744C5">
        <w:t xml:space="preserve">narrower </w:t>
      </w:r>
      <w:r w:rsidR="002735C2" w:rsidRPr="004744C5">
        <w:t xml:space="preserve">high-volume segment, its market share in that segment would only be of </w:t>
      </w:r>
      <w:r w:rsidR="00607F7A" w:rsidRPr="004744C5">
        <w:t>[20-30</w:t>
      </w:r>
      <w:proofErr w:type="gramStart"/>
      <w:r w:rsidR="00607F7A" w:rsidRPr="004744C5">
        <w:t>]</w:t>
      </w:r>
      <w:r w:rsidR="002735C2" w:rsidRPr="004744C5">
        <w:t>%</w:t>
      </w:r>
      <w:proofErr w:type="gramEnd"/>
      <w:r w:rsidR="002735C2" w:rsidRPr="004744C5">
        <w:t xml:space="preserve"> in the EEA</w:t>
      </w:r>
      <w:r w:rsidR="00097360" w:rsidRPr="004744C5">
        <w:t>.</w:t>
      </w:r>
      <w:r w:rsidR="002735C2" w:rsidRPr="004744C5">
        <w:rPr>
          <w:rStyle w:val="FootnoteReference"/>
        </w:rPr>
        <w:footnoteReference w:id="120"/>
      </w:r>
      <w:r w:rsidR="00097360" w:rsidRPr="004744C5">
        <w:t xml:space="preserve"> This suggests that even in this narrower segment, the merged entity is unlikely to have market power</w:t>
      </w:r>
      <w:r w:rsidR="0075680F" w:rsidRPr="004744C5">
        <w:t xml:space="preserve"> in the upstream market</w:t>
      </w:r>
      <w:r w:rsidR="00097360" w:rsidRPr="004744C5">
        <w:t>.</w:t>
      </w:r>
    </w:p>
    <w:p w14:paraId="4168236F" w14:textId="77777777" w:rsidR="00697F71" w:rsidRPr="004744C5" w:rsidRDefault="00335F0B" w:rsidP="00B423F8">
      <w:pPr>
        <w:pStyle w:val="NumPar1"/>
        <w:numPr>
          <w:ilvl w:val="0"/>
          <w:numId w:val="2"/>
        </w:numPr>
        <w:ind w:left="851" w:hanging="851"/>
      </w:pPr>
      <w:r w:rsidRPr="004744C5">
        <w:lastRenderedPageBreak/>
        <w:t>Moreover, as per paragraph 36 of the Non-Horizontal Merger Guidelines, the merged entity is unlikely to significantly affect the overall availability of inputs (electronic components) to competing distributors, as it currently only sells a small part of its production to these downstream competitors. The Commission further note</w:t>
      </w:r>
      <w:r w:rsidR="00975F1A" w:rsidRPr="004744C5">
        <w:t>s</w:t>
      </w:r>
      <w:r w:rsidRPr="004744C5">
        <w:t xml:space="preserve"> that, as submitted by the Notifying Party, exclusive contract</w:t>
      </w:r>
      <w:r w:rsidR="00975F1A" w:rsidRPr="004744C5">
        <w:t>s</w:t>
      </w:r>
      <w:r w:rsidRPr="004744C5">
        <w:t xml:space="preserve"> play a limited role</w:t>
      </w:r>
      <w:r w:rsidR="00003C44" w:rsidRPr="004744C5">
        <w:t xml:space="preserve"> in the relevant markets</w:t>
      </w:r>
      <w:r w:rsidR="0075680F" w:rsidRPr="004744C5">
        <w:t>,</w:t>
      </w:r>
      <w:r w:rsidR="00975F1A" w:rsidRPr="004744C5">
        <w:rPr>
          <w:rStyle w:val="FootnoteReference"/>
        </w:rPr>
        <w:footnoteReference w:id="121"/>
      </w:r>
      <w:r w:rsidR="0075680F" w:rsidRPr="004744C5">
        <w:t xml:space="preserve"> which further supports the view that such an input foreclosure strategy is unlikely to affect the availability of inputs, as other manufacturers currently selling to the merged entity would generally remain free to sell </w:t>
      </w:r>
      <w:r w:rsidR="001B5168" w:rsidRPr="004744C5">
        <w:t>to competing distributors of the merged entity.</w:t>
      </w:r>
    </w:p>
    <w:p w14:paraId="41682370" w14:textId="77777777" w:rsidR="00975F1A" w:rsidRPr="004744C5" w:rsidRDefault="00335F0B" w:rsidP="00B423F8">
      <w:pPr>
        <w:pStyle w:val="NumPar1"/>
        <w:numPr>
          <w:ilvl w:val="0"/>
          <w:numId w:val="2"/>
        </w:numPr>
        <w:ind w:left="851" w:hanging="851"/>
      </w:pPr>
      <w:r w:rsidRPr="004744C5">
        <w:t>Finally, the Commission considers that competing distributors of electronic components have a number of alternatives</w:t>
      </w:r>
      <w:r w:rsidRPr="004744C5">
        <w:rPr>
          <w:b/>
        </w:rPr>
        <w:t xml:space="preserve"> </w:t>
      </w:r>
      <w:r w:rsidRPr="004744C5">
        <w:t xml:space="preserve">to </w:t>
      </w:r>
      <w:r w:rsidRPr="004744C5">
        <w:rPr>
          <w:rFonts w:ascii="Times New Roman" w:hAnsi="Times New Roman"/>
          <w:szCs w:val="24"/>
        </w:rPr>
        <w:t>source electronic components. In addition to manufacturers, a high a number of distributors will remain on the market, including a number of important high-volume distributors</w:t>
      </w:r>
      <w:r w:rsidRPr="004744C5">
        <w:t xml:space="preserve">, such as Arrow, </w:t>
      </w:r>
      <w:proofErr w:type="spellStart"/>
      <w:r w:rsidRPr="004744C5">
        <w:t>Rutronik</w:t>
      </w:r>
      <w:proofErr w:type="spellEnd"/>
      <w:r w:rsidRPr="004744C5">
        <w:t>, Future Group and TTI Group</w:t>
      </w:r>
      <w:r w:rsidR="005B27B9" w:rsidRPr="004744C5">
        <w:t xml:space="preserve"> (see paragraph </w:t>
      </w:r>
      <w:r w:rsidR="005B27B9" w:rsidRPr="004744C5">
        <w:fldChar w:fldCharType="begin"/>
      </w:r>
      <w:r w:rsidR="005B27B9" w:rsidRPr="004744C5">
        <w:instrText xml:space="preserve"> REF _Ref462749113 \r \h </w:instrText>
      </w:r>
      <w:r w:rsidR="00EA4D07" w:rsidRPr="004744C5">
        <w:instrText xml:space="preserve"> \* MERGEFORMAT </w:instrText>
      </w:r>
      <w:r w:rsidR="005B27B9" w:rsidRPr="004744C5">
        <w:fldChar w:fldCharType="separate"/>
      </w:r>
      <w:r w:rsidR="00BA4E96">
        <w:t>(24)</w:t>
      </w:r>
      <w:r w:rsidR="005B27B9" w:rsidRPr="004744C5">
        <w:fldChar w:fldCharType="end"/>
      </w:r>
      <w:r w:rsidR="005B27B9" w:rsidRPr="004744C5">
        <w:t xml:space="preserve"> for an explanation about the differences between high-volume and low-volume distributors)</w:t>
      </w:r>
      <w:r w:rsidRPr="004744C5">
        <w:t xml:space="preserve">. The market investigation confirmed that these distributors are close competitors to </w:t>
      </w:r>
      <w:r w:rsidR="005B27B9" w:rsidRPr="004744C5">
        <w:t>Avnet</w:t>
      </w:r>
      <w:r w:rsidRPr="004744C5">
        <w:t xml:space="preserve"> and active in the high-volume segment.</w:t>
      </w:r>
      <w:r w:rsidR="00975F1A" w:rsidRPr="004744C5">
        <w:rPr>
          <w:rStyle w:val="FootnoteReference"/>
        </w:rPr>
        <w:footnoteReference w:id="122"/>
      </w:r>
      <w:r w:rsidR="001B5168" w:rsidRPr="004744C5">
        <w:t xml:space="preserve"> Therefore, the Commission concludes that the merged entity is unlikely to have the ability to engage in an input foreclosure strategy.</w:t>
      </w:r>
      <w:r w:rsidR="00975F1A" w:rsidRPr="004744C5">
        <w:t xml:space="preserve"> </w:t>
      </w:r>
    </w:p>
    <w:p w14:paraId="41682371" w14:textId="77777777" w:rsidR="001B5168" w:rsidRPr="004744C5" w:rsidRDefault="00975F1A" w:rsidP="00B423F8">
      <w:pPr>
        <w:pStyle w:val="NumPar1"/>
        <w:numPr>
          <w:ilvl w:val="0"/>
          <w:numId w:val="2"/>
        </w:numPr>
        <w:ind w:left="851" w:hanging="851"/>
      </w:pPr>
      <w:r w:rsidRPr="004744C5">
        <w:t xml:space="preserve">As regards the </w:t>
      </w:r>
      <w:r w:rsidRPr="004744C5">
        <w:rPr>
          <w:b/>
        </w:rPr>
        <w:t>merged entity's incentives to foreclose input</w:t>
      </w:r>
      <w:r w:rsidR="001B5168" w:rsidRPr="004744C5">
        <w:rPr>
          <w:b/>
        </w:rPr>
        <w:t>s</w:t>
      </w:r>
      <w:r w:rsidRPr="004744C5">
        <w:rPr>
          <w:b/>
        </w:rPr>
        <w:t xml:space="preserve"> to competing distributors of electronic components</w:t>
      </w:r>
      <w:r w:rsidRPr="004744C5">
        <w:t>, the Commission considers that the merged entity is unlikely to engage in an input foreclosure strategy because</w:t>
      </w:r>
      <w:r w:rsidR="00555B50" w:rsidRPr="004744C5">
        <w:t xml:space="preserve">: </w:t>
      </w:r>
    </w:p>
    <w:p w14:paraId="41682372" w14:textId="77777777" w:rsidR="001B5168" w:rsidRPr="004744C5" w:rsidRDefault="00555B50" w:rsidP="00061F52">
      <w:pPr>
        <w:pStyle w:val="NumPar1"/>
        <w:numPr>
          <w:ilvl w:val="1"/>
          <w:numId w:val="2"/>
        </w:numPr>
      </w:pPr>
      <w:r w:rsidRPr="004744C5">
        <w:t xml:space="preserve">its incentives are unlikely to change following the Transaction, as the increment added by Premier </w:t>
      </w:r>
      <w:proofErr w:type="spellStart"/>
      <w:r w:rsidRPr="004744C5">
        <w:t>Farnell</w:t>
      </w:r>
      <w:proofErr w:type="spellEnd"/>
      <w:r w:rsidRPr="004744C5">
        <w:t xml:space="preserve"> is very small (</w:t>
      </w:r>
      <w:r w:rsidR="00D5702F" w:rsidRPr="004744C5">
        <w:t>[0-5]</w:t>
      </w:r>
      <w:r w:rsidRPr="004744C5">
        <w:t>% in the EEA)</w:t>
      </w:r>
      <w:r w:rsidR="001B5168" w:rsidRPr="004744C5">
        <w:t>, and Avnet currently sells electronic components to competitors,</w:t>
      </w:r>
      <w:r w:rsidRPr="004744C5">
        <w:t xml:space="preserve"> and </w:t>
      </w:r>
    </w:p>
    <w:p w14:paraId="41682373" w14:textId="036774BE" w:rsidR="00335F0B" w:rsidRPr="004744C5" w:rsidRDefault="00555B50" w:rsidP="00061F52">
      <w:pPr>
        <w:pStyle w:val="NumPar1"/>
        <w:numPr>
          <w:ilvl w:val="1"/>
          <w:numId w:val="2"/>
        </w:numPr>
      </w:pPr>
      <w:proofErr w:type="gramStart"/>
      <w:r w:rsidRPr="004744C5">
        <w:t>the</w:t>
      </w:r>
      <w:proofErr w:type="gramEnd"/>
      <w:r w:rsidRPr="004744C5">
        <w:t xml:space="preserve"> merged entity is unlikely to benefit from an input foreclosure strategy given its low share of the overall market for distribution of electronic components in the E</w:t>
      </w:r>
      <w:r w:rsidR="00432752" w:rsidRPr="004744C5">
        <w:t>E</w:t>
      </w:r>
      <w:r w:rsidRPr="004744C5">
        <w:t>A (</w:t>
      </w:r>
      <w:r w:rsidR="00D5702F" w:rsidRPr="004744C5">
        <w:t>[20-30]</w:t>
      </w:r>
      <w:r w:rsidRPr="004744C5">
        <w:t>%)</w:t>
      </w:r>
      <w:r w:rsidR="001B5168" w:rsidRPr="004744C5">
        <w:t xml:space="preserve"> as it would forego sales to competing distributors</w:t>
      </w:r>
      <w:r w:rsidRPr="004744C5">
        <w:t>.</w:t>
      </w:r>
      <w:r w:rsidR="009C711D" w:rsidRPr="004744C5">
        <w:rPr>
          <w:rStyle w:val="FootnoteReference"/>
        </w:rPr>
        <w:footnoteReference w:id="123"/>
      </w:r>
      <w:r w:rsidR="00431755" w:rsidRPr="004744C5">
        <w:t xml:space="preserve"> This is confirmed by the fact that Premier </w:t>
      </w:r>
      <w:proofErr w:type="spellStart"/>
      <w:r w:rsidR="00431755" w:rsidRPr="004744C5">
        <w:t>Farnell's</w:t>
      </w:r>
      <w:proofErr w:type="spellEnd"/>
      <w:r w:rsidR="00431755" w:rsidRPr="004744C5">
        <w:t xml:space="preserve"> purchases from Avnet account for less than </w:t>
      </w:r>
      <w:r w:rsidR="00D5702F" w:rsidRPr="004744C5">
        <w:t>[10-20</w:t>
      </w:r>
      <w:proofErr w:type="gramStart"/>
      <w:r w:rsidR="00D5702F" w:rsidRPr="004744C5">
        <w:t>]</w:t>
      </w:r>
      <w:r w:rsidR="00431755" w:rsidRPr="004744C5">
        <w:t>%</w:t>
      </w:r>
      <w:proofErr w:type="gramEnd"/>
      <w:r w:rsidR="00431755" w:rsidRPr="004744C5">
        <w:t xml:space="preserve"> of Avnet's sales to competing distributors. Therefore, this strategy would not make economic sense for </w:t>
      </w:r>
      <w:r w:rsidR="005B497D" w:rsidRPr="004744C5">
        <w:t xml:space="preserve">Premier </w:t>
      </w:r>
      <w:proofErr w:type="spellStart"/>
      <w:r w:rsidR="00431755" w:rsidRPr="004744C5">
        <w:t>Farnell</w:t>
      </w:r>
      <w:proofErr w:type="spellEnd"/>
      <w:r w:rsidR="00431755" w:rsidRPr="004744C5">
        <w:t>.</w:t>
      </w:r>
      <w:r w:rsidR="00431755" w:rsidRPr="004744C5">
        <w:rPr>
          <w:rStyle w:val="FootnoteReference"/>
        </w:rPr>
        <w:footnoteReference w:id="124"/>
      </w:r>
      <w:r w:rsidRPr="004744C5">
        <w:t xml:space="preserve"> </w:t>
      </w:r>
    </w:p>
    <w:p w14:paraId="41682374" w14:textId="77777777" w:rsidR="00555B50" w:rsidRPr="004744C5" w:rsidRDefault="00555B50" w:rsidP="00B423F8">
      <w:pPr>
        <w:pStyle w:val="NumPar1"/>
        <w:numPr>
          <w:ilvl w:val="0"/>
          <w:numId w:val="2"/>
        </w:numPr>
        <w:ind w:left="851" w:hanging="851"/>
      </w:pPr>
      <w:r w:rsidRPr="004744C5">
        <w:t>In relation to narrower markets or segments (e.g. national markets, each of the electronic components</w:t>
      </w:r>
      <w:r w:rsidR="00E50120" w:rsidRPr="004744C5">
        <w:t xml:space="preserve"> segments referred to in </w:t>
      </w:r>
      <w:r w:rsidR="00927D68" w:rsidRPr="004744C5">
        <w:t xml:space="preserve">paragraph </w:t>
      </w:r>
      <w:r w:rsidR="00927D68" w:rsidRPr="004744C5">
        <w:fldChar w:fldCharType="begin"/>
      </w:r>
      <w:r w:rsidR="00927D68" w:rsidRPr="004744C5">
        <w:instrText xml:space="preserve"> REF _Ref462753844 \r \h  \* MERGEFORMAT </w:instrText>
      </w:r>
      <w:r w:rsidR="00927D68" w:rsidRPr="004744C5">
        <w:fldChar w:fldCharType="separate"/>
      </w:r>
      <w:r w:rsidR="00BA4E96">
        <w:t>(63)</w:t>
      </w:r>
      <w:r w:rsidR="00927D68" w:rsidRPr="004744C5">
        <w:fldChar w:fldCharType="end"/>
      </w:r>
      <w:r w:rsidRPr="004744C5">
        <w:t xml:space="preserve">), the </w:t>
      </w:r>
      <w:r w:rsidR="00E50120" w:rsidRPr="004744C5">
        <w:t xml:space="preserve">market investigation indicated that </w:t>
      </w:r>
      <w:r w:rsidRPr="004744C5">
        <w:t>competing distributors are likely to be able to source components directly from manufacturers and from distributors in other Member State</w:t>
      </w:r>
      <w:r w:rsidR="005B497D" w:rsidRPr="004744C5">
        <w:t>s</w:t>
      </w:r>
      <w:r w:rsidRPr="004744C5">
        <w:t xml:space="preserve">. </w:t>
      </w:r>
      <w:r w:rsidR="00E50120" w:rsidRPr="004744C5">
        <w:t>Indeed, t</w:t>
      </w:r>
      <w:r w:rsidR="00D55B6E" w:rsidRPr="004744C5">
        <w:t xml:space="preserve">he majority of competitors responding to the market investigation </w:t>
      </w:r>
      <w:r w:rsidR="005B497D" w:rsidRPr="004744C5">
        <w:lastRenderedPageBreak/>
        <w:t>were of the view</w:t>
      </w:r>
      <w:r w:rsidR="00D55B6E" w:rsidRPr="004744C5">
        <w:t xml:space="preserve"> that manufacturers and distributors </w:t>
      </w:r>
      <w:r w:rsidR="001A6358" w:rsidRPr="004744C5">
        <w:t xml:space="preserve">within or </w:t>
      </w:r>
      <w:r w:rsidR="00D55B6E" w:rsidRPr="004744C5">
        <w:t xml:space="preserve">outside the EEA </w:t>
      </w:r>
      <w:r w:rsidR="005B497D" w:rsidRPr="004744C5">
        <w:t>are</w:t>
      </w:r>
      <w:r w:rsidR="00D55B6E" w:rsidRPr="004744C5">
        <w:t xml:space="preserve"> an alternative </w:t>
      </w:r>
      <w:r w:rsidR="001A6358" w:rsidRPr="004744C5">
        <w:t>source of supply.</w:t>
      </w:r>
      <w:r w:rsidR="001A6358" w:rsidRPr="004744C5">
        <w:rPr>
          <w:rStyle w:val="FootnoteReference"/>
        </w:rPr>
        <w:footnoteReference w:id="125"/>
      </w:r>
      <w:r w:rsidR="001A6358" w:rsidRPr="004744C5">
        <w:t xml:space="preserve"> </w:t>
      </w:r>
    </w:p>
    <w:p w14:paraId="41682375" w14:textId="77777777" w:rsidR="00003C44" w:rsidRPr="004744C5" w:rsidRDefault="00555B50" w:rsidP="00B423F8">
      <w:pPr>
        <w:pStyle w:val="NumPar1"/>
        <w:numPr>
          <w:ilvl w:val="0"/>
          <w:numId w:val="2"/>
        </w:numPr>
        <w:ind w:left="851" w:hanging="851"/>
      </w:pPr>
      <w:r w:rsidRPr="004744C5">
        <w:t>Moreover, e</w:t>
      </w:r>
      <w:r w:rsidR="00975F1A" w:rsidRPr="004744C5">
        <w:t xml:space="preserve">ven if the merged entity restricted its input foreclosure strategy to Premier </w:t>
      </w:r>
      <w:proofErr w:type="spellStart"/>
      <w:r w:rsidR="00975F1A" w:rsidRPr="004744C5">
        <w:t>Farnell's</w:t>
      </w:r>
      <w:proofErr w:type="spellEnd"/>
      <w:r w:rsidR="00975F1A" w:rsidRPr="004744C5">
        <w:t xml:space="preserve"> competing distributors in the low-volume segment, the Commission considers that the merged entity is unlikely to have the incentive to do so. </w:t>
      </w:r>
    </w:p>
    <w:p w14:paraId="41682376" w14:textId="77777777" w:rsidR="00975F1A" w:rsidRPr="004744C5" w:rsidRDefault="00975F1A" w:rsidP="00B423F8">
      <w:pPr>
        <w:pStyle w:val="NumPar1"/>
        <w:numPr>
          <w:ilvl w:val="0"/>
          <w:numId w:val="2"/>
        </w:numPr>
        <w:ind w:left="851" w:hanging="851"/>
      </w:pPr>
      <w:r w:rsidRPr="004744C5">
        <w:t>First,</w:t>
      </w:r>
      <w:r w:rsidR="00555B50" w:rsidRPr="004744C5">
        <w:t xml:space="preserve"> Premier </w:t>
      </w:r>
      <w:proofErr w:type="spellStart"/>
      <w:r w:rsidR="00555B50" w:rsidRPr="004744C5">
        <w:t>Farnell's</w:t>
      </w:r>
      <w:proofErr w:type="spellEnd"/>
      <w:r w:rsidR="00555B50" w:rsidRPr="004744C5">
        <w:t xml:space="preserve"> market share in the low-volume segments </w:t>
      </w:r>
      <w:r w:rsidR="002662B2" w:rsidRPr="004744C5">
        <w:t>is</w:t>
      </w:r>
      <w:r w:rsidR="00555B50" w:rsidRPr="004744C5">
        <w:t xml:space="preserve"> also </w:t>
      </w:r>
      <w:r w:rsidR="00E50120" w:rsidRPr="004744C5">
        <w:t>relatively</w:t>
      </w:r>
      <w:r w:rsidR="00555B50" w:rsidRPr="004744C5">
        <w:t xml:space="preserve"> </w:t>
      </w:r>
      <w:r w:rsidR="00E50120" w:rsidRPr="004744C5">
        <w:t>modest</w:t>
      </w:r>
      <w:r w:rsidR="00555B50" w:rsidRPr="004744C5">
        <w:t xml:space="preserve"> (</w:t>
      </w:r>
      <w:r w:rsidR="00D5702F" w:rsidRPr="004744C5">
        <w:t>[10-20</w:t>
      </w:r>
      <w:proofErr w:type="gramStart"/>
      <w:r w:rsidR="00D5702F" w:rsidRPr="004744C5">
        <w:t>]</w:t>
      </w:r>
      <w:r w:rsidR="00555B50" w:rsidRPr="004744C5">
        <w:t>%</w:t>
      </w:r>
      <w:proofErr w:type="gramEnd"/>
      <w:r w:rsidR="00555B50" w:rsidRPr="004744C5">
        <w:t>)</w:t>
      </w:r>
      <w:r w:rsidR="00555B50" w:rsidRPr="004744C5">
        <w:rPr>
          <w:rStyle w:val="FootnoteReference"/>
        </w:rPr>
        <w:footnoteReference w:id="126"/>
      </w:r>
      <w:r w:rsidR="002662B2" w:rsidRPr="004744C5">
        <w:t xml:space="preserve"> which suggests</w:t>
      </w:r>
      <w:r w:rsidR="00003C44" w:rsidRPr="004744C5">
        <w:t xml:space="preserve"> </w:t>
      </w:r>
      <w:r w:rsidR="002662B2" w:rsidRPr="004744C5">
        <w:t xml:space="preserve">that an input foreclosure strategy targeted at competing low-volume distributors </w:t>
      </w:r>
      <w:r w:rsidR="00003C44" w:rsidRPr="004744C5">
        <w:t>might not be</w:t>
      </w:r>
      <w:r w:rsidR="002662B2" w:rsidRPr="004744C5">
        <w:t xml:space="preserve"> profitable to the merged entity.</w:t>
      </w:r>
    </w:p>
    <w:p w14:paraId="41682377" w14:textId="77777777" w:rsidR="0075680F" w:rsidRPr="004744C5" w:rsidRDefault="00697F71" w:rsidP="00B423F8">
      <w:pPr>
        <w:pStyle w:val="NumPar1"/>
        <w:numPr>
          <w:ilvl w:val="0"/>
          <w:numId w:val="2"/>
        </w:numPr>
        <w:ind w:left="851" w:hanging="851"/>
      </w:pPr>
      <w:r w:rsidRPr="004744C5">
        <w:t>In</w:t>
      </w:r>
      <w:r w:rsidR="00003C44" w:rsidRPr="004744C5">
        <w:t xml:space="preserve"> any event, in</w:t>
      </w:r>
      <w:r w:rsidRPr="004744C5">
        <w:t xml:space="preserve"> terms of the overall likely impact on downstream competition of an input foreclosure strategy by the merged entity</w:t>
      </w:r>
      <w:r w:rsidR="002662B2" w:rsidRPr="004744C5">
        <w:t xml:space="preserve">, the Commission considers that the current amount of sales to competing distributors by the merged entity (less than </w:t>
      </w:r>
      <w:r w:rsidR="00D5702F" w:rsidRPr="004744C5">
        <w:t>[0-5]</w:t>
      </w:r>
      <w:r w:rsidR="002662B2" w:rsidRPr="004744C5">
        <w:t>% of the total sales of electronic components in the EEA)</w:t>
      </w:r>
      <w:r w:rsidR="002662B2" w:rsidRPr="004744C5">
        <w:rPr>
          <w:rStyle w:val="FootnoteReference"/>
        </w:rPr>
        <w:footnoteReference w:id="127"/>
      </w:r>
      <w:r w:rsidR="002662B2" w:rsidRPr="004744C5">
        <w:t xml:space="preserve"> and the presence of a high number of competitors in the downstream market (which also applies to the narrower segment for low-volume distributors)</w:t>
      </w:r>
      <w:r w:rsidR="0075680F" w:rsidRPr="004744C5">
        <w:t xml:space="preserve"> makes it unlikely that an input foreclosure strategy would materially affect effective competition in the downstream market for the distribution of electronic components.</w:t>
      </w:r>
    </w:p>
    <w:p w14:paraId="41682378" w14:textId="77777777" w:rsidR="0075680F" w:rsidRPr="004744C5" w:rsidRDefault="0075680F" w:rsidP="00B423F8">
      <w:pPr>
        <w:pStyle w:val="NumPar1"/>
        <w:numPr>
          <w:ilvl w:val="0"/>
          <w:numId w:val="2"/>
        </w:numPr>
        <w:ind w:left="851" w:hanging="851"/>
      </w:pPr>
      <w:r w:rsidRPr="004744C5">
        <w:t>Based on the above and the available evidence, the Commission concludes that the Transaction would not raise serious doubts as to its compatibility with the internal market due to input foreclosure of competitors in relation to the distribution of electronic components.</w:t>
      </w:r>
      <w:r w:rsidR="000916E0" w:rsidRPr="004744C5">
        <w:rPr>
          <w:rStyle w:val="FootnoteReference"/>
        </w:rPr>
        <w:footnoteReference w:id="128"/>
      </w:r>
    </w:p>
    <w:p w14:paraId="41682379" w14:textId="77777777" w:rsidR="00937B29" w:rsidRPr="004744C5" w:rsidRDefault="00937B29" w:rsidP="00681257">
      <w:pPr>
        <w:pStyle w:val="Heading1"/>
      </w:pPr>
      <w:r w:rsidRPr="004744C5">
        <w:t>CONCLUSION</w:t>
      </w:r>
    </w:p>
    <w:p w14:paraId="4168237A" w14:textId="77777777" w:rsidR="00FD45D5" w:rsidRPr="004744C5" w:rsidRDefault="00626664" w:rsidP="00B423F8">
      <w:pPr>
        <w:pStyle w:val="NumPar1"/>
        <w:numPr>
          <w:ilvl w:val="0"/>
          <w:numId w:val="2"/>
        </w:numPr>
        <w:ind w:left="851" w:hanging="851"/>
      </w:pPr>
      <w:r w:rsidRPr="004744C5">
        <w:t xml:space="preserve">For the above reasons, the </w:t>
      </w:r>
      <w:r w:rsidR="007E2D16" w:rsidRPr="004744C5">
        <w:t xml:space="preserve">European </w:t>
      </w:r>
      <w:r w:rsidRPr="004744C5">
        <w:t xml:space="preserve">Commission has decided not to oppose the notified operation and to declare it compatible with the </w:t>
      </w:r>
      <w:r w:rsidR="0016170F" w:rsidRPr="004744C5">
        <w:t xml:space="preserve">internal </w:t>
      </w:r>
      <w:r w:rsidRPr="004744C5">
        <w:t>market and with the EEA Agreement. This decision is adopted in application of Article 6(1</w:t>
      </w:r>
      <w:proofErr w:type="gramStart"/>
      <w:r w:rsidRPr="004744C5">
        <w:t>)(</w:t>
      </w:r>
      <w:proofErr w:type="gramEnd"/>
      <w:r w:rsidRPr="004744C5">
        <w:t xml:space="preserve">b) of </w:t>
      </w:r>
      <w:r w:rsidR="006B4781" w:rsidRPr="004744C5">
        <w:t>the Merger Regulation</w:t>
      </w:r>
      <w:r w:rsidR="009118E7" w:rsidRPr="004744C5">
        <w:t xml:space="preserve"> and </w:t>
      </w:r>
      <w:r w:rsidR="000D5C08" w:rsidRPr="004744C5">
        <w:t>Article 57 of the EEA Agreement</w:t>
      </w:r>
      <w:r w:rsidRPr="004744C5">
        <w:t>.</w:t>
      </w:r>
    </w:p>
    <w:p w14:paraId="4168237B" w14:textId="5B40831B" w:rsidR="00885508" w:rsidRPr="00885508" w:rsidRDefault="00D13D3D" w:rsidP="00EA7211">
      <w:pPr>
        <w:pStyle w:val="Closing"/>
        <w:keepNext/>
        <w:keepLines/>
        <w:rPr>
          <w:spacing w:val="-2"/>
          <w:sz w:val="20"/>
        </w:rPr>
      </w:pPr>
      <w:r w:rsidRPr="004744C5">
        <w:rPr>
          <w:i/>
        </w:rPr>
        <w:t xml:space="preserve">For the </w:t>
      </w:r>
      <w:proofErr w:type="gramStart"/>
      <w:r w:rsidRPr="004744C5">
        <w:rPr>
          <w:i/>
        </w:rPr>
        <w:t>Commission</w:t>
      </w:r>
      <w:proofErr w:type="gramEnd"/>
      <w:r w:rsidR="0060677A">
        <w:rPr>
          <w:i/>
        </w:rPr>
        <w:br/>
      </w:r>
      <w:r w:rsidR="0060677A">
        <w:rPr>
          <w:i/>
        </w:rPr>
        <w:br/>
      </w:r>
      <w:r w:rsidR="00EA7211" w:rsidRPr="004744C5">
        <w:rPr>
          <w:i/>
        </w:rPr>
        <w:br/>
        <w:t>(signed)</w:t>
      </w:r>
      <w:r w:rsidR="007E6E1B" w:rsidRPr="004744C5">
        <w:rPr>
          <w:i/>
        </w:rPr>
        <w:br/>
      </w:r>
      <w:proofErr w:type="spellStart"/>
      <w:r w:rsidR="004B7BC8" w:rsidRPr="004744C5">
        <w:rPr>
          <w:i/>
        </w:rPr>
        <w:t>Margrethe</w:t>
      </w:r>
      <w:proofErr w:type="spellEnd"/>
      <w:r w:rsidR="004B7BC8" w:rsidRPr="004744C5">
        <w:rPr>
          <w:i/>
        </w:rPr>
        <w:t xml:space="preserve"> VESTAGER</w:t>
      </w:r>
      <w:r w:rsidRPr="004744C5">
        <w:rPr>
          <w:i/>
        </w:rPr>
        <w:br/>
      </w:r>
      <w:r w:rsidR="004B7BC8" w:rsidRPr="004744C5">
        <w:rPr>
          <w:i/>
        </w:rPr>
        <w:t>Member of the Commission</w:t>
      </w:r>
    </w:p>
    <w:sectPr w:rsidR="00885508" w:rsidRPr="00885508" w:rsidSect="00194886">
      <w:footerReference w:type="first" r:id="rId14"/>
      <w:pgSz w:w="11907" w:h="16840" w:code="9"/>
      <w:pgMar w:top="1021" w:right="1418" w:bottom="1021" w:left="1588" w:header="601"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EE257" w14:textId="77777777" w:rsidR="00F44FC9" w:rsidRDefault="00F44FC9">
      <w:r>
        <w:separator/>
      </w:r>
    </w:p>
  </w:endnote>
  <w:endnote w:type="continuationSeparator" w:id="0">
    <w:p w14:paraId="3CC590EB" w14:textId="77777777" w:rsidR="00F44FC9" w:rsidRDefault="00F44FC9">
      <w:r>
        <w:continuationSeparator/>
      </w:r>
    </w:p>
  </w:endnote>
  <w:endnote w:type="continuationNotice" w:id="1">
    <w:p w14:paraId="2111BFB2" w14:textId="77777777" w:rsidR="00F44FC9" w:rsidRDefault="00F44F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8238A" w14:textId="77777777" w:rsidR="00432752" w:rsidRDefault="00432752">
    <w:pPr>
      <w:pStyle w:val="Footer"/>
      <w:jc w:val="center"/>
    </w:pPr>
    <w:r>
      <w:fldChar w:fldCharType="begin"/>
    </w:r>
    <w:r>
      <w:instrText>PAGE</w:instrText>
    </w:r>
    <w:r>
      <w:fldChar w:fldCharType="separate"/>
    </w:r>
    <w:r w:rsidR="00194886">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AE4F" w14:textId="77777777" w:rsidR="00194886" w:rsidRDefault="00194886" w:rsidP="008C37DB">
    <w:pPr>
      <w:pStyle w:val="Footer"/>
      <w:rPr>
        <w:sz w:val="24"/>
        <w:szCs w:val="24"/>
      </w:rPr>
    </w:pPr>
  </w:p>
  <w:p w14:paraId="26E2FD8B" w14:textId="77777777" w:rsidR="00194886" w:rsidRDefault="00194886" w:rsidP="008C37DB">
    <w:pPr>
      <w:pStyle w:val="Footer"/>
      <w:ind w:right="0"/>
      <w:rPr>
        <w:lang w:val="fr-FR"/>
      </w:rPr>
    </w:pPr>
    <w:r>
      <w:rPr>
        <w:lang w:val="fr-FR"/>
      </w:rPr>
      <w:t xml:space="preserve">Commission européenne, DG COMP MERGER REGISTRY, 1049 Bruxelles, BELGIQUE </w:t>
    </w:r>
  </w:p>
  <w:p w14:paraId="6D258619" w14:textId="77777777" w:rsidR="00194886" w:rsidRDefault="00194886" w:rsidP="008C37DB">
    <w:pPr>
      <w:pStyle w:val="Footer"/>
      <w:ind w:right="0"/>
      <w:rPr>
        <w:lang w:val="it-IT"/>
      </w:rPr>
    </w:pPr>
    <w:proofErr w:type="spellStart"/>
    <w:r>
      <w:rPr>
        <w:lang w:val="it-IT"/>
      </w:rPr>
      <w:t>Europese</w:t>
    </w:r>
    <w:proofErr w:type="spellEnd"/>
    <w:r>
      <w:rPr>
        <w:lang w:val="it-IT"/>
      </w:rPr>
      <w:t xml:space="preserve"> </w:t>
    </w:r>
    <w:proofErr w:type="spellStart"/>
    <w:r>
      <w:rPr>
        <w:lang w:val="it-IT"/>
      </w:rPr>
      <w:t>Commissie</w:t>
    </w:r>
    <w:proofErr w:type="spellEnd"/>
    <w:r>
      <w:rPr>
        <w:lang w:val="it-IT"/>
      </w:rPr>
      <w:t xml:space="preserve">, DG COMP MERGER REGISTRY, 1049 </w:t>
    </w:r>
    <w:proofErr w:type="spellStart"/>
    <w:r>
      <w:rPr>
        <w:lang w:val="it-IT"/>
      </w:rPr>
      <w:t>Brussel</w:t>
    </w:r>
    <w:proofErr w:type="spellEnd"/>
    <w:r>
      <w:rPr>
        <w:lang w:val="it-IT"/>
      </w:rPr>
      <w:t>,</w:t>
    </w:r>
    <w:proofErr w:type="gramStart"/>
    <w:r>
      <w:rPr>
        <w:lang w:val="it-IT"/>
      </w:rPr>
      <w:t xml:space="preserve">  </w:t>
    </w:r>
    <w:proofErr w:type="gramEnd"/>
    <w:r>
      <w:rPr>
        <w:lang w:val="it-IT"/>
      </w:rPr>
      <w:t>BELGIË</w:t>
    </w:r>
  </w:p>
  <w:p w14:paraId="53966DA8" w14:textId="77777777" w:rsidR="00194886" w:rsidRDefault="00194886" w:rsidP="008C37DB">
    <w:pPr>
      <w:pStyle w:val="Footer"/>
      <w:ind w:right="0"/>
      <w:rPr>
        <w:lang w:val="it-IT"/>
      </w:rPr>
    </w:pPr>
  </w:p>
  <w:p w14:paraId="4CF9BA8B" w14:textId="77777777" w:rsidR="00194886" w:rsidRPr="008C37DB" w:rsidRDefault="00194886" w:rsidP="008C37DB">
    <w:pPr>
      <w:jc w:val="left"/>
      <w:rPr>
        <w:rFonts w:ascii="Arial" w:hAnsi="Arial" w:cs="Arial"/>
        <w:sz w:val="16"/>
        <w:szCs w:val="16"/>
        <w:lang w:val="it-IT"/>
      </w:rPr>
    </w:pPr>
    <w:proofErr w:type="spellStart"/>
    <w:r>
      <w:rPr>
        <w:rFonts w:ascii="Arial" w:hAnsi="Arial" w:cs="Arial"/>
        <w:sz w:val="16"/>
        <w:szCs w:val="16"/>
        <w:lang w:val="it-IT"/>
      </w:rPr>
      <w:t>Tel</w:t>
    </w:r>
    <w:proofErr w:type="spellEnd"/>
    <w:r>
      <w:rPr>
        <w:rFonts w:ascii="Arial" w:hAnsi="Arial" w:cs="Arial"/>
        <w:sz w:val="16"/>
        <w:szCs w:val="16"/>
        <w:lang w:val="it-IT"/>
      </w:rPr>
      <w:t xml:space="preserve">: +32 229-91111. Fax: +32 229-64301. E-mail: </w:t>
    </w:r>
    <w:hyperlink r:id="rId1" w:history="1">
      <w:r>
        <w:rPr>
          <w:rStyle w:val="Hyperlink"/>
          <w:rFonts w:ascii="Arial" w:hAnsi="Arial" w:cs="Arial"/>
          <w:sz w:val="16"/>
          <w:szCs w:val="16"/>
          <w:lang w:val="it-IT"/>
        </w:rPr>
        <w:t>COMP-MERGER-REGISTRY@ec.europa.eu</w:t>
      </w:r>
    </w:hyperlink>
    <w:r>
      <w:rPr>
        <w:rFonts w:ascii="Arial" w:hAnsi="Arial" w:cs="Arial"/>
        <w:sz w:val="16"/>
        <w:szCs w:val="16"/>
        <w:lang w:val="it-I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E325F" w14:textId="77777777" w:rsidR="00F44FC9" w:rsidRDefault="00F44FC9" w:rsidP="00211121">
      <w:pPr>
        <w:spacing w:after="120"/>
      </w:pPr>
      <w:r>
        <w:separator/>
      </w:r>
    </w:p>
  </w:footnote>
  <w:footnote w:type="continuationSeparator" w:id="0">
    <w:p w14:paraId="79D6F802" w14:textId="77777777" w:rsidR="00F44FC9" w:rsidRDefault="00F44FC9" w:rsidP="00211121">
      <w:pPr>
        <w:spacing w:after="120"/>
      </w:pPr>
      <w:r>
        <w:continuationSeparator/>
      </w:r>
    </w:p>
  </w:footnote>
  <w:footnote w:type="continuationNotice" w:id="1">
    <w:p w14:paraId="4CC0EC24" w14:textId="77777777" w:rsidR="00F44FC9" w:rsidRDefault="00F44FC9">
      <w:pPr>
        <w:spacing w:after="0"/>
      </w:pPr>
    </w:p>
  </w:footnote>
  <w:footnote w:id="2">
    <w:p w14:paraId="41682390" w14:textId="77777777" w:rsidR="00432752" w:rsidRPr="00C7278F" w:rsidRDefault="00432752" w:rsidP="004400CC">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OJ L 24, 29.1.2004, p. 1 (the 'Merger Regulation'). With effect from 1 December 2009, the Treaty on the Functioning of the European Union ('TFEU') has introduced certain changes, such as the replacement of 'Community' by 'Union' and 'common market' by 'internal market'. The terminology of the TFEU will be used throughout this decision.</w:t>
      </w:r>
    </w:p>
  </w:footnote>
  <w:footnote w:id="3">
    <w:p w14:paraId="41682391" w14:textId="77777777" w:rsidR="00432752" w:rsidRPr="00C7278F" w:rsidRDefault="00432752" w:rsidP="004400CC">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OJ L 1, 3.1.1994, p. 3 (the "EEA Agreement").</w:t>
      </w:r>
    </w:p>
  </w:footnote>
  <w:footnote w:id="4">
    <w:p w14:paraId="41682392" w14:textId="77777777" w:rsidR="00432752" w:rsidRPr="0079457E" w:rsidRDefault="00432752" w:rsidP="004400CC">
      <w:pPr>
        <w:pStyle w:val="FootnoteText"/>
        <w:tabs>
          <w:tab w:val="left" w:pos="567"/>
        </w:tabs>
        <w:spacing w:after="0"/>
        <w:ind w:left="567" w:hanging="567"/>
      </w:pPr>
      <w:r w:rsidRPr="00E77288">
        <w:rPr>
          <w:rStyle w:val="FootnoteReference"/>
        </w:rPr>
        <w:footnoteRef/>
      </w:r>
      <w:r w:rsidRPr="00C7278F">
        <w:rPr>
          <w:rStyle w:val="FootnoteReference"/>
        </w:rPr>
        <w:t xml:space="preserve"> </w:t>
      </w:r>
      <w:r w:rsidRPr="00C7278F">
        <w:rPr>
          <w:rStyle w:val="FootnoteReference"/>
        </w:rPr>
        <w:tab/>
        <w:t>Publication in the Official Journal of the European Union No C 334, 10.09.2016, p. 8.</w:t>
      </w:r>
    </w:p>
  </w:footnote>
  <w:footnote w:id="5">
    <w:p w14:paraId="41682393" w14:textId="77777777" w:rsidR="00432752" w:rsidRPr="00C7278F" w:rsidRDefault="00432752" w:rsidP="00E62295">
      <w:pPr>
        <w:pStyle w:val="FootnoteText"/>
        <w:tabs>
          <w:tab w:val="left" w:pos="567"/>
        </w:tabs>
        <w:spacing w:after="0"/>
        <w:ind w:left="567" w:hanging="567"/>
        <w:rPr>
          <w:rStyle w:val="FootnoteReference"/>
        </w:rPr>
      </w:pPr>
      <w:r>
        <w:rPr>
          <w:rStyle w:val="FootnoteReference"/>
        </w:rPr>
        <w:footnoteRef/>
      </w:r>
      <w:r>
        <w:t xml:space="preserve"> </w:t>
      </w:r>
      <w:r w:rsidRPr="00061F52">
        <w:tab/>
      </w:r>
      <w:r w:rsidRPr="00EA4D07">
        <w:rPr>
          <w:rStyle w:val="FootnoteReference"/>
        </w:rPr>
        <w:t>Annex 3.1.3 to the Form CO</w:t>
      </w:r>
      <w:r>
        <w:rPr>
          <w:rStyle w:val="FootnoteReference"/>
        </w:rPr>
        <w:t xml:space="preserve">, </w:t>
      </w:r>
      <w:r w:rsidRPr="00EA4D07">
        <w:rPr>
          <w:rStyle w:val="FootnoteReference"/>
        </w:rPr>
        <w:t xml:space="preserve">Recommended Cash Offer for Premier </w:t>
      </w:r>
      <w:proofErr w:type="spellStart"/>
      <w:r w:rsidRPr="00EA4D07">
        <w:rPr>
          <w:rStyle w:val="FootnoteReference"/>
        </w:rPr>
        <w:t>Farnell</w:t>
      </w:r>
      <w:proofErr w:type="spellEnd"/>
      <w:r w:rsidRPr="00EA4D07">
        <w:rPr>
          <w:rStyle w:val="FootnoteReference"/>
        </w:rPr>
        <w:t xml:space="preserve"> plc (“Premier </w:t>
      </w:r>
      <w:proofErr w:type="spellStart"/>
      <w:r w:rsidRPr="00EA4D07">
        <w:rPr>
          <w:rStyle w:val="FootnoteReference"/>
        </w:rPr>
        <w:t>Farnell</w:t>
      </w:r>
      <w:proofErr w:type="spellEnd"/>
      <w:r w:rsidRPr="00EA4D07">
        <w:rPr>
          <w:rStyle w:val="FootnoteReference"/>
        </w:rPr>
        <w:t>”) by Avnet, Inc. (“Avnet”) or a wholly owned subsidiary of Avnet to be effected by means of a scheme of arrangement under Part 26 of the Companies Act 2006</w:t>
      </w:r>
      <w:r w:rsidRPr="00537F78">
        <w:rPr>
          <w:rStyle w:val="FootnoteReference"/>
        </w:rPr>
        <w:t>.</w:t>
      </w:r>
    </w:p>
  </w:footnote>
  <w:footnote w:id="6">
    <w:p w14:paraId="41682394" w14:textId="77777777" w:rsidR="00432752" w:rsidRDefault="00432752" w:rsidP="004400CC">
      <w:pPr>
        <w:pStyle w:val="FootnoteText"/>
        <w:tabs>
          <w:tab w:val="left" w:pos="567"/>
        </w:tabs>
        <w:spacing w:after="0"/>
        <w:ind w:left="567" w:hanging="567"/>
      </w:pPr>
      <w:r>
        <w:rPr>
          <w:rStyle w:val="FootnoteReference"/>
        </w:rPr>
        <w:footnoteRef/>
      </w:r>
      <w:r w:rsidRPr="00C7278F">
        <w:rPr>
          <w:rStyle w:val="FootnoteReference"/>
        </w:rPr>
        <w:t xml:space="preserve"> </w:t>
      </w:r>
      <w:r w:rsidRPr="00C7278F">
        <w:rPr>
          <w:rStyle w:val="FootnoteReference"/>
        </w:rPr>
        <w:tab/>
        <w:t>Turnover calculated in accordance with Article 5 of the Merger Regulation.</w:t>
      </w:r>
    </w:p>
  </w:footnote>
  <w:footnote w:id="7">
    <w:p w14:paraId="41682395" w14:textId="77777777" w:rsidR="00432752" w:rsidRPr="00C7278F" w:rsidRDefault="00432752" w:rsidP="00CB4BE2">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 xml:space="preserve">Semiconductors are materials which have conductivity between conductors (metals) and non-conductors or insulators. They conduct electricity under some conditions but not others, allowing them to be used as a medium for controlling electronic currents. They are used extensively in the manufacture of electronic devices. There are a wide variety of semiconductors including </w:t>
      </w:r>
      <w:proofErr w:type="spellStart"/>
      <w:r w:rsidRPr="00C7278F">
        <w:rPr>
          <w:rStyle w:val="FootnoteReference"/>
        </w:rPr>
        <w:t>discretes</w:t>
      </w:r>
      <w:proofErr w:type="spellEnd"/>
      <w:r w:rsidRPr="00C7278F">
        <w:rPr>
          <w:rStyle w:val="FootnoteReference"/>
        </w:rPr>
        <w:t>, analogue IC semiconductors, programmable logic semiconductors, MOS Micro Logic devices and memory devices.</w:t>
      </w:r>
    </w:p>
  </w:footnote>
  <w:footnote w:id="8">
    <w:p w14:paraId="41682396" w14:textId="77777777" w:rsidR="00432752" w:rsidRPr="00C7278F" w:rsidRDefault="00432752" w:rsidP="00CB4BE2">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Passive components ("passives") cannot introduce net energy into a circuit. They are defensive components. These include capacitors (which store and release electronic charge), resistors (which oppose the flow of current) and electronic filters (which perform signal processing).</w:t>
      </w:r>
    </w:p>
  </w:footnote>
  <w:footnote w:id="9">
    <w:p w14:paraId="41682397" w14:textId="77777777" w:rsidR="00432752" w:rsidRPr="00C7278F" w:rsidRDefault="00432752" w:rsidP="00CB4BE2">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E-</w:t>
      </w:r>
      <w:proofErr w:type="spellStart"/>
      <w:r w:rsidRPr="00C7278F">
        <w:rPr>
          <w:rStyle w:val="FootnoteReference"/>
        </w:rPr>
        <w:t>Mech</w:t>
      </w:r>
      <w:proofErr w:type="spellEnd"/>
      <w:r w:rsidRPr="00C7278F">
        <w:rPr>
          <w:rStyle w:val="FootnoteReference"/>
        </w:rPr>
        <w:t xml:space="preserve"> can carry out electronic operations by using moving parts or by using electronic connections. E-</w:t>
      </w:r>
      <w:proofErr w:type="spellStart"/>
      <w:r w:rsidRPr="00C7278F">
        <w:rPr>
          <w:rStyle w:val="FootnoteReference"/>
        </w:rPr>
        <w:t>Mech</w:t>
      </w:r>
      <w:proofErr w:type="spellEnd"/>
      <w:r w:rsidRPr="00C7278F">
        <w:rPr>
          <w:rStyle w:val="FootnoteReference"/>
        </w:rPr>
        <w:t xml:space="preserve"> products include a wide range of components, including relays, switches, circuit protection devices (e.g., fuses), batteries, racks, etc. Many companies and market consultancies, including </w:t>
      </w:r>
      <w:proofErr w:type="spellStart"/>
      <w:r w:rsidRPr="00C7278F">
        <w:rPr>
          <w:rStyle w:val="FootnoteReference"/>
        </w:rPr>
        <w:t>Europartners</w:t>
      </w:r>
      <w:proofErr w:type="spellEnd"/>
      <w:r w:rsidRPr="00C7278F">
        <w:rPr>
          <w:rStyle w:val="FootnoteReference"/>
        </w:rPr>
        <w:t>, include interconnector sales within E-Mech. Interconnectors represent the largest category of E-</w:t>
      </w:r>
      <w:proofErr w:type="spellStart"/>
      <w:r w:rsidRPr="00C7278F">
        <w:rPr>
          <w:rStyle w:val="FootnoteReference"/>
        </w:rPr>
        <w:t>Mech</w:t>
      </w:r>
      <w:proofErr w:type="spellEnd"/>
      <w:r w:rsidRPr="00C7278F">
        <w:rPr>
          <w:rStyle w:val="FootnoteReference"/>
        </w:rPr>
        <w:t xml:space="preserve"> products.</w:t>
      </w:r>
    </w:p>
  </w:footnote>
  <w:footnote w:id="10">
    <w:p w14:paraId="41682398" w14:textId="77777777" w:rsidR="00432752" w:rsidRPr="00C7278F" w:rsidRDefault="00432752" w:rsidP="00CB4BE2">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Embedded systems are comprised of displays, computer boards and networking modules, together with the necessary software. The solution is then integrated into technology products.</w:t>
      </w:r>
    </w:p>
  </w:footnote>
  <w:footnote w:id="11">
    <w:p w14:paraId="41682399" w14:textId="77777777" w:rsidR="00432752" w:rsidRPr="00C7278F" w:rsidRDefault="00432752" w:rsidP="00CB4BE2">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 xml:space="preserve">Decision of 4 September 2013 in Case COMP/M.6863 - Avnet EMG/MSC </w:t>
      </w:r>
      <w:proofErr w:type="spellStart"/>
      <w:r w:rsidRPr="00C7278F">
        <w:rPr>
          <w:rStyle w:val="FootnoteReference"/>
        </w:rPr>
        <w:t>Investoren</w:t>
      </w:r>
      <w:proofErr w:type="spellEnd"/>
      <w:r w:rsidRPr="00C7278F">
        <w:rPr>
          <w:rStyle w:val="FootnoteReference"/>
        </w:rPr>
        <w:t>, paragraph 11, decision of 19 May 2008 in Case COMP/M.5099 - Arrow Electronics/</w:t>
      </w:r>
      <w:proofErr w:type="spellStart"/>
      <w:r w:rsidRPr="00C7278F">
        <w:rPr>
          <w:rStyle w:val="FootnoteReference"/>
        </w:rPr>
        <w:t>Logix</w:t>
      </w:r>
      <w:proofErr w:type="spellEnd"/>
      <w:r w:rsidRPr="00C7278F">
        <w:rPr>
          <w:rStyle w:val="FootnoteReference"/>
        </w:rPr>
        <w:t>, paragraph 18 and decision of 19 January 2009 in Case COMP M.5385 - Avnet/Abacus, paragraphs 8 to 16.</w:t>
      </w:r>
    </w:p>
  </w:footnote>
  <w:footnote w:id="12">
    <w:p w14:paraId="4168239A" w14:textId="437CE4EB" w:rsidR="00432752" w:rsidRPr="00A86E0F" w:rsidRDefault="00432752" w:rsidP="00615502">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 xml:space="preserve">According to the Notifying Party direct sales by </w:t>
      </w:r>
      <w:r w:rsidRPr="00A86E0F">
        <w:rPr>
          <w:rStyle w:val="FootnoteReference"/>
        </w:rPr>
        <w:t>manufacturers account for [70-80]% of sales of electronic components by value in the EEA, with distributor sales accounting for only</w:t>
      </w:r>
      <w:r w:rsidRPr="00A86E0F">
        <w:t xml:space="preserve"> </w:t>
      </w:r>
      <w:r w:rsidRPr="00A86E0F">
        <w:rPr>
          <w:rStyle w:val="FootnoteReference"/>
        </w:rPr>
        <w:t>[20-30]%.</w:t>
      </w:r>
    </w:p>
  </w:footnote>
  <w:footnote w:id="13">
    <w:p w14:paraId="4168239B" w14:textId="77777777" w:rsidR="00432752" w:rsidRPr="002E33E2" w:rsidRDefault="00432752" w:rsidP="00615502">
      <w:pPr>
        <w:pStyle w:val="FootnoteText"/>
        <w:tabs>
          <w:tab w:val="left" w:pos="567"/>
        </w:tabs>
        <w:spacing w:after="0"/>
        <w:ind w:left="567" w:hanging="567"/>
      </w:pPr>
      <w:r w:rsidRPr="00A86E0F">
        <w:rPr>
          <w:rStyle w:val="FootnoteReference"/>
        </w:rPr>
        <w:footnoteRef/>
      </w:r>
      <w:r w:rsidRPr="00A86E0F">
        <w:rPr>
          <w:rStyle w:val="FootnoteReference"/>
        </w:rPr>
        <w:t xml:space="preserve"> </w:t>
      </w:r>
      <w:r w:rsidRPr="00A86E0F">
        <w:rPr>
          <w:rStyle w:val="FootnoteReference"/>
        </w:rPr>
        <w:tab/>
        <w:t>Traditionally, distributors have had local sales forces in many territories, while manufacturers</w:t>
      </w:r>
      <w:r w:rsidRPr="00C7278F">
        <w:rPr>
          <w:rStyle w:val="FootnoteReference"/>
        </w:rPr>
        <w:t xml:space="preserve"> have not had a widespread local presence.</w:t>
      </w:r>
    </w:p>
  </w:footnote>
  <w:footnote w:id="14">
    <w:p w14:paraId="4168239C" w14:textId="77777777" w:rsidR="00432752" w:rsidRPr="00C7278F" w:rsidRDefault="00432752" w:rsidP="00C7278F">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Decision of 19 January 2009 in Case COMP M.5385 - Avnet/Abacus, paragraph 22.</w:t>
      </w:r>
    </w:p>
  </w:footnote>
  <w:footnote w:id="15">
    <w:p w14:paraId="4168239D" w14:textId="77777777" w:rsidR="00432752" w:rsidRPr="00C7278F" w:rsidRDefault="00432752" w:rsidP="00C7278F">
      <w:pPr>
        <w:pStyle w:val="FootnoteText"/>
        <w:tabs>
          <w:tab w:val="left" w:pos="567"/>
        </w:tabs>
        <w:spacing w:after="0"/>
        <w:ind w:left="567" w:hanging="567"/>
        <w:rPr>
          <w:rStyle w:val="FootnoteReference"/>
        </w:rPr>
      </w:pPr>
      <w:r w:rsidRPr="00C7278F">
        <w:rPr>
          <w:rStyle w:val="FootnoteReference"/>
        </w:rPr>
        <w:footnoteRef/>
      </w:r>
      <w:r w:rsidRPr="00C7278F">
        <w:rPr>
          <w:rStyle w:val="FootnoteReference"/>
        </w:rPr>
        <w:t xml:space="preserve"> </w:t>
      </w:r>
      <w:r w:rsidRPr="00C7278F">
        <w:rPr>
          <w:rStyle w:val="FootnoteReference"/>
        </w:rPr>
        <w:tab/>
        <w:t xml:space="preserve">Decision of 4 September 2013 in Case COMP/M.6863 - Avnet EMG/MSC </w:t>
      </w:r>
      <w:proofErr w:type="spellStart"/>
      <w:r w:rsidRPr="00C7278F">
        <w:rPr>
          <w:rStyle w:val="FootnoteReference"/>
        </w:rPr>
        <w:t>Investoren</w:t>
      </w:r>
      <w:proofErr w:type="spellEnd"/>
      <w:r w:rsidRPr="00C7278F">
        <w:rPr>
          <w:rStyle w:val="FootnoteReference"/>
        </w:rPr>
        <w:t>, paragraph 20.</w:t>
      </w:r>
    </w:p>
  </w:footnote>
  <w:footnote w:id="16">
    <w:p w14:paraId="4168239E" w14:textId="77777777" w:rsidR="00432752" w:rsidRPr="00C7278F" w:rsidRDefault="00432752" w:rsidP="00C7278F">
      <w:pPr>
        <w:pStyle w:val="FootnoteText"/>
        <w:tabs>
          <w:tab w:val="left" w:pos="567"/>
        </w:tabs>
        <w:spacing w:after="0"/>
        <w:ind w:left="567" w:hanging="567"/>
        <w:rPr>
          <w:rStyle w:val="FootnoteReference"/>
        </w:rPr>
      </w:pPr>
      <w:r w:rsidRPr="00C7278F">
        <w:rPr>
          <w:rStyle w:val="FootnoteReference"/>
        </w:rPr>
        <w:footnoteRef/>
      </w:r>
      <w:r w:rsidRPr="00C7278F">
        <w:rPr>
          <w:rStyle w:val="FootnoteReference"/>
        </w:rPr>
        <w:t xml:space="preserve"> </w:t>
      </w:r>
      <w:r w:rsidRPr="00C7278F">
        <w:rPr>
          <w:rStyle w:val="FootnoteReference"/>
        </w:rPr>
        <w:tab/>
        <w:t>See replies to questionnaire Q1 to competitors of 2 September 2016, question 19; questionnaire Q2 to customers of 2 September 2016 question 13; and questionnaire Q3 to suppliers of 2 September 2016, question 12.</w:t>
      </w:r>
    </w:p>
  </w:footnote>
  <w:footnote w:id="17">
    <w:p w14:paraId="4168239F" w14:textId="77777777" w:rsidR="00432752" w:rsidRPr="00C7278F" w:rsidRDefault="00432752" w:rsidP="00C7278F">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See replies to questionnaire Q1 to competitors of 2 September 2016, question 14; questionnaire Q2 to customers of 2 September 2016 question 10; and questionnaire Q3 to suppliers of 2 September 2016, question 13.</w:t>
      </w:r>
    </w:p>
  </w:footnote>
  <w:footnote w:id="18">
    <w:p w14:paraId="416823A0" w14:textId="77777777" w:rsidR="00432752" w:rsidRPr="00C7278F" w:rsidRDefault="00432752" w:rsidP="00C7278F">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See replies to questionnaire Q3 to suppliers of 2 September 2016, question 13.</w:t>
      </w:r>
    </w:p>
  </w:footnote>
  <w:footnote w:id="19">
    <w:p w14:paraId="416823A1" w14:textId="77777777" w:rsidR="00432752" w:rsidRPr="00C7278F" w:rsidRDefault="00432752" w:rsidP="00C7278F">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See replies to questionnaire Q2 to customers of 2 September 2016 question 10.</w:t>
      </w:r>
    </w:p>
  </w:footnote>
  <w:footnote w:id="20">
    <w:p w14:paraId="416823A2" w14:textId="77777777" w:rsidR="00432752" w:rsidRPr="00C7278F" w:rsidRDefault="00432752" w:rsidP="00C7278F">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See replies to questionnaire Q1 to competitors of 2 September 2016, question 21; questionnaire Q2 to customers of 2 September 2016 question 15; and questionnaire Q3 to suppliers of 2 September 2016, question 15.</w:t>
      </w:r>
    </w:p>
  </w:footnote>
  <w:footnote w:id="21">
    <w:p w14:paraId="416823A3" w14:textId="77777777" w:rsidR="00432752" w:rsidRPr="004400CC" w:rsidRDefault="00432752" w:rsidP="005D359E">
      <w:pPr>
        <w:pStyle w:val="FootnoteText"/>
        <w:tabs>
          <w:tab w:val="left" w:pos="567"/>
        </w:tabs>
        <w:spacing w:after="0"/>
        <w:ind w:left="567" w:hanging="567"/>
        <w:rPr>
          <w:rStyle w:val="FootnoteReference"/>
        </w:rPr>
      </w:pPr>
      <w:r>
        <w:rPr>
          <w:rStyle w:val="FootnoteReference"/>
        </w:rPr>
        <w:footnoteRef/>
      </w:r>
      <w:r w:rsidRPr="004400CC">
        <w:rPr>
          <w:rStyle w:val="FootnoteReference"/>
        </w:rPr>
        <w:t xml:space="preserve"> </w:t>
      </w:r>
      <w:r w:rsidRPr="004400CC">
        <w:rPr>
          <w:rStyle w:val="FootnoteReference"/>
        </w:rPr>
        <w:tab/>
        <w:t xml:space="preserve">Decision of 4 September 2013 in Case COMP/M.6863 - Avnet EMG/MSC </w:t>
      </w:r>
      <w:proofErr w:type="spellStart"/>
      <w:r w:rsidRPr="004400CC">
        <w:rPr>
          <w:rStyle w:val="FootnoteReference"/>
        </w:rPr>
        <w:t>Investoren</w:t>
      </w:r>
      <w:proofErr w:type="spellEnd"/>
      <w:r w:rsidRPr="004400CC">
        <w:rPr>
          <w:rStyle w:val="FootnoteReference"/>
        </w:rPr>
        <w:t>, paragraph 28.</w:t>
      </w:r>
    </w:p>
  </w:footnote>
  <w:footnote w:id="22">
    <w:p w14:paraId="416823A4" w14:textId="77777777" w:rsidR="00432752" w:rsidRPr="004400CC" w:rsidRDefault="00432752" w:rsidP="005D359E">
      <w:pPr>
        <w:pStyle w:val="FootnoteText"/>
        <w:tabs>
          <w:tab w:val="left" w:pos="567"/>
        </w:tabs>
        <w:spacing w:after="0"/>
        <w:ind w:left="567" w:hanging="567"/>
        <w:rPr>
          <w:rStyle w:val="FootnoteReference"/>
        </w:rPr>
      </w:pPr>
      <w:r>
        <w:rPr>
          <w:rStyle w:val="FootnoteReference"/>
        </w:rPr>
        <w:footnoteRef/>
      </w:r>
      <w:r w:rsidRPr="004400CC">
        <w:rPr>
          <w:rStyle w:val="FootnoteReference"/>
        </w:rPr>
        <w:t xml:space="preserve"> </w:t>
      </w:r>
      <w:r w:rsidRPr="004400CC">
        <w:rPr>
          <w:rStyle w:val="FootnoteReference"/>
        </w:rPr>
        <w:tab/>
        <w:t xml:space="preserve">Decision of 4 September 2013 in Case COMP/M.6863 - Avnet EMG/MSC </w:t>
      </w:r>
      <w:proofErr w:type="spellStart"/>
      <w:r w:rsidRPr="004400CC">
        <w:rPr>
          <w:rStyle w:val="FootnoteReference"/>
        </w:rPr>
        <w:t>Investoren</w:t>
      </w:r>
      <w:proofErr w:type="spellEnd"/>
      <w:r w:rsidRPr="004400CC">
        <w:rPr>
          <w:rStyle w:val="FootnoteReference"/>
        </w:rPr>
        <w:t>, paragraph 29.</w:t>
      </w:r>
    </w:p>
  </w:footnote>
  <w:footnote w:id="23">
    <w:p w14:paraId="416823A5" w14:textId="77777777" w:rsidR="00432752" w:rsidRPr="002E33E2" w:rsidRDefault="00432752" w:rsidP="00733B5A">
      <w:pPr>
        <w:pStyle w:val="FootnoteText"/>
        <w:tabs>
          <w:tab w:val="left" w:pos="567"/>
        </w:tabs>
        <w:spacing w:after="0"/>
        <w:ind w:left="567" w:hanging="567"/>
      </w:pPr>
      <w:r>
        <w:rPr>
          <w:rStyle w:val="FootnoteReference"/>
        </w:rPr>
        <w:footnoteRef/>
      </w:r>
      <w:r w:rsidRPr="004400CC">
        <w:rPr>
          <w:rStyle w:val="FootnoteReference"/>
        </w:rPr>
        <w:t xml:space="preserve"> </w:t>
      </w:r>
      <w:r w:rsidRPr="004400CC">
        <w:rPr>
          <w:rStyle w:val="FootnoteReference"/>
        </w:rPr>
        <w:tab/>
        <w:t xml:space="preserve">Decision of 4 September 2013 in Case COMP/M.6863 - Avnet EMG/MSC </w:t>
      </w:r>
      <w:proofErr w:type="spellStart"/>
      <w:r w:rsidRPr="004400CC">
        <w:rPr>
          <w:rStyle w:val="FootnoteReference"/>
        </w:rPr>
        <w:t>Investoren</w:t>
      </w:r>
      <w:proofErr w:type="spellEnd"/>
      <w:r w:rsidRPr="004400CC">
        <w:rPr>
          <w:rStyle w:val="FootnoteReference"/>
        </w:rPr>
        <w:t>, paragraphs 28-29. See also Decision of 19 January 2009 in Case COMP M.5385 - Avnet/Abacus, paragraph 10.</w:t>
      </w:r>
    </w:p>
  </w:footnote>
  <w:footnote w:id="24">
    <w:p w14:paraId="416823A6" w14:textId="77777777" w:rsidR="00432752" w:rsidRPr="004400CC" w:rsidRDefault="00432752" w:rsidP="004400CC">
      <w:pPr>
        <w:pStyle w:val="FootnoteText"/>
        <w:tabs>
          <w:tab w:val="left" w:pos="567"/>
        </w:tabs>
        <w:spacing w:after="0"/>
        <w:ind w:left="567" w:hanging="567"/>
        <w:rPr>
          <w:rStyle w:val="FootnoteReference"/>
        </w:rPr>
      </w:pPr>
      <w:r>
        <w:rPr>
          <w:rStyle w:val="FootnoteReference"/>
        </w:rPr>
        <w:footnoteRef/>
      </w:r>
      <w:r w:rsidRPr="004400CC">
        <w:rPr>
          <w:rStyle w:val="FootnoteReference"/>
        </w:rPr>
        <w:t xml:space="preserve"> </w:t>
      </w:r>
      <w:r>
        <w:tab/>
      </w:r>
      <w:r w:rsidRPr="004400CC">
        <w:rPr>
          <w:rStyle w:val="FootnoteReference"/>
        </w:rPr>
        <w:t>See replies to questionnaire Q1 to competitors of 2 September 2016, question 5; questionnaire Q2 to customers of 2 September 2016 question 5; and questionnaire Q3 to suppliers of 2 September 2016, question 5.</w:t>
      </w:r>
    </w:p>
  </w:footnote>
  <w:footnote w:id="25">
    <w:p w14:paraId="416823A7" w14:textId="77777777" w:rsidR="00432752" w:rsidRPr="004400CC" w:rsidRDefault="00432752" w:rsidP="004400CC">
      <w:pPr>
        <w:pStyle w:val="FootnoteText"/>
        <w:tabs>
          <w:tab w:val="left" w:pos="567"/>
        </w:tabs>
        <w:spacing w:after="0"/>
        <w:ind w:left="567" w:hanging="567"/>
        <w:rPr>
          <w:rStyle w:val="FootnoteReference"/>
        </w:rPr>
      </w:pPr>
      <w:r>
        <w:rPr>
          <w:rStyle w:val="FootnoteReference"/>
        </w:rPr>
        <w:footnoteRef/>
      </w:r>
      <w:r w:rsidRPr="004400CC">
        <w:rPr>
          <w:rStyle w:val="FootnoteReference"/>
        </w:rPr>
        <w:t xml:space="preserve"> </w:t>
      </w:r>
      <w:r>
        <w:tab/>
      </w:r>
      <w:r w:rsidRPr="004400CC">
        <w:rPr>
          <w:rStyle w:val="FootnoteReference"/>
        </w:rPr>
        <w:t>See replies to questionnaire Q1 to competitors of 2 September 2016, question 6; questionnaire Q2 to customers of 2 September 2016 question 6; and questionnaire Q3 to suppliers of 2 September 2016, question 6.</w:t>
      </w:r>
    </w:p>
  </w:footnote>
  <w:footnote w:id="26">
    <w:p w14:paraId="416823A8" w14:textId="77777777" w:rsidR="00432752" w:rsidRPr="004400CC" w:rsidRDefault="00432752" w:rsidP="004400CC">
      <w:pPr>
        <w:pStyle w:val="FootnoteText"/>
        <w:tabs>
          <w:tab w:val="left" w:pos="567"/>
        </w:tabs>
        <w:spacing w:after="0"/>
        <w:ind w:left="567" w:hanging="567"/>
        <w:rPr>
          <w:rStyle w:val="FootnoteReference"/>
        </w:rPr>
      </w:pPr>
      <w:r>
        <w:rPr>
          <w:rStyle w:val="FootnoteReference"/>
        </w:rPr>
        <w:footnoteRef/>
      </w:r>
      <w:r w:rsidRPr="004400CC">
        <w:rPr>
          <w:rStyle w:val="FootnoteReference"/>
        </w:rPr>
        <w:t xml:space="preserve"> </w:t>
      </w:r>
      <w:r>
        <w:tab/>
      </w:r>
      <w:r w:rsidRPr="004400CC">
        <w:rPr>
          <w:rStyle w:val="FootnoteReference"/>
        </w:rPr>
        <w:t>See replies to questionnaire Q1 to competitors of 2 September 2016, question 7 and questionnaire Q2 to customers of 2 September 2016 question 7.</w:t>
      </w:r>
    </w:p>
  </w:footnote>
  <w:footnote w:id="27">
    <w:p w14:paraId="416823A9" w14:textId="77777777" w:rsidR="00432752" w:rsidRPr="004400CC" w:rsidRDefault="00432752" w:rsidP="004400CC">
      <w:pPr>
        <w:pStyle w:val="FootnoteText"/>
        <w:tabs>
          <w:tab w:val="left" w:pos="567"/>
        </w:tabs>
        <w:spacing w:after="0"/>
        <w:ind w:left="567" w:hanging="567"/>
        <w:rPr>
          <w:rStyle w:val="FootnoteReference"/>
        </w:rPr>
      </w:pPr>
      <w:r>
        <w:rPr>
          <w:rStyle w:val="FootnoteReference"/>
        </w:rPr>
        <w:footnoteRef/>
      </w:r>
      <w:r w:rsidRPr="004400CC">
        <w:rPr>
          <w:rStyle w:val="FootnoteReference"/>
        </w:rPr>
        <w:t xml:space="preserve"> </w:t>
      </w:r>
      <w:r>
        <w:tab/>
      </w:r>
      <w:r w:rsidRPr="004400CC">
        <w:rPr>
          <w:rStyle w:val="FootnoteReference"/>
        </w:rPr>
        <w:t>See replies to questionnaire Q1 to competitors of 2 September 2016, question 8; questionnaire Q2 to customers of 2 September 2016 question 8; and questionnaire Q3 to suppliers of 2 September 2016, question 7.</w:t>
      </w:r>
    </w:p>
  </w:footnote>
  <w:footnote w:id="28">
    <w:p w14:paraId="416823AA" w14:textId="77777777" w:rsidR="00432752" w:rsidRPr="004400CC" w:rsidRDefault="00432752" w:rsidP="004400CC">
      <w:pPr>
        <w:pStyle w:val="FootnoteText"/>
        <w:tabs>
          <w:tab w:val="left" w:pos="567"/>
        </w:tabs>
        <w:spacing w:after="0"/>
        <w:ind w:left="567" w:hanging="567"/>
        <w:rPr>
          <w:rStyle w:val="FootnoteReference"/>
        </w:rPr>
      </w:pPr>
      <w:r>
        <w:rPr>
          <w:rStyle w:val="FootnoteReference"/>
        </w:rPr>
        <w:footnoteRef/>
      </w:r>
      <w:r w:rsidRPr="004400CC">
        <w:rPr>
          <w:rStyle w:val="FootnoteReference"/>
        </w:rPr>
        <w:t xml:space="preserve"> </w:t>
      </w:r>
      <w:r>
        <w:tab/>
      </w:r>
      <w:r w:rsidRPr="004400CC">
        <w:rPr>
          <w:rStyle w:val="FootnoteReference"/>
        </w:rPr>
        <w:t>See replies to questionnaire Q1 to competitors of 2 September 2016, question 13.</w:t>
      </w:r>
    </w:p>
  </w:footnote>
  <w:footnote w:id="29">
    <w:p w14:paraId="416823AB" w14:textId="77777777" w:rsidR="00432752" w:rsidRPr="004400CC" w:rsidRDefault="00432752" w:rsidP="004400CC">
      <w:pPr>
        <w:pStyle w:val="FootnoteText"/>
        <w:tabs>
          <w:tab w:val="left" w:pos="567"/>
        </w:tabs>
        <w:spacing w:after="0"/>
        <w:ind w:left="567" w:hanging="567"/>
        <w:rPr>
          <w:rStyle w:val="FootnoteReference"/>
        </w:rPr>
      </w:pPr>
      <w:r>
        <w:rPr>
          <w:rStyle w:val="FootnoteReference"/>
        </w:rPr>
        <w:footnoteRef/>
      </w:r>
      <w:r w:rsidRPr="004400CC">
        <w:rPr>
          <w:rStyle w:val="FootnoteReference"/>
        </w:rPr>
        <w:t xml:space="preserve"> </w:t>
      </w:r>
      <w:r>
        <w:rPr>
          <w:rStyle w:val="FootnoteReference"/>
        </w:rPr>
        <w:tab/>
      </w:r>
      <w:r w:rsidRPr="004400CC">
        <w:rPr>
          <w:rStyle w:val="FootnoteReference"/>
        </w:rPr>
        <w:t>See replies to questionnaire Q1 to competitors of 2 September 2016, question 10.</w:t>
      </w:r>
    </w:p>
  </w:footnote>
  <w:footnote w:id="30">
    <w:p w14:paraId="416823AC" w14:textId="77777777" w:rsidR="00432752" w:rsidRPr="00E10FEE" w:rsidRDefault="00432752" w:rsidP="004400CC">
      <w:pPr>
        <w:pStyle w:val="FootnoteText"/>
        <w:tabs>
          <w:tab w:val="left" w:pos="567"/>
        </w:tabs>
        <w:spacing w:after="0"/>
        <w:ind w:left="567" w:hanging="567"/>
      </w:pPr>
      <w:r>
        <w:rPr>
          <w:rStyle w:val="FootnoteReference"/>
        </w:rPr>
        <w:footnoteRef/>
      </w:r>
      <w:r w:rsidRPr="004400CC">
        <w:rPr>
          <w:rStyle w:val="FootnoteReference"/>
        </w:rPr>
        <w:t xml:space="preserve"> </w:t>
      </w:r>
      <w:r>
        <w:tab/>
      </w:r>
      <w:r w:rsidRPr="004400CC">
        <w:rPr>
          <w:rStyle w:val="FootnoteReference"/>
        </w:rPr>
        <w:t>See replies to questionnaire Q1 to competitors of 2 September 2016, question 12.</w:t>
      </w:r>
    </w:p>
  </w:footnote>
  <w:footnote w:id="31">
    <w:p w14:paraId="416823AD" w14:textId="77777777" w:rsidR="00432752" w:rsidRPr="00EA4D07" w:rsidRDefault="00432752" w:rsidP="00EF4B4B">
      <w:pPr>
        <w:pStyle w:val="FootnoteText"/>
        <w:tabs>
          <w:tab w:val="left" w:pos="567"/>
        </w:tabs>
        <w:spacing w:after="0"/>
        <w:ind w:left="567" w:hanging="567"/>
        <w:rPr>
          <w:rStyle w:val="FootnoteReference"/>
        </w:rPr>
      </w:pPr>
      <w:r>
        <w:rPr>
          <w:rStyle w:val="FootnoteReference"/>
        </w:rPr>
        <w:footnoteRef/>
      </w:r>
      <w:r>
        <w:t xml:space="preserve"> </w:t>
      </w:r>
      <w:r>
        <w:tab/>
      </w:r>
      <w:r w:rsidRPr="00EA4D07">
        <w:rPr>
          <w:rStyle w:val="FootnoteReference"/>
        </w:rPr>
        <w:t>Form CO, paragraphs 314 to 323 and 351 to 355.</w:t>
      </w:r>
    </w:p>
  </w:footnote>
  <w:footnote w:id="32">
    <w:p w14:paraId="416823AE" w14:textId="77777777" w:rsidR="00432752" w:rsidRPr="00C7278F" w:rsidRDefault="00432752" w:rsidP="005F39D3">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Decision of 19 January 2009 in Case COMP M.5385 - Avnet/Abacus, paragraph 2</w:t>
      </w:r>
      <w:r w:rsidRPr="000023F7">
        <w:rPr>
          <w:rStyle w:val="FootnoteReference"/>
        </w:rPr>
        <w:t>3</w:t>
      </w:r>
      <w:r w:rsidRPr="00C7278F">
        <w:rPr>
          <w:rStyle w:val="FootnoteReference"/>
        </w:rPr>
        <w:t>.</w:t>
      </w:r>
    </w:p>
  </w:footnote>
  <w:footnote w:id="33">
    <w:p w14:paraId="416823AF" w14:textId="77777777" w:rsidR="00432752" w:rsidRPr="004400CC" w:rsidRDefault="00432752" w:rsidP="006271E0">
      <w:pPr>
        <w:pStyle w:val="FootnoteText"/>
        <w:tabs>
          <w:tab w:val="left" w:pos="567"/>
        </w:tabs>
        <w:spacing w:after="0"/>
        <w:ind w:left="567" w:hanging="567"/>
        <w:rPr>
          <w:rStyle w:val="FootnoteReference"/>
        </w:rPr>
      </w:pPr>
      <w:r>
        <w:rPr>
          <w:rStyle w:val="FootnoteReference"/>
        </w:rPr>
        <w:footnoteRef/>
      </w:r>
      <w:r>
        <w:t xml:space="preserve"> </w:t>
      </w:r>
      <w:r>
        <w:tab/>
      </w:r>
      <w:r w:rsidRPr="004400CC">
        <w:rPr>
          <w:rStyle w:val="FootnoteReference"/>
        </w:rPr>
        <w:t>A</w:t>
      </w:r>
      <w:r w:rsidRPr="000023F7">
        <w:rPr>
          <w:rStyle w:val="FootnoteReference"/>
        </w:rPr>
        <w:t>ccording to the Notifying Party, a</w:t>
      </w:r>
      <w:r w:rsidRPr="004400CC">
        <w:rPr>
          <w:rStyle w:val="FootnoteReference"/>
        </w:rPr>
        <w:t xml:space="preserve"> “line card” does not contain detailed technical product information or price information. Moreover, the line cards of high volume distributors typically list a much smaller selection of components than catalogues. They are intended to quickly inform the customer about the franchises and product types and technologies offered by the distributor.</w:t>
      </w:r>
    </w:p>
  </w:footnote>
  <w:footnote w:id="34">
    <w:p w14:paraId="416823B0" w14:textId="77777777" w:rsidR="00432752" w:rsidRPr="00EA4D07" w:rsidRDefault="00432752" w:rsidP="00EF4B4B">
      <w:pPr>
        <w:pStyle w:val="FootnoteText"/>
        <w:tabs>
          <w:tab w:val="left" w:pos="567"/>
        </w:tabs>
        <w:spacing w:after="0"/>
        <w:ind w:left="567" w:hanging="567"/>
        <w:rPr>
          <w:lang w:val="pl-PL"/>
        </w:rPr>
      </w:pPr>
      <w:r>
        <w:rPr>
          <w:rStyle w:val="FootnoteReference"/>
        </w:rPr>
        <w:footnoteRef/>
      </w:r>
      <w:r w:rsidRPr="00EA4D07">
        <w:rPr>
          <w:rStyle w:val="FootnoteReference"/>
        </w:rPr>
        <w:t xml:space="preserve"> </w:t>
      </w:r>
      <w:r w:rsidRPr="00EA4D07">
        <w:rPr>
          <w:rStyle w:val="FootnoteReference"/>
        </w:rPr>
        <w:tab/>
        <w:t>Form CO, paragraph 178.</w:t>
      </w:r>
    </w:p>
  </w:footnote>
  <w:footnote w:id="35">
    <w:p w14:paraId="416823B1" w14:textId="77777777" w:rsidR="00432752" w:rsidRPr="00EA4D07" w:rsidRDefault="00432752" w:rsidP="00CC1DED">
      <w:pPr>
        <w:pStyle w:val="FootnoteText"/>
        <w:tabs>
          <w:tab w:val="left" w:pos="567"/>
        </w:tabs>
        <w:spacing w:after="0"/>
        <w:ind w:left="567" w:hanging="567"/>
        <w:rPr>
          <w:rStyle w:val="FootnoteReference"/>
          <w:lang w:val="pl-PL"/>
        </w:rPr>
      </w:pPr>
      <w:r>
        <w:rPr>
          <w:rStyle w:val="FootnoteReference"/>
        </w:rPr>
        <w:footnoteRef/>
      </w:r>
      <w:r w:rsidRPr="00EA4D07">
        <w:rPr>
          <w:lang w:val="pl-PL"/>
        </w:rPr>
        <w:t xml:space="preserve"> </w:t>
      </w:r>
      <w:r w:rsidRPr="00EA4D07">
        <w:rPr>
          <w:lang w:val="pl-PL"/>
        </w:rPr>
        <w:tab/>
      </w:r>
      <w:proofErr w:type="spellStart"/>
      <w:r w:rsidRPr="00EA4D07">
        <w:rPr>
          <w:rStyle w:val="FootnoteReference"/>
          <w:lang w:val="pl-PL"/>
        </w:rPr>
        <w:t>Decision</w:t>
      </w:r>
      <w:proofErr w:type="spellEnd"/>
      <w:r w:rsidRPr="00EA4D07">
        <w:rPr>
          <w:rStyle w:val="FootnoteReference"/>
          <w:lang w:val="pl-PL"/>
        </w:rPr>
        <w:t xml:space="preserve"> of 4 </w:t>
      </w:r>
      <w:proofErr w:type="spellStart"/>
      <w:r w:rsidRPr="00EA4D07">
        <w:rPr>
          <w:rStyle w:val="FootnoteReference"/>
          <w:lang w:val="pl-PL"/>
        </w:rPr>
        <w:t>September</w:t>
      </w:r>
      <w:proofErr w:type="spellEnd"/>
      <w:r w:rsidRPr="00EA4D07">
        <w:rPr>
          <w:rStyle w:val="FootnoteReference"/>
          <w:lang w:val="pl-PL"/>
        </w:rPr>
        <w:t xml:space="preserve"> 2013 in Case COMP/M.6863 - </w:t>
      </w:r>
      <w:proofErr w:type="spellStart"/>
      <w:r w:rsidRPr="00EA4D07">
        <w:rPr>
          <w:rStyle w:val="FootnoteReference"/>
          <w:lang w:val="pl-PL"/>
        </w:rPr>
        <w:t>Avnet</w:t>
      </w:r>
      <w:proofErr w:type="spellEnd"/>
      <w:r w:rsidRPr="00EA4D07">
        <w:rPr>
          <w:rStyle w:val="FootnoteReference"/>
          <w:lang w:val="pl-PL"/>
        </w:rPr>
        <w:t xml:space="preserve"> EMG/MSC </w:t>
      </w:r>
      <w:proofErr w:type="spellStart"/>
      <w:r w:rsidRPr="00EA4D07">
        <w:rPr>
          <w:rStyle w:val="FootnoteReference"/>
          <w:lang w:val="pl-PL"/>
        </w:rPr>
        <w:t>Investoren</w:t>
      </w:r>
      <w:proofErr w:type="spellEnd"/>
      <w:r w:rsidRPr="00EA4D07">
        <w:rPr>
          <w:rStyle w:val="FootnoteReference"/>
          <w:lang w:val="pl-PL"/>
        </w:rPr>
        <w:t xml:space="preserve">, </w:t>
      </w:r>
      <w:proofErr w:type="spellStart"/>
      <w:r w:rsidRPr="00EA4D07">
        <w:rPr>
          <w:rStyle w:val="FootnoteReference"/>
          <w:lang w:val="pl-PL"/>
        </w:rPr>
        <w:t>paragraphs</w:t>
      </w:r>
      <w:proofErr w:type="spellEnd"/>
      <w:r w:rsidRPr="00EA4D07">
        <w:rPr>
          <w:rStyle w:val="FootnoteReference"/>
          <w:lang w:val="pl-PL"/>
        </w:rPr>
        <w:t xml:space="preserve"> 34-37 and </w:t>
      </w:r>
      <w:proofErr w:type="spellStart"/>
      <w:r w:rsidRPr="00EA4D07">
        <w:rPr>
          <w:rStyle w:val="FootnoteReference"/>
          <w:lang w:val="pl-PL"/>
        </w:rPr>
        <w:t>decision</w:t>
      </w:r>
      <w:proofErr w:type="spellEnd"/>
      <w:r w:rsidRPr="00EA4D07">
        <w:rPr>
          <w:rStyle w:val="FootnoteReference"/>
          <w:lang w:val="pl-PL"/>
        </w:rPr>
        <w:t xml:space="preserve"> of 19 January 2009 in Case COMP M.5385 - </w:t>
      </w:r>
      <w:proofErr w:type="spellStart"/>
      <w:r w:rsidRPr="00EA4D07">
        <w:rPr>
          <w:rStyle w:val="FootnoteReference"/>
          <w:lang w:val="pl-PL"/>
        </w:rPr>
        <w:t>Avnet</w:t>
      </w:r>
      <w:proofErr w:type="spellEnd"/>
      <w:r w:rsidRPr="00EA4D07">
        <w:rPr>
          <w:rStyle w:val="FootnoteReference"/>
          <w:lang w:val="pl-PL"/>
        </w:rPr>
        <w:t>/</w:t>
      </w:r>
      <w:proofErr w:type="spellStart"/>
      <w:r w:rsidRPr="00EA4D07">
        <w:rPr>
          <w:rStyle w:val="FootnoteReference"/>
          <w:lang w:val="pl-PL"/>
        </w:rPr>
        <w:t>Abacus</w:t>
      </w:r>
      <w:proofErr w:type="spellEnd"/>
      <w:r w:rsidRPr="00EA4D07">
        <w:rPr>
          <w:rStyle w:val="FootnoteReference"/>
          <w:lang w:val="pl-PL"/>
        </w:rPr>
        <w:t xml:space="preserve">, </w:t>
      </w:r>
      <w:proofErr w:type="spellStart"/>
      <w:r w:rsidRPr="00EA4D07">
        <w:rPr>
          <w:rStyle w:val="FootnoteReference"/>
          <w:lang w:val="pl-PL"/>
        </w:rPr>
        <w:t>paragraph</w:t>
      </w:r>
      <w:proofErr w:type="spellEnd"/>
      <w:r w:rsidRPr="00EA4D07">
        <w:rPr>
          <w:rStyle w:val="FootnoteReference"/>
          <w:lang w:val="pl-PL"/>
        </w:rPr>
        <w:t xml:space="preserve"> 23-25.</w:t>
      </w:r>
    </w:p>
  </w:footnote>
  <w:footnote w:id="36">
    <w:p w14:paraId="416823B2" w14:textId="77777777" w:rsidR="00432752" w:rsidRPr="00C7278F" w:rsidRDefault="00432752" w:rsidP="001A15C7">
      <w:pPr>
        <w:pStyle w:val="FootnoteText"/>
        <w:tabs>
          <w:tab w:val="left" w:pos="567"/>
        </w:tabs>
        <w:spacing w:after="0"/>
        <w:ind w:left="567" w:hanging="567"/>
        <w:rPr>
          <w:rStyle w:val="FootnoteReference"/>
        </w:rPr>
      </w:pPr>
      <w:r>
        <w:rPr>
          <w:rStyle w:val="FootnoteReference"/>
        </w:rPr>
        <w:footnoteRef/>
      </w:r>
      <w:r w:rsidRPr="00C7278F">
        <w:rPr>
          <w:rStyle w:val="FootnoteReference"/>
        </w:rPr>
        <w:t xml:space="preserve"> </w:t>
      </w:r>
      <w:r w:rsidRPr="00C7278F">
        <w:rPr>
          <w:rStyle w:val="FootnoteReference"/>
        </w:rPr>
        <w:tab/>
        <w:t xml:space="preserve">Decision of 19 January 2009 in Case COMP M.5385 - Avnet/Abacus, paragraph </w:t>
      </w:r>
      <w:r>
        <w:rPr>
          <w:rStyle w:val="FootnoteReference"/>
        </w:rPr>
        <w:t>2</w:t>
      </w:r>
      <w:r w:rsidRPr="000023F7">
        <w:rPr>
          <w:rStyle w:val="FootnoteReference"/>
        </w:rPr>
        <w:t>4</w:t>
      </w:r>
      <w:r w:rsidRPr="00C7278F">
        <w:rPr>
          <w:rStyle w:val="FootnoteReference"/>
        </w:rPr>
        <w:t>.</w:t>
      </w:r>
    </w:p>
  </w:footnote>
  <w:footnote w:id="37">
    <w:p w14:paraId="416823B3" w14:textId="77777777" w:rsidR="00432752" w:rsidRPr="004400CC" w:rsidRDefault="00432752" w:rsidP="00EF2B8D">
      <w:pPr>
        <w:pStyle w:val="FootnoteText"/>
        <w:tabs>
          <w:tab w:val="left" w:pos="567"/>
        </w:tabs>
        <w:spacing w:after="0"/>
        <w:ind w:left="567" w:hanging="567"/>
        <w:rPr>
          <w:rStyle w:val="FootnoteReference"/>
        </w:rPr>
      </w:pPr>
      <w:r>
        <w:rPr>
          <w:rStyle w:val="FootnoteReference"/>
        </w:rPr>
        <w:footnoteRef/>
      </w:r>
      <w:r>
        <w:t xml:space="preserve"> </w:t>
      </w:r>
      <w:r w:rsidRPr="002E33E2">
        <w:tab/>
      </w:r>
      <w:r>
        <w:rPr>
          <w:rStyle w:val="FootnoteReference"/>
        </w:rPr>
        <w:t>D</w:t>
      </w:r>
      <w:r w:rsidRPr="0006061E">
        <w:rPr>
          <w:rStyle w:val="FootnoteReference"/>
        </w:rPr>
        <w:t>ecision</w:t>
      </w:r>
      <w:r w:rsidRPr="001915FF">
        <w:rPr>
          <w:rStyle w:val="FootnoteReference"/>
        </w:rPr>
        <w:t xml:space="preserve"> </w:t>
      </w:r>
      <w:r w:rsidRPr="00921082">
        <w:rPr>
          <w:rStyle w:val="FootnoteReference"/>
        </w:rPr>
        <w:t>of</w:t>
      </w:r>
      <w:r w:rsidRPr="001915FF">
        <w:rPr>
          <w:rStyle w:val="FootnoteReference"/>
        </w:rPr>
        <w:t xml:space="preserve"> </w:t>
      </w:r>
      <w:r w:rsidRPr="004400CC">
        <w:rPr>
          <w:rStyle w:val="FootnoteReference"/>
        </w:rPr>
        <w:t>19 January 2009 in Case COMP M.5385 - Avnet/Abacus, paragraph 25.</w:t>
      </w:r>
    </w:p>
  </w:footnote>
  <w:footnote w:id="38">
    <w:p w14:paraId="416823B4" w14:textId="77777777" w:rsidR="00432752" w:rsidRPr="00C7278F" w:rsidRDefault="00432752" w:rsidP="00CC1DED">
      <w:pPr>
        <w:pStyle w:val="FootnoteText"/>
        <w:tabs>
          <w:tab w:val="left" w:pos="567"/>
        </w:tabs>
        <w:spacing w:after="0"/>
        <w:ind w:left="567" w:hanging="567"/>
        <w:rPr>
          <w:rStyle w:val="FootnoteReference"/>
        </w:rPr>
      </w:pPr>
      <w:r w:rsidRPr="00C7278F">
        <w:rPr>
          <w:rStyle w:val="FootnoteReference"/>
        </w:rPr>
        <w:footnoteRef/>
      </w:r>
      <w:r w:rsidRPr="00C7278F">
        <w:rPr>
          <w:rStyle w:val="FootnoteReference"/>
        </w:rPr>
        <w:t xml:space="preserve"> </w:t>
      </w:r>
      <w:r w:rsidRPr="00C7278F">
        <w:rPr>
          <w:rStyle w:val="FootnoteReference"/>
        </w:rPr>
        <w:tab/>
        <w:t xml:space="preserve">Decision of 4 September 2013 in Case COMP/M.6863 - Avnet </w:t>
      </w:r>
      <w:r>
        <w:rPr>
          <w:rStyle w:val="FootnoteReference"/>
        </w:rPr>
        <w:t xml:space="preserve">EMG/MSC </w:t>
      </w:r>
      <w:proofErr w:type="spellStart"/>
      <w:r>
        <w:rPr>
          <w:rStyle w:val="FootnoteReference"/>
        </w:rPr>
        <w:t>Investoren</w:t>
      </w:r>
      <w:proofErr w:type="spellEnd"/>
      <w:r>
        <w:rPr>
          <w:rStyle w:val="FootnoteReference"/>
        </w:rPr>
        <w:t>, paragraph 36</w:t>
      </w:r>
      <w:r w:rsidRPr="00C7278F">
        <w:rPr>
          <w:rStyle w:val="FootnoteReference"/>
        </w:rPr>
        <w:t>.</w:t>
      </w:r>
    </w:p>
  </w:footnote>
  <w:footnote w:id="39">
    <w:p w14:paraId="416823B5" w14:textId="77777777" w:rsidR="00432752" w:rsidRPr="004400CC" w:rsidRDefault="00432752" w:rsidP="00CD4BC6">
      <w:pPr>
        <w:pStyle w:val="FootnoteText"/>
        <w:tabs>
          <w:tab w:val="left" w:pos="567"/>
        </w:tabs>
        <w:spacing w:after="0"/>
        <w:ind w:left="567" w:hanging="567"/>
        <w:rPr>
          <w:rStyle w:val="FootnoteReference"/>
        </w:rPr>
      </w:pPr>
      <w:r>
        <w:rPr>
          <w:rStyle w:val="FootnoteReference"/>
        </w:rPr>
        <w:footnoteRef/>
      </w:r>
      <w:r>
        <w:t xml:space="preserve"> </w:t>
      </w:r>
      <w:r w:rsidRPr="002E33E2">
        <w:tab/>
      </w:r>
      <w:r w:rsidRPr="004400CC">
        <w:rPr>
          <w:rStyle w:val="FootnoteReference"/>
        </w:rPr>
        <w:t xml:space="preserve">Decision </w:t>
      </w:r>
      <w:r w:rsidRPr="00A0319A">
        <w:rPr>
          <w:rStyle w:val="FootnoteReference"/>
        </w:rPr>
        <w:t xml:space="preserve">of 4 September 2013 in Case COMP/M.6863 - Avnet EMG/MSC </w:t>
      </w:r>
      <w:proofErr w:type="spellStart"/>
      <w:r w:rsidRPr="00A0319A">
        <w:rPr>
          <w:rStyle w:val="FootnoteReference"/>
        </w:rPr>
        <w:t>Investoren</w:t>
      </w:r>
      <w:proofErr w:type="spellEnd"/>
      <w:r w:rsidRPr="00A0319A">
        <w:rPr>
          <w:rStyle w:val="FootnoteReference"/>
        </w:rPr>
        <w:t>, paragraph 37</w:t>
      </w:r>
      <w:r w:rsidRPr="004400CC">
        <w:rPr>
          <w:rStyle w:val="FootnoteReference"/>
        </w:rPr>
        <w:t>.</w:t>
      </w:r>
    </w:p>
  </w:footnote>
  <w:footnote w:id="40">
    <w:p w14:paraId="416823B6" w14:textId="77777777" w:rsidR="00432752" w:rsidRPr="004400CC" w:rsidRDefault="00432752" w:rsidP="004400CC">
      <w:pPr>
        <w:pStyle w:val="FootnoteText"/>
        <w:tabs>
          <w:tab w:val="left" w:pos="567"/>
        </w:tabs>
        <w:spacing w:after="0"/>
        <w:ind w:left="567" w:hanging="567"/>
        <w:rPr>
          <w:rStyle w:val="FootnoteReference"/>
        </w:rPr>
      </w:pPr>
      <w:r>
        <w:rPr>
          <w:rStyle w:val="FootnoteReference"/>
        </w:rPr>
        <w:footnoteRef/>
      </w:r>
      <w:r w:rsidRPr="004400CC">
        <w:rPr>
          <w:rStyle w:val="FootnoteReference"/>
        </w:rPr>
        <w:t xml:space="preserve"> </w:t>
      </w:r>
      <w:r>
        <w:tab/>
      </w:r>
      <w:r w:rsidRPr="004400CC">
        <w:rPr>
          <w:rStyle w:val="FootnoteReference"/>
        </w:rPr>
        <w:t>See replies to questionnaire Q1 to competitors of 2 September 2016, question 15.</w:t>
      </w:r>
    </w:p>
  </w:footnote>
  <w:footnote w:id="41">
    <w:p w14:paraId="416823B7" w14:textId="77777777" w:rsidR="00432752" w:rsidRPr="004400CC" w:rsidRDefault="00432752" w:rsidP="004400CC">
      <w:pPr>
        <w:pStyle w:val="FootnoteText"/>
        <w:tabs>
          <w:tab w:val="left" w:pos="567"/>
        </w:tabs>
        <w:spacing w:after="0"/>
        <w:ind w:left="567" w:hanging="567"/>
        <w:rPr>
          <w:rStyle w:val="FootnoteReference"/>
        </w:rPr>
      </w:pPr>
      <w:r>
        <w:rPr>
          <w:rStyle w:val="FootnoteReference"/>
        </w:rPr>
        <w:footnoteRef/>
      </w:r>
      <w:r w:rsidRPr="004400CC">
        <w:rPr>
          <w:rStyle w:val="FootnoteReference"/>
        </w:rPr>
        <w:t xml:space="preserve"> </w:t>
      </w:r>
      <w:r>
        <w:tab/>
      </w:r>
      <w:r w:rsidRPr="004400CC">
        <w:rPr>
          <w:rStyle w:val="FootnoteReference"/>
        </w:rPr>
        <w:t>See replies to questionnaire Q1 to competitors of 2 September 2016, question 17.</w:t>
      </w:r>
    </w:p>
  </w:footnote>
  <w:footnote w:id="42">
    <w:p w14:paraId="416823B8" w14:textId="77777777" w:rsidR="00432752" w:rsidRDefault="00432752" w:rsidP="000E5F5F">
      <w:pPr>
        <w:pStyle w:val="FootnoteText"/>
        <w:spacing w:after="0"/>
        <w:ind w:left="567" w:hanging="567"/>
      </w:pPr>
      <w:r w:rsidRPr="000E5F5F">
        <w:rPr>
          <w:rStyle w:val="FootnoteReference"/>
        </w:rPr>
        <w:footnoteRef/>
      </w:r>
      <w:r w:rsidRPr="003A01EC">
        <w:t xml:space="preserve"> </w:t>
      </w:r>
      <w:r w:rsidRPr="003A01EC">
        <w:tab/>
      </w:r>
      <w:r>
        <w:t xml:space="preserve">See also Section </w:t>
      </w:r>
      <w:r>
        <w:fldChar w:fldCharType="begin"/>
      </w:r>
      <w:r>
        <w:instrText xml:space="preserve"> REF _Ref463360920 \r \h </w:instrText>
      </w:r>
      <w:r>
        <w:fldChar w:fldCharType="separate"/>
      </w:r>
      <w:r w:rsidR="00BA4E96">
        <w:t>5.1.1.2</w:t>
      </w:r>
      <w:r>
        <w:fldChar w:fldCharType="end"/>
      </w:r>
      <w:r>
        <w:t>.</w:t>
      </w:r>
    </w:p>
  </w:footnote>
  <w:footnote w:id="43">
    <w:p w14:paraId="416823B9" w14:textId="77777777" w:rsidR="00432752" w:rsidRPr="00537F78" w:rsidRDefault="00432752" w:rsidP="0099027C">
      <w:pPr>
        <w:pStyle w:val="FootnoteText"/>
        <w:tabs>
          <w:tab w:val="left" w:pos="567"/>
        </w:tabs>
        <w:spacing w:after="0"/>
        <w:ind w:left="567" w:hanging="567"/>
        <w:rPr>
          <w:rStyle w:val="FootnoteReference"/>
        </w:rPr>
      </w:pPr>
      <w:r>
        <w:rPr>
          <w:rStyle w:val="FootnoteReference"/>
        </w:rPr>
        <w:footnoteRef/>
      </w:r>
      <w:r w:rsidRPr="00537F78">
        <w:rPr>
          <w:rStyle w:val="FootnoteReference"/>
        </w:rPr>
        <w:t xml:space="preserve"> </w:t>
      </w:r>
      <w:r w:rsidRPr="00537F78">
        <w:rPr>
          <w:rStyle w:val="FootnoteReference"/>
        </w:rPr>
        <w:tab/>
      </w:r>
      <w:r w:rsidRPr="00537F78">
        <w:t>Form CO, paragraphs 77-79.</w:t>
      </w:r>
    </w:p>
  </w:footnote>
  <w:footnote w:id="44">
    <w:p w14:paraId="416823BA" w14:textId="77777777" w:rsidR="00432752" w:rsidRPr="00537F78" w:rsidRDefault="00432752" w:rsidP="00842AAA">
      <w:pPr>
        <w:pStyle w:val="FootnoteText"/>
        <w:tabs>
          <w:tab w:val="left" w:pos="567"/>
        </w:tabs>
        <w:spacing w:after="0"/>
        <w:ind w:left="567" w:hanging="567"/>
        <w:rPr>
          <w:rStyle w:val="FootnoteReference"/>
        </w:rPr>
      </w:pPr>
      <w:r>
        <w:rPr>
          <w:rStyle w:val="FootnoteReference"/>
        </w:rPr>
        <w:footnoteRef/>
      </w:r>
      <w:r w:rsidRPr="00537F78">
        <w:rPr>
          <w:rStyle w:val="FootnoteReference"/>
        </w:rPr>
        <w:t xml:space="preserve"> </w:t>
      </w:r>
      <w:r w:rsidRPr="00537F78">
        <w:rPr>
          <w:rStyle w:val="FootnoteReference"/>
        </w:rPr>
        <w:tab/>
      </w:r>
      <w:r w:rsidRPr="00537F78">
        <w:t>Form CO, paragraph 82.</w:t>
      </w:r>
    </w:p>
  </w:footnote>
  <w:footnote w:id="45">
    <w:p w14:paraId="416823BB" w14:textId="77777777" w:rsidR="00432752" w:rsidRDefault="00432752" w:rsidP="00EF4B4B">
      <w:pPr>
        <w:pStyle w:val="FootnoteText"/>
        <w:tabs>
          <w:tab w:val="left" w:pos="567"/>
        </w:tabs>
        <w:spacing w:after="0"/>
        <w:ind w:left="567" w:hanging="567"/>
      </w:pPr>
      <w:r>
        <w:rPr>
          <w:rStyle w:val="FootnoteReference"/>
        </w:rPr>
        <w:footnoteRef/>
      </w:r>
      <w:r>
        <w:t xml:space="preserve"> </w:t>
      </w:r>
      <w:r>
        <w:tab/>
        <w:t xml:space="preserve">Form CO, paragraphs 88 and 89. The Parties' standalone sales </w:t>
      </w:r>
      <w:r w:rsidRPr="00441685">
        <w:t>for supply chain and design support services</w:t>
      </w:r>
      <w:r>
        <w:t xml:space="preserve"> are not higher </w:t>
      </w:r>
      <w:r w:rsidRPr="00A86E0F">
        <w:t>than [0-5</w:t>
      </w:r>
      <w:proofErr w:type="gramStart"/>
      <w:r w:rsidRPr="00A86E0F">
        <w:t>]%</w:t>
      </w:r>
      <w:proofErr w:type="gramEnd"/>
      <w:r w:rsidRPr="00A86E0F">
        <w:t xml:space="preserve"> of their total sales</w:t>
      </w:r>
      <w:r>
        <w:t xml:space="preserve"> in the EEA.</w:t>
      </w:r>
    </w:p>
  </w:footnote>
  <w:footnote w:id="46">
    <w:p w14:paraId="416823BC" w14:textId="77777777" w:rsidR="00432752" w:rsidRDefault="00432752" w:rsidP="00686F90">
      <w:pPr>
        <w:pStyle w:val="FootnoteText"/>
        <w:tabs>
          <w:tab w:val="left" w:pos="567"/>
        </w:tabs>
        <w:ind w:left="567" w:hanging="567"/>
      </w:pPr>
      <w:r>
        <w:rPr>
          <w:rStyle w:val="FootnoteReference"/>
        </w:rPr>
        <w:footnoteRef/>
      </w:r>
      <w:r>
        <w:t xml:space="preserve"> </w:t>
      </w:r>
      <w:r>
        <w:tab/>
      </w:r>
      <w:proofErr w:type="gramStart"/>
      <w:r w:rsidRPr="002E33E2">
        <w:t xml:space="preserve">Decision of 19 January 2009 in Case COMP M.5385 - </w:t>
      </w:r>
      <w:r w:rsidRPr="002E33E2">
        <w:rPr>
          <w:i/>
        </w:rPr>
        <w:t>Avnet/Abacus</w:t>
      </w:r>
      <w:r w:rsidRPr="002E33E2">
        <w:t>, paragraph</w:t>
      </w:r>
      <w:r>
        <w:t xml:space="preserve"> 15.</w:t>
      </w:r>
      <w:proofErr w:type="gramEnd"/>
    </w:p>
  </w:footnote>
  <w:footnote w:id="47">
    <w:p w14:paraId="416823BD" w14:textId="77777777" w:rsidR="00432752" w:rsidRPr="00E10FEE" w:rsidRDefault="00432752" w:rsidP="00EA4D07">
      <w:pPr>
        <w:pStyle w:val="FootnoteText"/>
        <w:tabs>
          <w:tab w:val="left" w:pos="567"/>
        </w:tabs>
        <w:ind w:left="567" w:hanging="567"/>
      </w:pPr>
      <w:r>
        <w:rPr>
          <w:rStyle w:val="FootnoteReference"/>
        </w:rPr>
        <w:footnoteRef/>
      </w:r>
      <w:r>
        <w:t xml:space="preserve"> </w:t>
      </w:r>
      <w:r>
        <w:tab/>
      </w:r>
      <w:r w:rsidRPr="00061F52">
        <w:t>See replies to questionnaire Q1 to co</w:t>
      </w:r>
      <w:r w:rsidRPr="00C605AA">
        <w:t xml:space="preserve">mpetitors of </w:t>
      </w:r>
      <w:r w:rsidRPr="00061F52">
        <w:t xml:space="preserve">2 September 2016, question </w:t>
      </w:r>
      <w:r>
        <w:t>20.</w:t>
      </w:r>
    </w:p>
  </w:footnote>
  <w:footnote w:id="48">
    <w:p w14:paraId="416823BE" w14:textId="77777777" w:rsidR="00432752" w:rsidRPr="00E10FEE" w:rsidRDefault="00432752" w:rsidP="000E5F5F">
      <w:pPr>
        <w:pStyle w:val="FootnoteText"/>
        <w:tabs>
          <w:tab w:val="left" w:pos="567"/>
        </w:tabs>
        <w:ind w:left="567" w:hanging="567"/>
      </w:pPr>
      <w:r>
        <w:rPr>
          <w:rStyle w:val="FootnoteReference"/>
        </w:rPr>
        <w:footnoteRef/>
      </w:r>
      <w:r>
        <w:t xml:space="preserve"> </w:t>
      </w:r>
      <w:r>
        <w:tab/>
      </w:r>
      <w:r w:rsidRPr="00061F52">
        <w:t>See replies to questionnaire Q</w:t>
      </w:r>
      <w:r>
        <w:t>3</w:t>
      </w:r>
      <w:r w:rsidRPr="00061F52">
        <w:t xml:space="preserve"> to </w:t>
      </w:r>
      <w:r>
        <w:t>suppliers</w:t>
      </w:r>
      <w:r w:rsidRPr="00C605AA">
        <w:t xml:space="preserve"> of </w:t>
      </w:r>
      <w:r w:rsidRPr="00061F52">
        <w:t xml:space="preserve">2 September 2016, question </w:t>
      </w:r>
      <w:r>
        <w:t>14.</w:t>
      </w:r>
    </w:p>
  </w:footnote>
  <w:footnote w:id="49">
    <w:p w14:paraId="416823BF" w14:textId="77777777" w:rsidR="00432752" w:rsidRPr="00574451" w:rsidRDefault="00432752" w:rsidP="00EA4D07">
      <w:pPr>
        <w:pStyle w:val="FootnoteText"/>
        <w:tabs>
          <w:tab w:val="left" w:pos="567"/>
        </w:tabs>
        <w:ind w:left="567" w:hanging="567"/>
      </w:pPr>
      <w:r w:rsidRPr="00574451">
        <w:rPr>
          <w:rStyle w:val="FootnoteReference"/>
        </w:rPr>
        <w:footnoteRef/>
      </w:r>
      <w:r w:rsidRPr="00574451">
        <w:t xml:space="preserve"> </w:t>
      </w:r>
      <w:r w:rsidRPr="00574451">
        <w:tab/>
        <w:t>See replies to questionnaire Q3 to suppliers of 2 September 2016, questions 14 and 15.</w:t>
      </w:r>
    </w:p>
  </w:footnote>
  <w:footnote w:id="50">
    <w:p w14:paraId="416823C0" w14:textId="77777777" w:rsidR="00432752" w:rsidRPr="00574451" w:rsidRDefault="00432752" w:rsidP="00EA4D07">
      <w:pPr>
        <w:pStyle w:val="FootnoteText"/>
        <w:tabs>
          <w:tab w:val="left" w:pos="567"/>
        </w:tabs>
        <w:ind w:left="567" w:hanging="567"/>
      </w:pPr>
      <w:r w:rsidRPr="00574451">
        <w:rPr>
          <w:rStyle w:val="FootnoteReference"/>
        </w:rPr>
        <w:footnoteRef/>
      </w:r>
      <w:r w:rsidRPr="00574451">
        <w:t xml:space="preserve"> </w:t>
      </w:r>
      <w:r w:rsidRPr="00574451">
        <w:tab/>
        <w:t>See replies to questionnaire Q2 to customers of 2 September 2016, question 14.</w:t>
      </w:r>
    </w:p>
  </w:footnote>
  <w:footnote w:id="51">
    <w:p w14:paraId="416823C1" w14:textId="77777777" w:rsidR="00432752" w:rsidRDefault="00432752" w:rsidP="00574451">
      <w:pPr>
        <w:pStyle w:val="FootnoteText"/>
        <w:ind w:left="567" w:hanging="567"/>
      </w:pPr>
      <w:r w:rsidRPr="00574451">
        <w:rPr>
          <w:rStyle w:val="FootnoteReference"/>
        </w:rPr>
        <w:footnoteRef/>
      </w:r>
      <w:r w:rsidRPr="00574451">
        <w:t xml:space="preserve"> </w:t>
      </w:r>
      <w:r w:rsidRPr="00574451">
        <w:tab/>
        <w:t>See replies to questionnaire Q3 to suppliers of 2 September 2016, question 14.</w:t>
      </w:r>
    </w:p>
  </w:footnote>
  <w:footnote w:id="52">
    <w:p w14:paraId="416823C2" w14:textId="77777777" w:rsidR="00432752" w:rsidRPr="00E10FEE" w:rsidRDefault="00432752" w:rsidP="000E5F5F">
      <w:pPr>
        <w:pStyle w:val="FootnoteText"/>
        <w:tabs>
          <w:tab w:val="left" w:pos="567"/>
        </w:tabs>
        <w:ind w:left="567" w:hanging="567"/>
      </w:pPr>
      <w:r>
        <w:rPr>
          <w:rStyle w:val="FootnoteReference"/>
        </w:rPr>
        <w:footnoteRef/>
      </w:r>
      <w:r>
        <w:t xml:space="preserve"> </w:t>
      </w:r>
      <w:r>
        <w:tab/>
      </w:r>
      <w:r w:rsidRPr="00061F52">
        <w:t>See replies to questionnaire Q</w:t>
      </w:r>
      <w:r>
        <w:t>2</w:t>
      </w:r>
      <w:r w:rsidRPr="00061F52">
        <w:t xml:space="preserve"> to </w:t>
      </w:r>
      <w:r>
        <w:t xml:space="preserve">customers </w:t>
      </w:r>
      <w:r w:rsidRPr="00C605AA">
        <w:t xml:space="preserve">of </w:t>
      </w:r>
      <w:r w:rsidRPr="00061F52">
        <w:t xml:space="preserve">2 September 2016, question </w:t>
      </w:r>
      <w:r>
        <w:t>14.</w:t>
      </w:r>
    </w:p>
  </w:footnote>
  <w:footnote w:id="53">
    <w:p w14:paraId="416823C3" w14:textId="77777777" w:rsidR="00432752" w:rsidRPr="00E10FEE" w:rsidRDefault="00432752" w:rsidP="000E5F5F">
      <w:pPr>
        <w:pStyle w:val="FootnoteText"/>
        <w:tabs>
          <w:tab w:val="left" w:pos="567"/>
        </w:tabs>
        <w:ind w:left="567" w:hanging="567"/>
      </w:pPr>
      <w:r>
        <w:rPr>
          <w:rStyle w:val="FootnoteReference"/>
        </w:rPr>
        <w:footnoteRef/>
      </w:r>
      <w:r>
        <w:t xml:space="preserve"> </w:t>
      </w:r>
      <w:r>
        <w:tab/>
      </w:r>
      <w:r w:rsidRPr="00061F52">
        <w:t>See replies to questionnaire Q</w:t>
      </w:r>
      <w:r>
        <w:t>3</w:t>
      </w:r>
      <w:r w:rsidRPr="00061F52">
        <w:t xml:space="preserve"> to </w:t>
      </w:r>
      <w:r>
        <w:t>suppliers</w:t>
      </w:r>
      <w:r w:rsidRPr="00C605AA">
        <w:t xml:space="preserve"> of </w:t>
      </w:r>
      <w:r w:rsidRPr="00061F52">
        <w:t xml:space="preserve">2 September 2016, question </w:t>
      </w:r>
      <w:r>
        <w:t>14.</w:t>
      </w:r>
    </w:p>
  </w:footnote>
  <w:footnote w:id="54">
    <w:p w14:paraId="416823C4" w14:textId="77777777" w:rsidR="00432752" w:rsidRDefault="00432752" w:rsidP="00EA4D07">
      <w:pPr>
        <w:pStyle w:val="FootnoteText"/>
        <w:tabs>
          <w:tab w:val="left" w:pos="567"/>
        </w:tabs>
        <w:ind w:left="567" w:hanging="567"/>
      </w:pPr>
      <w:r>
        <w:rPr>
          <w:rStyle w:val="FootnoteReference"/>
        </w:rPr>
        <w:footnoteRef/>
      </w:r>
      <w:r>
        <w:t xml:space="preserve"> </w:t>
      </w:r>
      <w:r>
        <w:tab/>
      </w:r>
      <w:r w:rsidRPr="00061F52">
        <w:t>See replies to questionnaire Q</w:t>
      </w:r>
      <w:r>
        <w:t>2</w:t>
      </w:r>
      <w:r w:rsidRPr="00061F52">
        <w:t xml:space="preserve"> to </w:t>
      </w:r>
      <w:r>
        <w:t xml:space="preserve">customers </w:t>
      </w:r>
      <w:r w:rsidRPr="00C605AA">
        <w:t xml:space="preserve">of </w:t>
      </w:r>
      <w:r w:rsidRPr="00061F52">
        <w:t xml:space="preserve">2 September 2016, question </w:t>
      </w:r>
      <w:r>
        <w:t>14.</w:t>
      </w:r>
    </w:p>
  </w:footnote>
  <w:footnote w:id="55">
    <w:p w14:paraId="416823C5" w14:textId="77777777" w:rsidR="00432752" w:rsidRPr="008372D8" w:rsidRDefault="00432752" w:rsidP="00061F52">
      <w:pPr>
        <w:pStyle w:val="FootnoteText"/>
        <w:tabs>
          <w:tab w:val="left" w:pos="567"/>
        </w:tabs>
        <w:spacing w:after="0"/>
        <w:ind w:left="567" w:hanging="567"/>
      </w:pPr>
      <w:r>
        <w:rPr>
          <w:rStyle w:val="FootnoteReference"/>
        </w:rPr>
        <w:footnoteRef/>
      </w:r>
      <w:r>
        <w:t xml:space="preserve"> </w:t>
      </w:r>
      <w:r>
        <w:tab/>
      </w:r>
      <w:proofErr w:type="gramStart"/>
      <w:r w:rsidRPr="008372D8">
        <w:t xml:space="preserve">Avnet’s in Belgium, Germany and the </w:t>
      </w:r>
      <w:r w:rsidRPr="00061F52">
        <w:t>U</w:t>
      </w:r>
      <w:r>
        <w:t xml:space="preserve">nited </w:t>
      </w:r>
      <w:r w:rsidRPr="00061F52">
        <w:t>K</w:t>
      </w:r>
      <w:r>
        <w:t>ingdom</w:t>
      </w:r>
      <w:r w:rsidRPr="008372D8">
        <w:t xml:space="preserve">; Premier </w:t>
      </w:r>
      <w:proofErr w:type="spellStart"/>
      <w:r w:rsidRPr="008372D8">
        <w:t>Farnell’s</w:t>
      </w:r>
      <w:proofErr w:type="spellEnd"/>
      <w:r w:rsidRPr="008372D8">
        <w:t xml:space="preserve"> in Belgium and the </w:t>
      </w:r>
      <w:r w:rsidRPr="00061F52">
        <w:t>U</w:t>
      </w:r>
      <w:r>
        <w:t xml:space="preserve">nited </w:t>
      </w:r>
      <w:r w:rsidRPr="00061F52">
        <w:t>K</w:t>
      </w:r>
      <w:r>
        <w:t>ingdom.</w:t>
      </w:r>
      <w:proofErr w:type="gramEnd"/>
    </w:p>
  </w:footnote>
  <w:footnote w:id="56">
    <w:p w14:paraId="416823C6" w14:textId="77777777" w:rsidR="00432752" w:rsidRPr="00EF23B3" w:rsidRDefault="00432752" w:rsidP="00061F52">
      <w:pPr>
        <w:pStyle w:val="FootnoteText"/>
        <w:tabs>
          <w:tab w:val="left" w:pos="567"/>
        </w:tabs>
        <w:spacing w:after="0"/>
        <w:ind w:left="567" w:hanging="567"/>
      </w:pPr>
      <w:r>
        <w:rPr>
          <w:rStyle w:val="FootnoteReference"/>
        </w:rPr>
        <w:footnoteRef/>
      </w:r>
      <w:r>
        <w:t xml:space="preserve"> </w:t>
      </w:r>
      <w:r>
        <w:tab/>
        <w:t>O</w:t>
      </w:r>
      <w:r w:rsidRPr="008372D8">
        <w:t xml:space="preserve">n </w:t>
      </w:r>
      <w:r w:rsidRPr="00A86E0F">
        <w:t>average less than […</w:t>
      </w:r>
      <w:proofErr w:type="gramStart"/>
      <w:r w:rsidRPr="00A86E0F">
        <w:t>]%</w:t>
      </w:r>
      <w:proofErr w:type="gramEnd"/>
      <w:r w:rsidRPr="00A86E0F">
        <w:t xml:space="preserve"> of the price per order charged by distributors</w:t>
      </w:r>
      <w:r w:rsidRPr="00EF23B3">
        <w:t>.</w:t>
      </w:r>
    </w:p>
  </w:footnote>
  <w:footnote w:id="57">
    <w:p w14:paraId="416823C7" w14:textId="77777777" w:rsidR="00432752" w:rsidRPr="00EF23B3" w:rsidRDefault="00432752" w:rsidP="00061F52">
      <w:pPr>
        <w:pStyle w:val="FootnoteText"/>
        <w:tabs>
          <w:tab w:val="left" w:pos="567"/>
        </w:tabs>
        <w:spacing w:after="0"/>
        <w:ind w:left="567" w:hanging="567"/>
      </w:pPr>
      <w:r w:rsidRPr="00EF23B3">
        <w:rPr>
          <w:rStyle w:val="FootnoteReference"/>
        </w:rPr>
        <w:footnoteRef/>
      </w:r>
      <w:r w:rsidRPr="00EF23B3">
        <w:t xml:space="preserve"> </w:t>
      </w:r>
      <w:r w:rsidRPr="00EF23B3">
        <w:tab/>
      </w:r>
      <w:proofErr w:type="gramStart"/>
      <w:r w:rsidRPr="00061F52">
        <w:t xml:space="preserve">Decision of 24 June 2005 in Case COMP/M.3820 – </w:t>
      </w:r>
      <w:r w:rsidRPr="00061F52">
        <w:rPr>
          <w:i/>
        </w:rPr>
        <w:t>Avnet/</w:t>
      </w:r>
      <w:proofErr w:type="spellStart"/>
      <w:r w:rsidRPr="00061F52">
        <w:rPr>
          <w:i/>
        </w:rPr>
        <w:t>Memec</w:t>
      </w:r>
      <w:proofErr w:type="spellEnd"/>
      <w:r w:rsidRPr="00061F52">
        <w:t>, paragraphs 26.</w:t>
      </w:r>
      <w:proofErr w:type="gramEnd"/>
    </w:p>
  </w:footnote>
  <w:footnote w:id="58">
    <w:p w14:paraId="416823C8" w14:textId="77777777" w:rsidR="00432752" w:rsidRPr="00D76CB0" w:rsidRDefault="00432752" w:rsidP="00061F52">
      <w:pPr>
        <w:pStyle w:val="FootnoteText"/>
        <w:tabs>
          <w:tab w:val="left" w:pos="567"/>
        </w:tabs>
        <w:spacing w:after="0"/>
        <w:ind w:left="567" w:hanging="567"/>
      </w:pPr>
      <w:r w:rsidRPr="00EF23B3">
        <w:rPr>
          <w:rStyle w:val="FootnoteReference"/>
        </w:rPr>
        <w:footnoteRef/>
      </w:r>
      <w:r w:rsidRPr="00EF23B3">
        <w:t xml:space="preserve"> </w:t>
      </w:r>
      <w:r w:rsidRPr="00EF23B3">
        <w:tab/>
        <w:t>The value added design support and services that the Parties and their competitors</w:t>
      </w:r>
      <w:r w:rsidRPr="00D76CB0">
        <w:t xml:space="preserve"> offer include detailed product specifications, technical information, and engineering support, all of which are now also available through online websites and forums.</w:t>
      </w:r>
    </w:p>
  </w:footnote>
  <w:footnote w:id="59">
    <w:p w14:paraId="416823C9" w14:textId="77777777" w:rsidR="00432752" w:rsidRPr="002E33E2" w:rsidRDefault="00432752" w:rsidP="00CB690E">
      <w:pPr>
        <w:pStyle w:val="FootnoteText"/>
        <w:tabs>
          <w:tab w:val="left" w:pos="567"/>
        </w:tabs>
        <w:spacing w:after="0"/>
        <w:ind w:left="567" w:hanging="567"/>
      </w:pPr>
      <w:r>
        <w:rPr>
          <w:rStyle w:val="FootnoteReference"/>
        </w:rPr>
        <w:footnoteRef/>
      </w:r>
      <w:r>
        <w:t xml:space="preserve"> </w:t>
      </w:r>
      <w:r w:rsidRPr="002E33E2">
        <w:tab/>
      </w:r>
      <w:proofErr w:type="gramStart"/>
      <w:r w:rsidRPr="002E33E2">
        <w:t xml:space="preserve">Decision of 24 June 2005 in Case COMP/M.3820 – </w:t>
      </w:r>
      <w:r w:rsidRPr="002E33E2">
        <w:rPr>
          <w:i/>
        </w:rPr>
        <w:t>Avnet/</w:t>
      </w:r>
      <w:proofErr w:type="spellStart"/>
      <w:r w:rsidRPr="002E33E2">
        <w:rPr>
          <w:i/>
        </w:rPr>
        <w:t>Memec</w:t>
      </w:r>
      <w:proofErr w:type="spellEnd"/>
      <w:r w:rsidRPr="002E33E2">
        <w:t>, paragraphs 24-26.</w:t>
      </w:r>
      <w:proofErr w:type="gramEnd"/>
    </w:p>
  </w:footnote>
  <w:footnote w:id="60">
    <w:p w14:paraId="416823CA" w14:textId="77777777" w:rsidR="00432752" w:rsidRPr="00D555FC" w:rsidRDefault="00432752" w:rsidP="00CB690E">
      <w:pPr>
        <w:pStyle w:val="FootnoteText"/>
        <w:tabs>
          <w:tab w:val="left" w:pos="567"/>
        </w:tabs>
        <w:spacing w:after="0"/>
        <w:ind w:left="567" w:hanging="567"/>
      </w:pPr>
      <w:r>
        <w:rPr>
          <w:rStyle w:val="FootnoteReference"/>
        </w:rPr>
        <w:footnoteRef/>
      </w:r>
      <w:r>
        <w:t xml:space="preserve"> </w:t>
      </w:r>
      <w:r w:rsidRPr="002E33E2">
        <w:tab/>
      </w:r>
      <w:proofErr w:type="gramStart"/>
      <w:r w:rsidRPr="002E33E2">
        <w:t xml:space="preserve">Decision of 19 January 2009 in Case COMP M.5385 - </w:t>
      </w:r>
      <w:r w:rsidRPr="002E33E2">
        <w:rPr>
          <w:i/>
        </w:rPr>
        <w:t>Avnet/Abacus</w:t>
      </w:r>
      <w:r w:rsidRPr="002E33E2">
        <w:t xml:space="preserve">, paragraphs 40-41 and decision of </w:t>
      </w:r>
      <w:r w:rsidRPr="00C605AA">
        <w:t xml:space="preserve">4 September 2013 in Case COMP/M.6863 - </w:t>
      </w:r>
      <w:r w:rsidRPr="00D555FC">
        <w:rPr>
          <w:i/>
        </w:rPr>
        <w:t xml:space="preserve">Avnet EMG/MSC </w:t>
      </w:r>
      <w:proofErr w:type="spellStart"/>
      <w:r w:rsidRPr="00D555FC">
        <w:rPr>
          <w:i/>
        </w:rPr>
        <w:t>Investoren</w:t>
      </w:r>
      <w:proofErr w:type="spellEnd"/>
      <w:r w:rsidRPr="00D555FC">
        <w:t>, paragraphs 34-37.</w:t>
      </w:r>
      <w:proofErr w:type="gramEnd"/>
    </w:p>
  </w:footnote>
  <w:footnote w:id="61">
    <w:p w14:paraId="416823CB" w14:textId="77777777" w:rsidR="00432752" w:rsidRPr="005C4878" w:rsidRDefault="00432752" w:rsidP="000E5F5F">
      <w:pPr>
        <w:pStyle w:val="FootnoteText"/>
        <w:tabs>
          <w:tab w:val="left" w:pos="567"/>
        </w:tabs>
        <w:spacing w:after="0"/>
        <w:ind w:left="567" w:hanging="567"/>
      </w:pPr>
      <w:r>
        <w:rPr>
          <w:rStyle w:val="FootnoteReference"/>
        </w:rPr>
        <w:footnoteRef/>
      </w:r>
      <w:r>
        <w:t xml:space="preserve"> </w:t>
      </w:r>
      <w:r>
        <w:tab/>
      </w:r>
      <w:r w:rsidRPr="005C4878">
        <w:t xml:space="preserve">Decision </w:t>
      </w:r>
      <w:r w:rsidRPr="00095BC4">
        <w:t xml:space="preserve">of 4 September 2013 in Case COMP/M.6863 - </w:t>
      </w:r>
      <w:r w:rsidRPr="00095BC4">
        <w:rPr>
          <w:i/>
        </w:rPr>
        <w:t xml:space="preserve">Avnet EMG/MSC </w:t>
      </w:r>
      <w:proofErr w:type="spellStart"/>
      <w:r w:rsidRPr="00095BC4">
        <w:rPr>
          <w:i/>
        </w:rPr>
        <w:t>Investoren</w:t>
      </w:r>
      <w:proofErr w:type="spellEnd"/>
      <w:r w:rsidRPr="00095BC4">
        <w:t xml:space="preserve">, paragraphs </w:t>
      </w:r>
      <w:r>
        <w:t>40-41 and d</w:t>
      </w:r>
      <w:r w:rsidRPr="002E33E2">
        <w:t xml:space="preserve">ecision of 19 January 2009 in Case COMP M.5385 - </w:t>
      </w:r>
      <w:r w:rsidRPr="002E33E2">
        <w:rPr>
          <w:i/>
        </w:rPr>
        <w:t>Avnet/Abacus</w:t>
      </w:r>
      <w:r w:rsidRPr="002E33E2">
        <w:t xml:space="preserve">, paragraphs </w:t>
      </w:r>
      <w:r>
        <w:t>26-29.</w:t>
      </w:r>
    </w:p>
  </w:footnote>
  <w:footnote w:id="62">
    <w:p w14:paraId="416823CC" w14:textId="77777777" w:rsidR="00432752" w:rsidRPr="00D555FC" w:rsidRDefault="00432752" w:rsidP="00061F52">
      <w:pPr>
        <w:pStyle w:val="FootnoteText"/>
        <w:tabs>
          <w:tab w:val="left" w:pos="567"/>
        </w:tabs>
        <w:spacing w:after="0"/>
        <w:ind w:left="567" w:hanging="567"/>
      </w:pPr>
      <w:r w:rsidRPr="00C605AA">
        <w:rPr>
          <w:rStyle w:val="FootnoteReference"/>
        </w:rPr>
        <w:footnoteRef/>
      </w:r>
      <w:r w:rsidRPr="00C605AA">
        <w:t xml:space="preserve"> </w:t>
      </w:r>
      <w:r w:rsidRPr="00061F52">
        <w:tab/>
        <w:t>See replies to questionnaire Q1 to co</w:t>
      </w:r>
      <w:r w:rsidRPr="00C605AA">
        <w:t xml:space="preserve">mpetitors of </w:t>
      </w:r>
      <w:r w:rsidRPr="00061F52">
        <w:t>2 September 2016, question 24</w:t>
      </w:r>
      <w:r w:rsidRPr="00C605AA">
        <w:t xml:space="preserve">; questionnaire Q2 to customers of </w:t>
      </w:r>
      <w:r w:rsidRPr="00061F52">
        <w:t>2</w:t>
      </w:r>
      <w:r w:rsidRPr="00C605AA">
        <w:t xml:space="preserve"> September 2016</w:t>
      </w:r>
      <w:r w:rsidRPr="00061F52">
        <w:t xml:space="preserve"> question 18</w:t>
      </w:r>
      <w:r w:rsidRPr="00C605AA">
        <w:t xml:space="preserve">; and questionnaire Q3 to </w:t>
      </w:r>
      <w:r w:rsidRPr="00061F52">
        <w:t>suppliers of 2</w:t>
      </w:r>
      <w:r w:rsidRPr="00C605AA">
        <w:t xml:space="preserve"> September 2016, </w:t>
      </w:r>
      <w:r w:rsidRPr="00061F52">
        <w:t>question 17</w:t>
      </w:r>
      <w:r w:rsidRPr="00C605AA">
        <w:t>.</w:t>
      </w:r>
    </w:p>
  </w:footnote>
  <w:footnote w:id="63">
    <w:p w14:paraId="416823CD" w14:textId="77777777" w:rsidR="00432752" w:rsidRPr="00C605AA" w:rsidRDefault="00432752" w:rsidP="00EF4B4B">
      <w:pPr>
        <w:pStyle w:val="FootnoteText"/>
        <w:tabs>
          <w:tab w:val="left" w:pos="567"/>
        </w:tabs>
        <w:spacing w:after="0"/>
        <w:ind w:left="567" w:hanging="567"/>
      </w:pPr>
      <w:r w:rsidRPr="00C605AA">
        <w:rPr>
          <w:rStyle w:val="FootnoteReference"/>
        </w:rPr>
        <w:footnoteRef/>
      </w:r>
      <w:r w:rsidRPr="00C605AA">
        <w:t xml:space="preserve"> </w:t>
      </w:r>
      <w:r w:rsidRPr="00061F52">
        <w:tab/>
        <w:t>See replies to questionnaire Q1 to competitors of 2 September 2016, question 28; questionnaire Q2 to customers of 2 September 2016 question 22; and questionnaire Q3 to suppliers of 2 September 2016, question 19.</w:t>
      </w:r>
    </w:p>
  </w:footnote>
  <w:footnote w:id="64">
    <w:p w14:paraId="416823CE" w14:textId="77777777" w:rsidR="00432752" w:rsidRPr="00C605AA" w:rsidRDefault="00432752" w:rsidP="00EF4B4B">
      <w:pPr>
        <w:pStyle w:val="FootnoteText"/>
        <w:tabs>
          <w:tab w:val="left" w:pos="567"/>
        </w:tabs>
        <w:spacing w:after="0"/>
        <w:ind w:left="567" w:hanging="567"/>
      </w:pPr>
      <w:r w:rsidRPr="00B423F8">
        <w:footnoteRef/>
      </w:r>
      <w:r w:rsidRPr="00C605AA">
        <w:t xml:space="preserve"> </w:t>
      </w:r>
      <w:r w:rsidRPr="00061F52">
        <w:tab/>
        <w:t>See replies to questionnaire Q1 to competitors of 2 September 2016, question 27; questionnaire Q2 to customers of 2 September 2016 questions 19-21; and questionnaire Q3 to suppliers of 2 September 2016, question 18.</w:t>
      </w:r>
    </w:p>
  </w:footnote>
  <w:footnote w:id="65">
    <w:p w14:paraId="416823CF" w14:textId="77777777" w:rsidR="00432752" w:rsidRPr="004A5988" w:rsidRDefault="00432752" w:rsidP="00EF4B4B">
      <w:pPr>
        <w:pStyle w:val="FootnoteText"/>
        <w:tabs>
          <w:tab w:val="left" w:pos="567"/>
        </w:tabs>
        <w:spacing w:after="0"/>
        <w:ind w:left="567" w:hanging="567"/>
      </w:pPr>
      <w:r w:rsidRPr="00B423F8">
        <w:footnoteRef/>
      </w:r>
      <w:r w:rsidRPr="00C605AA">
        <w:t xml:space="preserve"> </w:t>
      </w:r>
      <w:r w:rsidRPr="00061F52">
        <w:tab/>
        <w:t>See replies to questionnaire Q1 to competitors of 3 September 2016, question 28; questionnaire Q2 to customers of 3 September 2016 question 22; and questionnaire Q3 to suppliers of 3 September 2016, question 19.</w:t>
      </w:r>
    </w:p>
  </w:footnote>
  <w:footnote w:id="66">
    <w:p w14:paraId="416823D0" w14:textId="77777777" w:rsidR="00432752" w:rsidRPr="00C605AA" w:rsidRDefault="00432752" w:rsidP="00EF4B4B">
      <w:pPr>
        <w:pStyle w:val="FootnoteText"/>
        <w:tabs>
          <w:tab w:val="left" w:pos="567"/>
        </w:tabs>
        <w:spacing w:after="0"/>
        <w:ind w:left="567" w:hanging="567"/>
      </w:pPr>
      <w:r w:rsidRPr="00B423F8">
        <w:footnoteRef/>
      </w:r>
      <w:r w:rsidRPr="00C605AA">
        <w:t xml:space="preserve"> </w:t>
      </w:r>
      <w:r w:rsidRPr="00061F52">
        <w:tab/>
        <w:t>See replies to questionnaire Q1 to competitors of 2 September 2016, question 2</w:t>
      </w:r>
      <w:r>
        <w:t>3, 27, 28 and 30</w:t>
      </w:r>
      <w:r w:rsidRPr="00061F52">
        <w:t>; questionnaire Q2 to customers of 2 September 2016 questions 1</w:t>
      </w:r>
      <w:r>
        <w:t xml:space="preserve">7, </w:t>
      </w:r>
      <w:r w:rsidRPr="00061F52">
        <w:t>21</w:t>
      </w:r>
      <w:r>
        <w:t>, 22 and 24</w:t>
      </w:r>
      <w:r w:rsidRPr="00061F52">
        <w:t>; and questionnaire Q3 to suppliers of 2 September 2016, question 18</w:t>
      </w:r>
      <w:r>
        <w:t>, 19 and 21</w:t>
      </w:r>
      <w:r w:rsidRPr="00061F52">
        <w:t>.</w:t>
      </w:r>
    </w:p>
  </w:footnote>
  <w:footnote w:id="67">
    <w:p w14:paraId="416823D1" w14:textId="77777777" w:rsidR="00432752" w:rsidRPr="00EA4D07" w:rsidRDefault="00432752" w:rsidP="00574451">
      <w:pPr>
        <w:pStyle w:val="FootnoteText"/>
        <w:spacing w:after="0"/>
      </w:pPr>
      <w:r w:rsidRPr="00B423F8">
        <w:rPr>
          <w:sz w:val="16"/>
        </w:rPr>
        <w:footnoteRef/>
      </w:r>
      <w:r w:rsidRPr="00EA4D07">
        <w:t xml:space="preserve"> </w:t>
      </w:r>
      <w:r w:rsidRPr="00EA4D07">
        <w:tab/>
        <w:t>Form CO, paragraph 121.</w:t>
      </w:r>
    </w:p>
  </w:footnote>
  <w:footnote w:id="68">
    <w:p w14:paraId="416823D2" w14:textId="77777777" w:rsidR="00432752" w:rsidRPr="009232B4" w:rsidRDefault="00432752" w:rsidP="00574451">
      <w:pPr>
        <w:pStyle w:val="FootnoteText"/>
        <w:spacing w:after="0"/>
      </w:pPr>
      <w:r>
        <w:rPr>
          <w:rStyle w:val="FootnoteReference"/>
        </w:rPr>
        <w:footnoteRef/>
      </w:r>
      <w:r w:rsidRPr="009232B4">
        <w:t xml:space="preserve"> </w:t>
      </w:r>
      <w:r w:rsidRPr="009232B4">
        <w:tab/>
        <w:t>Form CO, paragraph 212 and 213.</w:t>
      </w:r>
    </w:p>
  </w:footnote>
  <w:footnote w:id="69">
    <w:p w14:paraId="416823D3" w14:textId="77777777" w:rsidR="00432752" w:rsidRPr="009232B4" w:rsidRDefault="00432752" w:rsidP="00574451">
      <w:pPr>
        <w:pStyle w:val="FootnoteText"/>
        <w:spacing w:after="0"/>
      </w:pPr>
      <w:r>
        <w:rPr>
          <w:rStyle w:val="FootnoteReference"/>
        </w:rPr>
        <w:footnoteRef/>
      </w:r>
      <w:r w:rsidRPr="009232B4">
        <w:t xml:space="preserve"> </w:t>
      </w:r>
      <w:r w:rsidRPr="009232B4">
        <w:tab/>
        <w:t>Form CO, paragraphs 206 to 208.</w:t>
      </w:r>
    </w:p>
  </w:footnote>
  <w:footnote w:id="70">
    <w:p w14:paraId="416823D4" w14:textId="77777777" w:rsidR="00432752" w:rsidRDefault="00432752" w:rsidP="00574451">
      <w:pPr>
        <w:pStyle w:val="FootnoteText"/>
        <w:spacing w:after="0"/>
      </w:pPr>
      <w:r>
        <w:rPr>
          <w:rStyle w:val="FootnoteReference"/>
        </w:rPr>
        <w:footnoteRef/>
      </w:r>
      <w:r>
        <w:t xml:space="preserve"> </w:t>
      </w:r>
      <w:r>
        <w:tab/>
      </w:r>
      <w:r w:rsidRPr="00D600C6">
        <w:t>In relation to a possible product market that would encompass some or all types of electronic components (e.g. electronic and interconnect components and passive components), the Commission considers that the Parties' market shares would also be minimal</w:t>
      </w:r>
      <w:r>
        <w:t xml:space="preserve"> (these sales would only correspond to Avnet)</w:t>
      </w:r>
      <w:r w:rsidRPr="00D600C6">
        <w:t>.</w:t>
      </w:r>
    </w:p>
  </w:footnote>
  <w:footnote w:id="71">
    <w:p w14:paraId="416823D5" w14:textId="77777777" w:rsidR="00432752" w:rsidRPr="0085207F" w:rsidRDefault="00432752" w:rsidP="00574451">
      <w:pPr>
        <w:pStyle w:val="FootnoteText"/>
        <w:spacing w:after="0"/>
      </w:pPr>
      <w:r>
        <w:rPr>
          <w:rStyle w:val="FootnoteReference"/>
        </w:rPr>
        <w:footnoteRef/>
      </w:r>
      <w:r w:rsidRPr="0085207F">
        <w:t xml:space="preserve"> </w:t>
      </w:r>
      <w:r w:rsidRPr="0085207F">
        <w:tab/>
        <w:t xml:space="preserve">See Commission Decision M.6572 – </w:t>
      </w:r>
      <w:proofErr w:type="spellStart"/>
      <w:r w:rsidRPr="0085207F">
        <w:rPr>
          <w:i/>
        </w:rPr>
        <w:t>Kemet</w:t>
      </w:r>
      <w:proofErr w:type="spellEnd"/>
      <w:r w:rsidRPr="0085207F">
        <w:rPr>
          <w:i/>
        </w:rPr>
        <w:t>/ NEC/ NEC Tokin</w:t>
      </w:r>
      <w:r w:rsidRPr="0085207F">
        <w:t xml:space="preserve"> of 11 July 2012, paragraphs 18 to 22, Commission Decision M.5255 – </w:t>
      </w:r>
      <w:r w:rsidRPr="008518F6">
        <w:rPr>
          <w:i/>
        </w:rPr>
        <w:t xml:space="preserve">TDK / </w:t>
      </w:r>
      <w:proofErr w:type="spellStart"/>
      <w:r w:rsidRPr="008518F6">
        <w:rPr>
          <w:i/>
        </w:rPr>
        <w:t>Epcos</w:t>
      </w:r>
      <w:proofErr w:type="spellEnd"/>
      <w:r w:rsidRPr="0085207F">
        <w:t xml:space="preserve"> of 15 September 2008, paragraphs 17 to 20.</w:t>
      </w:r>
    </w:p>
  </w:footnote>
  <w:footnote w:id="72">
    <w:p w14:paraId="416823D6" w14:textId="77777777" w:rsidR="00432752" w:rsidRDefault="00432752" w:rsidP="00574451">
      <w:pPr>
        <w:pStyle w:val="FootnoteText"/>
        <w:spacing w:after="0"/>
      </w:pPr>
      <w:r>
        <w:rPr>
          <w:rStyle w:val="FootnoteReference"/>
        </w:rPr>
        <w:footnoteRef/>
      </w:r>
      <w:r>
        <w:t xml:space="preserve"> </w:t>
      </w:r>
      <w:r>
        <w:tab/>
      </w:r>
      <w:r w:rsidRPr="00D600C6">
        <w:t xml:space="preserve">Under any of </w:t>
      </w:r>
      <w:proofErr w:type="gramStart"/>
      <w:r w:rsidRPr="00D600C6">
        <w:t>these alternative</w:t>
      </w:r>
      <w:proofErr w:type="gramEnd"/>
      <w:r w:rsidRPr="00D600C6">
        <w:t xml:space="preserve"> geographic market definitions (EEA-wide or worldwide), the Parties' market shares would be very small.</w:t>
      </w:r>
    </w:p>
  </w:footnote>
  <w:footnote w:id="73">
    <w:p w14:paraId="416823D7" w14:textId="77777777" w:rsidR="00432752" w:rsidRPr="008518F6" w:rsidRDefault="00432752" w:rsidP="00B423F8">
      <w:pPr>
        <w:pStyle w:val="FootnoteText"/>
        <w:spacing w:after="0"/>
        <w:rPr>
          <w:lang w:val="pl-PL"/>
        </w:rPr>
      </w:pPr>
      <w:r>
        <w:rPr>
          <w:rStyle w:val="FootnoteReference"/>
        </w:rPr>
        <w:footnoteRef/>
      </w:r>
      <w:r w:rsidRPr="008518F6">
        <w:rPr>
          <w:lang w:val="pl-PL"/>
        </w:rPr>
        <w:t xml:space="preserve"> </w:t>
      </w:r>
      <w:r w:rsidRPr="008518F6">
        <w:rPr>
          <w:lang w:val="pl-PL"/>
        </w:rPr>
        <w:tab/>
      </w:r>
      <w:proofErr w:type="gramStart"/>
      <w:r w:rsidRPr="008518F6">
        <w:rPr>
          <w:lang w:val="pl-PL"/>
        </w:rPr>
        <w:t>Form CO</w:t>
      </w:r>
      <w:proofErr w:type="gramEnd"/>
      <w:r w:rsidRPr="008518F6">
        <w:rPr>
          <w:lang w:val="pl-PL"/>
        </w:rPr>
        <w:t xml:space="preserve">, </w:t>
      </w:r>
      <w:proofErr w:type="spellStart"/>
      <w:r w:rsidRPr="008518F6">
        <w:rPr>
          <w:lang w:val="pl-PL"/>
        </w:rPr>
        <w:t>paragraph</w:t>
      </w:r>
      <w:proofErr w:type="spellEnd"/>
      <w:r w:rsidRPr="008518F6">
        <w:rPr>
          <w:lang w:val="pl-PL"/>
        </w:rPr>
        <w:t xml:space="preserve"> 94.</w:t>
      </w:r>
    </w:p>
  </w:footnote>
  <w:footnote w:id="74">
    <w:p w14:paraId="416823D8" w14:textId="77777777" w:rsidR="00432752" w:rsidRPr="008518F6" w:rsidRDefault="00432752" w:rsidP="0045473C">
      <w:pPr>
        <w:pStyle w:val="FootnoteText"/>
        <w:spacing w:after="0"/>
        <w:rPr>
          <w:lang w:val="pl-PL"/>
        </w:rPr>
      </w:pPr>
      <w:r>
        <w:rPr>
          <w:rStyle w:val="FootnoteReference"/>
        </w:rPr>
        <w:footnoteRef/>
      </w:r>
      <w:r w:rsidRPr="008518F6">
        <w:rPr>
          <w:lang w:val="pl-PL"/>
        </w:rPr>
        <w:t xml:space="preserve"> </w:t>
      </w:r>
      <w:r w:rsidRPr="008518F6">
        <w:rPr>
          <w:lang w:val="pl-PL"/>
        </w:rPr>
        <w:tab/>
      </w:r>
      <w:proofErr w:type="gramStart"/>
      <w:r w:rsidRPr="008518F6">
        <w:rPr>
          <w:lang w:val="pl-PL"/>
        </w:rPr>
        <w:t>Form CO</w:t>
      </w:r>
      <w:proofErr w:type="gramEnd"/>
      <w:r w:rsidRPr="008518F6">
        <w:rPr>
          <w:lang w:val="pl-PL"/>
        </w:rPr>
        <w:t xml:space="preserve">, </w:t>
      </w:r>
      <w:proofErr w:type="spellStart"/>
      <w:r w:rsidRPr="008518F6">
        <w:rPr>
          <w:lang w:val="pl-PL"/>
        </w:rPr>
        <w:t>paragraph</w:t>
      </w:r>
      <w:proofErr w:type="spellEnd"/>
      <w:r w:rsidRPr="008518F6">
        <w:rPr>
          <w:lang w:val="pl-PL"/>
        </w:rPr>
        <w:t xml:space="preserve"> 99.</w:t>
      </w:r>
    </w:p>
  </w:footnote>
  <w:footnote w:id="75">
    <w:p w14:paraId="416823D9" w14:textId="77777777" w:rsidR="00432752" w:rsidRDefault="00432752" w:rsidP="00B423F8">
      <w:pPr>
        <w:pStyle w:val="FootnoteText"/>
        <w:spacing w:after="0"/>
      </w:pPr>
      <w:r>
        <w:rPr>
          <w:rStyle w:val="FootnoteReference"/>
        </w:rPr>
        <w:footnoteRef/>
      </w:r>
      <w:r>
        <w:t xml:space="preserve"> </w:t>
      </w:r>
      <w:r>
        <w:tab/>
        <w:t xml:space="preserve">Commission Decision M.6577 – </w:t>
      </w:r>
      <w:r w:rsidRPr="00061F52">
        <w:rPr>
          <w:i/>
        </w:rPr>
        <w:t xml:space="preserve">Avnet / </w:t>
      </w:r>
      <w:proofErr w:type="spellStart"/>
      <w:r w:rsidRPr="00061F52">
        <w:rPr>
          <w:i/>
        </w:rPr>
        <w:t>Magirus</w:t>
      </w:r>
      <w:proofErr w:type="spellEnd"/>
      <w:r>
        <w:t xml:space="preserve"> of 21 September 2012, paragraphs 10 to 21.</w:t>
      </w:r>
    </w:p>
  </w:footnote>
  <w:footnote w:id="76">
    <w:p w14:paraId="416823DA" w14:textId="77777777" w:rsidR="00432752" w:rsidRDefault="00432752" w:rsidP="00B423F8">
      <w:pPr>
        <w:pStyle w:val="FootnoteText"/>
        <w:spacing w:after="0"/>
      </w:pPr>
      <w:r>
        <w:rPr>
          <w:rStyle w:val="FootnoteReference"/>
        </w:rPr>
        <w:footnoteRef/>
      </w:r>
      <w:r>
        <w:t xml:space="preserve"> </w:t>
      </w:r>
      <w:r>
        <w:tab/>
        <w:t xml:space="preserve">Commission Decision M.6577 – </w:t>
      </w:r>
      <w:r w:rsidRPr="00061F52">
        <w:rPr>
          <w:i/>
        </w:rPr>
        <w:t xml:space="preserve">Avnet / </w:t>
      </w:r>
      <w:proofErr w:type="spellStart"/>
      <w:r w:rsidRPr="00061F52">
        <w:rPr>
          <w:i/>
        </w:rPr>
        <w:t>Magirus</w:t>
      </w:r>
      <w:proofErr w:type="spellEnd"/>
      <w:r>
        <w:t xml:space="preserve"> of 21 September 2012, paragraphs 25 to 27.</w:t>
      </w:r>
    </w:p>
  </w:footnote>
  <w:footnote w:id="77">
    <w:p w14:paraId="416823DB" w14:textId="77777777" w:rsidR="00432752" w:rsidRDefault="00432752">
      <w:pPr>
        <w:pStyle w:val="FootnoteText"/>
      </w:pPr>
      <w:r>
        <w:rPr>
          <w:rStyle w:val="FootnoteReference"/>
        </w:rPr>
        <w:footnoteRef/>
      </w:r>
      <w:r>
        <w:t xml:space="preserve"> </w:t>
      </w:r>
      <w:r>
        <w:tab/>
        <w:t>Form CO, paragraphs 93 to 107. The Notifying Party submits that the Transaction would not lead to a market share of 20% or more under any plausible alternative product or market definition.</w:t>
      </w:r>
    </w:p>
  </w:footnote>
  <w:footnote w:id="78">
    <w:p w14:paraId="416823DC" w14:textId="77777777" w:rsidR="00432752" w:rsidRPr="00FB3D56" w:rsidRDefault="00432752" w:rsidP="008D06D3">
      <w:pPr>
        <w:pStyle w:val="FootnoteText"/>
      </w:pPr>
      <w:r>
        <w:rPr>
          <w:rStyle w:val="FootnoteReference"/>
        </w:rPr>
        <w:footnoteRef/>
      </w:r>
      <w:r>
        <w:t xml:space="preserve"> </w:t>
      </w:r>
      <w:r>
        <w:tab/>
      </w:r>
      <w:r w:rsidRPr="00440BF8">
        <w:t>See replies to questionnaire Q1 to competitors</w:t>
      </w:r>
      <w:r>
        <w:t xml:space="preserve"> of 3 September 2016, question 3</w:t>
      </w:r>
      <w:r w:rsidRPr="00440BF8">
        <w:t>2; questionnaire Q2 to customer</w:t>
      </w:r>
      <w:r>
        <w:t>s of 3 September 2016 question 26</w:t>
      </w:r>
      <w:r w:rsidRPr="00440BF8">
        <w:t xml:space="preserve">; and questionnaire Q3 to suppliers of 3 September 2016, question </w:t>
      </w:r>
      <w:r>
        <w:t>2</w:t>
      </w:r>
      <w:r w:rsidRPr="00440BF8">
        <w:t>3.</w:t>
      </w:r>
    </w:p>
  </w:footnote>
  <w:footnote w:id="79">
    <w:p w14:paraId="416823DD" w14:textId="77777777" w:rsidR="00432752" w:rsidRPr="007C293C" w:rsidRDefault="00432752" w:rsidP="00C44241">
      <w:pPr>
        <w:pStyle w:val="FootnoteText"/>
        <w:spacing w:after="0"/>
      </w:pPr>
      <w:r>
        <w:rPr>
          <w:rStyle w:val="FootnoteReference"/>
        </w:rPr>
        <w:footnoteRef/>
      </w:r>
      <w:r>
        <w:t xml:space="preserve"> </w:t>
      </w:r>
      <w:r>
        <w:tab/>
      </w:r>
      <w:r w:rsidRPr="000C16F1">
        <w:t>See replies to questionnaire Q1 to competitors of 3 September 2016, question 42</w:t>
      </w:r>
      <w:r w:rsidRPr="00FA4998">
        <w:t>.3</w:t>
      </w:r>
      <w:r w:rsidRPr="000C16F1">
        <w:t>; questionnaire Q2 to customers of 3 September 2016 question 33</w:t>
      </w:r>
      <w:r w:rsidRPr="00FA4998">
        <w:t>.3</w:t>
      </w:r>
      <w:r w:rsidRPr="000C16F1">
        <w:t>; and questionnaire Q3 to suppliers of 3 September 2016, question 33.3.</w:t>
      </w:r>
    </w:p>
  </w:footnote>
  <w:footnote w:id="80">
    <w:p w14:paraId="416823DE" w14:textId="77777777" w:rsidR="00432752" w:rsidRPr="00A068E5" w:rsidRDefault="00432752" w:rsidP="00B423F8">
      <w:pPr>
        <w:pStyle w:val="FootnoteText"/>
        <w:spacing w:after="0"/>
      </w:pPr>
      <w:r>
        <w:rPr>
          <w:rStyle w:val="FootnoteReference"/>
        </w:rPr>
        <w:footnoteRef/>
      </w:r>
      <w:r>
        <w:t xml:space="preserve"> </w:t>
      </w:r>
      <w:r>
        <w:tab/>
      </w:r>
      <w:r w:rsidRPr="005830B9">
        <w:t>See replies to questionnaire Q1 to competitors of 3 September 2016, questions 34, 36 and 42.2.1; questionnaire Q2 to customers of 3 September 2016 questions 28, 30 and 33.2.1; and questionnaire Q3 to suppliers of 3 September 2016, questions 25, 27 and 33.2.1.</w:t>
      </w:r>
    </w:p>
  </w:footnote>
  <w:footnote w:id="81">
    <w:p w14:paraId="416823DF" w14:textId="77777777" w:rsidR="00432752" w:rsidRPr="005830B9" w:rsidRDefault="00432752" w:rsidP="00B423F8">
      <w:pPr>
        <w:pStyle w:val="FootnoteText"/>
        <w:spacing w:after="0"/>
      </w:pPr>
      <w:r>
        <w:rPr>
          <w:rStyle w:val="FootnoteReference"/>
        </w:rPr>
        <w:footnoteRef/>
      </w:r>
      <w:r>
        <w:t xml:space="preserve"> </w:t>
      </w:r>
      <w:r>
        <w:tab/>
      </w:r>
      <w:r w:rsidRPr="005830B9">
        <w:t>See replies to questionnaire Q2 to customers of 3 September 2016 question 19.</w:t>
      </w:r>
    </w:p>
  </w:footnote>
  <w:footnote w:id="82">
    <w:p w14:paraId="416823E0" w14:textId="77777777" w:rsidR="00432752" w:rsidRPr="007C293C" w:rsidRDefault="00432752" w:rsidP="00B423F8">
      <w:pPr>
        <w:pStyle w:val="FootnoteText"/>
        <w:spacing w:after="0"/>
      </w:pPr>
      <w:r>
        <w:rPr>
          <w:rStyle w:val="FootnoteReference"/>
        </w:rPr>
        <w:footnoteRef/>
      </w:r>
      <w:r>
        <w:t xml:space="preserve"> </w:t>
      </w:r>
      <w:r w:rsidRPr="007C293C">
        <w:tab/>
      </w:r>
      <w:r w:rsidRPr="00A86E0F">
        <w:t xml:space="preserve">In Croatia, other strong competitors are present, such as </w:t>
      </w:r>
      <w:proofErr w:type="spellStart"/>
      <w:r w:rsidRPr="00A86E0F">
        <w:t>Rutronik</w:t>
      </w:r>
      <w:proofErr w:type="spellEnd"/>
      <w:r w:rsidRPr="00A86E0F">
        <w:t xml:space="preserve"> Group ([10-20</w:t>
      </w:r>
      <w:proofErr w:type="gramStart"/>
      <w:r w:rsidRPr="00A86E0F">
        <w:t>]%</w:t>
      </w:r>
      <w:proofErr w:type="gramEnd"/>
      <w:r w:rsidRPr="00A86E0F">
        <w:t xml:space="preserve">) and </w:t>
      </w:r>
      <w:proofErr w:type="spellStart"/>
      <w:r w:rsidRPr="00A86E0F">
        <w:t>Codico</w:t>
      </w:r>
      <w:proofErr w:type="spellEnd"/>
      <w:r w:rsidRPr="00A86E0F">
        <w:t xml:space="preserve"> ([10-20]%). The Croatian market is highly fragmented with [40-50</w:t>
      </w:r>
      <w:proofErr w:type="gramStart"/>
      <w:r w:rsidRPr="00A86E0F">
        <w:t>]%</w:t>
      </w:r>
      <w:proofErr w:type="gramEnd"/>
      <w:r w:rsidRPr="00A86E0F">
        <w:t xml:space="preserve"> share attributed to small-sized distributors.</w:t>
      </w:r>
    </w:p>
  </w:footnote>
  <w:footnote w:id="83">
    <w:p w14:paraId="416823E1" w14:textId="77777777" w:rsidR="00432752" w:rsidRPr="00B423F8" w:rsidRDefault="00432752" w:rsidP="00B423F8">
      <w:pPr>
        <w:pStyle w:val="FootnoteText"/>
        <w:spacing w:after="0"/>
      </w:pPr>
      <w:r>
        <w:rPr>
          <w:rStyle w:val="FootnoteReference"/>
        </w:rPr>
        <w:footnoteRef/>
      </w:r>
      <w:r>
        <w:t xml:space="preserve"> </w:t>
      </w:r>
      <w:r w:rsidRPr="00B423F8">
        <w:tab/>
      </w:r>
      <w:r w:rsidRPr="00440BF8">
        <w:t>See replies to questionnaire Q1 to competitors of 3 September 2016, question 32; questionnaire Q2 to customers of 3 September 2016 question 26; and questionnaire Q3 to suppliers of 3 September 2016, question 23.</w:t>
      </w:r>
    </w:p>
  </w:footnote>
  <w:footnote w:id="84">
    <w:p w14:paraId="416823E2" w14:textId="77777777" w:rsidR="00432752" w:rsidRPr="00A068E5" w:rsidRDefault="00432752" w:rsidP="00B423F8">
      <w:pPr>
        <w:pStyle w:val="FootnoteText"/>
        <w:spacing w:after="0"/>
      </w:pPr>
      <w:r>
        <w:rPr>
          <w:rStyle w:val="FootnoteReference"/>
        </w:rPr>
        <w:footnoteRef/>
      </w:r>
      <w:r>
        <w:t xml:space="preserve"> </w:t>
      </w:r>
      <w:r>
        <w:tab/>
      </w:r>
      <w:r w:rsidRPr="00440BF8">
        <w:t>See replies to questionnaire Q1 to competitors of 3 September 2016, questions 36 and 42.3.1; questionnaire Q2 to customers of 3 September 2016 questions 30 and 33.3.1; and questionnaire Q3 to suppliers of 3 September 2016, question 25.1, question 27 and question 33.3.1.</w:t>
      </w:r>
    </w:p>
  </w:footnote>
  <w:footnote w:id="85">
    <w:p w14:paraId="416823E3" w14:textId="77777777" w:rsidR="00432752" w:rsidRPr="00B423F8" w:rsidRDefault="00432752" w:rsidP="004526A3">
      <w:pPr>
        <w:pStyle w:val="FootnoteText"/>
        <w:spacing w:after="0"/>
      </w:pPr>
      <w:r>
        <w:rPr>
          <w:rStyle w:val="FootnoteReference"/>
        </w:rPr>
        <w:footnoteRef/>
      </w:r>
      <w:r>
        <w:t xml:space="preserve"> </w:t>
      </w:r>
      <w:r w:rsidRPr="00B423F8">
        <w:tab/>
      </w:r>
      <w:r w:rsidRPr="00440BF8">
        <w:t>See replies to questionnaire Q2 to customers of 3 September 2016</w:t>
      </w:r>
      <w:r>
        <w:t xml:space="preserve"> question 29.1 </w:t>
      </w:r>
      <w:r w:rsidRPr="00440BF8">
        <w:t>and question 32.1.</w:t>
      </w:r>
      <w:r>
        <w:t>1</w:t>
      </w:r>
      <w:r w:rsidRPr="00440BF8">
        <w:t>.</w:t>
      </w:r>
    </w:p>
  </w:footnote>
  <w:footnote w:id="86">
    <w:p w14:paraId="416823E4" w14:textId="77777777" w:rsidR="00432752" w:rsidRPr="00B423F8" w:rsidRDefault="00432752" w:rsidP="005B2858">
      <w:pPr>
        <w:pStyle w:val="FootnoteText"/>
        <w:spacing w:after="0"/>
      </w:pPr>
      <w:r>
        <w:rPr>
          <w:rStyle w:val="FootnoteReference"/>
        </w:rPr>
        <w:footnoteRef/>
      </w:r>
      <w:r>
        <w:t xml:space="preserve"> </w:t>
      </w:r>
      <w:r w:rsidRPr="00B423F8">
        <w:tab/>
      </w:r>
      <w:r w:rsidRPr="00440BF8">
        <w:t>See replies to questionnaire Q1 to competitors of 3 September 2016, question 32; questionnaire Q2 to customers of 3 September 2016 question 26; and questionnaire Q3 to suppliers of 3 September 2016, question 23.</w:t>
      </w:r>
    </w:p>
  </w:footnote>
  <w:footnote w:id="87">
    <w:p w14:paraId="416823E5" w14:textId="77777777" w:rsidR="00432752" w:rsidRPr="00B423F8" w:rsidRDefault="00432752" w:rsidP="000C34E4">
      <w:pPr>
        <w:pStyle w:val="FootnoteText"/>
        <w:spacing w:after="0"/>
      </w:pPr>
      <w:r>
        <w:rPr>
          <w:rStyle w:val="FootnoteReference"/>
        </w:rPr>
        <w:footnoteRef/>
      </w:r>
      <w:r>
        <w:t xml:space="preserve"> </w:t>
      </w:r>
      <w:r w:rsidRPr="00B423F8">
        <w:tab/>
      </w:r>
      <w:r w:rsidRPr="00440BF8">
        <w:t>See replies to questionnaire Q2 to customers of 3 September 2016 question 29.</w:t>
      </w:r>
      <w:r>
        <w:t xml:space="preserve">2 and </w:t>
      </w:r>
      <w:r w:rsidRPr="00440BF8">
        <w:t>question 32.1.</w:t>
      </w:r>
      <w:r>
        <w:t>2</w:t>
      </w:r>
      <w:r w:rsidRPr="00440BF8">
        <w:t>.</w:t>
      </w:r>
    </w:p>
  </w:footnote>
  <w:footnote w:id="88">
    <w:p w14:paraId="416823E6" w14:textId="77777777" w:rsidR="00432752" w:rsidRPr="00B423F8" w:rsidRDefault="00432752" w:rsidP="00B423F8">
      <w:pPr>
        <w:pStyle w:val="FootnoteText"/>
        <w:spacing w:after="0"/>
      </w:pPr>
      <w:r>
        <w:rPr>
          <w:rStyle w:val="FootnoteReference"/>
        </w:rPr>
        <w:footnoteRef/>
      </w:r>
      <w:r>
        <w:t xml:space="preserve"> </w:t>
      </w:r>
      <w:r w:rsidRPr="00B423F8">
        <w:tab/>
      </w:r>
      <w:r w:rsidRPr="00440BF8">
        <w:t>See replies to questionnaire Q2 to customers of 3 September 2016 question 28.2, question 32.1.2 and question 33.4.1.</w:t>
      </w:r>
    </w:p>
  </w:footnote>
  <w:footnote w:id="89">
    <w:p w14:paraId="416823E7" w14:textId="77777777" w:rsidR="00432752" w:rsidRPr="00A86E0F" w:rsidRDefault="00432752" w:rsidP="00B423F8">
      <w:pPr>
        <w:pStyle w:val="FootnoteText"/>
        <w:spacing w:after="0"/>
      </w:pPr>
      <w:r>
        <w:rPr>
          <w:rStyle w:val="FootnoteReference"/>
        </w:rPr>
        <w:footnoteRef/>
      </w:r>
      <w:r w:rsidRPr="00035CED">
        <w:t xml:space="preserve"> </w:t>
      </w:r>
      <w:r w:rsidRPr="00035CED">
        <w:tab/>
      </w:r>
      <w:r w:rsidRPr="00A86E0F">
        <w:t xml:space="preserve">Medium-sized competitors to Avnet in Belgium and their respective market share for 2015: </w:t>
      </w:r>
      <w:proofErr w:type="spellStart"/>
      <w:r w:rsidRPr="00A86E0F">
        <w:t>Telerex</w:t>
      </w:r>
      <w:proofErr w:type="spellEnd"/>
      <w:r w:rsidRPr="00A86E0F">
        <w:t xml:space="preserve"> ([10-20</w:t>
      </w:r>
      <w:proofErr w:type="gramStart"/>
      <w:r w:rsidRPr="00A86E0F">
        <w:t>]%</w:t>
      </w:r>
      <w:proofErr w:type="gramEnd"/>
      <w:r w:rsidRPr="00A86E0F">
        <w:t>) Arrow</w:t>
      </w:r>
      <w:r w:rsidRPr="00A86E0F">
        <w:rPr>
          <w:i/>
        </w:rPr>
        <w:t xml:space="preserve"> </w:t>
      </w:r>
      <w:r w:rsidRPr="00A86E0F">
        <w:t>([5-10</w:t>
      </w:r>
      <w:proofErr w:type="gramStart"/>
      <w:r w:rsidRPr="00A86E0F">
        <w:t>]%</w:t>
      </w:r>
      <w:proofErr w:type="gramEnd"/>
      <w:r w:rsidRPr="00A86E0F">
        <w:t xml:space="preserve">), </w:t>
      </w:r>
      <w:proofErr w:type="spellStart"/>
      <w:r w:rsidRPr="00A86E0F">
        <w:t>Electrocomponents</w:t>
      </w:r>
      <w:proofErr w:type="spellEnd"/>
      <w:r w:rsidRPr="00A86E0F">
        <w:t xml:space="preserve"> ([5-10]%), </w:t>
      </w:r>
      <w:proofErr w:type="spellStart"/>
      <w:r w:rsidRPr="00A86E0F">
        <w:t>Alcom</w:t>
      </w:r>
      <w:proofErr w:type="spellEnd"/>
      <w:r w:rsidRPr="00A86E0F">
        <w:t xml:space="preserve"> ([5-10]%), TTI Group ([5-10]%), </w:t>
      </w:r>
      <w:proofErr w:type="spellStart"/>
      <w:r w:rsidRPr="00A86E0F">
        <w:t>Texim</w:t>
      </w:r>
      <w:proofErr w:type="spellEnd"/>
      <w:r w:rsidRPr="00A86E0F">
        <w:t xml:space="preserve"> ([5-10]%). </w:t>
      </w:r>
    </w:p>
  </w:footnote>
  <w:footnote w:id="90">
    <w:p w14:paraId="416823E8" w14:textId="77777777" w:rsidR="00432752" w:rsidRPr="00A86E0F" w:rsidRDefault="00432752" w:rsidP="00B423F8">
      <w:pPr>
        <w:pStyle w:val="FootnoteText"/>
        <w:spacing w:after="0"/>
        <w:rPr>
          <w:i/>
          <w:lang w:val="en-US"/>
        </w:rPr>
      </w:pPr>
      <w:r w:rsidRPr="00A86E0F">
        <w:rPr>
          <w:rStyle w:val="FootnoteReference"/>
        </w:rPr>
        <w:footnoteRef/>
      </w:r>
      <w:r w:rsidRPr="00A86E0F">
        <w:t xml:space="preserve"> </w:t>
      </w:r>
      <w:r w:rsidRPr="00A86E0F">
        <w:tab/>
        <w:t xml:space="preserve">Medium-sized competitors to Avnet in Denmark and their respective market share for 2015: </w:t>
      </w:r>
      <w:proofErr w:type="spellStart"/>
      <w:r w:rsidRPr="00A86E0F">
        <w:t>Acte</w:t>
      </w:r>
      <w:proofErr w:type="spellEnd"/>
      <w:r w:rsidRPr="00A86E0F">
        <w:t xml:space="preserve"> Group ([5-10</w:t>
      </w:r>
      <w:proofErr w:type="gramStart"/>
      <w:r w:rsidRPr="00A86E0F">
        <w:t>]%</w:t>
      </w:r>
      <w:proofErr w:type="gramEnd"/>
      <w:r w:rsidRPr="00A86E0F">
        <w:t xml:space="preserve">), Arrow ([5-10]%), </w:t>
      </w:r>
      <w:proofErr w:type="spellStart"/>
      <w:r w:rsidRPr="00A86E0F">
        <w:t>Electrocomponents</w:t>
      </w:r>
      <w:proofErr w:type="spellEnd"/>
      <w:r w:rsidRPr="00A86E0F">
        <w:t xml:space="preserve"> ([5-10]%), TTI Group ([5-10]%).</w:t>
      </w:r>
      <w:r w:rsidRPr="00A86E0F">
        <w:rPr>
          <w:i/>
          <w:lang w:val="en-US"/>
        </w:rPr>
        <w:t xml:space="preserve"> </w:t>
      </w:r>
    </w:p>
  </w:footnote>
  <w:footnote w:id="91">
    <w:p w14:paraId="416823E9" w14:textId="77777777" w:rsidR="00432752" w:rsidRPr="00A86E0F" w:rsidRDefault="00432752" w:rsidP="0009543B">
      <w:pPr>
        <w:pStyle w:val="FootnoteText"/>
        <w:spacing w:after="0"/>
      </w:pPr>
      <w:r w:rsidRPr="00A86E0F">
        <w:rPr>
          <w:rStyle w:val="FootnoteReference"/>
        </w:rPr>
        <w:footnoteRef/>
      </w:r>
      <w:r w:rsidRPr="00A86E0F">
        <w:t xml:space="preserve"> </w:t>
      </w:r>
      <w:r w:rsidRPr="00A86E0F">
        <w:tab/>
        <w:t xml:space="preserve">Medium-sized competitors to Avnet in the Netherlands and their respective market share for 2015: </w:t>
      </w:r>
      <w:proofErr w:type="spellStart"/>
      <w:r w:rsidRPr="00A86E0F">
        <w:t>Telerex</w:t>
      </w:r>
      <w:proofErr w:type="spellEnd"/>
      <w:r w:rsidRPr="00A86E0F">
        <w:t xml:space="preserve"> ([10-20</w:t>
      </w:r>
      <w:proofErr w:type="gramStart"/>
      <w:r w:rsidRPr="00A86E0F">
        <w:t>]%</w:t>
      </w:r>
      <w:proofErr w:type="gramEnd"/>
      <w:r w:rsidRPr="00A86E0F">
        <w:t xml:space="preserve">), Arrow ([5-10]%), </w:t>
      </w:r>
      <w:proofErr w:type="spellStart"/>
      <w:r w:rsidRPr="00A86E0F">
        <w:t>Electrocomponents</w:t>
      </w:r>
      <w:proofErr w:type="spellEnd"/>
      <w:r w:rsidRPr="00A86E0F">
        <w:t xml:space="preserve"> ([5-10]%), </w:t>
      </w:r>
      <w:proofErr w:type="spellStart"/>
      <w:r w:rsidRPr="00A86E0F">
        <w:t>Alcom</w:t>
      </w:r>
      <w:proofErr w:type="spellEnd"/>
      <w:r w:rsidRPr="00A86E0F">
        <w:t xml:space="preserve"> ([5-10]%), TTI Group ([5-10]%), </w:t>
      </w:r>
      <w:proofErr w:type="spellStart"/>
      <w:r w:rsidRPr="00A86E0F">
        <w:t>Texim</w:t>
      </w:r>
      <w:proofErr w:type="spellEnd"/>
      <w:r w:rsidRPr="00A86E0F">
        <w:t xml:space="preserve"> ([5-10]%).</w:t>
      </w:r>
    </w:p>
  </w:footnote>
  <w:footnote w:id="92">
    <w:p w14:paraId="416823EA" w14:textId="77777777" w:rsidR="00432752" w:rsidRPr="00A86E0F" w:rsidRDefault="00432752" w:rsidP="00EF4B4B">
      <w:pPr>
        <w:pStyle w:val="FootnoteText"/>
        <w:spacing w:after="0"/>
      </w:pPr>
      <w:r w:rsidRPr="00A86E0F">
        <w:rPr>
          <w:rStyle w:val="FootnoteReference"/>
        </w:rPr>
        <w:footnoteRef/>
      </w:r>
      <w:r w:rsidRPr="00A86E0F">
        <w:t xml:space="preserve"> </w:t>
      </w:r>
      <w:r w:rsidRPr="00A86E0F">
        <w:tab/>
        <w:t xml:space="preserve">Medium-sized competitors to Avnet in Slovenia and their respective market share for 2015: </w:t>
      </w:r>
      <w:proofErr w:type="spellStart"/>
      <w:r w:rsidRPr="00A86E0F">
        <w:t>Telerex</w:t>
      </w:r>
      <w:proofErr w:type="spellEnd"/>
      <w:r w:rsidRPr="00A86E0F">
        <w:t xml:space="preserve"> ([10-20</w:t>
      </w:r>
      <w:proofErr w:type="gramStart"/>
      <w:r w:rsidRPr="00A86E0F">
        <w:t>]%</w:t>
      </w:r>
      <w:proofErr w:type="gramEnd"/>
      <w:r w:rsidRPr="00A86E0F">
        <w:t xml:space="preserve">), Arrow ([5-10]%), </w:t>
      </w:r>
      <w:proofErr w:type="spellStart"/>
      <w:r w:rsidRPr="00A86E0F">
        <w:t>Electrocomponents</w:t>
      </w:r>
      <w:proofErr w:type="spellEnd"/>
      <w:r w:rsidRPr="00A86E0F">
        <w:t xml:space="preserve"> ([5-10]%), </w:t>
      </w:r>
      <w:proofErr w:type="spellStart"/>
      <w:r w:rsidRPr="00A86E0F">
        <w:t>Alcom</w:t>
      </w:r>
      <w:proofErr w:type="spellEnd"/>
      <w:r w:rsidRPr="00A86E0F">
        <w:t xml:space="preserve"> ([5-10]%), TTI Group ([5-10]%), </w:t>
      </w:r>
      <w:proofErr w:type="spellStart"/>
      <w:r w:rsidRPr="00A86E0F">
        <w:t>Texim</w:t>
      </w:r>
      <w:proofErr w:type="spellEnd"/>
      <w:r w:rsidRPr="00A86E0F">
        <w:t xml:space="preserve"> ([5-10]%).</w:t>
      </w:r>
    </w:p>
  </w:footnote>
  <w:footnote w:id="93">
    <w:p w14:paraId="416823EB" w14:textId="77777777" w:rsidR="00432752" w:rsidRPr="00A86E0F" w:rsidRDefault="00432752" w:rsidP="00EF4B4B">
      <w:pPr>
        <w:pStyle w:val="FootnoteText"/>
        <w:spacing w:after="0"/>
        <w:rPr>
          <w:i/>
          <w:lang w:val="en-US"/>
        </w:rPr>
      </w:pPr>
      <w:r w:rsidRPr="00A86E0F">
        <w:rPr>
          <w:rStyle w:val="FootnoteReference"/>
        </w:rPr>
        <w:footnoteRef/>
      </w:r>
      <w:r w:rsidRPr="00A86E0F">
        <w:t xml:space="preserve"> </w:t>
      </w:r>
      <w:r w:rsidRPr="00A86E0F">
        <w:tab/>
        <w:t xml:space="preserve">Medium-sized competitors to Avnet in the United Kingdom and their respective market share for 2015: </w:t>
      </w:r>
      <w:proofErr w:type="spellStart"/>
      <w:r w:rsidRPr="00A86E0F">
        <w:t>Electrocomponents</w:t>
      </w:r>
      <w:proofErr w:type="spellEnd"/>
      <w:r w:rsidRPr="00A86E0F">
        <w:t xml:space="preserve"> ([10-20</w:t>
      </w:r>
      <w:proofErr w:type="gramStart"/>
      <w:r w:rsidRPr="00A86E0F">
        <w:t>]%</w:t>
      </w:r>
      <w:proofErr w:type="gramEnd"/>
      <w:r w:rsidRPr="00A86E0F">
        <w:t xml:space="preserve">), Arrow ([5-10]%), </w:t>
      </w:r>
      <w:proofErr w:type="spellStart"/>
      <w:r w:rsidRPr="00A86E0F">
        <w:t>Aerco</w:t>
      </w:r>
      <w:proofErr w:type="spellEnd"/>
      <w:r w:rsidRPr="00A86E0F">
        <w:t xml:space="preserve"> ([0-5]%), TTI Group ([0-5]%), Future Group ([0-5]%), Anglia ([0-5]%)</w:t>
      </w:r>
    </w:p>
  </w:footnote>
  <w:footnote w:id="94">
    <w:p w14:paraId="416823EC" w14:textId="77777777" w:rsidR="00432752" w:rsidRPr="00E867C3" w:rsidRDefault="00432752" w:rsidP="00EF4B4B">
      <w:pPr>
        <w:pStyle w:val="FootnoteText"/>
        <w:spacing w:after="0"/>
      </w:pPr>
      <w:r w:rsidRPr="00A86E0F">
        <w:rPr>
          <w:rStyle w:val="FootnoteReference"/>
        </w:rPr>
        <w:footnoteRef/>
      </w:r>
      <w:r w:rsidRPr="00A86E0F">
        <w:t xml:space="preserve"> </w:t>
      </w:r>
      <w:r w:rsidRPr="00A86E0F">
        <w:tab/>
        <w:t>More particularly, the increment brought about by the Transaction is: in Belgium [10-20]%, in Denmark [5-10]%, in the Netherlands [20-30]%, in Slovenia [10-20]% and in the United Kingdom [10-20]%.</w:t>
      </w:r>
    </w:p>
  </w:footnote>
  <w:footnote w:id="95">
    <w:p w14:paraId="416823ED" w14:textId="77777777" w:rsidR="00432752" w:rsidRPr="00B423F8" w:rsidRDefault="00432752" w:rsidP="00B423F8">
      <w:pPr>
        <w:pStyle w:val="FootnoteText"/>
        <w:spacing w:after="0"/>
      </w:pPr>
      <w:r>
        <w:rPr>
          <w:rStyle w:val="FootnoteReference"/>
        </w:rPr>
        <w:footnoteRef/>
      </w:r>
      <w:r>
        <w:t xml:space="preserve"> </w:t>
      </w:r>
      <w:r w:rsidRPr="00B423F8">
        <w:tab/>
      </w:r>
      <w:r w:rsidRPr="00440BF8">
        <w:t>See replies to questionnaire Q2 to customers of 3 September 2016 question 28.3, question 32.1.3 and question 33.5.1.</w:t>
      </w:r>
    </w:p>
  </w:footnote>
  <w:footnote w:id="96">
    <w:p w14:paraId="416823EE" w14:textId="77777777" w:rsidR="00432752" w:rsidRPr="00B423F8" w:rsidRDefault="00432752" w:rsidP="00686A96">
      <w:pPr>
        <w:pStyle w:val="FootnoteText"/>
        <w:spacing w:after="0"/>
      </w:pPr>
      <w:r>
        <w:rPr>
          <w:rStyle w:val="FootnoteReference"/>
        </w:rPr>
        <w:footnoteRef/>
      </w:r>
      <w:r>
        <w:t xml:space="preserve"> </w:t>
      </w:r>
      <w:r w:rsidRPr="00B423F8">
        <w:tab/>
      </w:r>
      <w:r w:rsidRPr="00440BF8">
        <w:t>See replies to questionnaire Q1 to competitors of 3 September 2016, question 32; questionnaire Q2 to customers of 3 September 2016 question 26; and questionnaire Q3 to suppliers of 3 September 2016, question 23.</w:t>
      </w:r>
    </w:p>
  </w:footnote>
  <w:footnote w:id="97">
    <w:p w14:paraId="416823EF" w14:textId="77777777" w:rsidR="00432752" w:rsidRPr="00B423F8" w:rsidRDefault="00432752" w:rsidP="00B423F8">
      <w:pPr>
        <w:pStyle w:val="FootnoteText"/>
        <w:spacing w:after="0"/>
      </w:pPr>
      <w:r>
        <w:rPr>
          <w:rStyle w:val="FootnoteReference"/>
        </w:rPr>
        <w:footnoteRef/>
      </w:r>
      <w:r>
        <w:t xml:space="preserve"> </w:t>
      </w:r>
      <w:r w:rsidRPr="00B423F8">
        <w:tab/>
      </w:r>
      <w:r w:rsidRPr="00440BF8">
        <w:t>See replies to questionnaire Q2 to customers of 3 September 2016 question 29.3, question 32.1.3 and question 32.1.3.</w:t>
      </w:r>
    </w:p>
  </w:footnote>
  <w:footnote w:id="98">
    <w:p w14:paraId="416823F0" w14:textId="77777777" w:rsidR="00432752" w:rsidRPr="001643A0" w:rsidRDefault="00432752">
      <w:pPr>
        <w:pStyle w:val="FootnoteText"/>
      </w:pPr>
      <w:r>
        <w:rPr>
          <w:rStyle w:val="FootnoteReference"/>
        </w:rPr>
        <w:footnoteRef/>
      </w:r>
      <w:r>
        <w:t xml:space="preserve"> </w:t>
      </w:r>
      <w:r>
        <w:tab/>
        <w:t>Namely, Belgium, Croatia, Finland, Germany</w:t>
      </w:r>
      <w:r w:rsidRPr="001643A0">
        <w:t>, Ireland, the Netherlands, Norway, Poland, Portugal, Spain</w:t>
      </w:r>
      <w:r>
        <w:t xml:space="preserve">, </w:t>
      </w:r>
      <w:r w:rsidRPr="001643A0">
        <w:t>Sweden</w:t>
      </w:r>
      <w:r>
        <w:t xml:space="preserve">, </w:t>
      </w:r>
      <w:r w:rsidRPr="001643A0">
        <w:t>Austria</w:t>
      </w:r>
      <w:r>
        <w:t xml:space="preserve">, Bulgaria, Czech Republic, </w:t>
      </w:r>
      <w:r w:rsidRPr="001643A0">
        <w:t>Denmark, France</w:t>
      </w:r>
      <w:r>
        <w:t>, Italy</w:t>
      </w:r>
      <w:r w:rsidRPr="001643A0">
        <w:t xml:space="preserve">, Romania, Slovakia, Slovenia and </w:t>
      </w:r>
      <w:r>
        <w:t xml:space="preserve">the </w:t>
      </w:r>
      <w:r w:rsidRPr="001643A0">
        <w:t>United Kingdom.</w:t>
      </w:r>
    </w:p>
  </w:footnote>
  <w:footnote w:id="99">
    <w:p w14:paraId="416823F1" w14:textId="77777777" w:rsidR="00432752" w:rsidRPr="00820CE0" w:rsidRDefault="00432752">
      <w:pPr>
        <w:pStyle w:val="FootnoteText"/>
      </w:pPr>
      <w:r>
        <w:rPr>
          <w:rStyle w:val="FootnoteReference"/>
        </w:rPr>
        <w:footnoteRef/>
      </w:r>
      <w:r>
        <w:t xml:space="preserve"> </w:t>
      </w:r>
      <w:r w:rsidRPr="00106AFD">
        <w:tab/>
      </w:r>
      <w:proofErr w:type="gramStart"/>
      <w:r w:rsidRPr="00106AFD">
        <w:t>Or, in the absenc</w:t>
      </w:r>
      <w:r>
        <w:t>e of Arrow (i.e. in Croatia), of alternative strong competitors to the merged entity.</w:t>
      </w:r>
      <w:proofErr w:type="gramEnd"/>
    </w:p>
  </w:footnote>
  <w:footnote w:id="100">
    <w:p w14:paraId="416823F2" w14:textId="77777777" w:rsidR="00432752" w:rsidRPr="007C293C" w:rsidRDefault="00432752" w:rsidP="00B423F8">
      <w:pPr>
        <w:pStyle w:val="FootnoteText"/>
        <w:spacing w:after="0"/>
      </w:pPr>
      <w:r>
        <w:rPr>
          <w:rStyle w:val="FootnoteReference"/>
        </w:rPr>
        <w:footnoteRef/>
      </w:r>
      <w:r>
        <w:t xml:space="preserve"> </w:t>
      </w:r>
      <w:r>
        <w:tab/>
      </w:r>
      <w:r w:rsidRPr="00440BF8">
        <w:t>See replies to questionnaire Q1 to competitors of 3 September 2016, question 42; questionnaire Q2 to customers of 3 September 2016 question 33; and questionnaire Q3 to suppliers of 3 September 2016, question 33.</w:t>
      </w:r>
    </w:p>
  </w:footnote>
  <w:footnote w:id="101">
    <w:p w14:paraId="416823F3" w14:textId="77777777" w:rsidR="00432752" w:rsidRPr="00124198" w:rsidRDefault="00432752" w:rsidP="00B423F8">
      <w:pPr>
        <w:pStyle w:val="FootnoteText"/>
        <w:spacing w:after="0"/>
      </w:pPr>
      <w:r>
        <w:rPr>
          <w:rStyle w:val="FootnoteReference"/>
        </w:rPr>
        <w:footnoteRef/>
      </w:r>
      <w:r>
        <w:t xml:space="preserve"> </w:t>
      </w:r>
      <w:r>
        <w:tab/>
      </w:r>
      <w:r w:rsidRPr="00440BF8">
        <w:t>See replies to questionnaire Q2 to customers of 3 September 2016 question 33.</w:t>
      </w:r>
    </w:p>
  </w:footnote>
  <w:footnote w:id="102">
    <w:p w14:paraId="416823F4" w14:textId="77777777" w:rsidR="00432752" w:rsidRPr="00C9455F" w:rsidRDefault="00432752" w:rsidP="004E5CC9">
      <w:pPr>
        <w:pStyle w:val="FootnoteText"/>
        <w:spacing w:after="0"/>
      </w:pPr>
      <w:r>
        <w:rPr>
          <w:rStyle w:val="FootnoteReference"/>
        </w:rPr>
        <w:footnoteRef/>
      </w:r>
      <w:r>
        <w:t xml:space="preserve"> </w:t>
      </w:r>
      <w:r>
        <w:tab/>
      </w:r>
      <w:r w:rsidRPr="00661F14">
        <w:t xml:space="preserve">See replies to questionnaire Q3 to suppliers of 3 September 2016, question </w:t>
      </w:r>
      <w:r>
        <w:t>32.</w:t>
      </w:r>
    </w:p>
  </w:footnote>
  <w:footnote w:id="103">
    <w:p w14:paraId="416823F5" w14:textId="77777777" w:rsidR="00432752" w:rsidRPr="004B7640" w:rsidRDefault="00432752" w:rsidP="004E5CC9">
      <w:pPr>
        <w:pStyle w:val="FootnoteText"/>
        <w:spacing w:after="0"/>
      </w:pPr>
      <w:r>
        <w:rPr>
          <w:rStyle w:val="FootnoteReference"/>
        </w:rPr>
        <w:footnoteRef/>
      </w:r>
      <w:r>
        <w:t xml:space="preserve"> </w:t>
      </w:r>
      <w:r>
        <w:tab/>
      </w:r>
      <w:r w:rsidRPr="004B7640">
        <w:t>See replies to questionnaire Q1 to competitors of 3 September 2016, question 31.</w:t>
      </w:r>
    </w:p>
  </w:footnote>
  <w:footnote w:id="104">
    <w:p w14:paraId="416823F6" w14:textId="77777777" w:rsidR="00432752" w:rsidRPr="00C9455F" w:rsidRDefault="00432752" w:rsidP="004E5CC9">
      <w:pPr>
        <w:pStyle w:val="FootnoteText"/>
        <w:spacing w:after="0"/>
      </w:pPr>
      <w:r>
        <w:rPr>
          <w:rStyle w:val="FootnoteReference"/>
        </w:rPr>
        <w:footnoteRef/>
      </w:r>
      <w:r>
        <w:t xml:space="preserve"> </w:t>
      </w:r>
      <w:r>
        <w:tab/>
      </w:r>
      <w:r w:rsidRPr="00661F14">
        <w:t xml:space="preserve">See replies to questionnaire Q3 to suppliers of 3 September 2016, question </w:t>
      </w:r>
      <w:r>
        <w:t>32.2</w:t>
      </w:r>
      <w:r w:rsidRPr="00661F14">
        <w:t>.</w:t>
      </w:r>
    </w:p>
  </w:footnote>
  <w:footnote w:id="105">
    <w:p w14:paraId="416823F7" w14:textId="77777777" w:rsidR="00432752" w:rsidRPr="00681417" w:rsidRDefault="00432752" w:rsidP="004E5CC9">
      <w:pPr>
        <w:pStyle w:val="FootnoteText"/>
        <w:spacing w:after="0"/>
      </w:pPr>
      <w:r>
        <w:rPr>
          <w:rStyle w:val="FootnoteReference"/>
        </w:rPr>
        <w:footnoteRef/>
      </w:r>
      <w:r>
        <w:t xml:space="preserve"> </w:t>
      </w:r>
      <w:r w:rsidRPr="00681417">
        <w:tab/>
      </w:r>
      <w:r w:rsidRPr="00661F14">
        <w:t xml:space="preserve">See replies to questionnaire Q1 to competitors of 3 September 2016, question </w:t>
      </w:r>
      <w:r>
        <w:t>34</w:t>
      </w:r>
      <w:r w:rsidRPr="00661F14">
        <w:t xml:space="preserve">; questionnaire Q2 to customers of 3 September 2016 question </w:t>
      </w:r>
      <w:r>
        <w:t>28</w:t>
      </w:r>
      <w:r w:rsidRPr="00661F14">
        <w:t xml:space="preserve">; and questionnaire Q3 to suppliers of 3 September 2016, question </w:t>
      </w:r>
      <w:r>
        <w:t>25</w:t>
      </w:r>
      <w:r w:rsidRPr="00661F14">
        <w:t>.</w:t>
      </w:r>
    </w:p>
  </w:footnote>
  <w:footnote w:id="106">
    <w:p w14:paraId="416823F8" w14:textId="77777777" w:rsidR="00432752" w:rsidRPr="00681417" w:rsidRDefault="00432752" w:rsidP="004E5CC9">
      <w:pPr>
        <w:pStyle w:val="FootnoteText"/>
        <w:spacing w:after="0"/>
      </w:pPr>
      <w:r>
        <w:rPr>
          <w:rStyle w:val="FootnoteReference"/>
        </w:rPr>
        <w:footnoteRef/>
      </w:r>
      <w:r>
        <w:t xml:space="preserve"> </w:t>
      </w:r>
      <w:r w:rsidRPr="00681417">
        <w:tab/>
      </w:r>
      <w:r w:rsidRPr="00661F14">
        <w:t xml:space="preserve">See replies to questionnaire Q2 to customers of 3 September 2016 question </w:t>
      </w:r>
      <w:r>
        <w:t>32.</w:t>
      </w:r>
    </w:p>
  </w:footnote>
  <w:footnote w:id="107">
    <w:p w14:paraId="416823F9" w14:textId="77777777" w:rsidR="00432752" w:rsidRPr="00E712E2" w:rsidRDefault="00432752" w:rsidP="004E5CC9">
      <w:pPr>
        <w:pStyle w:val="FootnoteText"/>
        <w:spacing w:after="0"/>
      </w:pPr>
      <w:r>
        <w:rPr>
          <w:rStyle w:val="FootnoteReference"/>
        </w:rPr>
        <w:footnoteRef/>
      </w:r>
      <w:r>
        <w:t xml:space="preserve"> </w:t>
      </w:r>
      <w:r>
        <w:tab/>
      </w:r>
      <w:r w:rsidRPr="00661F14">
        <w:t xml:space="preserve">See replies to questionnaire Q2 to customers of 3 September 2016 question </w:t>
      </w:r>
      <w:r>
        <w:t>29.</w:t>
      </w:r>
    </w:p>
  </w:footnote>
  <w:footnote w:id="108">
    <w:p w14:paraId="416823FA" w14:textId="77777777" w:rsidR="00432752" w:rsidRPr="002C640A" w:rsidRDefault="00432752" w:rsidP="005C567B">
      <w:pPr>
        <w:pStyle w:val="FootnoteText"/>
      </w:pPr>
      <w:r>
        <w:rPr>
          <w:rStyle w:val="FootnoteReference"/>
        </w:rPr>
        <w:footnoteRef/>
      </w:r>
      <w:r>
        <w:t xml:space="preserve"> </w:t>
      </w:r>
      <w:r>
        <w:tab/>
        <w:t>OJ C31, 5 February 2004, p.5."</w:t>
      </w:r>
      <w:r w:rsidRPr="002C640A">
        <w:t>Guidelines on the assessment of horizontal mergers under the Council regulation on the control of conc</w:t>
      </w:r>
      <w:r>
        <w:t>entrations between undertakings", paragraph 18.</w:t>
      </w:r>
    </w:p>
  </w:footnote>
  <w:footnote w:id="109">
    <w:p w14:paraId="416823FB" w14:textId="77777777" w:rsidR="00432752" w:rsidRDefault="00432752">
      <w:pPr>
        <w:pStyle w:val="FootnoteText"/>
      </w:pPr>
      <w:r>
        <w:rPr>
          <w:rStyle w:val="FootnoteReference"/>
        </w:rPr>
        <w:footnoteRef/>
      </w:r>
      <w:r>
        <w:t xml:space="preserve"> </w:t>
      </w:r>
      <w:r>
        <w:tab/>
        <w:t>Form CO, paragraph 76.</w:t>
      </w:r>
    </w:p>
  </w:footnote>
  <w:footnote w:id="110">
    <w:p w14:paraId="416823FC" w14:textId="77777777" w:rsidR="00432752" w:rsidRDefault="00432752">
      <w:pPr>
        <w:pStyle w:val="FootnoteText"/>
      </w:pPr>
      <w:r w:rsidRPr="00574451">
        <w:rPr>
          <w:rStyle w:val="FootnoteReference"/>
        </w:rPr>
        <w:footnoteRef/>
      </w:r>
      <w:r w:rsidRPr="00574451">
        <w:t xml:space="preserve"> </w:t>
      </w:r>
      <w:r w:rsidRPr="00574451">
        <w:tab/>
        <w:t xml:space="preserve">Form CO, paragraphs 222 and 224. Distributors usually source components from other distributors where it is cost-effective to do so to address a shortfall in supply. Premier </w:t>
      </w:r>
      <w:proofErr w:type="spellStart"/>
      <w:r w:rsidRPr="00574451">
        <w:t>Farnell</w:t>
      </w:r>
      <w:proofErr w:type="spellEnd"/>
      <w:r w:rsidRPr="00574451">
        <w:t xml:space="preserve"> does not manufacture electronic components but resells a very limited amount to Avnet.</w:t>
      </w:r>
    </w:p>
  </w:footnote>
  <w:footnote w:id="111">
    <w:p w14:paraId="416823FD" w14:textId="77777777" w:rsidR="00432752" w:rsidRDefault="00432752">
      <w:pPr>
        <w:pStyle w:val="FootnoteText"/>
      </w:pPr>
      <w:r>
        <w:rPr>
          <w:rStyle w:val="FootnoteReference"/>
        </w:rPr>
        <w:footnoteRef/>
      </w:r>
      <w:r>
        <w:t xml:space="preserve"> </w:t>
      </w:r>
      <w:r>
        <w:tab/>
        <w:t>Form CO, paragraph 212 and 213.</w:t>
      </w:r>
    </w:p>
  </w:footnote>
  <w:footnote w:id="112">
    <w:p w14:paraId="416823FE" w14:textId="77777777" w:rsidR="00432752" w:rsidRDefault="00432752">
      <w:pPr>
        <w:pStyle w:val="FootnoteText"/>
      </w:pPr>
      <w:r>
        <w:rPr>
          <w:rStyle w:val="FootnoteReference"/>
        </w:rPr>
        <w:footnoteRef/>
      </w:r>
      <w:r>
        <w:t xml:space="preserve"> </w:t>
      </w:r>
      <w:r>
        <w:tab/>
        <w:t xml:space="preserve">As per Section </w:t>
      </w:r>
      <w:r>
        <w:fldChar w:fldCharType="begin"/>
      </w:r>
      <w:r>
        <w:instrText xml:space="preserve"> REF _Ref463364888 \r \h </w:instrText>
      </w:r>
      <w:r>
        <w:fldChar w:fldCharType="separate"/>
      </w:r>
      <w:r w:rsidR="00BA4E96">
        <w:t>4.2.2</w:t>
      </w:r>
      <w:r>
        <w:fldChar w:fldCharType="end"/>
      </w:r>
      <w:r>
        <w:t>, in previous decisions, the Commission did not take a view on whether the geographic market definition should be EEA-wide or worldwide. Therefore, the assessment in the present case is conducted for both alternatives.</w:t>
      </w:r>
    </w:p>
  </w:footnote>
  <w:footnote w:id="113">
    <w:p w14:paraId="416823FF" w14:textId="77777777" w:rsidR="00432752" w:rsidRDefault="00432752" w:rsidP="00B423F8">
      <w:pPr>
        <w:pStyle w:val="FootnoteText"/>
        <w:spacing w:after="0"/>
      </w:pPr>
      <w:r>
        <w:rPr>
          <w:rStyle w:val="FootnoteReference"/>
        </w:rPr>
        <w:footnoteRef/>
      </w:r>
      <w:r>
        <w:t xml:space="preserve"> </w:t>
      </w:r>
      <w:r>
        <w:tab/>
        <w:t>Form CO, paragraphs 216 to 218.</w:t>
      </w:r>
    </w:p>
  </w:footnote>
  <w:footnote w:id="114">
    <w:p w14:paraId="41682400" w14:textId="2966D614" w:rsidR="00432752" w:rsidRPr="00851FBF" w:rsidRDefault="00432752" w:rsidP="00B423F8">
      <w:pPr>
        <w:pStyle w:val="FootnoteText"/>
        <w:spacing w:after="0"/>
      </w:pPr>
      <w:r>
        <w:rPr>
          <w:rStyle w:val="FootnoteReference"/>
        </w:rPr>
        <w:footnoteRef/>
      </w:r>
      <w:r>
        <w:t xml:space="preserve"> </w:t>
      </w:r>
      <w:r>
        <w:tab/>
      </w:r>
      <w:r w:rsidRPr="00851FBF">
        <w:t xml:space="preserve">For example, Avnet purchased components worth EUR […] from Premier </w:t>
      </w:r>
      <w:proofErr w:type="spellStart"/>
      <w:r w:rsidRPr="00851FBF">
        <w:t>Farnell</w:t>
      </w:r>
      <w:proofErr w:type="spellEnd"/>
      <w:r w:rsidRPr="00851FBF">
        <w:t xml:space="preserve"> in 2016. In turn, Premier </w:t>
      </w:r>
      <w:proofErr w:type="spellStart"/>
      <w:r w:rsidRPr="00851FBF">
        <w:t>Farnell</w:t>
      </w:r>
      <w:proofErr w:type="spellEnd"/>
      <w:r w:rsidRPr="00851FBF">
        <w:t xml:space="preserve"> purchased EUR […] worth of components from Avnet in EEA, which represented [0-5]% of Avnet's total sales of electronic components in the EEA and less than [0-5]% of Premier </w:t>
      </w:r>
      <w:proofErr w:type="spellStart"/>
      <w:r w:rsidRPr="00851FBF">
        <w:t>Farnell's</w:t>
      </w:r>
      <w:proofErr w:type="spellEnd"/>
      <w:r w:rsidRPr="00851FBF">
        <w:t xml:space="preserve"> EEA-wide purchases of electronic components (Form CO, paragraphs 222 and 223). The Notifying Party further submits that these purchases from a high-volume distributor by a low volume distributor are not unique and Premier </w:t>
      </w:r>
      <w:proofErr w:type="spellStart"/>
      <w:r w:rsidRPr="00851FBF">
        <w:t>Farnell</w:t>
      </w:r>
      <w:proofErr w:type="spellEnd"/>
      <w:r w:rsidRPr="00851FBF">
        <w:t xml:space="preserve"> makes these purchases when [</w:t>
      </w:r>
      <w:r w:rsidR="00A8647D" w:rsidRPr="00851FBF">
        <w:t>purchasing strategy</w:t>
      </w:r>
      <w:r w:rsidRPr="00851FBF">
        <w:t>] (Form CO, paragraph 224).</w:t>
      </w:r>
    </w:p>
  </w:footnote>
  <w:footnote w:id="115">
    <w:p w14:paraId="41682401" w14:textId="77777777" w:rsidR="00432752" w:rsidRDefault="00432752" w:rsidP="00B423F8">
      <w:pPr>
        <w:pStyle w:val="FootnoteText"/>
        <w:spacing w:after="0"/>
      </w:pPr>
      <w:r w:rsidRPr="00851FBF">
        <w:rPr>
          <w:rStyle w:val="FootnoteReference"/>
        </w:rPr>
        <w:footnoteRef/>
      </w:r>
      <w:r w:rsidRPr="00851FBF">
        <w:t xml:space="preserve"> </w:t>
      </w:r>
      <w:r w:rsidRPr="00851FBF">
        <w:tab/>
        <w:t>"Less than [0-5</w:t>
      </w:r>
      <w:proofErr w:type="gramStart"/>
      <w:r w:rsidRPr="00851FBF">
        <w:t>]%</w:t>
      </w:r>
      <w:proofErr w:type="gramEnd"/>
      <w:r w:rsidRPr="00851FBF">
        <w:t xml:space="preserve"> to [0-5]% of Avnet's</w:t>
      </w:r>
      <w:r>
        <w:t xml:space="preserve"> total sales of electronic components in the EEA", Notifying Party's email to the Commission of 20 September 2016.</w:t>
      </w:r>
    </w:p>
  </w:footnote>
  <w:footnote w:id="116">
    <w:p w14:paraId="41682402" w14:textId="77777777" w:rsidR="00432752" w:rsidRPr="00AA41E3" w:rsidRDefault="00432752" w:rsidP="00B423F8">
      <w:pPr>
        <w:pStyle w:val="FootnoteText"/>
        <w:spacing w:after="0"/>
      </w:pPr>
      <w:r>
        <w:rPr>
          <w:rStyle w:val="FootnoteReference"/>
        </w:rPr>
        <w:footnoteRef/>
      </w:r>
      <w:r w:rsidRPr="00AA41E3">
        <w:t xml:space="preserve"> </w:t>
      </w:r>
      <w:r>
        <w:tab/>
      </w:r>
      <w:r w:rsidRPr="00061F52">
        <w:t xml:space="preserve">See Guidelines on the </w:t>
      </w:r>
      <w:r>
        <w:t xml:space="preserve">assessment of non-horizontal mergers under the Council Regulation on the control of concentrations between undertakings, OJ C 265 of 18/10/2008, p. 6-25 ("Non-Horizontal Merger Guidelines"), </w:t>
      </w:r>
      <w:proofErr w:type="gramStart"/>
      <w:r w:rsidRPr="00AA41E3">
        <w:t>paragraph</w:t>
      </w:r>
      <w:proofErr w:type="gramEnd"/>
      <w:r w:rsidRPr="00AA41E3">
        <w:t xml:space="preserve"> 3</w:t>
      </w:r>
      <w:r w:rsidRPr="00061F52">
        <w:t>2.</w:t>
      </w:r>
    </w:p>
  </w:footnote>
  <w:footnote w:id="117">
    <w:p w14:paraId="41682403" w14:textId="77777777" w:rsidR="00432752" w:rsidRPr="00061F52" w:rsidRDefault="00432752" w:rsidP="00B423F8">
      <w:pPr>
        <w:pStyle w:val="FootnoteText"/>
        <w:spacing w:after="0"/>
        <w:rPr>
          <w:lang w:val="fr-BE"/>
        </w:rPr>
      </w:pPr>
      <w:r>
        <w:rPr>
          <w:rStyle w:val="FootnoteReference"/>
        </w:rPr>
        <w:footnoteRef/>
      </w:r>
      <w:r w:rsidRPr="00061F52">
        <w:rPr>
          <w:lang w:val="fr-BE"/>
        </w:rPr>
        <w:t xml:space="preserve"> </w:t>
      </w:r>
      <w:r>
        <w:rPr>
          <w:lang w:val="fr-BE"/>
        </w:rPr>
        <w:tab/>
        <w:t xml:space="preserve">Non-Horizontal </w:t>
      </w:r>
      <w:proofErr w:type="spellStart"/>
      <w:r>
        <w:rPr>
          <w:lang w:val="fr-BE"/>
        </w:rPr>
        <w:t>Merger</w:t>
      </w:r>
      <w:proofErr w:type="spellEnd"/>
      <w:r>
        <w:rPr>
          <w:lang w:val="fr-BE"/>
        </w:rPr>
        <w:t xml:space="preserve"> Guidelines, </w:t>
      </w:r>
      <w:proofErr w:type="spellStart"/>
      <w:r>
        <w:rPr>
          <w:lang w:val="fr-BE"/>
        </w:rPr>
        <w:t>paragraph</w:t>
      </w:r>
      <w:proofErr w:type="spellEnd"/>
      <w:r>
        <w:rPr>
          <w:lang w:val="fr-BE"/>
        </w:rPr>
        <w:t xml:space="preserve"> 34.</w:t>
      </w:r>
    </w:p>
  </w:footnote>
  <w:footnote w:id="118">
    <w:p w14:paraId="41682404" w14:textId="77777777" w:rsidR="00432752" w:rsidRPr="00F96ED1" w:rsidRDefault="00432752" w:rsidP="00574451">
      <w:pPr>
        <w:pStyle w:val="FootnoteText"/>
        <w:spacing w:after="0"/>
      </w:pPr>
      <w:r>
        <w:rPr>
          <w:rStyle w:val="FootnoteReference"/>
        </w:rPr>
        <w:footnoteRef/>
      </w:r>
      <w:r>
        <w:t xml:space="preserve"> </w:t>
      </w:r>
      <w:r>
        <w:tab/>
      </w:r>
      <w:r w:rsidRPr="00711E9F">
        <w:t xml:space="preserve">This consideration is underpinned by the fact that the merged entity only sells a small part of its sales to </w:t>
      </w:r>
      <w:r w:rsidRPr="00F96ED1">
        <w:t>competing distributors of electronic components. As reported by the Notifying Party, Avnet only sells EUR […] worth of electronic components in the EEA (less than [0-5]% Avnet's total sales of components and [0-5]% of the total sales of electronic components in the EEA).</w:t>
      </w:r>
    </w:p>
  </w:footnote>
  <w:footnote w:id="119">
    <w:p w14:paraId="41682405" w14:textId="77777777" w:rsidR="00432752" w:rsidRPr="00F96ED1" w:rsidRDefault="00432752" w:rsidP="00574451">
      <w:pPr>
        <w:pStyle w:val="FootnoteText"/>
        <w:spacing w:after="0"/>
        <w:rPr>
          <w:lang w:val="fr-BE"/>
        </w:rPr>
      </w:pPr>
      <w:r w:rsidRPr="00F96ED1">
        <w:rPr>
          <w:rStyle w:val="FootnoteReference"/>
        </w:rPr>
        <w:footnoteRef/>
      </w:r>
      <w:r w:rsidRPr="00F96ED1">
        <w:rPr>
          <w:lang w:val="fr-BE"/>
        </w:rPr>
        <w:t xml:space="preserve"> </w:t>
      </w:r>
      <w:r w:rsidRPr="00F96ED1">
        <w:rPr>
          <w:lang w:val="fr-BE"/>
        </w:rPr>
        <w:tab/>
        <w:t xml:space="preserve">Non-Horizontal </w:t>
      </w:r>
      <w:proofErr w:type="spellStart"/>
      <w:r w:rsidRPr="00F96ED1">
        <w:rPr>
          <w:lang w:val="fr-BE"/>
        </w:rPr>
        <w:t>Merger</w:t>
      </w:r>
      <w:proofErr w:type="spellEnd"/>
      <w:r w:rsidRPr="00F96ED1">
        <w:rPr>
          <w:lang w:val="fr-BE"/>
        </w:rPr>
        <w:t xml:space="preserve"> Guidelines, </w:t>
      </w:r>
      <w:proofErr w:type="spellStart"/>
      <w:r w:rsidRPr="00F96ED1">
        <w:rPr>
          <w:lang w:val="fr-BE"/>
        </w:rPr>
        <w:t>paragraph</w:t>
      </w:r>
      <w:proofErr w:type="spellEnd"/>
      <w:r w:rsidRPr="00F96ED1">
        <w:rPr>
          <w:lang w:val="fr-BE"/>
        </w:rPr>
        <w:t xml:space="preserve"> 35.</w:t>
      </w:r>
    </w:p>
  </w:footnote>
  <w:footnote w:id="120">
    <w:p w14:paraId="41682406" w14:textId="77777777" w:rsidR="00432752" w:rsidRPr="00F96ED1" w:rsidRDefault="00432752" w:rsidP="00574451">
      <w:pPr>
        <w:pStyle w:val="FootnoteText"/>
        <w:spacing w:after="0"/>
      </w:pPr>
      <w:r w:rsidRPr="00F96ED1">
        <w:rPr>
          <w:rStyle w:val="FootnoteReference"/>
        </w:rPr>
        <w:footnoteRef/>
      </w:r>
      <w:r w:rsidRPr="00F96ED1">
        <w:t xml:space="preserve"> </w:t>
      </w:r>
      <w:r w:rsidRPr="00F96ED1">
        <w:tab/>
      </w:r>
      <w:proofErr w:type="gramStart"/>
      <w:r w:rsidRPr="00F96ED1">
        <w:t>Notifying Party's email to the European Commission of 20 September 2016.</w:t>
      </w:r>
      <w:proofErr w:type="gramEnd"/>
    </w:p>
  </w:footnote>
  <w:footnote w:id="121">
    <w:p w14:paraId="41682407" w14:textId="77777777" w:rsidR="00432752" w:rsidRDefault="00432752" w:rsidP="00574451">
      <w:pPr>
        <w:pStyle w:val="FootnoteText"/>
        <w:spacing w:after="0"/>
      </w:pPr>
      <w:r w:rsidRPr="00F96ED1">
        <w:rPr>
          <w:rStyle w:val="FootnoteReference"/>
        </w:rPr>
        <w:footnoteRef/>
      </w:r>
      <w:r w:rsidRPr="00F96ED1">
        <w:t xml:space="preserve"> </w:t>
      </w:r>
      <w:r w:rsidRPr="00F96ED1">
        <w:tab/>
        <w:t>Form CO, paragraphs 139 to 142 and Table 2. Exclusive franchises with manufacturers only represent [10-20</w:t>
      </w:r>
      <w:proofErr w:type="gramStart"/>
      <w:r w:rsidRPr="00F96ED1">
        <w:t>]%</w:t>
      </w:r>
      <w:proofErr w:type="gramEnd"/>
      <w:r w:rsidRPr="00F96ED1">
        <w:t xml:space="preserve"> of Avnet's EMEA turnover and, in countries where the merged entity has more than 40% market shares in semiconductors sales, these exclusive franchises</w:t>
      </w:r>
      <w:r w:rsidRPr="00686D2C">
        <w:t xml:space="preserve"> do not account for more than 10%</w:t>
      </w:r>
      <w:r>
        <w:t xml:space="preserve"> in any Member State. </w:t>
      </w:r>
    </w:p>
  </w:footnote>
  <w:footnote w:id="122">
    <w:p w14:paraId="41682408" w14:textId="77777777" w:rsidR="00432752" w:rsidRDefault="00432752" w:rsidP="00574451">
      <w:pPr>
        <w:pStyle w:val="FootnoteText"/>
        <w:spacing w:after="0"/>
      </w:pPr>
      <w:r>
        <w:rPr>
          <w:rStyle w:val="FootnoteReference"/>
        </w:rPr>
        <w:footnoteRef/>
      </w:r>
      <w:r>
        <w:t xml:space="preserve"> </w:t>
      </w:r>
      <w:r>
        <w:tab/>
        <w:t xml:space="preserve">Notifying Party's email to the European Commission of 20 September 2016 and responses to the market investigation, Questionnaire 1 to competitors, question 32, Questionnaire 2 to customers, question 26 and Questionnaire 3 to supplier, question 23. </w:t>
      </w:r>
    </w:p>
  </w:footnote>
  <w:footnote w:id="123">
    <w:p w14:paraId="41682409" w14:textId="77777777" w:rsidR="00432752" w:rsidRPr="000E2BD5" w:rsidRDefault="00432752" w:rsidP="00B423F8">
      <w:pPr>
        <w:pStyle w:val="FootnoteText"/>
        <w:spacing w:after="0"/>
      </w:pPr>
      <w:r>
        <w:rPr>
          <w:rStyle w:val="FootnoteReference"/>
        </w:rPr>
        <w:footnoteRef/>
      </w:r>
      <w:r w:rsidRPr="000E2BD5">
        <w:t xml:space="preserve"> </w:t>
      </w:r>
      <w:r>
        <w:tab/>
      </w:r>
      <w:r w:rsidRPr="000E2BD5">
        <w:t>Non-Horizontal Merger Guidelines, paragraphs 43 and 44.</w:t>
      </w:r>
    </w:p>
  </w:footnote>
  <w:footnote w:id="124">
    <w:p w14:paraId="4168240A" w14:textId="77777777" w:rsidR="00432752" w:rsidRDefault="00432752" w:rsidP="00B423F8">
      <w:pPr>
        <w:pStyle w:val="FootnoteText"/>
        <w:spacing w:after="0"/>
      </w:pPr>
      <w:r>
        <w:rPr>
          <w:rStyle w:val="FootnoteReference"/>
        </w:rPr>
        <w:footnoteRef/>
      </w:r>
      <w:r>
        <w:t xml:space="preserve"> </w:t>
      </w:r>
      <w:r>
        <w:tab/>
      </w:r>
      <w:proofErr w:type="gramStart"/>
      <w:r>
        <w:t>Notifying Party's email to the European Commission of 22 September 2016.</w:t>
      </w:r>
      <w:proofErr w:type="gramEnd"/>
    </w:p>
  </w:footnote>
  <w:footnote w:id="125">
    <w:p w14:paraId="4168240B" w14:textId="77777777" w:rsidR="00432752" w:rsidRDefault="00432752" w:rsidP="00B423F8">
      <w:pPr>
        <w:pStyle w:val="FootnoteText"/>
        <w:spacing w:after="0"/>
      </w:pPr>
      <w:r>
        <w:rPr>
          <w:rStyle w:val="FootnoteReference"/>
        </w:rPr>
        <w:footnoteRef/>
      </w:r>
      <w:r>
        <w:t xml:space="preserve"> </w:t>
      </w:r>
      <w:r>
        <w:tab/>
      </w:r>
      <w:proofErr w:type="gramStart"/>
      <w:r>
        <w:t>Responses to the market investigation, Questionnaire 1 to competitors, questions 25 and 26.</w:t>
      </w:r>
      <w:proofErr w:type="gramEnd"/>
    </w:p>
  </w:footnote>
  <w:footnote w:id="126">
    <w:p w14:paraId="4168240C" w14:textId="77777777" w:rsidR="00432752" w:rsidRDefault="00432752" w:rsidP="00B423F8">
      <w:pPr>
        <w:pStyle w:val="FootnoteText"/>
        <w:spacing w:after="0"/>
      </w:pPr>
      <w:r>
        <w:rPr>
          <w:rStyle w:val="FootnoteReference"/>
        </w:rPr>
        <w:footnoteRef/>
      </w:r>
      <w:r>
        <w:t xml:space="preserve"> </w:t>
      </w:r>
      <w:r>
        <w:tab/>
      </w:r>
      <w:proofErr w:type="gramStart"/>
      <w:r>
        <w:t>Notifying Party's email to the European Commission of 20 September 2016.</w:t>
      </w:r>
      <w:proofErr w:type="gramEnd"/>
    </w:p>
  </w:footnote>
  <w:footnote w:id="127">
    <w:p w14:paraId="4168240D" w14:textId="77777777" w:rsidR="00432752" w:rsidRDefault="00432752" w:rsidP="00FA4998">
      <w:pPr>
        <w:pStyle w:val="FootnoteText"/>
        <w:spacing w:after="0"/>
      </w:pPr>
      <w:r>
        <w:rPr>
          <w:rStyle w:val="FootnoteReference"/>
        </w:rPr>
        <w:footnoteRef/>
      </w:r>
      <w:r>
        <w:t xml:space="preserve"> </w:t>
      </w:r>
      <w:r>
        <w:tab/>
      </w:r>
      <w:proofErr w:type="gramStart"/>
      <w:r>
        <w:t>Notifying Party's email to the European Commission of 20 September 2016.</w:t>
      </w:r>
      <w:proofErr w:type="gramEnd"/>
    </w:p>
  </w:footnote>
  <w:footnote w:id="128">
    <w:p w14:paraId="4168240E" w14:textId="77777777" w:rsidR="00432752" w:rsidRDefault="00432752" w:rsidP="00FA4998">
      <w:pPr>
        <w:pStyle w:val="FootnoteText"/>
        <w:spacing w:after="0"/>
      </w:pPr>
      <w:r w:rsidRPr="00FA4998">
        <w:footnoteRef/>
      </w:r>
      <w:r>
        <w:t xml:space="preserve"> </w:t>
      </w:r>
      <w:r>
        <w:tab/>
      </w:r>
      <w:r w:rsidRPr="005733F4">
        <w:t xml:space="preserve">Given that Premier </w:t>
      </w:r>
      <w:proofErr w:type="spellStart"/>
      <w:r w:rsidRPr="005733F4">
        <w:t>Farnell's</w:t>
      </w:r>
      <w:proofErr w:type="spellEnd"/>
      <w:r w:rsidRPr="005733F4">
        <w:t xml:space="preserve"> share of the low-volume segment is only [10-20</w:t>
      </w:r>
      <w:proofErr w:type="gramStart"/>
      <w:r w:rsidRPr="005733F4">
        <w:t>]%</w:t>
      </w:r>
      <w:proofErr w:type="gramEnd"/>
      <w:r w:rsidRPr="005733F4">
        <w:t xml:space="preserve"> and given that according to the Notifying Party, Premier </w:t>
      </w:r>
      <w:proofErr w:type="spellStart"/>
      <w:r w:rsidRPr="005733F4">
        <w:t>Farnell</w:t>
      </w:r>
      <w:proofErr w:type="spellEnd"/>
      <w:r w:rsidRPr="005733F4">
        <w:t xml:space="preserve"> already purchases from Avnet [80-90]% of the components it sourced from competing distributors, which in any event represent a very small quantity (Premier </w:t>
      </w:r>
      <w:proofErr w:type="spellStart"/>
      <w:r w:rsidRPr="005733F4">
        <w:t>Farnell's</w:t>
      </w:r>
      <w:proofErr w:type="spellEnd"/>
      <w:r w:rsidRPr="005733F4">
        <w:t xml:space="preserve"> purchases from competing distributors were EUR […] in the EEA in 2015), customer foreclosure issues are not considered further in this decision.</w:t>
      </w:r>
      <w:r w:rsidRPr="000916E0">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802FBC"/>
    <w:lvl w:ilvl="0">
      <w:start w:val="1"/>
      <w:numFmt w:val="decimal"/>
      <w:lvlText w:val="%1."/>
      <w:lvlJc w:val="left"/>
      <w:pPr>
        <w:tabs>
          <w:tab w:val="num" w:pos="1492"/>
        </w:tabs>
        <w:ind w:left="1492" w:hanging="360"/>
      </w:pPr>
    </w:lvl>
  </w:abstractNum>
  <w:abstractNum w:abstractNumId="1">
    <w:nsid w:val="FFFFFF80"/>
    <w:multiLevelType w:val="singleLevel"/>
    <w:tmpl w:val="44D2840C"/>
    <w:lvl w:ilvl="0">
      <w:start w:val="1"/>
      <w:numFmt w:val="bullet"/>
      <w:lvlText w:val=""/>
      <w:lvlJc w:val="left"/>
      <w:pPr>
        <w:tabs>
          <w:tab w:val="num" w:pos="1492"/>
        </w:tabs>
        <w:ind w:left="1492" w:hanging="360"/>
      </w:pPr>
      <w:rPr>
        <w:rFonts w:ascii="Symbol" w:hAnsi="Symbol" w:hint="default"/>
      </w:rPr>
    </w:lvl>
  </w:abstractNum>
  <w:abstractNum w:abstractNumId="2">
    <w:nsid w:val="FFFFFFFB"/>
    <w:multiLevelType w:val="multilevel"/>
    <w:tmpl w:val="44F03FD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ind w:left="3260" w:hanging="708"/>
      </w:pPr>
      <w:rPr>
        <w:rFonts w:hint="default"/>
      </w:rPr>
    </w:lvl>
    <w:lvl w:ilvl="5">
      <w:start w:val="1"/>
      <w:numFmt w:val="decimal"/>
      <w:pStyle w:val="Heading6"/>
      <w:lvlText w:val="%1.%2.%3.%4.%5.%6."/>
      <w:lvlJc w:val="left"/>
      <w:pPr>
        <w:ind w:left="4040" w:hanging="708"/>
      </w:pPr>
      <w:rPr>
        <w:rFonts w:hint="default"/>
      </w:rPr>
    </w:lvl>
    <w:lvl w:ilvl="6">
      <w:start w:val="1"/>
      <w:numFmt w:val="decimal"/>
      <w:pStyle w:val="Heading7"/>
      <w:lvlText w:val="%1.%2.%3.%4.%5.%6.%7."/>
      <w:lvlJc w:val="left"/>
      <w:pPr>
        <w:ind w:left="4748" w:hanging="708"/>
      </w:pPr>
      <w:rPr>
        <w:rFonts w:hint="default"/>
      </w:rPr>
    </w:lvl>
    <w:lvl w:ilvl="7">
      <w:start w:val="1"/>
      <w:numFmt w:val="decimal"/>
      <w:pStyle w:val="Heading8"/>
      <w:lvlText w:val="%1.%2.%3.%4.%5.%6.%7.%8."/>
      <w:lvlJc w:val="left"/>
      <w:pPr>
        <w:ind w:left="5456" w:hanging="708"/>
      </w:pPr>
      <w:rPr>
        <w:rFonts w:hint="default"/>
      </w:rPr>
    </w:lvl>
    <w:lvl w:ilvl="8">
      <w:start w:val="1"/>
      <w:numFmt w:val="decimal"/>
      <w:pStyle w:val="Heading9"/>
      <w:lvlText w:val="%1.%2.%3.%4.%5.%6.%7.%8.%9."/>
      <w:lvlJc w:val="left"/>
      <w:pPr>
        <w:ind w:left="6164" w:hanging="708"/>
      </w:pPr>
      <w:rPr>
        <w:rFont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nsid w:val="2A64765A"/>
    <w:multiLevelType w:val="hybridMultilevel"/>
    <w:tmpl w:val="D90E7326"/>
    <w:lvl w:ilvl="0" w:tplc="1120501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E5C1813"/>
    <w:multiLevelType w:val="hybridMultilevel"/>
    <w:tmpl w:val="932A3C34"/>
    <w:lvl w:ilvl="0" w:tplc="F5D45D54">
      <w:start w:val="1"/>
      <w:numFmt w:val="decimal"/>
      <w:lvlText w:val="(%1)"/>
      <w:lvlJc w:val="left"/>
      <w:pPr>
        <w:ind w:left="36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2"/>
  </w:num>
  <w:num w:numId="2">
    <w:abstractNumId w:val="18"/>
  </w:num>
  <w:num w:numId="3">
    <w:abstractNumId w:val="14"/>
  </w:num>
  <w:num w:numId="4">
    <w:abstractNumId w:val="9"/>
  </w:num>
  <w:num w:numId="5">
    <w:abstractNumId w:val="8"/>
  </w:num>
  <w:num w:numId="6">
    <w:abstractNumId w:val="5"/>
  </w:num>
  <w:num w:numId="7">
    <w:abstractNumId w:val="4"/>
  </w:num>
  <w:num w:numId="8">
    <w:abstractNumId w:val="15"/>
  </w:num>
  <w:num w:numId="9">
    <w:abstractNumId w:val="17"/>
  </w:num>
  <w:num w:numId="10">
    <w:abstractNumId w:val="16"/>
  </w:num>
  <w:num w:numId="11">
    <w:abstractNumId w:val="19"/>
  </w:num>
  <w:num w:numId="12">
    <w:abstractNumId w:val="6"/>
  </w:num>
  <w:num w:numId="13">
    <w:abstractNumId w:val="10"/>
  </w:num>
  <w:num w:numId="14">
    <w:abstractNumId w:val="12"/>
  </w:num>
  <w:num w:numId="15">
    <w:abstractNumId w:val="11"/>
  </w:num>
  <w:num w:numId="16">
    <w:abstractNumId w:val="3"/>
  </w:num>
  <w:num w:numId="17">
    <w:abstractNumId w:val="13"/>
  </w:num>
  <w:num w:numId="18">
    <w:abstractNumId w:val="1"/>
  </w:num>
  <w:num w:numId="19">
    <w:abstractNumId w:val="0"/>
  </w:num>
  <w:num w:numId="20">
    <w:abstractNumId w:val="7"/>
  </w:num>
  <w:num w:numId="21">
    <w:abstractNumId w:val="2"/>
  </w:num>
  <w:num w:numId="22">
    <w:abstractNumId w:val="2"/>
  </w:num>
  <w:num w:numId="23">
    <w:abstractNumId w:val="2"/>
  </w:num>
  <w:num w:numId="24">
    <w:abstractNumId w:val="2"/>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NOT"/>
    <w:docVar w:name="EurolookLanguage" w:val="2057"/>
    <w:docVar w:name="EurolookVersion" w:val="3.7"/>
    <w:docVar w:name="LW_DocType" w:val="NOT"/>
  </w:docVars>
  <w:rsids>
    <w:rsidRoot w:val="0002574A"/>
    <w:rsid w:val="000023F7"/>
    <w:rsid w:val="00003A43"/>
    <w:rsid w:val="00003C44"/>
    <w:rsid w:val="00006134"/>
    <w:rsid w:val="00014118"/>
    <w:rsid w:val="0001652D"/>
    <w:rsid w:val="00017574"/>
    <w:rsid w:val="000218BE"/>
    <w:rsid w:val="00023AAA"/>
    <w:rsid w:val="0002574A"/>
    <w:rsid w:val="000266D4"/>
    <w:rsid w:val="00030B16"/>
    <w:rsid w:val="00030BBE"/>
    <w:rsid w:val="00035422"/>
    <w:rsid w:val="00035CED"/>
    <w:rsid w:val="00040B16"/>
    <w:rsid w:val="00040D50"/>
    <w:rsid w:val="000410E7"/>
    <w:rsid w:val="000422E9"/>
    <w:rsid w:val="000555A2"/>
    <w:rsid w:val="000563C4"/>
    <w:rsid w:val="00061F21"/>
    <w:rsid w:val="00061F52"/>
    <w:rsid w:val="00070ABA"/>
    <w:rsid w:val="00077178"/>
    <w:rsid w:val="00083267"/>
    <w:rsid w:val="000849CF"/>
    <w:rsid w:val="00085AAF"/>
    <w:rsid w:val="000916E0"/>
    <w:rsid w:val="0009503B"/>
    <w:rsid w:val="0009543B"/>
    <w:rsid w:val="00097360"/>
    <w:rsid w:val="00097847"/>
    <w:rsid w:val="00097C5E"/>
    <w:rsid w:val="000A2D51"/>
    <w:rsid w:val="000B1202"/>
    <w:rsid w:val="000B46B8"/>
    <w:rsid w:val="000B6068"/>
    <w:rsid w:val="000C16F1"/>
    <w:rsid w:val="000C34E4"/>
    <w:rsid w:val="000C4D07"/>
    <w:rsid w:val="000C72D3"/>
    <w:rsid w:val="000D07D4"/>
    <w:rsid w:val="000D3834"/>
    <w:rsid w:val="000D5C08"/>
    <w:rsid w:val="000D7498"/>
    <w:rsid w:val="000E1176"/>
    <w:rsid w:val="000E1805"/>
    <w:rsid w:val="000E2BD5"/>
    <w:rsid w:val="000E2F58"/>
    <w:rsid w:val="000E3F21"/>
    <w:rsid w:val="000E5D4F"/>
    <w:rsid w:val="000E5F5F"/>
    <w:rsid w:val="000E613A"/>
    <w:rsid w:val="000E723C"/>
    <w:rsid w:val="000E76A7"/>
    <w:rsid w:val="000E7E00"/>
    <w:rsid w:val="000F1A0B"/>
    <w:rsid w:val="000F58B2"/>
    <w:rsid w:val="00102E5C"/>
    <w:rsid w:val="00104BE4"/>
    <w:rsid w:val="00106AFD"/>
    <w:rsid w:val="00114AFD"/>
    <w:rsid w:val="00117275"/>
    <w:rsid w:val="00121BDE"/>
    <w:rsid w:val="0012355C"/>
    <w:rsid w:val="00124198"/>
    <w:rsid w:val="001255A8"/>
    <w:rsid w:val="00126B26"/>
    <w:rsid w:val="001309CD"/>
    <w:rsid w:val="00130C1E"/>
    <w:rsid w:val="00135B35"/>
    <w:rsid w:val="00135BB6"/>
    <w:rsid w:val="00143DA1"/>
    <w:rsid w:val="00150463"/>
    <w:rsid w:val="001527E5"/>
    <w:rsid w:val="001544F3"/>
    <w:rsid w:val="00160A58"/>
    <w:rsid w:val="0016170F"/>
    <w:rsid w:val="001637EE"/>
    <w:rsid w:val="001643A0"/>
    <w:rsid w:val="0016713F"/>
    <w:rsid w:val="001715D5"/>
    <w:rsid w:val="0017191B"/>
    <w:rsid w:val="00175445"/>
    <w:rsid w:val="001763DC"/>
    <w:rsid w:val="00181538"/>
    <w:rsid w:val="001819C7"/>
    <w:rsid w:val="0018342D"/>
    <w:rsid w:val="00184FC2"/>
    <w:rsid w:val="00185194"/>
    <w:rsid w:val="00185338"/>
    <w:rsid w:val="00187BDA"/>
    <w:rsid w:val="001915FF"/>
    <w:rsid w:val="00191A23"/>
    <w:rsid w:val="00191C07"/>
    <w:rsid w:val="00194886"/>
    <w:rsid w:val="00194F3A"/>
    <w:rsid w:val="00195449"/>
    <w:rsid w:val="001A0F98"/>
    <w:rsid w:val="001A15AF"/>
    <w:rsid w:val="001A15C7"/>
    <w:rsid w:val="001A3841"/>
    <w:rsid w:val="001A5728"/>
    <w:rsid w:val="001A6358"/>
    <w:rsid w:val="001A7526"/>
    <w:rsid w:val="001A77BF"/>
    <w:rsid w:val="001B15CF"/>
    <w:rsid w:val="001B20B6"/>
    <w:rsid w:val="001B2C8D"/>
    <w:rsid w:val="001B321D"/>
    <w:rsid w:val="001B5168"/>
    <w:rsid w:val="001B7BBA"/>
    <w:rsid w:val="001B7D20"/>
    <w:rsid w:val="001C18F8"/>
    <w:rsid w:val="001C3B10"/>
    <w:rsid w:val="001D0A11"/>
    <w:rsid w:val="001E070E"/>
    <w:rsid w:val="001E7A69"/>
    <w:rsid w:val="001F38B7"/>
    <w:rsid w:val="001F5001"/>
    <w:rsid w:val="001F73BF"/>
    <w:rsid w:val="002026F4"/>
    <w:rsid w:val="00206D07"/>
    <w:rsid w:val="00210A3B"/>
    <w:rsid w:val="00210CD0"/>
    <w:rsid w:val="00211121"/>
    <w:rsid w:val="00214959"/>
    <w:rsid w:val="00215946"/>
    <w:rsid w:val="00223A2E"/>
    <w:rsid w:val="002243A3"/>
    <w:rsid w:val="00227276"/>
    <w:rsid w:val="00227AC4"/>
    <w:rsid w:val="002302F9"/>
    <w:rsid w:val="00231793"/>
    <w:rsid w:val="002336D3"/>
    <w:rsid w:val="002360C4"/>
    <w:rsid w:val="0023647B"/>
    <w:rsid w:val="00241286"/>
    <w:rsid w:val="0024261B"/>
    <w:rsid w:val="002433A7"/>
    <w:rsid w:val="002460BB"/>
    <w:rsid w:val="00250712"/>
    <w:rsid w:val="00254ED5"/>
    <w:rsid w:val="00256FD3"/>
    <w:rsid w:val="002638CD"/>
    <w:rsid w:val="0026471F"/>
    <w:rsid w:val="00265879"/>
    <w:rsid w:val="002662B2"/>
    <w:rsid w:val="002714F8"/>
    <w:rsid w:val="002735C2"/>
    <w:rsid w:val="00275B5A"/>
    <w:rsid w:val="00276A0A"/>
    <w:rsid w:val="00277B43"/>
    <w:rsid w:val="00283B1E"/>
    <w:rsid w:val="00287732"/>
    <w:rsid w:val="00292E06"/>
    <w:rsid w:val="00293E9C"/>
    <w:rsid w:val="00294F03"/>
    <w:rsid w:val="002955A9"/>
    <w:rsid w:val="00296BD9"/>
    <w:rsid w:val="0029778E"/>
    <w:rsid w:val="002A284B"/>
    <w:rsid w:val="002A3312"/>
    <w:rsid w:val="002A61D2"/>
    <w:rsid w:val="002A7707"/>
    <w:rsid w:val="002B17B2"/>
    <w:rsid w:val="002B3A99"/>
    <w:rsid w:val="002B6FC1"/>
    <w:rsid w:val="002B7B45"/>
    <w:rsid w:val="002C04A3"/>
    <w:rsid w:val="002C3815"/>
    <w:rsid w:val="002C640A"/>
    <w:rsid w:val="002D2DAA"/>
    <w:rsid w:val="002D3042"/>
    <w:rsid w:val="002D3123"/>
    <w:rsid w:val="002D5A70"/>
    <w:rsid w:val="002E0327"/>
    <w:rsid w:val="002E0A5C"/>
    <w:rsid w:val="002E2D9B"/>
    <w:rsid w:val="002E771A"/>
    <w:rsid w:val="002F09C3"/>
    <w:rsid w:val="002F1F3C"/>
    <w:rsid w:val="002F34B0"/>
    <w:rsid w:val="002F4682"/>
    <w:rsid w:val="002F6639"/>
    <w:rsid w:val="002F7359"/>
    <w:rsid w:val="0030025F"/>
    <w:rsid w:val="003002A5"/>
    <w:rsid w:val="00300A85"/>
    <w:rsid w:val="00305120"/>
    <w:rsid w:val="003070E6"/>
    <w:rsid w:val="003106FC"/>
    <w:rsid w:val="0031158A"/>
    <w:rsid w:val="00312E03"/>
    <w:rsid w:val="00325F5E"/>
    <w:rsid w:val="00330678"/>
    <w:rsid w:val="00330F37"/>
    <w:rsid w:val="003329B7"/>
    <w:rsid w:val="00332B13"/>
    <w:rsid w:val="0033501F"/>
    <w:rsid w:val="00335F0B"/>
    <w:rsid w:val="0034021C"/>
    <w:rsid w:val="00351232"/>
    <w:rsid w:val="003560B5"/>
    <w:rsid w:val="0036404D"/>
    <w:rsid w:val="00364C6C"/>
    <w:rsid w:val="00365094"/>
    <w:rsid w:val="00370DCC"/>
    <w:rsid w:val="003750D9"/>
    <w:rsid w:val="00384179"/>
    <w:rsid w:val="00384D1A"/>
    <w:rsid w:val="003875F1"/>
    <w:rsid w:val="00392840"/>
    <w:rsid w:val="003959AD"/>
    <w:rsid w:val="00395A03"/>
    <w:rsid w:val="00396A9C"/>
    <w:rsid w:val="003A01EC"/>
    <w:rsid w:val="003A4C09"/>
    <w:rsid w:val="003B05E2"/>
    <w:rsid w:val="003B15B6"/>
    <w:rsid w:val="003B253F"/>
    <w:rsid w:val="003B70EE"/>
    <w:rsid w:val="003C5252"/>
    <w:rsid w:val="003C53A8"/>
    <w:rsid w:val="003C5FE2"/>
    <w:rsid w:val="003D0293"/>
    <w:rsid w:val="003D04ED"/>
    <w:rsid w:val="003D63A7"/>
    <w:rsid w:val="003D654E"/>
    <w:rsid w:val="003D7FB5"/>
    <w:rsid w:val="003E11F9"/>
    <w:rsid w:val="003E37EB"/>
    <w:rsid w:val="003E3B2F"/>
    <w:rsid w:val="003E3C06"/>
    <w:rsid w:val="003E6100"/>
    <w:rsid w:val="003E761F"/>
    <w:rsid w:val="003F0C3C"/>
    <w:rsid w:val="003F0C70"/>
    <w:rsid w:val="003F4AD4"/>
    <w:rsid w:val="003F67C0"/>
    <w:rsid w:val="00400653"/>
    <w:rsid w:val="00401C8A"/>
    <w:rsid w:val="004020F5"/>
    <w:rsid w:val="00402F25"/>
    <w:rsid w:val="00405161"/>
    <w:rsid w:val="004064D2"/>
    <w:rsid w:val="004067CE"/>
    <w:rsid w:val="004072DC"/>
    <w:rsid w:val="00411B97"/>
    <w:rsid w:val="00411F5E"/>
    <w:rsid w:val="00423483"/>
    <w:rsid w:val="00425319"/>
    <w:rsid w:val="00425EE0"/>
    <w:rsid w:val="00431107"/>
    <w:rsid w:val="00431755"/>
    <w:rsid w:val="00432752"/>
    <w:rsid w:val="00437468"/>
    <w:rsid w:val="00437738"/>
    <w:rsid w:val="004400CC"/>
    <w:rsid w:val="00440BF8"/>
    <w:rsid w:val="00440D9C"/>
    <w:rsid w:val="00441685"/>
    <w:rsid w:val="00441C9D"/>
    <w:rsid w:val="00445C96"/>
    <w:rsid w:val="00446B08"/>
    <w:rsid w:val="00447A08"/>
    <w:rsid w:val="004507AA"/>
    <w:rsid w:val="004511EA"/>
    <w:rsid w:val="004526A3"/>
    <w:rsid w:val="0045303A"/>
    <w:rsid w:val="0045473C"/>
    <w:rsid w:val="00456137"/>
    <w:rsid w:val="00465E82"/>
    <w:rsid w:val="0046735C"/>
    <w:rsid w:val="0047089D"/>
    <w:rsid w:val="004744C5"/>
    <w:rsid w:val="00474D2E"/>
    <w:rsid w:val="0049045B"/>
    <w:rsid w:val="00492603"/>
    <w:rsid w:val="00492BF2"/>
    <w:rsid w:val="004A08A7"/>
    <w:rsid w:val="004A402E"/>
    <w:rsid w:val="004A4EB9"/>
    <w:rsid w:val="004A5988"/>
    <w:rsid w:val="004B10C2"/>
    <w:rsid w:val="004B1B99"/>
    <w:rsid w:val="004B2390"/>
    <w:rsid w:val="004B273E"/>
    <w:rsid w:val="004B7640"/>
    <w:rsid w:val="004B7BC8"/>
    <w:rsid w:val="004C2542"/>
    <w:rsid w:val="004C3AAD"/>
    <w:rsid w:val="004C7501"/>
    <w:rsid w:val="004D0486"/>
    <w:rsid w:val="004D25AD"/>
    <w:rsid w:val="004D52BE"/>
    <w:rsid w:val="004D64B7"/>
    <w:rsid w:val="004D6C32"/>
    <w:rsid w:val="004D72D4"/>
    <w:rsid w:val="004D7815"/>
    <w:rsid w:val="004E1762"/>
    <w:rsid w:val="004E2E31"/>
    <w:rsid w:val="004E39A2"/>
    <w:rsid w:val="004E3A06"/>
    <w:rsid w:val="004E5CC9"/>
    <w:rsid w:val="004E6E8F"/>
    <w:rsid w:val="004E7BBD"/>
    <w:rsid w:val="004F093D"/>
    <w:rsid w:val="004F153A"/>
    <w:rsid w:val="004F3193"/>
    <w:rsid w:val="004F4189"/>
    <w:rsid w:val="004F735C"/>
    <w:rsid w:val="0050002D"/>
    <w:rsid w:val="0050083D"/>
    <w:rsid w:val="0050118B"/>
    <w:rsid w:val="00502779"/>
    <w:rsid w:val="00505D2B"/>
    <w:rsid w:val="0051246F"/>
    <w:rsid w:val="00514C91"/>
    <w:rsid w:val="0051719C"/>
    <w:rsid w:val="00521F32"/>
    <w:rsid w:val="00522F3D"/>
    <w:rsid w:val="0052496B"/>
    <w:rsid w:val="005267C1"/>
    <w:rsid w:val="00527144"/>
    <w:rsid w:val="00530F72"/>
    <w:rsid w:val="0053147B"/>
    <w:rsid w:val="00531623"/>
    <w:rsid w:val="00537F78"/>
    <w:rsid w:val="00542073"/>
    <w:rsid w:val="005471A1"/>
    <w:rsid w:val="00551549"/>
    <w:rsid w:val="00552996"/>
    <w:rsid w:val="005548FA"/>
    <w:rsid w:val="00555B50"/>
    <w:rsid w:val="00556CA8"/>
    <w:rsid w:val="00556CB8"/>
    <w:rsid w:val="00560766"/>
    <w:rsid w:val="00566F2B"/>
    <w:rsid w:val="00571649"/>
    <w:rsid w:val="00572DB8"/>
    <w:rsid w:val="005733F4"/>
    <w:rsid w:val="00573800"/>
    <w:rsid w:val="00574451"/>
    <w:rsid w:val="00574518"/>
    <w:rsid w:val="0058162E"/>
    <w:rsid w:val="005818CA"/>
    <w:rsid w:val="00582C2E"/>
    <w:rsid w:val="005830B9"/>
    <w:rsid w:val="005837F9"/>
    <w:rsid w:val="00583C7D"/>
    <w:rsid w:val="00585481"/>
    <w:rsid w:val="00590D94"/>
    <w:rsid w:val="00591FA4"/>
    <w:rsid w:val="0059575E"/>
    <w:rsid w:val="005965DC"/>
    <w:rsid w:val="005A2D54"/>
    <w:rsid w:val="005A784B"/>
    <w:rsid w:val="005B27B9"/>
    <w:rsid w:val="005B2858"/>
    <w:rsid w:val="005B497D"/>
    <w:rsid w:val="005C0719"/>
    <w:rsid w:val="005C567B"/>
    <w:rsid w:val="005D34DF"/>
    <w:rsid w:val="005D359E"/>
    <w:rsid w:val="005E455E"/>
    <w:rsid w:val="005E55E8"/>
    <w:rsid w:val="005E7EF1"/>
    <w:rsid w:val="005F043E"/>
    <w:rsid w:val="005F39D3"/>
    <w:rsid w:val="005F7360"/>
    <w:rsid w:val="005F7EB6"/>
    <w:rsid w:val="00600161"/>
    <w:rsid w:val="0060199E"/>
    <w:rsid w:val="006053C0"/>
    <w:rsid w:val="00605611"/>
    <w:rsid w:val="0060677A"/>
    <w:rsid w:val="00607F7A"/>
    <w:rsid w:val="006131F7"/>
    <w:rsid w:val="00614BCC"/>
    <w:rsid w:val="00615502"/>
    <w:rsid w:val="00617DF6"/>
    <w:rsid w:val="00626664"/>
    <w:rsid w:val="006271E0"/>
    <w:rsid w:val="00634313"/>
    <w:rsid w:val="006422C0"/>
    <w:rsid w:val="00645C01"/>
    <w:rsid w:val="00657919"/>
    <w:rsid w:val="00661F14"/>
    <w:rsid w:val="00662A39"/>
    <w:rsid w:val="00662E05"/>
    <w:rsid w:val="006661CF"/>
    <w:rsid w:val="006674D8"/>
    <w:rsid w:val="00670F95"/>
    <w:rsid w:val="0067169C"/>
    <w:rsid w:val="0067597E"/>
    <w:rsid w:val="006805C5"/>
    <w:rsid w:val="00681257"/>
    <w:rsid w:val="0068139E"/>
    <w:rsid w:val="00682D9E"/>
    <w:rsid w:val="00686A96"/>
    <w:rsid w:val="00686D2C"/>
    <w:rsid w:val="00686D91"/>
    <w:rsid w:val="00686F90"/>
    <w:rsid w:val="00696700"/>
    <w:rsid w:val="00697F71"/>
    <w:rsid w:val="006A069F"/>
    <w:rsid w:val="006A39E4"/>
    <w:rsid w:val="006A3DD2"/>
    <w:rsid w:val="006A6597"/>
    <w:rsid w:val="006A74ED"/>
    <w:rsid w:val="006B29A3"/>
    <w:rsid w:val="006B4781"/>
    <w:rsid w:val="006C10C5"/>
    <w:rsid w:val="006D1775"/>
    <w:rsid w:val="006D23D4"/>
    <w:rsid w:val="006D2FF5"/>
    <w:rsid w:val="006D32E0"/>
    <w:rsid w:val="006D73C4"/>
    <w:rsid w:val="006D77E3"/>
    <w:rsid w:val="006E1310"/>
    <w:rsid w:val="006E6B7B"/>
    <w:rsid w:val="006E7CAA"/>
    <w:rsid w:val="006F5249"/>
    <w:rsid w:val="00700964"/>
    <w:rsid w:val="00702AF3"/>
    <w:rsid w:val="0070695F"/>
    <w:rsid w:val="00706D59"/>
    <w:rsid w:val="0071125B"/>
    <w:rsid w:val="00711CD9"/>
    <w:rsid w:val="00711E9F"/>
    <w:rsid w:val="007137EC"/>
    <w:rsid w:val="00714CF1"/>
    <w:rsid w:val="00720264"/>
    <w:rsid w:val="00723B69"/>
    <w:rsid w:val="007244ED"/>
    <w:rsid w:val="0072480F"/>
    <w:rsid w:val="00725431"/>
    <w:rsid w:val="007333BF"/>
    <w:rsid w:val="00733B5A"/>
    <w:rsid w:val="00735E45"/>
    <w:rsid w:val="00743FC7"/>
    <w:rsid w:val="0074472E"/>
    <w:rsid w:val="007524A7"/>
    <w:rsid w:val="00753F4D"/>
    <w:rsid w:val="007543E6"/>
    <w:rsid w:val="0075680F"/>
    <w:rsid w:val="00756F37"/>
    <w:rsid w:val="00762A5B"/>
    <w:rsid w:val="007642D3"/>
    <w:rsid w:val="00770120"/>
    <w:rsid w:val="00773174"/>
    <w:rsid w:val="00774D20"/>
    <w:rsid w:val="00783319"/>
    <w:rsid w:val="007841D0"/>
    <w:rsid w:val="00785835"/>
    <w:rsid w:val="0079163A"/>
    <w:rsid w:val="007B11D0"/>
    <w:rsid w:val="007B24CD"/>
    <w:rsid w:val="007B2E6E"/>
    <w:rsid w:val="007B4AD3"/>
    <w:rsid w:val="007C293C"/>
    <w:rsid w:val="007C6DDC"/>
    <w:rsid w:val="007D2BC8"/>
    <w:rsid w:val="007D66B1"/>
    <w:rsid w:val="007D6AB6"/>
    <w:rsid w:val="007E17F4"/>
    <w:rsid w:val="007E264E"/>
    <w:rsid w:val="007E2D16"/>
    <w:rsid w:val="007E6864"/>
    <w:rsid w:val="007E6B02"/>
    <w:rsid w:val="007E6E1B"/>
    <w:rsid w:val="007E76CD"/>
    <w:rsid w:val="007F08D5"/>
    <w:rsid w:val="00806D64"/>
    <w:rsid w:val="00810ADA"/>
    <w:rsid w:val="008125F3"/>
    <w:rsid w:val="00814941"/>
    <w:rsid w:val="00820A42"/>
    <w:rsid w:val="00820CE0"/>
    <w:rsid w:val="00820CF9"/>
    <w:rsid w:val="00821470"/>
    <w:rsid w:val="0082225E"/>
    <w:rsid w:val="008222FE"/>
    <w:rsid w:val="0082390C"/>
    <w:rsid w:val="008247CF"/>
    <w:rsid w:val="008248A9"/>
    <w:rsid w:val="00826571"/>
    <w:rsid w:val="00830BF1"/>
    <w:rsid w:val="008366BE"/>
    <w:rsid w:val="008372D8"/>
    <w:rsid w:val="00842AAA"/>
    <w:rsid w:val="00846595"/>
    <w:rsid w:val="008518F6"/>
    <w:rsid w:val="00851FBF"/>
    <w:rsid w:val="0085207F"/>
    <w:rsid w:val="0085321F"/>
    <w:rsid w:val="0085400D"/>
    <w:rsid w:val="008606D7"/>
    <w:rsid w:val="00863E29"/>
    <w:rsid w:val="0086589F"/>
    <w:rsid w:val="00874186"/>
    <w:rsid w:val="0087597F"/>
    <w:rsid w:val="008767F9"/>
    <w:rsid w:val="00877906"/>
    <w:rsid w:val="008820B5"/>
    <w:rsid w:val="0088288B"/>
    <w:rsid w:val="008847A1"/>
    <w:rsid w:val="00884F3C"/>
    <w:rsid w:val="00885471"/>
    <w:rsid w:val="00885508"/>
    <w:rsid w:val="008941A6"/>
    <w:rsid w:val="008957E3"/>
    <w:rsid w:val="00895A19"/>
    <w:rsid w:val="008A5BC4"/>
    <w:rsid w:val="008B3610"/>
    <w:rsid w:val="008B45F1"/>
    <w:rsid w:val="008B67DE"/>
    <w:rsid w:val="008B74D3"/>
    <w:rsid w:val="008B78CB"/>
    <w:rsid w:val="008C13B0"/>
    <w:rsid w:val="008C1FD3"/>
    <w:rsid w:val="008C2E4D"/>
    <w:rsid w:val="008C37DB"/>
    <w:rsid w:val="008C392C"/>
    <w:rsid w:val="008C448C"/>
    <w:rsid w:val="008C58A6"/>
    <w:rsid w:val="008D06D3"/>
    <w:rsid w:val="008D12CF"/>
    <w:rsid w:val="008E10B0"/>
    <w:rsid w:val="008E1FBF"/>
    <w:rsid w:val="008E29B9"/>
    <w:rsid w:val="008E5EEA"/>
    <w:rsid w:val="008E7355"/>
    <w:rsid w:val="008F0F8D"/>
    <w:rsid w:val="008F17D4"/>
    <w:rsid w:val="008F1FA0"/>
    <w:rsid w:val="008F7BF2"/>
    <w:rsid w:val="00902A58"/>
    <w:rsid w:val="00910AB7"/>
    <w:rsid w:val="009118E7"/>
    <w:rsid w:val="0091202D"/>
    <w:rsid w:val="00913E36"/>
    <w:rsid w:val="009143B6"/>
    <w:rsid w:val="009144AA"/>
    <w:rsid w:val="0091611A"/>
    <w:rsid w:val="00916AA4"/>
    <w:rsid w:val="00922080"/>
    <w:rsid w:val="009232B4"/>
    <w:rsid w:val="00923FE1"/>
    <w:rsid w:val="00923FED"/>
    <w:rsid w:val="00924F02"/>
    <w:rsid w:val="009251D0"/>
    <w:rsid w:val="00927D68"/>
    <w:rsid w:val="009335ED"/>
    <w:rsid w:val="009349AD"/>
    <w:rsid w:val="0093569E"/>
    <w:rsid w:val="00936630"/>
    <w:rsid w:val="009370AB"/>
    <w:rsid w:val="00937B29"/>
    <w:rsid w:val="009400CC"/>
    <w:rsid w:val="00941CCB"/>
    <w:rsid w:val="00944991"/>
    <w:rsid w:val="00950A3C"/>
    <w:rsid w:val="00950CFC"/>
    <w:rsid w:val="0095387F"/>
    <w:rsid w:val="00955462"/>
    <w:rsid w:val="00960509"/>
    <w:rsid w:val="00961580"/>
    <w:rsid w:val="00963E8A"/>
    <w:rsid w:val="009646FB"/>
    <w:rsid w:val="009704A3"/>
    <w:rsid w:val="0097101B"/>
    <w:rsid w:val="00975F1A"/>
    <w:rsid w:val="009761EB"/>
    <w:rsid w:val="0099027C"/>
    <w:rsid w:val="009907D0"/>
    <w:rsid w:val="00990BDF"/>
    <w:rsid w:val="00992280"/>
    <w:rsid w:val="009942BC"/>
    <w:rsid w:val="0099569A"/>
    <w:rsid w:val="009A1472"/>
    <w:rsid w:val="009A25ED"/>
    <w:rsid w:val="009A5295"/>
    <w:rsid w:val="009A61FB"/>
    <w:rsid w:val="009A69DB"/>
    <w:rsid w:val="009B69E6"/>
    <w:rsid w:val="009C1CF0"/>
    <w:rsid w:val="009C2825"/>
    <w:rsid w:val="009C5737"/>
    <w:rsid w:val="009C711D"/>
    <w:rsid w:val="009D1A55"/>
    <w:rsid w:val="009D6734"/>
    <w:rsid w:val="009D7476"/>
    <w:rsid w:val="009D7BC0"/>
    <w:rsid w:val="009E1FBF"/>
    <w:rsid w:val="009F1C1B"/>
    <w:rsid w:val="009F5477"/>
    <w:rsid w:val="009F5ACA"/>
    <w:rsid w:val="009F72FD"/>
    <w:rsid w:val="00A06607"/>
    <w:rsid w:val="00A068E5"/>
    <w:rsid w:val="00A119A7"/>
    <w:rsid w:val="00A124A5"/>
    <w:rsid w:val="00A15584"/>
    <w:rsid w:val="00A20BD0"/>
    <w:rsid w:val="00A21010"/>
    <w:rsid w:val="00A2461C"/>
    <w:rsid w:val="00A25016"/>
    <w:rsid w:val="00A27ECD"/>
    <w:rsid w:val="00A30FD5"/>
    <w:rsid w:val="00A36156"/>
    <w:rsid w:val="00A42F24"/>
    <w:rsid w:val="00A445D4"/>
    <w:rsid w:val="00A46759"/>
    <w:rsid w:val="00A50FCB"/>
    <w:rsid w:val="00A518BD"/>
    <w:rsid w:val="00A5198B"/>
    <w:rsid w:val="00A53A0C"/>
    <w:rsid w:val="00A5414B"/>
    <w:rsid w:val="00A5417F"/>
    <w:rsid w:val="00A5458B"/>
    <w:rsid w:val="00A616B7"/>
    <w:rsid w:val="00A61844"/>
    <w:rsid w:val="00A64F56"/>
    <w:rsid w:val="00A6528F"/>
    <w:rsid w:val="00A66630"/>
    <w:rsid w:val="00A67ABE"/>
    <w:rsid w:val="00A70BEC"/>
    <w:rsid w:val="00A7288B"/>
    <w:rsid w:val="00A77019"/>
    <w:rsid w:val="00A81E78"/>
    <w:rsid w:val="00A83E61"/>
    <w:rsid w:val="00A8647D"/>
    <w:rsid w:val="00A86E0F"/>
    <w:rsid w:val="00A960CB"/>
    <w:rsid w:val="00AA07E2"/>
    <w:rsid w:val="00AA1331"/>
    <w:rsid w:val="00AA177B"/>
    <w:rsid w:val="00AA41E3"/>
    <w:rsid w:val="00AA5ABD"/>
    <w:rsid w:val="00AB0CFD"/>
    <w:rsid w:val="00AB3757"/>
    <w:rsid w:val="00AC007C"/>
    <w:rsid w:val="00AC44BC"/>
    <w:rsid w:val="00AC579B"/>
    <w:rsid w:val="00AC69B4"/>
    <w:rsid w:val="00AD518A"/>
    <w:rsid w:val="00AD5C4F"/>
    <w:rsid w:val="00AE1395"/>
    <w:rsid w:val="00AE5722"/>
    <w:rsid w:val="00AF0BA4"/>
    <w:rsid w:val="00AF0E67"/>
    <w:rsid w:val="00AF6423"/>
    <w:rsid w:val="00AF678A"/>
    <w:rsid w:val="00AF69A1"/>
    <w:rsid w:val="00B005EB"/>
    <w:rsid w:val="00B05091"/>
    <w:rsid w:val="00B066A2"/>
    <w:rsid w:val="00B106DB"/>
    <w:rsid w:val="00B11310"/>
    <w:rsid w:val="00B15062"/>
    <w:rsid w:val="00B151A5"/>
    <w:rsid w:val="00B160D4"/>
    <w:rsid w:val="00B16AB9"/>
    <w:rsid w:val="00B22FD2"/>
    <w:rsid w:val="00B24E6E"/>
    <w:rsid w:val="00B267FB"/>
    <w:rsid w:val="00B304DF"/>
    <w:rsid w:val="00B32CC3"/>
    <w:rsid w:val="00B34015"/>
    <w:rsid w:val="00B423F8"/>
    <w:rsid w:val="00B50089"/>
    <w:rsid w:val="00B50BFF"/>
    <w:rsid w:val="00B53EEA"/>
    <w:rsid w:val="00B54309"/>
    <w:rsid w:val="00B54EB2"/>
    <w:rsid w:val="00B648F8"/>
    <w:rsid w:val="00B66943"/>
    <w:rsid w:val="00B67610"/>
    <w:rsid w:val="00B709D9"/>
    <w:rsid w:val="00B71840"/>
    <w:rsid w:val="00B743D4"/>
    <w:rsid w:val="00B76E02"/>
    <w:rsid w:val="00B84177"/>
    <w:rsid w:val="00B84EE1"/>
    <w:rsid w:val="00B9111C"/>
    <w:rsid w:val="00B915A1"/>
    <w:rsid w:val="00B94E9A"/>
    <w:rsid w:val="00B979B4"/>
    <w:rsid w:val="00BA0B93"/>
    <w:rsid w:val="00BA121B"/>
    <w:rsid w:val="00BA261D"/>
    <w:rsid w:val="00BA42A9"/>
    <w:rsid w:val="00BA4602"/>
    <w:rsid w:val="00BA4E96"/>
    <w:rsid w:val="00BA62F3"/>
    <w:rsid w:val="00BB59F6"/>
    <w:rsid w:val="00BC15FE"/>
    <w:rsid w:val="00BC17D9"/>
    <w:rsid w:val="00BC26AB"/>
    <w:rsid w:val="00BC772F"/>
    <w:rsid w:val="00BD2FA5"/>
    <w:rsid w:val="00BD4210"/>
    <w:rsid w:val="00BD6909"/>
    <w:rsid w:val="00BE1DDB"/>
    <w:rsid w:val="00BE2A31"/>
    <w:rsid w:val="00BE6269"/>
    <w:rsid w:val="00BE6502"/>
    <w:rsid w:val="00BE6DE3"/>
    <w:rsid w:val="00BF02AD"/>
    <w:rsid w:val="00BF32F2"/>
    <w:rsid w:val="00BF5B15"/>
    <w:rsid w:val="00C03A96"/>
    <w:rsid w:val="00C04004"/>
    <w:rsid w:val="00C0415D"/>
    <w:rsid w:val="00C05C3C"/>
    <w:rsid w:val="00C1035A"/>
    <w:rsid w:val="00C14859"/>
    <w:rsid w:val="00C14F69"/>
    <w:rsid w:val="00C20899"/>
    <w:rsid w:val="00C24686"/>
    <w:rsid w:val="00C2766F"/>
    <w:rsid w:val="00C31F4B"/>
    <w:rsid w:val="00C400E8"/>
    <w:rsid w:val="00C41AE2"/>
    <w:rsid w:val="00C42EE3"/>
    <w:rsid w:val="00C44241"/>
    <w:rsid w:val="00C44CBE"/>
    <w:rsid w:val="00C47CF3"/>
    <w:rsid w:val="00C501BF"/>
    <w:rsid w:val="00C50AD8"/>
    <w:rsid w:val="00C5549E"/>
    <w:rsid w:val="00C605AA"/>
    <w:rsid w:val="00C7278F"/>
    <w:rsid w:val="00C74B2D"/>
    <w:rsid w:val="00C7530C"/>
    <w:rsid w:val="00C7539C"/>
    <w:rsid w:val="00C75DF6"/>
    <w:rsid w:val="00C81A52"/>
    <w:rsid w:val="00C82011"/>
    <w:rsid w:val="00C830A5"/>
    <w:rsid w:val="00C843E1"/>
    <w:rsid w:val="00C86F8D"/>
    <w:rsid w:val="00C87F3E"/>
    <w:rsid w:val="00C9265A"/>
    <w:rsid w:val="00C93E1B"/>
    <w:rsid w:val="00C9455F"/>
    <w:rsid w:val="00C96EE4"/>
    <w:rsid w:val="00CA12C7"/>
    <w:rsid w:val="00CA323F"/>
    <w:rsid w:val="00CA3A1B"/>
    <w:rsid w:val="00CA5857"/>
    <w:rsid w:val="00CA5953"/>
    <w:rsid w:val="00CA63E2"/>
    <w:rsid w:val="00CA7CE6"/>
    <w:rsid w:val="00CB0C60"/>
    <w:rsid w:val="00CB119F"/>
    <w:rsid w:val="00CB2A79"/>
    <w:rsid w:val="00CB4BE2"/>
    <w:rsid w:val="00CB690E"/>
    <w:rsid w:val="00CC188E"/>
    <w:rsid w:val="00CC1DED"/>
    <w:rsid w:val="00CD1B9F"/>
    <w:rsid w:val="00CD1F57"/>
    <w:rsid w:val="00CD22A7"/>
    <w:rsid w:val="00CD2B50"/>
    <w:rsid w:val="00CD3BF9"/>
    <w:rsid w:val="00CD486A"/>
    <w:rsid w:val="00CD4BC6"/>
    <w:rsid w:val="00CE3AC9"/>
    <w:rsid w:val="00CE7DEB"/>
    <w:rsid w:val="00CF0C21"/>
    <w:rsid w:val="00CF25D5"/>
    <w:rsid w:val="00CF3CF5"/>
    <w:rsid w:val="00CF5330"/>
    <w:rsid w:val="00D00077"/>
    <w:rsid w:val="00D00B8D"/>
    <w:rsid w:val="00D01270"/>
    <w:rsid w:val="00D03727"/>
    <w:rsid w:val="00D040C9"/>
    <w:rsid w:val="00D07CC4"/>
    <w:rsid w:val="00D1334D"/>
    <w:rsid w:val="00D13BBC"/>
    <w:rsid w:val="00D13D3D"/>
    <w:rsid w:val="00D21C8B"/>
    <w:rsid w:val="00D22E2A"/>
    <w:rsid w:val="00D23E66"/>
    <w:rsid w:val="00D24190"/>
    <w:rsid w:val="00D2463B"/>
    <w:rsid w:val="00D2476D"/>
    <w:rsid w:val="00D30F9E"/>
    <w:rsid w:val="00D316A6"/>
    <w:rsid w:val="00D45192"/>
    <w:rsid w:val="00D46F6C"/>
    <w:rsid w:val="00D47C19"/>
    <w:rsid w:val="00D52AF5"/>
    <w:rsid w:val="00D5343B"/>
    <w:rsid w:val="00D53519"/>
    <w:rsid w:val="00D555FC"/>
    <w:rsid w:val="00D55809"/>
    <w:rsid w:val="00D55B6E"/>
    <w:rsid w:val="00D569CB"/>
    <w:rsid w:val="00D5702F"/>
    <w:rsid w:val="00D600C6"/>
    <w:rsid w:val="00D63340"/>
    <w:rsid w:val="00D63B50"/>
    <w:rsid w:val="00D648D4"/>
    <w:rsid w:val="00D6683E"/>
    <w:rsid w:val="00D70837"/>
    <w:rsid w:val="00D73E0B"/>
    <w:rsid w:val="00D74B24"/>
    <w:rsid w:val="00D76CB0"/>
    <w:rsid w:val="00D85BDE"/>
    <w:rsid w:val="00D86025"/>
    <w:rsid w:val="00D86734"/>
    <w:rsid w:val="00D867F4"/>
    <w:rsid w:val="00D8693E"/>
    <w:rsid w:val="00D86F8C"/>
    <w:rsid w:val="00D91F6E"/>
    <w:rsid w:val="00D9255B"/>
    <w:rsid w:val="00D9475B"/>
    <w:rsid w:val="00D949B3"/>
    <w:rsid w:val="00D94D5C"/>
    <w:rsid w:val="00DA13D6"/>
    <w:rsid w:val="00DA2ADB"/>
    <w:rsid w:val="00DA4891"/>
    <w:rsid w:val="00DA4E34"/>
    <w:rsid w:val="00DB5FBD"/>
    <w:rsid w:val="00DB7904"/>
    <w:rsid w:val="00DC3A10"/>
    <w:rsid w:val="00DC62FC"/>
    <w:rsid w:val="00DD016E"/>
    <w:rsid w:val="00DD0D1E"/>
    <w:rsid w:val="00DD2BC9"/>
    <w:rsid w:val="00DD4121"/>
    <w:rsid w:val="00DD4CBD"/>
    <w:rsid w:val="00DE113E"/>
    <w:rsid w:val="00DE1A85"/>
    <w:rsid w:val="00DE3314"/>
    <w:rsid w:val="00DE72A5"/>
    <w:rsid w:val="00DF00A7"/>
    <w:rsid w:val="00DF1BD6"/>
    <w:rsid w:val="00DF50E4"/>
    <w:rsid w:val="00DF7794"/>
    <w:rsid w:val="00E01437"/>
    <w:rsid w:val="00E025CC"/>
    <w:rsid w:val="00E02E88"/>
    <w:rsid w:val="00E03C09"/>
    <w:rsid w:val="00E03C11"/>
    <w:rsid w:val="00E07E85"/>
    <w:rsid w:val="00E112E3"/>
    <w:rsid w:val="00E13B40"/>
    <w:rsid w:val="00E14A7F"/>
    <w:rsid w:val="00E17A57"/>
    <w:rsid w:val="00E2621C"/>
    <w:rsid w:val="00E27268"/>
    <w:rsid w:val="00E3015C"/>
    <w:rsid w:val="00E33E15"/>
    <w:rsid w:val="00E35F1D"/>
    <w:rsid w:val="00E45904"/>
    <w:rsid w:val="00E50120"/>
    <w:rsid w:val="00E5118E"/>
    <w:rsid w:val="00E565F1"/>
    <w:rsid w:val="00E57882"/>
    <w:rsid w:val="00E61E84"/>
    <w:rsid w:val="00E62295"/>
    <w:rsid w:val="00E626FF"/>
    <w:rsid w:val="00E63D6A"/>
    <w:rsid w:val="00E6433A"/>
    <w:rsid w:val="00E66386"/>
    <w:rsid w:val="00E665F4"/>
    <w:rsid w:val="00E66CFD"/>
    <w:rsid w:val="00E66DE7"/>
    <w:rsid w:val="00E712E2"/>
    <w:rsid w:val="00E719F9"/>
    <w:rsid w:val="00E72775"/>
    <w:rsid w:val="00E73EBB"/>
    <w:rsid w:val="00E770E9"/>
    <w:rsid w:val="00E77288"/>
    <w:rsid w:val="00E85655"/>
    <w:rsid w:val="00E862D5"/>
    <w:rsid w:val="00E867C3"/>
    <w:rsid w:val="00E91E5B"/>
    <w:rsid w:val="00E92C0A"/>
    <w:rsid w:val="00E93273"/>
    <w:rsid w:val="00E94598"/>
    <w:rsid w:val="00E95AC9"/>
    <w:rsid w:val="00E96CE4"/>
    <w:rsid w:val="00E97F43"/>
    <w:rsid w:val="00EA067B"/>
    <w:rsid w:val="00EA3459"/>
    <w:rsid w:val="00EA4D07"/>
    <w:rsid w:val="00EA7211"/>
    <w:rsid w:val="00EA7ABD"/>
    <w:rsid w:val="00EB0FBA"/>
    <w:rsid w:val="00EB343F"/>
    <w:rsid w:val="00EB5D7F"/>
    <w:rsid w:val="00EB669F"/>
    <w:rsid w:val="00EB68EB"/>
    <w:rsid w:val="00EC14DB"/>
    <w:rsid w:val="00EC181D"/>
    <w:rsid w:val="00EC1D2B"/>
    <w:rsid w:val="00EC2F0F"/>
    <w:rsid w:val="00EC4FBD"/>
    <w:rsid w:val="00EC6F1C"/>
    <w:rsid w:val="00EC7049"/>
    <w:rsid w:val="00EC70E4"/>
    <w:rsid w:val="00EC74B8"/>
    <w:rsid w:val="00ED1496"/>
    <w:rsid w:val="00ED2EAD"/>
    <w:rsid w:val="00ED4E95"/>
    <w:rsid w:val="00EE2352"/>
    <w:rsid w:val="00EE24FA"/>
    <w:rsid w:val="00EE50B3"/>
    <w:rsid w:val="00EE56CC"/>
    <w:rsid w:val="00EE5E3D"/>
    <w:rsid w:val="00EE6D01"/>
    <w:rsid w:val="00EF0955"/>
    <w:rsid w:val="00EF23B3"/>
    <w:rsid w:val="00EF2B8D"/>
    <w:rsid w:val="00EF4B4B"/>
    <w:rsid w:val="00EF6559"/>
    <w:rsid w:val="00F047FA"/>
    <w:rsid w:val="00F05426"/>
    <w:rsid w:val="00F10F43"/>
    <w:rsid w:val="00F140D7"/>
    <w:rsid w:val="00F149EC"/>
    <w:rsid w:val="00F15B5B"/>
    <w:rsid w:val="00F2254D"/>
    <w:rsid w:val="00F2295E"/>
    <w:rsid w:val="00F23D98"/>
    <w:rsid w:val="00F3165B"/>
    <w:rsid w:val="00F33BF8"/>
    <w:rsid w:val="00F35085"/>
    <w:rsid w:val="00F42815"/>
    <w:rsid w:val="00F44FC9"/>
    <w:rsid w:val="00F47803"/>
    <w:rsid w:val="00F50A70"/>
    <w:rsid w:val="00F53A03"/>
    <w:rsid w:val="00F5410F"/>
    <w:rsid w:val="00F559AF"/>
    <w:rsid w:val="00F57D34"/>
    <w:rsid w:val="00F611A6"/>
    <w:rsid w:val="00F63BDA"/>
    <w:rsid w:val="00F645BB"/>
    <w:rsid w:val="00F664B7"/>
    <w:rsid w:val="00F67CBB"/>
    <w:rsid w:val="00F67FB1"/>
    <w:rsid w:val="00F72A2F"/>
    <w:rsid w:val="00F75CB0"/>
    <w:rsid w:val="00F775C3"/>
    <w:rsid w:val="00F83BD3"/>
    <w:rsid w:val="00F85B90"/>
    <w:rsid w:val="00F93CD3"/>
    <w:rsid w:val="00F954A1"/>
    <w:rsid w:val="00F96ED1"/>
    <w:rsid w:val="00FA0E77"/>
    <w:rsid w:val="00FA1CA7"/>
    <w:rsid w:val="00FA4998"/>
    <w:rsid w:val="00FA66A0"/>
    <w:rsid w:val="00FA75AC"/>
    <w:rsid w:val="00FB21FA"/>
    <w:rsid w:val="00FB3996"/>
    <w:rsid w:val="00FB3D56"/>
    <w:rsid w:val="00FB77A7"/>
    <w:rsid w:val="00FC1293"/>
    <w:rsid w:val="00FC3319"/>
    <w:rsid w:val="00FC5529"/>
    <w:rsid w:val="00FC5BA2"/>
    <w:rsid w:val="00FC66BF"/>
    <w:rsid w:val="00FC7B59"/>
    <w:rsid w:val="00FD04BF"/>
    <w:rsid w:val="00FD3995"/>
    <w:rsid w:val="00FD45D5"/>
    <w:rsid w:val="00FD5B69"/>
    <w:rsid w:val="00FD6781"/>
    <w:rsid w:val="00FD71E2"/>
    <w:rsid w:val="00FD79C6"/>
    <w:rsid w:val="00FE2891"/>
    <w:rsid w:val="00FE4394"/>
    <w:rsid w:val="00FE5C97"/>
    <w:rsid w:val="00FF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8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D45D5"/>
    <w:pPr>
      <w:spacing w:after="240"/>
      <w:jc w:val="both"/>
    </w:pPr>
    <w:rPr>
      <w:sz w:val="24"/>
    </w:rPr>
  </w:style>
  <w:style w:type="paragraph" w:styleId="Heading1">
    <w:name w:val="heading 1"/>
    <w:basedOn w:val="Normal"/>
    <w:next w:val="NumPar1"/>
    <w:qFormat/>
    <w:rsid w:val="00FD45D5"/>
    <w:pPr>
      <w:keepNext/>
      <w:numPr>
        <w:numId w:val="1"/>
      </w:numPr>
      <w:spacing w:before="120"/>
      <w:outlineLvl w:val="0"/>
    </w:pPr>
    <w:rPr>
      <w:rFonts w:ascii="Times New Roman Bold" w:hAnsi="Times New Roman Bold"/>
      <w:b/>
      <w:smallCaps/>
    </w:rPr>
  </w:style>
  <w:style w:type="paragraph" w:styleId="Heading2">
    <w:name w:val="heading 2"/>
    <w:basedOn w:val="Normal"/>
    <w:next w:val="NumPar1"/>
    <w:qFormat/>
    <w:rsid w:val="00FD45D5"/>
    <w:pPr>
      <w:keepNext/>
      <w:numPr>
        <w:ilvl w:val="1"/>
        <w:numId w:val="1"/>
      </w:numPr>
      <w:outlineLvl w:val="1"/>
    </w:pPr>
    <w:rPr>
      <w:rFonts w:ascii="Times New Roman Bold" w:hAnsi="Times New Roman Bold"/>
      <w:b/>
    </w:rPr>
  </w:style>
  <w:style w:type="paragraph" w:styleId="Heading3">
    <w:name w:val="heading 3"/>
    <w:basedOn w:val="Normal"/>
    <w:next w:val="NumPar1"/>
    <w:link w:val="Heading3Char"/>
    <w:qFormat/>
    <w:rsid w:val="00FD45D5"/>
    <w:pPr>
      <w:keepNext/>
      <w:numPr>
        <w:ilvl w:val="2"/>
        <w:numId w:val="1"/>
      </w:numPr>
      <w:outlineLvl w:val="2"/>
    </w:pPr>
    <w:rPr>
      <w:i/>
    </w:rPr>
  </w:style>
  <w:style w:type="paragraph" w:styleId="Heading4">
    <w:name w:val="heading 4"/>
    <w:basedOn w:val="Normal"/>
    <w:next w:val="NumPar1"/>
    <w:qFormat/>
    <w:rsid w:val="00FD45D5"/>
    <w:pPr>
      <w:keepNext/>
      <w:numPr>
        <w:ilvl w:val="3"/>
        <w:numId w:val="1"/>
      </w:numPr>
      <w:outlineLvl w:val="3"/>
    </w:pPr>
  </w:style>
  <w:style w:type="paragraph" w:styleId="Heading5">
    <w:name w:val="heading 5"/>
    <w:basedOn w:val="Normal"/>
    <w:next w:val="Normal"/>
    <w:qFormat/>
    <w:pPr>
      <w:numPr>
        <w:ilvl w:val="4"/>
        <w:numId w:val="1"/>
      </w:numPr>
      <w:spacing w:before="240" w:after="60"/>
      <w:ind w:left="3332"/>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3"/>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7"/>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umPar4">
    <w:name w:val="NumPar 4"/>
    <w:basedOn w:val="Heading4"/>
    <w:next w:val="Text4"/>
    <w:pPr>
      <w:keepNext w:val="0"/>
    </w:pPr>
  </w:style>
  <w:style w:type="paragraph" w:styleId="TOC4">
    <w:name w:val="toc 4"/>
    <w:basedOn w:val="Normal"/>
    <w:next w:val="Normal"/>
    <w:semiHidden/>
    <w:pPr>
      <w:tabs>
        <w:tab w:val="right" w:leader="dot" w:pos="8641"/>
      </w:tabs>
      <w:spacing w:before="60" w:after="60"/>
      <w:ind w:left="2880" w:right="720" w:hanging="964"/>
    </w:p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aliases w:val="(NECG) Footnote Reference,fr,o"/>
    <w:uiPriority w:val="99"/>
    <w:rPr>
      <w:rFonts w:ascii="TimesNewRomanPS" w:hAnsi="TimesNewRomanPS"/>
      <w:position w:val="6"/>
      <w:sz w:val="16"/>
    </w:rPr>
  </w:style>
  <w:style w:type="paragraph" w:styleId="FootnoteText">
    <w:name w:val="footnote text"/>
    <w:aliases w:val="fn"/>
    <w:basedOn w:val="Normal"/>
    <w:link w:val="FootnoteTextChar"/>
    <w:uiPriority w:val="99"/>
    <w:semiHidden/>
    <w:rsid w:val="00211121"/>
    <w:pPr>
      <w:tabs>
        <w:tab w:val="left" w:pos="709"/>
      </w:tabs>
      <w:spacing w:after="120"/>
      <w:ind w:left="709" w:hanging="709"/>
    </w:pPr>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ormal"/>
    <w:link w:val="NumPar1Char"/>
    <w:rsid w:val="00FD45D5"/>
    <w:pPr>
      <w:tabs>
        <w:tab w:val="left" w:pos="851"/>
      </w:tabs>
    </w:pPr>
    <w:rPr>
      <w:rFonts w:ascii="Times New Roman Bold" w:hAnsi="Times New Roman Bold"/>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ind w:left="1917" w:hanging="840"/>
    </w:pPr>
    <w:rPr>
      <w:i w:val="0"/>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uiPriority w:val="99"/>
    <w:pPr>
      <w:spacing w:after="0"/>
      <w:ind w:right="85"/>
    </w:pPr>
    <w:rPr>
      <w:rFonts w:ascii="Arial" w:hAnsi="Arial"/>
      <w:sz w:val="16"/>
    </w:rPr>
  </w:style>
  <w:style w:type="paragraph" w:styleId="Header">
    <w:name w:val="header"/>
    <w:basedOn w:val="Normal"/>
    <w:pPr>
      <w:tabs>
        <w:tab w:val="center" w:pos="4153"/>
        <w:tab w:val="right" w:pos="8306"/>
      </w:tabs>
    </w:pPr>
  </w:style>
  <w:style w:type="paragraph" w:customStyle="1" w:styleId="Contact">
    <w:name w:val="Contact"/>
    <w:basedOn w:val="Normal"/>
    <w:next w:val="Normal"/>
    <w:rsid w:val="00F53A03"/>
    <w:pPr>
      <w:spacing w:before="480" w:after="0"/>
      <w:ind w:left="567" w:hanging="567"/>
      <w:jc w:val="left"/>
    </w:pPr>
    <w:rPr>
      <w:lang w:eastAsia="en-US"/>
    </w:rPr>
  </w:style>
  <w:style w:type="paragraph" w:styleId="ListBullet">
    <w:name w:val="List Bullet"/>
    <w:basedOn w:val="Normal"/>
    <w:rsid w:val="00F53A03"/>
    <w:pPr>
      <w:numPr>
        <w:numId w:val="3"/>
      </w:numPr>
    </w:pPr>
    <w:rPr>
      <w:lang w:eastAsia="en-US"/>
    </w:rPr>
  </w:style>
  <w:style w:type="paragraph" w:customStyle="1" w:styleId="ListBullet1">
    <w:name w:val="List Bullet 1"/>
    <w:basedOn w:val="Text1"/>
    <w:rsid w:val="00F53A03"/>
    <w:pPr>
      <w:numPr>
        <w:numId w:val="4"/>
      </w:numPr>
    </w:pPr>
    <w:rPr>
      <w:lang w:eastAsia="en-US"/>
    </w:rPr>
  </w:style>
  <w:style w:type="paragraph" w:styleId="ListBullet2">
    <w:name w:val="List Bullet 2"/>
    <w:basedOn w:val="Text2"/>
    <w:rsid w:val="00F53A03"/>
    <w:pPr>
      <w:numPr>
        <w:numId w:val="5"/>
      </w:numPr>
      <w:tabs>
        <w:tab w:val="clear" w:pos="2161"/>
      </w:tabs>
    </w:pPr>
    <w:rPr>
      <w:lang w:eastAsia="en-US"/>
    </w:rPr>
  </w:style>
  <w:style w:type="paragraph" w:styleId="ListBullet3">
    <w:name w:val="List Bullet 3"/>
    <w:basedOn w:val="Text3"/>
    <w:rsid w:val="00F53A03"/>
    <w:pPr>
      <w:numPr>
        <w:numId w:val="6"/>
      </w:numPr>
      <w:tabs>
        <w:tab w:val="clear" w:pos="2302"/>
      </w:tabs>
    </w:pPr>
    <w:rPr>
      <w:lang w:eastAsia="en-US"/>
    </w:rPr>
  </w:style>
  <w:style w:type="paragraph" w:styleId="ListBullet4">
    <w:name w:val="List Bullet 4"/>
    <w:basedOn w:val="Text4"/>
    <w:rsid w:val="00F53A03"/>
    <w:pPr>
      <w:numPr>
        <w:numId w:val="7"/>
      </w:numPr>
    </w:pPr>
    <w:rPr>
      <w:lang w:eastAsia="en-US"/>
    </w:rPr>
  </w:style>
  <w:style w:type="paragraph" w:customStyle="1" w:styleId="ListDash">
    <w:name w:val="List Dash"/>
    <w:basedOn w:val="Normal"/>
    <w:rsid w:val="00F53A03"/>
    <w:pPr>
      <w:numPr>
        <w:numId w:val="8"/>
      </w:numPr>
    </w:pPr>
    <w:rPr>
      <w:lang w:eastAsia="en-US"/>
    </w:rPr>
  </w:style>
  <w:style w:type="paragraph" w:customStyle="1" w:styleId="ListDash1">
    <w:name w:val="List Dash 1"/>
    <w:basedOn w:val="Text1"/>
    <w:rsid w:val="00F53A03"/>
    <w:pPr>
      <w:numPr>
        <w:numId w:val="9"/>
      </w:numPr>
    </w:pPr>
    <w:rPr>
      <w:lang w:eastAsia="en-US"/>
    </w:rPr>
  </w:style>
  <w:style w:type="paragraph" w:customStyle="1" w:styleId="ListDash2">
    <w:name w:val="List Dash 2"/>
    <w:basedOn w:val="Text2"/>
    <w:rsid w:val="00F53A03"/>
    <w:pPr>
      <w:numPr>
        <w:numId w:val="10"/>
      </w:numPr>
      <w:tabs>
        <w:tab w:val="clear" w:pos="2161"/>
      </w:tabs>
    </w:pPr>
    <w:rPr>
      <w:lang w:eastAsia="en-US"/>
    </w:rPr>
  </w:style>
  <w:style w:type="paragraph" w:customStyle="1" w:styleId="ListDash3">
    <w:name w:val="List Dash 3"/>
    <w:basedOn w:val="Text3"/>
    <w:rsid w:val="00F53A03"/>
    <w:pPr>
      <w:numPr>
        <w:numId w:val="11"/>
      </w:numPr>
      <w:tabs>
        <w:tab w:val="clear" w:pos="2302"/>
      </w:tabs>
    </w:pPr>
    <w:rPr>
      <w:lang w:eastAsia="en-US"/>
    </w:rPr>
  </w:style>
  <w:style w:type="paragraph" w:customStyle="1" w:styleId="ListDash4">
    <w:name w:val="List Dash 4"/>
    <w:basedOn w:val="Text4"/>
    <w:rsid w:val="00F53A03"/>
    <w:pPr>
      <w:numPr>
        <w:numId w:val="12"/>
      </w:numPr>
    </w:pPr>
    <w:rPr>
      <w:lang w:eastAsia="en-US"/>
    </w:rPr>
  </w:style>
  <w:style w:type="paragraph" w:styleId="ListNumber">
    <w:name w:val="List Number"/>
    <w:basedOn w:val="Normal"/>
    <w:rsid w:val="00F53A03"/>
    <w:pPr>
      <w:numPr>
        <w:numId w:val="13"/>
      </w:numPr>
    </w:pPr>
    <w:rPr>
      <w:lang w:eastAsia="en-US"/>
    </w:rPr>
  </w:style>
  <w:style w:type="paragraph" w:customStyle="1" w:styleId="ListNumber1">
    <w:name w:val="List Number 1"/>
    <w:basedOn w:val="Text1"/>
    <w:rsid w:val="00F53A03"/>
    <w:pPr>
      <w:numPr>
        <w:numId w:val="14"/>
      </w:numPr>
    </w:pPr>
    <w:rPr>
      <w:lang w:eastAsia="en-US"/>
    </w:rPr>
  </w:style>
  <w:style w:type="paragraph" w:styleId="ListNumber2">
    <w:name w:val="List Number 2"/>
    <w:basedOn w:val="Text2"/>
    <w:rsid w:val="00F53A03"/>
    <w:pPr>
      <w:numPr>
        <w:numId w:val="15"/>
      </w:numPr>
      <w:tabs>
        <w:tab w:val="clear" w:pos="2161"/>
      </w:tabs>
    </w:pPr>
    <w:rPr>
      <w:lang w:eastAsia="en-US"/>
    </w:rPr>
  </w:style>
  <w:style w:type="paragraph" w:styleId="ListNumber3">
    <w:name w:val="List Number 3"/>
    <w:basedOn w:val="Text3"/>
    <w:rsid w:val="00F53A03"/>
    <w:pPr>
      <w:numPr>
        <w:numId w:val="16"/>
      </w:numPr>
      <w:tabs>
        <w:tab w:val="clear" w:pos="2302"/>
      </w:tabs>
    </w:pPr>
    <w:rPr>
      <w:lang w:eastAsia="en-US"/>
    </w:rPr>
  </w:style>
  <w:style w:type="paragraph" w:styleId="ListNumber4">
    <w:name w:val="List Number 4"/>
    <w:basedOn w:val="Text4"/>
    <w:rsid w:val="00F53A03"/>
    <w:pPr>
      <w:numPr>
        <w:numId w:val="17"/>
      </w:numPr>
    </w:pPr>
    <w:rPr>
      <w:lang w:eastAsia="en-US"/>
    </w:rPr>
  </w:style>
  <w:style w:type="paragraph" w:customStyle="1" w:styleId="ListNumberLevel2">
    <w:name w:val="List Number (Level 2)"/>
    <w:basedOn w:val="Normal"/>
    <w:rsid w:val="00F53A03"/>
    <w:pPr>
      <w:numPr>
        <w:ilvl w:val="1"/>
        <w:numId w:val="13"/>
      </w:numPr>
    </w:pPr>
    <w:rPr>
      <w:lang w:eastAsia="en-US"/>
    </w:rPr>
  </w:style>
  <w:style w:type="paragraph" w:customStyle="1" w:styleId="ListNumber1Level2">
    <w:name w:val="List Number 1 (Level 2)"/>
    <w:basedOn w:val="Text1"/>
    <w:rsid w:val="00F53A03"/>
    <w:pPr>
      <w:numPr>
        <w:ilvl w:val="1"/>
        <w:numId w:val="14"/>
      </w:numPr>
    </w:pPr>
    <w:rPr>
      <w:lang w:eastAsia="en-US"/>
    </w:rPr>
  </w:style>
  <w:style w:type="paragraph" w:customStyle="1" w:styleId="ListNumber2Level2">
    <w:name w:val="List Number 2 (Level 2)"/>
    <w:basedOn w:val="Text2"/>
    <w:rsid w:val="00F53A03"/>
    <w:pPr>
      <w:numPr>
        <w:ilvl w:val="1"/>
        <w:numId w:val="15"/>
      </w:numPr>
      <w:tabs>
        <w:tab w:val="clear" w:pos="2161"/>
      </w:tabs>
    </w:pPr>
    <w:rPr>
      <w:lang w:eastAsia="en-US"/>
    </w:rPr>
  </w:style>
  <w:style w:type="paragraph" w:customStyle="1" w:styleId="ListNumber3Level2">
    <w:name w:val="List Number 3 (Level 2)"/>
    <w:basedOn w:val="Text3"/>
    <w:rsid w:val="00F53A03"/>
    <w:pPr>
      <w:numPr>
        <w:ilvl w:val="1"/>
        <w:numId w:val="16"/>
      </w:numPr>
      <w:tabs>
        <w:tab w:val="clear" w:pos="2302"/>
      </w:tabs>
    </w:pPr>
    <w:rPr>
      <w:lang w:eastAsia="en-US"/>
    </w:rPr>
  </w:style>
  <w:style w:type="paragraph" w:customStyle="1" w:styleId="ListNumber4Level2">
    <w:name w:val="List Number 4 (Level 2)"/>
    <w:basedOn w:val="Text4"/>
    <w:rsid w:val="00F53A03"/>
    <w:pPr>
      <w:numPr>
        <w:ilvl w:val="1"/>
        <w:numId w:val="17"/>
      </w:numPr>
    </w:pPr>
    <w:rPr>
      <w:lang w:eastAsia="en-US"/>
    </w:rPr>
  </w:style>
  <w:style w:type="paragraph" w:customStyle="1" w:styleId="ListNumberLevel3">
    <w:name w:val="List Number (Level 3)"/>
    <w:basedOn w:val="Normal"/>
    <w:rsid w:val="00F53A03"/>
    <w:pPr>
      <w:numPr>
        <w:ilvl w:val="2"/>
        <w:numId w:val="13"/>
      </w:numPr>
    </w:pPr>
    <w:rPr>
      <w:lang w:eastAsia="en-US"/>
    </w:rPr>
  </w:style>
  <w:style w:type="paragraph" w:customStyle="1" w:styleId="ListNumber1Level3">
    <w:name w:val="List Number 1 (Level 3)"/>
    <w:basedOn w:val="Text1"/>
    <w:rsid w:val="00F53A03"/>
    <w:pPr>
      <w:numPr>
        <w:ilvl w:val="2"/>
        <w:numId w:val="14"/>
      </w:numPr>
    </w:pPr>
    <w:rPr>
      <w:lang w:eastAsia="en-US"/>
    </w:rPr>
  </w:style>
  <w:style w:type="paragraph" w:customStyle="1" w:styleId="ListNumber2Level3">
    <w:name w:val="List Number 2 (Level 3)"/>
    <w:basedOn w:val="Text2"/>
    <w:rsid w:val="00F53A03"/>
    <w:pPr>
      <w:numPr>
        <w:ilvl w:val="2"/>
        <w:numId w:val="15"/>
      </w:numPr>
      <w:tabs>
        <w:tab w:val="clear" w:pos="2161"/>
      </w:tabs>
    </w:pPr>
    <w:rPr>
      <w:lang w:eastAsia="en-US"/>
    </w:rPr>
  </w:style>
  <w:style w:type="paragraph" w:customStyle="1" w:styleId="ListNumber3Level3">
    <w:name w:val="List Number 3 (Level 3)"/>
    <w:basedOn w:val="Text3"/>
    <w:rsid w:val="00F53A03"/>
    <w:pPr>
      <w:numPr>
        <w:ilvl w:val="2"/>
        <w:numId w:val="16"/>
      </w:numPr>
      <w:tabs>
        <w:tab w:val="clear" w:pos="2302"/>
      </w:tabs>
    </w:pPr>
    <w:rPr>
      <w:lang w:eastAsia="en-US"/>
    </w:rPr>
  </w:style>
  <w:style w:type="paragraph" w:customStyle="1" w:styleId="ListNumber4Level3">
    <w:name w:val="List Number 4 (Level 3)"/>
    <w:basedOn w:val="Text4"/>
    <w:rsid w:val="00F53A03"/>
    <w:pPr>
      <w:numPr>
        <w:ilvl w:val="2"/>
        <w:numId w:val="17"/>
      </w:numPr>
    </w:pPr>
    <w:rPr>
      <w:lang w:eastAsia="en-US"/>
    </w:rPr>
  </w:style>
  <w:style w:type="paragraph" w:customStyle="1" w:styleId="ListNumberLevel4">
    <w:name w:val="List Number (Level 4)"/>
    <w:basedOn w:val="Normal"/>
    <w:rsid w:val="00F53A03"/>
    <w:pPr>
      <w:numPr>
        <w:ilvl w:val="3"/>
        <w:numId w:val="13"/>
      </w:numPr>
    </w:pPr>
    <w:rPr>
      <w:lang w:eastAsia="en-US"/>
    </w:rPr>
  </w:style>
  <w:style w:type="paragraph" w:customStyle="1" w:styleId="ListNumber1Level4">
    <w:name w:val="List Number 1 (Level 4)"/>
    <w:basedOn w:val="Text1"/>
    <w:rsid w:val="00F53A03"/>
    <w:pPr>
      <w:numPr>
        <w:ilvl w:val="3"/>
        <w:numId w:val="14"/>
      </w:numPr>
    </w:pPr>
    <w:rPr>
      <w:lang w:eastAsia="en-US"/>
    </w:rPr>
  </w:style>
  <w:style w:type="paragraph" w:customStyle="1" w:styleId="ListNumber2Level4">
    <w:name w:val="List Number 2 (Level 4)"/>
    <w:basedOn w:val="Text2"/>
    <w:rsid w:val="00F53A03"/>
    <w:pPr>
      <w:numPr>
        <w:ilvl w:val="3"/>
        <w:numId w:val="15"/>
      </w:numPr>
      <w:tabs>
        <w:tab w:val="clear" w:pos="2161"/>
      </w:tabs>
    </w:pPr>
    <w:rPr>
      <w:lang w:eastAsia="en-US"/>
    </w:rPr>
  </w:style>
  <w:style w:type="paragraph" w:customStyle="1" w:styleId="ListNumber3Level4">
    <w:name w:val="List Number 3 (Level 4)"/>
    <w:basedOn w:val="Text3"/>
    <w:rsid w:val="00F53A03"/>
    <w:pPr>
      <w:numPr>
        <w:ilvl w:val="3"/>
        <w:numId w:val="16"/>
      </w:numPr>
      <w:tabs>
        <w:tab w:val="clear" w:pos="2302"/>
      </w:tabs>
    </w:pPr>
    <w:rPr>
      <w:lang w:eastAsia="en-US"/>
    </w:rPr>
  </w:style>
  <w:style w:type="paragraph" w:customStyle="1" w:styleId="ListNumber4Level4">
    <w:name w:val="List Number 4 (Level 4)"/>
    <w:basedOn w:val="Text4"/>
    <w:rsid w:val="00F53A03"/>
    <w:pPr>
      <w:numPr>
        <w:ilvl w:val="3"/>
        <w:numId w:val="17"/>
      </w:numPr>
    </w:pPr>
    <w:rPr>
      <w:lang w:eastAsia="en-US"/>
    </w:rPr>
  </w:style>
  <w:style w:type="paragraph" w:styleId="TOC5">
    <w:name w:val="toc 5"/>
    <w:basedOn w:val="Normal"/>
    <w:next w:val="Normal"/>
    <w:semiHidden/>
    <w:rsid w:val="00F53A03"/>
    <w:pPr>
      <w:tabs>
        <w:tab w:val="right" w:leader="dot" w:pos="8641"/>
      </w:tabs>
      <w:spacing w:before="240" w:after="120"/>
      <w:ind w:right="720"/>
    </w:pPr>
    <w:rPr>
      <w:caps/>
      <w:lang w:eastAsia="en-US"/>
    </w:rPr>
  </w:style>
  <w:style w:type="paragraph" w:styleId="TOCHeading">
    <w:name w:val="TOC Heading"/>
    <w:basedOn w:val="Normal"/>
    <w:next w:val="Normal"/>
    <w:qFormat/>
    <w:rsid w:val="00F53A03"/>
    <w:pPr>
      <w:keepNext/>
      <w:spacing w:before="240"/>
      <w:jc w:val="center"/>
    </w:pPr>
    <w:rPr>
      <w:b/>
      <w:lang w:eastAsia="en-US"/>
    </w:rPr>
  </w:style>
  <w:style w:type="paragraph" w:styleId="BalloonText">
    <w:name w:val="Balloon Text"/>
    <w:basedOn w:val="Normal"/>
    <w:semiHidden/>
    <w:rsid w:val="00035422"/>
    <w:rPr>
      <w:rFonts w:ascii="Tahoma" w:hAnsi="Tahoma" w:cs="Tahoma"/>
      <w:sz w:val="16"/>
      <w:szCs w:val="16"/>
    </w:rPr>
  </w:style>
  <w:style w:type="paragraph" w:styleId="BodyText">
    <w:name w:val="Body Text"/>
    <w:aliases w:val="by,BT,bt"/>
    <w:basedOn w:val="Normal"/>
    <w:link w:val="BodyTextChar"/>
    <w:rsid w:val="002C04A3"/>
    <w:rPr>
      <w:szCs w:val="24"/>
      <w:lang w:eastAsia="en-US"/>
    </w:rPr>
  </w:style>
  <w:style w:type="paragraph" w:styleId="NormalWeb">
    <w:name w:val="Normal (Web)"/>
    <w:basedOn w:val="Normal"/>
    <w:rsid w:val="0016170F"/>
    <w:pPr>
      <w:spacing w:before="100" w:beforeAutospacing="1" w:after="100" w:afterAutospacing="1"/>
      <w:jc w:val="left"/>
    </w:pPr>
    <w:rPr>
      <w:szCs w:val="24"/>
    </w:rPr>
  </w:style>
  <w:style w:type="table" w:styleId="TableGrid">
    <w:name w:val="Table Grid"/>
    <w:basedOn w:val="TableNormal"/>
    <w:uiPriority w:val="59"/>
    <w:rsid w:val="00A5414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5E45"/>
    <w:rPr>
      <w:color w:val="0000FF"/>
      <w:u w:val="single"/>
    </w:rPr>
  </w:style>
  <w:style w:type="character" w:customStyle="1" w:styleId="FooterChar">
    <w:name w:val="Footer Char"/>
    <w:link w:val="Footer"/>
    <w:uiPriority w:val="99"/>
    <w:rsid w:val="008C37DB"/>
    <w:rPr>
      <w:rFonts w:ascii="Arial" w:hAnsi="Arial"/>
      <w:sz w:val="16"/>
    </w:rPr>
  </w:style>
  <w:style w:type="character" w:customStyle="1" w:styleId="BodyTextChar">
    <w:name w:val="Body Text Char"/>
    <w:aliases w:val="by Char,BT Char,bt Char"/>
    <w:link w:val="BodyText"/>
    <w:rsid w:val="00FD45D5"/>
    <w:rPr>
      <w:sz w:val="24"/>
      <w:szCs w:val="24"/>
      <w:lang w:eastAsia="en-US"/>
    </w:rPr>
  </w:style>
  <w:style w:type="character" w:styleId="CommentReference">
    <w:name w:val="annotation reference"/>
    <w:basedOn w:val="DefaultParagraphFont"/>
    <w:rsid w:val="009144AA"/>
    <w:rPr>
      <w:sz w:val="16"/>
      <w:szCs w:val="16"/>
    </w:rPr>
  </w:style>
  <w:style w:type="paragraph" w:styleId="CommentText">
    <w:name w:val="annotation text"/>
    <w:basedOn w:val="Normal"/>
    <w:link w:val="CommentTextChar"/>
    <w:rsid w:val="009144AA"/>
    <w:rPr>
      <w:sz w:val="20"/>
    </w:rPr>
  </w:style>
  <w:style w:type="character" w:customStyle="1" w:styleId="CommentTextChar">
    <w:name w:val="Comment Text Char"/>
    <w:basedOn w:val="DefaultParagraphFont"/>
    <w:link w:val="CommentText"/>
    <w:rsid w:val="009144AA"/>
  </w:style>
  <w:style w:type="paragraph" w:styleId="CommentSubject">
    <w:name w:val="annotation subject"/>
    <w:basedOn w:val="CommentText"/>
    <w:next w:val="CommentText"/>
    <w:link w:val="CommentSubjectChar"/>
    <w:rsid w:val="009144AA"/>
    <w:rPr>
      <w:b/>
      <w:bCs/>
    </w:rPr>
  </w:style>
  <w:style w:type="character" w:customStyle="1" w:styleId="CommentSubjectChar">
    <w:name w:val="Comment Subject Char"/>
    <w:basedOn w:val="CommentTextChar"/>
    <w:link w:val="CommentSubject"/>
    <w:rsid w:val="009144AA"/>
    <w:rPr>
      <w:b/>
      <w:bCs/>
    </w:rPr>
  </w:style>
  <w:style w:type="paragraph" w:styleId="Revision">
    <w:name w:val="Revision"/>
    <w:hidden/>
    <w:uiPriority w:val="99"/>
    <w:semiHidden/>
    <w:rsid w:val="009144AA"/>
    <w:rPr>
      <w:sz w:val="24"/>
    </w:rPr>
  </w:style>
  <w:style w:type="character" w:customStyle="1" w:styleId="FootnoteTextChar">
    <w:name w:val="Footnote Text Char"/>
    <w:aliases w:val="fn Char"/>
    <w:link w:val="FootnoteText"/>
    <w:uiPriority w:val="99"/>
    <w:semiHidden/>
    <w:rsid w:val="00CB4BE2"/>
  </w:style>
  <w:style w:type="character" w:customStyle="1" w:styleId="Heading3Char">
    <w:name w:val="Heading 3 Char"/>
    <w:basedOn w:val="DefaultParagraphFont"/>
    <w:link w:val="Heading3"/>
    <w:rsid w:val="00411B97"/>
    <w:rPr>
      <w:i/>
      <w:sz w:val="24"/>
    </w:rPr>
  </w:style>
  <w:style w:type="character" w:customStyle="1" w:styleId="NumPar1Char">
    <w:name w:val="NumPar 1 Char"/>
    <w:link w:val="NumPar1"/>
    <w:rsid w:val="005D359E"/>
    <w:rPr>
      <w:rFonts w:ascii="Times New Roman Bold" w:hAnsi="Times New Roman Bold"/>
      <w:sz w:val="24"/>
    </w:rPr>
  </w:style>
  <w:style w:type="character" w:customStyle="1" w:styleId="clipboard">
    <w:name w:val="clipboard"/>
    <w:basedOn w:val="DefaultParagraphFont"/>
    <w:rsid w:val="00431755"/>
  </w:style>
  <w:style w:type="table" w:customStyle="1" w:styleId="TableGrid1">
    <w:name w:val="Table Grid1"/>
    <w:basedOn w:val="TableNormal"/>
    <w:next w:val="TableGrid"/>
    <w:uiPriority w:val="59"/>
    <w:rsid w:val="00D00B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1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D45D5"/>
    <w:pPr>
      <w:spacing w:after="240"/>
      <w:jc w:val="both"/>
    </w:pPr>
    <w:rPr>
      <w:sz w:val="24"/>
    </w:rPr>
  </w:style>
  <w:style w:type="paragraph" w:styleId="Heading1">
    <w:name w:val="heading 1"/>
    <w:basedOn w:val="Normal"/>
    <w:next w:val="NumPar1"/>
    <w:qFormat/>
    <w:rsid w:val="00FD45D5"/>
    <w:pPr>
      <w:keepNext/>
      <w:numPr>
        <w:numId w:val="1"/>
      </w:numPr>
      <w:spacing w:before="120"/>
      <w:outlineLvl w:val="0"/>
    </w:pPr>
    <w:rPr>
      <w:rFonts w:ascii="Times New Roman Bold" w:hAnsi="Times New Roman Bold"/>
      <w:b/>
      <w:smallCaps/>
    </w:rPr>
  </w:style>
  <w:style w:type="paragraph" w:styleId="Heading2">
    <w:name w:val="heading 2"/>
    <w:basedOn w:val="Normal"/>
    <w:next w:val="NumPar1"/>
    <w:qFormat/>
    <w:rsid w:val="00FD45D5"/>
    <w:pPr>
      <w:keepNext/>
      <w:numPr>
        <w:ilvl w:val="1"/>
        <w:numId w:val="1"/>
      </w:numPr>
      <w:outlineLvl w:val="1"/>
    </w:pPr>
    <w:rPr>
      <w:rFonts w:ascii="Times New Roman Bold" w:hAnsi="Times New Roman Bold"/>
      <w:b/>
    </w:rPr>
  </w:style>
  <w:style w:type="paragraph" w:styleId="Heading3">
    <w:name w:val="heading 3"/>
    <w:basedOn w:val="Normal"/>
    <w:next w:val="NumPar1"/>
    <w:link w:val="Heading3Char"/>
    <w:qFormat/>
    <w:rsid w:val="00FD45D5"/>
    <w:pPr>
      <w:keepNext/>
      <w:numPr>
        <w:ilvl w:val="2"/>
        <w:numId w:val="1"/>
      </w:numPr>
      <w:outlineLvl w:val="2"/>
    </w:pPr>
    <w:rPr>
      <w:i/>
    </w:rPr>
  </w:style>
  <w:style w:type="paragraph" w:styleId="Heading4">
    <w:name w:val="heading 4"/>
    <w:basedOn w:val="Normal"/>
    <w:next w:val="NumPar1"/>
    <w:qFormat/>
    <w:rsid w:val="00FD45D5"/>
    <w:pPr>
      <w:keepNext/>
      <w:numPr>
        <w:ilvl w:val="3"/>
        <w:numId w:val="1"/>
      </w:numPr>
      <w:outlineLvl w:val="3"/>
    </w:pPr>
  </w:style>
  <w:style w:type="paragraph" w:styleId="Heading5">
    <w:name w:val="heading 5"/>
    <w:basedOn w:val="Normal"/>
    <w:next w:val="Normal"/>
    <w:qFormat/>
    <w:pPr>
      <w:numPr>
        <w:ilvl w:val="4"/>
        <w:numId w:val="1"/>
      </w:numPr>
      <w:spacing w:before="240" w:after="60"/>
      <w:ind w:left="3332"/>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3"/>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7"/>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umPar4">
    <w:name w:val="NumPar 4"/>
    <w:basedOn w:val="Heading4"/>
    <w:next w:val="Text4"/>
    <w:pPr>
      <w:keepNext w:val="0"/>
    </w:pPr>
  </w:style>
  <w:style w:type="paragraph" w:styleId="TOC4">
    <w:name w:val="toc 4"/>
    <w:basedOn w:val="Normal"/>
    <w:next w:val="Normal"/>
    <w:semiHidden/>
    <w:pPr>
      <w:tabs>
        <w:tab w:val="right" w:leader="dot" w:pos="8641"/>
      </w:tabs>
      <w:spacing w:before="60" w:after="60"/>
      <w:ind w:left="2880" w:right="720" w:hanging="964"/>
    </w:p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aliases w:val="(NECG) Footnote Reference,fr,o"/>
    <w:uiPriority w:val="99"/>
    <w:rPr>
      <w:rFonts w:ascii="TimesNewRomanPS" w:hAnsi="TimesNewRomanPS"/>
      <w:position w:val="6"/>
      <w:sz w:val="16"/>
    </w:rPr>
  </w:style>
  <w:style w:type="paragraph" w:styleId="FootnoteText">
    <w:name w:val="footnote text"/>
    <w:aliases w:val="fn"/>
    <w:basedOn w:val="Normal"/>
    <w:link w:val="FootnoteTextChar"/>
    <w:uiPriority w:val="99"/>
    <w:semiHidden/>
    <w:rsid w:val="00211121"/>
    <w:pPr>
      <w:tabs>
        <w:tab w:val="left" w:pos="709"/>
      </w:tabs>
      <w:spacing w:after="120"/>
      <w:ind w:left="709" w:hanging="709"/>
    </w:pPr>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ormal"/>
    <w:link w:val="NumPar1Char"/>
    <w:rsid w:val="00FD45D5"/>
    <w:pPr>
      <w:tabs>
        <w:tab w:val="left" w:pos="851"/>
      </w:tabs>
    </w:pPr>
    <w:rPr>
      <w:rFonts w:ascii="Times New Roman Bold" w:hAnsi="Times New Roman Bold"/>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ind w:left="1917" w:hanging="840"/>
    </w:pPr>
    <w:rPr>
      <w:i w:val="0"/>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uiPriority w:val="99"/>
    <w:pPr>
      <w:spacing w:after="0"/>
      <w:ind w:right="85"/>
    </w:pPr>
    <w:rPr>
      <w:rFonts w:ascii="Arial" w:hAnsi="Arial"/>
      <w:sz w:val="16"/>
    </w:rPr>
  </w:style>
  <w:style w:type="paragraph" w:styleId="Header">
    <w:name w:val="header"/>
    <w:basedOn w:val="Normal"/>
    <w:pPr>
      <w:tabs>
        <w:tab w:val="center" w:pos="4153"/>
        <w:tab w:val="right" w:pos="8306"/>
      </w:tabs>
    </w:pPr>
  </w:style>
  <w:style w:type="paragraph" w:customStyle="1" w:styleId="Contact">
    <w:name w:val="Contact"/>
    <w:basedOn w:val="Normal"/>
    <w:next w:val="Normal"/>
    <w:rsid w:val="00F53A03"/>
    <w:pPr>
      <w:spacing w:before="480" w:after="0"/>
      <w:ind w:left="567" w:hanging="567"/>
      <w:jc w:val="left"/>
    </w:pPr>
    <w:rPr>
      <w:lang w:eastAsia="en-US"/>
    </w:rPr>
  </w:style>
  <w:style w:type="paragraph" w:styleId="ListBullet">
    <w:name w:val="List Bullet"/>
    <w:basedOn w:val="Normal"/>
    <w:rsid w:val="00F53A03"/>
    <w:pPr>
      <w:numPr>
        <w:numId w:val="3"/>
      </w:numPr>
    </w:pPr>
    <w:rPr>
      <w:lang w:eastAsia="en-US"/>
    </w:rPr>
  </w:style>
  <w:style w:type="paragraph" w:customStyle="1" w:styleId="ListBullet1">
    <w:name w:val="List Bullet 1"/>
    <w:basedOn w:val="Text1"/>
    <w:rsid w:val="00F53A03"/>
    <w:pPr>
      <w:numPr>
        <w:numId w:val="4"/>
      </w:numPr>
    </w:pPr>
    <w:rPr>
      <w:lang w:eastAsia="en-US"/>
    </w:rPr>
  </w:style>
  <w:style w:type="paragraph" w:styleId="ListBullet2">
    <w:name w:val="List Bullet 2"/>
    <w:basedOn w:val="Text2"/>
    <w:rsid w:val="00F53A03"/>
    <w:pPr>
      <w:numPr>
        <w:numId w:val="5"/>
      </w:numPr>
      <w:tabs>
        <w:tab w:val="clear" w:pos="2161"/>
      </w:tabs>
    </w:pPr>
    <w:rPr>
      <w:lang w:eastAsia="en-US"/>
    </w:rPr>
  </w:style>
  <w:style w:type="paragraph" w:styleId="ListBullet3">
    <w:name w:val="List Bullet 3"/>
    <w:basedOn w:val="Text3"/>
    <w:rsid w:val="00F53A03"/>
    <w:pPr>
      <w:numPr>
        <w:numId w:val="6"/>
      </w:numPr>
      <w:tabs>
        <w:tab w:val="clear" w:pos="2302"/>
      </w:tabs>
    </w:pPr>
    <w:rPr>
      <w:lang w:eastAsia="en-US"/>
    </w:rPr>
  </w:style>
  <w:style w:type="paragraph" w:styleId="ListBullet4">
    <w:name w:val="List Bullet 4"/>
    <w:basedOn w:val="Text4"/>
    <w:rsid w:val="00F53A03"/>
    <w:pPr>
      <w:numPr>
        <w:numId w:val="7"/>
      </w:numPr>
    </w:pPr>
    <w:rPr>
      <w:lang w:eastAsia="en-US"/>
    </w:rPr>
  </w:style>
  <w:style w:type="paragraph" w:customStyle="1" w:styleId="ListDash">
    <w:name w:val="List Dash"/>
    <w:basedOn w:val="Normal"/>
    <w:rsid w:val="00F53A03"/>
    <w:pPr>
      <w:numPr>
        <w:numId w:val="8"/>
      </w:numPr>
    </w:pPr>
    <w:rPr>
      <w:lang w:eastAsia="en-US"/>
    </w:rPr>
  </w:style>
  <w:style w:type="paragraph" w:customStyle="1" w:styleId="ListDash1">
    <w:name w:val="List Dash 1"/>
    <w:basedOn w:val="Text1"/>
    <w:rsid w:val="00F53A03"/>
    <w:pPr>
      <w:numPr>
        <w:numId w:val="9"/>
      </w:numPr>
    </w:pPr>
    <w:rPr>
      <w:lang w:eastAsia="en-US"/>
    </w:rPr>
  </w:style>
  <w:style w:type="paragraph" w:customStyle="1" w:styleId="ListDash2">
    <w:name w:val="List Dash 2"/>
    <w:basedOn w:val="Text2"/>
    <w:rsid w:val="00F53A03"/>
    <w:pPr>
      <w:numPr>
        <w:numId w:val="10"/>
      </w:numPr>
      <w:tabs>
        <w:tab w:val="clear" w:pos="2161"/>
      </w:tabs>
    </w:pPr>
    <w:rPr>
      <w:lang w:eastAsia="en-US"/>
    </w:rPr>
  </w:style>
  <w:style w:type="paragraph" w:customStyle="1" w:styleId="ListDash3">
    <w:name w:val="List Dash 3"/>
    <w:basedOn w:val="Text3"/>
    <w:rsid w:val="00F53A03"/>
    <w:pPr>
      <w:numPr>
        <w:numId w:val="11"/>
      </w:numPr>
      <w:tabs>
        <w:tab w:val="clear" w:pos="2302"/>
      </w:tabs>
    </w:pPr>
    <w:rPr>
      <w:lang w:eastAsia="en-US"/>
    </w:rPr>
  </w:style>
  <w:style w:type="paragraph" w:customStyle="1" w:styleId="ListDash4">
    <w:name w:val="List Dash 4"/>
    <w:basedOn w:val="Text4"/>
    <w:rsid w:val="00F53A03"/>
    <w:pPr>
      <w:numPr>
        <w:numId w:val="12"/>
      </w:numPr>
    </w:pPr>
    <w:rPr>
      <w:lang w:eastAsia="en-US"/>
    </w:rPr>
  </w:style>
  <w:style w:type="paragraph" w:styleId="ListNumber">
    <w:name w:val="List Number"/>
    <w:basedOn w:val="Normal"/>
    <w:rsid w:val="00F53A03"/>
    <w:pPr>
      <w:numPr>
        <w:numId w:val="13"/>
      </w:numPr>
    </w:pPr>
    <w:rPr>
      <w:lang w:eastAsia="en-US"/>
    </w:rPr>
  </w:style>
  <w:style w:type="paragraph" w:customStyle="1" w:styleId="ListNumber1">
    <w:name w:val="List Number 1"/>
    <w:basedOn w:val="Text1"/>
    <w:rsid w:val="00F53A03"/>
    <w:pPr>
      <w:numPr>
        <w:numId w:val="14"/>
      </w:numPr>
    </w:pPr>
    <w:rPr>
      <w:lang w:eastAsia="en-US"/>
    </w:rPr>
  </w:style>
  <w:style w:type="paragraph" w:styleId="ListNumber2">
    <w:name w:val="List Number 2"/>
    <w:basedOn w:val="Text2"/>
    <w:rsid w:val="00F53A03"/>
    <w:pPr>
      <w:numPr>
        <w:numId w:val="15"/>
      </w:numPr>
      <w:tabs>
        <w:tab w:val="clear" w:pos="2161"/>
      </w:tabs>
    </w:pPr>
    <w:rPr>
      <w:lang w:eastAsia="en-US"/>
    </w:rPr>
  </w:style>
  <w:style w:type="paragraph" w:styleId="ListNumber3">
    <w:name w:val="List Number 3"/>
    <w:basedOn w:val="Text3"/>
    <w:rsid w:val="00F53A03"/>
    <w:pPr>
      <w:numPr>
        <w:numId w:val="16"/>
      </w:numPr>
      <w:tabs>
        <w:tab w:val="clear" w:pos="2302"/>
      </w:tabs>
    </w:pPr>
    <w:rPr>
      <w:lang w:eastAsia="en-US"/>
    </w:rPr>
  </w:style>
  <w:style w:type="paragraph" w:styleId="ListNumber4">
    <w:name w:val="List Number 4"/>
    <w:basedOn w:val="Text4"/>
    <w:rsid w:val="00F53A03"/>
    <w:pPr>
      <w:numPr>
        <w:numId w:val="17"/>
      </w:numPr>
    </w:pPr>
    <w:rPr>
      <w:lang w:eastAsia="en-US"/>
    </w:rPr>
  </w:style>
  <w:style w:type="paragraph" w:customStyle="1" w:styleId="ListNumberLevel2">
    <w:name w:val="List Number (Level 2)"/>
    <w:basedOn w:val="Normal"/>
    <w:rsid w:val="00F53A03"/>
    <w:pPr>
      <w:numPr>
        <w:ilvl w:val="1"/>
        <w:numId w:val="13"/>
      </w:numPr>
    </w:pPr>
    <w:rPr>
      <w:lang w:eastAsia="en-US"/>
    </w:rPr>
  </w:style>
  <w:style w:type="paragraph" w:customStyle="1" w:styleId="ListNumber1Level2">
    <w:name w:val="List Number 1 (Level 2)"/>
    <w:basedOn w:val="Text1"/>
    <w:rsid w:val="00F53A03"/>
    <w:pPr>
      <w:numPr>
        <w:ilvl w:val="1"/>
        <w:numId w:val="14"/>
      </w:numPr>
    </w:pPr>
    <w:rPr>
      <w:lang w:eastAsia="en-US"/>
    </w:rPr>
  </w:style>
  <w:style w:type="paragraph" w:customStyle="1" w:styleId="ListNumber2Level2">
    <w:name w:val="List Number 2 (Level 2)"/>
    <w:basedOn w:val="Text2"/>
    <w:rsid w:val="00F53A03"/>
    <w:pPr>
      <w:numPr>
        <w:ilvl w:val="1"/>
        <w:numId w:val="15"/>
      </w:numPr>
      <w:tabs>
        <w:tab w:val="clear" w:pos="2161"/>
      </w:tabs>
    </w:pPr>
    <w:rPr>
      <w:lang w:eastAsia="en-US"/>
    </w:rPr>
  </w:style>
  <w:style w:type="paragraph" w:customStyle="1" w:styleId="ListNumber3Level2">
    <w:name w:val="List Number 3 (Level 2)"/>
    <w:basedOn w:val="Text3"/>
    <w:rsid w:val="00F53A03"/>
    <w:pPr>
      <w:numPr>
        <w:ilvl w:val="1"/>
        <w:numId w:val="16"/>
      </w:numPr>
      <w:tabs>
        <w:tab w:val="clear" w:pos="2302"/>
      </w:tabs>
    </w:pPr>
    <w:rPr>
      <w:lang w:eastAsia="en-US"/>
    </w:rPr>
  </w:style>
  <w:style w:type="paragraph" w:customStyle="1" w:styleId="ListNumber4Level2">
    <w:name w:val="List Number 4 (Level 2)"/>
    <w:basedOn w:val="Text4"/>
    <w:rsid w:val="00F53A03"/>
    <w:pPr>
      <w:numPr>
        <w:ilvl w:val="1"/>
        <w:numId w:val="17"/>
      </w:numPr>
    </w:pPr>
    <w:rPr>
      <w:lang w:eastAsia="en-US"/>
    </w:rPr>
  </w:style>
  <w:style w:type="paragraph" w:customStyle="1" w:styleId="ListNumberLevel3">
    <w:name w:val="List Number (Level 3)"/>
    <w:basedOn w:val="Normal"/>
    <w:rsid w:val="00F53A03"/>
    <w:pPr>
      <w:numPr>
        <w:ilvl w:val="2"/>
        <w:numId w:val="13"/>
      </w:numPr>
    </w:pPr>
    <w:rPr>
      <w:lang w:eastAsia="en-US"/>
    </w:rPr>
  </w:style>
  <w:style w:type="paragraph" w:customStyle="1" w:styleId="ListNumber1Level3">
    <w:name w:val="List Number 1 (Level 3)"/>
    <w:basedOn w:val="Text1"/>
    <w:rsid w:val="00F53A03"/>
    <w:pPr>
      <w:numPr>
        <w:ilvl w:val="2"/>
        <w:numId w:val="14"/>
      </w:numPr>
    </w:pPr>
    <w:rPr>
      <w:lang w:eastAsia="en-US"/>
    </w:rPr>
  </w:style>
  <w:style w:type="paragraph" w:customStyle="1" w:styleId="ListNumber2Level3">
    <w:name w:val="List Number 2 (Level 3)"/>
    <w:basedOn w:val="Text2"/>
    <w:rsid w:val="00F53A03"/>
    <w:pPr>
      <w:numPr>
        <w:ilvl w:val="2"/>
        <w:numId w:val="15"/>
      </w:numPr>
      <w:tabs>
        <w:tab w:val="clear" w:pos="2161"/>
      </w:tabs>
    </w:pPr>
    <w:rPr>
      <w:lang w:eastAsia="en-US"/>
    </w:rPr>
  </w:style>
  <w:style w:type="paragraph" w:customStyle="1" w:styleId="ListNumber3Level3">
    <w:name w:val="List Number 3 (Level 3)"/>
    <w:basedOn w:val="Text3"/>
    <w:rsid w:val="00F53A03"/>
    <w:pPr>
      <w:numPr>
        <w:ilvl w:val="2"/>
        <w:numId w:val="16"/>
      </w:numPr>
      <w:tabs>
        <w:tab w:val="clear" w:pos="2302"/>
      </w:tabs>
    </w:pPr>
    <w:rPr>
      <w:lang w:eastAsia="en-US"/>
    </w:rPr>
  </w:style>
  <w:style w:type="paragraph" w:customStyle="1" w:styleId="ListNumber4Level3">
    <w:name w:val="List Number 4 (Level 3)"/>
    <w:basedOn w:val="Text4"/>
    <w:rsid w:val="00F53A03"/>
    <w:pPr>
      <w:numPr>
        <w:ilvl w:val="2"/>
        <w:numId w:val="17"/>
      </w:numPr>
    </w:pPr>
    <w:rPr>
      <w:lang w:eastAsia="en-US"/>
    </w:rPr>
  </w:style>
  <w:style w:type="paragraph" w:customStyle="1" w:styleId="ListNumberLevel4">
    <w:name w:val="List Number (Level 4)"/>
    <w:basedOn w:val="Normal"/>
    <w:rsid w:val="00F53A03"/>
    <w:pPr>
      <w:numPr>
        <w:ilvl w:val="3"/>
        <w:numId w:val="13"/>
      </w:numPr>
    </w:pPr>
    <w:rPr>
      <w:lang w:eastAsia="en-US"/>
    </w:rPr>
  </w:style>
  <w:style w:type="paragraph" w:customStyle="1" w:styleId="ListNumber1Level4">
    <w:name w:val="List Number 1 (Level 4)"/>
    <w:basedOn w:val="Text1"/>
    <w:rsid w:val="00F53A03"/>
    <w:pPr>
      <w:numPr>
        <w:ilvl w:val="3"/>
        <w:numId w:val="14"/>
      </w:numPr>
    </w:pPr>
    <w:rPr>
      <w:lang w:eastAsia="en-US"/>
    </w:rPr>
  </w:style>
  <w:style w:type="paragraph" w:customStyle="1" w:styleId="ListNumber2Level4">
    <w:name w:val="List Number 2 (Level 4)"/>
    <w:basedOn w:val="Text2"/>
    <w:rsid w:val="00F53A03"/>
    <w:pPr>
      <w:numPr>
        <w:ilvl w:val="3"/>
        <w:numId w:val="15"/>
      </w:numPr>
      <w:tabs>
        <w:tab w:val="clear" w:pos="2161"/>
      </w:tabs>
    </w:pPr>
    <w:rPr>
      <w:lang w:eastAsia="en-US"/>
    </w:rPr>
  </w:style>
  <w:style w:type="paragraph" w:customStyle="1" w:styleId="ListNumber3Level4">
    <w:name w:val="List Number 3 (Level 4)"/>
    <w:basedOn w:val="Text3"/>
    <w:rsid w:val="00F53A03"/>
    <w:pPr>
      <w:numPr>
        <w:ilvl w:val="3"/>
        <w:numId w:val="16"/>
      </w:numPr>
      <w:tabs>
        <w:tab w:val="clear" w:pos="2302"/>
      </w:tabs>
    </w:pPr>
    <w:rPr>
      <w:lang w:eastAsia="en-US"/>
    </w:rPr>
  </w:style>
  <w:style w:type="paragraph" w:customStyle="1" w:styleId="ListNumber4Level4">
    <w:name w:val="List Number 4 (Level 4)"/>
    <w:basedOn w:val="Text4"/>
    <w:rsid w:val="00F53A03"/>
    <w:pPr>
      <w:numPr>
        <w:ilvl w:val="3"/>
        <w:numId w:val="17"/>
      </w:numPr>
    </w:pPr>
    <w:rPr>
      <w:lang w:eastAsia="en-US"/>
    </w:rPr>
  </w:style>
  <w:style w:type="paragraph" w:styleId="TOC5">
    <w:name w:val="toc 5"/>
    <w:basedOn w:val="Normal"/>
    <w:next w:val="Normal"/>
    <w:semiHidden/>
    <w:rsid w:val="00F53A03"/>
    <w:pPr>
      <w:tabs>
        <w:tab w:val="right" w:leader="dot" w:pos="8641"/>
      </w:tabs>
      <w:spacing w:before="240" w:after="120"/>
      <w:ind w:right="720"/>
    </w:pPr>
    <w:rPr>
      <w:caps/>
      <w:lang w:eastAsia="en-US"/>
    </w:rPr>
  </w:style>
  <w:style w:type="paragraph" w:styleId="TOCHeading">
    <w:name w:val="TOC Heading"/>
    <w:basedOn w:val="Normal"/>
    <w:next w:val="Normal"/>
    <w:qFormat/>
    <w:rsid w:val="00F53A03"/>
    <w:pPr>
      <w:keepNext/>
      <w:spacing w:before="240"/>
      <w:jc w:val="center"/>
    </w:pPr>
    <w:rPr>
      <w:b/>
      <w:lang w:eastAsia="en-US"/>
    </w:rPr>
  </w:style>
  <w:style w:type="paragraph" w:styleId="BalloonText">
    <w:name w:val="Balloon Text"/>
    <w:basedOn w:val="Normal"/>
    <w:semiHidden/>
    <w:rsid w:val="00035422"/>
    <w:rPr>
      <w:rFonts w:ascii="Tahoma" w:hAnsi="Tahoma" w:cs="Tahoma"/>
      <w:sz w:val="16"/>
      <w:szCs w:val="16"/>
    </w:rPr>
  </w:style>
  <w:style w:type="paragraph" w:styleId="BodyText">
    <w:name w:val="Body Text"/>
    <w:aliases w:val="by,BT,bt"/>
    <w:basedOn w:val="Normal"/>
    <w:link w:val="BodyTextChar"/>
    <w:rsid w:val="002C04A3"/>
    <w:rPr>
      <w:szCs w:val="24"/>
      <w:lang w:eastAsia="en-US"/>
    </w:rPr>
  </w:style>
  <w:style w:type="paragraph" w:styleId="NormalWeb">
    <w:name w:val="Normal (Web)"/>
    <w:basedOn w:val="Normal"/>
    <w:rsid w:val="0016170F"/>
    <w:pPr>
      <w:spacing w:before="100" w:beforeAutospacing="1" w:after="100" w:afterAutospacing="1"/>
      <w:jc w:val="left"/>
    </w:pPr>
    <w:rPr>
      <w:szCs w:val="24"/>
    </w:rPr>
  </w:style>
  <w:style w:type="table" w:styleId="TableGrid">
    <w:name w:val="Table Grid"/>
    <w:basedOn w:val="TableNormal"/>
    <w:uiPriority w:val="59"/>
    <w:rsid w:val="00A5414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5E45"/>
    <w:rPr>
      <w:color w:val="0000FF"/>
      <w:u w:val="single"/>
    </w:rPr>
  </w:style>
  <w:style w:type="character" w:customStyle="1" w:styleId="FooterChar">
    <w:name w:val="Footer Char"/>
    <w:link w:val="Footer"/>
    <w:uiPriority w:val="99"/>
    <w:rsid w:val="008C37DB"/>
    <w:rPr>
      <w:rFonts w:ascii="Arial" w:hAnsi="Arial"/>
      <w:sz w:val="16"/>
    </w:rPr>
  </w:style>
  <w:style w:type="character" w:customStyle="1" w:styleId="BodyTextChar">
    <w:name w:val="Body Text Char"/>
    <w:aliases w:val="by Char,BT Char,bt Char"/>
    <w:link w:val="BodyText"/>
    <w:rsid w:val="00FD45D5"/>
    <w:rPr>
      <w:sz w:val="24"/>
      <w:szCs w:val="24"/>
      <w:lang w:eastAsia="en-US"/>
    </w:rPr>
  </w:style>
  <w:style w:type="character" w:styleId="CommentReference">
    <w:name w:val="annotation reference"/>
    <w:basedOn w:val="DefaultParagraphFont"/>
    <w:rsid w:val="009144AA"/>
    <w:rPr>
      <w:sz w:val="16"/>
      <w:szCs w:val="16"/>
    </w:rPr>
  </w:style>
  <w:style w:type="paragraph" w:styleId="CommentText">
    <w:name w:val="annotation text"/>
    <w:basedOn w:val="Normal"/>
    <w:link w:val="CommentTextChar"/>
    <w:rsid w:val="009144AA"/>
    <w:rPr>
      <w:sz w:val="20"/>
    </w:rPr>
  </w:style>
  <w:style w:type="character" w:customStyle="1" w:styleId="CommentTextChar">
    <w:name w:val="Comment Text Char"/>
    <w:basedOn w:val="DefaultParagraphFont"/>
    <w:link w:val="CommentText"/>
    <w:rsid w:val="009144AA"/>
  </w:style>
  <w:style w:type="paragraph" w:styleId="CommentSubject">
    <w:name w:val="annotation subject"/>
    <w:basedOn w:val="CommentText"/>
    <w:next w:val="CommentText"/>
    <w:link w:val="CommentSubjectChar"/>
    <w:rsid w:val="009144AA"/>
    <w:rPr>
      <w:b/>
      <w:bCs/>
    </w:rPr>
  </w:style>
  <w:style w:type="character" w:customStyle="1" w:styleId="CommentSubjectChar">
    <w:name w:val="Comment Subject Char"/>
    <w:basedOn w:val="CommentTextChar"/>
    <w:link w:val="CommentSubject"/>
    <w:rsid w:val="009144AA"/>
    <w:rPr>
      <w:b/>
      <w:bCs/>
    </w:rPr>
  </w:style>
  <w:style w:type="paragraph" w:styleId="Revision">
    <w:name w:val="Revision"/>
    <w:hidden/>
    <w:uiPriority w:val="99"/>
    <w:semiHidden/>
    <w:rsid w:val="009144AA"/>
    <w:rPr>
      <w:sz w:val="24"/>
    </w:rPr>
  </w:style>
  <w:style w:type="character" w:customStyle="1" w:styleId="FootnoteTextChar">
    <w:name w:val="Footnote Text Char"/>
    <w:aliases w:val="fn Char"/>
    <w:link w:val="FootnoteText"/>
    <w:uiPriority w:val="99"/>
    <w:semiHidden/>
    <w:rsid w:val="00CB4BE2"/>
  </w:style>
  <w:style w:type="character" w:customStyle="1" w:styleId="Heading3Char">
    <w:name w:val="Heading 3 Char"/>
    <w:basedOn w:val="DefaultParagraphFont"/>
    <w:link w:val="Heading3"/>
    <w:rsid w:val="00411B97"/>
    <w:rPr>
      <w:i/>
      <w:sz w:val="24"/>
    </w:rPr>
  </w:style>
  <w:style w:type="character" w:customStyle="1" w:styleId="NumPar1Char">
    <w:name w:val="NumPar 1 Char"/>
    <w:link w:val="NumPar1"/>
    <w:rsid w:val="005D359E"/>
    <w:rPr>
      <w:rFonts w:ascii="Times New Roman Bold" w:hAnsi="Times New Roman Bold"/>
      <w:sz w:val="24"/>
    </w:rPr>
  </w:style>
  <w:style w:type="character" w:customStyle="1" w:styleId="clipboard">
    <w:name w:val="clipboard"/>
    <w:basedOn w:val="DefaultParagraphFont"/>
    <w:rsid w:val="00431755"/>
  </w:style>
  <w:style w:type="table" w:customStyle="1" w:styleId="TableGrid1">
    <w:name w:val="Table Grid1"/>
    <w:basedOn w:val="TableNormal"/>
    <w:next w:val="TableGrid"/>
    <w:uiPriority w:val="59"/>
    <w:rsid w:val="00D00B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2073">
      <w:bodyDiv w:val="1"/>
      <w:marLeft w:val="0"/>
      <w:marRight w:val="0"/>
      <w:marTop w:val="0"/>
      <w:marBottom w:val="0"/>
      <w:divBdr>
        <w:top w:val="none" w:sz="0" w:space="0" w:color="auto"/>
        <w:left w:val="none" w:sz="0" w:space="0" w:color="auto"/>
        <w:bottom w:val="none" w:sz="0" w:space="0" w:color="auto"/>
        <w:right w:val="none" w:sz="0" w:space="0" w:color="auto"/>
      </w:divBdr>
    </w:div>
    <w:div w:id="571738028">
      <w:bodyDiv w:val="1"/>
      <w:marLeft w:val="0"/>
      <w:marRight w:val="0"/>
      <w:marTop w:val="0"/>
      <w:marBottom w:val="0"/>
      <w:divBdr>
        <w:top w:val="none" w:sz="0" w:space="0" w:color="auto"/>
        <w:left w:val="none" w:sz="0" w:space="0" w:color="auto"/>
        <w:bottom w:val="none" w:sz="0" w:space="0" w:color="auto"/>
        <w:right w:val="none" w:sz="0" w:space="0" w:color="auto"/>
      </w:divBdr>
    </w:div>
    <w:div w:id="681321549">
      <w:bodyDiv w:val="1"/>
      <w:marLeft w:val="0"/>
      <w:marRight w:val="0"/>
      <w:marTop w:val="0"/>
      <w:marBottom w:val="0"/>
      <w:divBdr>
        <w:top w:val="none" w:sz="0" w:space="0" w:color="auto"/>
        <w:left w:val="none" w:sz="0" w:space="0" w:color="auto"/>
        <w:bottom w:val="none" w:sz="0" w:space="0" w:color="auto"/>
        <w:right w:val="none" w:sz="0" w:space="0" w:color="auto"/>
      </w:divBdr>
    </w:div>
    <w:div w:id="711617703">
      <w:bodyDiv w:val="1"/>
      <w:marLeft w:val="0"/>
      <w:marRight w:val="0"/>
      <w:marTop w:val="0"/>
      <w:marBottom w:val="0"/>
      <w:divBdr>
        <w:top w:val="none" w:sz="0" w:space="0" w:color="auto"/>
        <w:left w:val="none" w:sz="0" w:space="0" w:color="auto"/>
        <w:bottom w:val="none" w:sz="0" w:space="0" w:color="auto"/>
        <w:right w:val="none" w:sz="0" w:space="0" w:color="auto"/>
      </w:divBdr>
    </w:div>
    <w:div w:id="921718353">
      <w:bodyDiv w:val="1"/>
      <w:marLeft w:val="0"/>
      <w:marRight w:val="0"/>
      <w:marTop w:val="0"/>
      <w:marBottom w:val="0"/>
      <w:divBdr>
        <w:top w:val="none" w:sz="0" w:space="0" w:color="auto"/>
        <w:left w:val="none" w:sz="0" w:space="0" w:color="auto"/>
        <w:bottom w:val="none" w:sz="0" w:space="0" w:color="auto"/>
        <w:right w:val="none" w:sz="0" w:space="0" w:color="auto"/>
      </w:divBdr>
      <w:divsChild>
        <w:div w:id="11434264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2572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56423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19504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748878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371217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737310">
      <w:bodyDiv w:val="1"/>
      <w:marLeft w:val="0"/>
      <w:marRight w:val="0"/>
      <w:marTop w:val="0"/>
      <w:marBottom w:val="0"/>
      <w:divBdr>
        <w:top w:val="none" w:sz="0" w:space="0" w:color="auto"/>
        <w:left w:val="none" w:sz="0" w:space="0" w:color="auto"/>
        <w:bottom w:val="none" w:sz="0" w:space="0" w:color="auto"/>
        <w:right w:val="none" w:sz="0" w:space="0" w:color="auto"/>
      </w:divBdr>
    </w:div>
    <w:div w:id="1212423313">
      <w:bodyDiv w:val="1"/>
      <w:marLeft w:val="0"/>
      <w:marRight w:val="0"/>
      <w:marTop w:val="0"/>
      <w:marBottom w:val="0"/>
      <w:divBdr>
        <w:top w:val="none" w:sz="0" w:space="0" w:color="auto"/>
        <w:left w:val="none" w:sz="0" w:space="0" w:color="auto"/>
        <w:bottom w:val="none" w:sz="0" w:space="0" w:color="auto"/>
        <w:right w:val="none" w:sz="0" w:space="0" w:color="auto"/>
      </w:divBdr>
      <w:divsChild>
        <w:div w:id="4460434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9251171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6078636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754566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7139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30249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92543">
      <w:bodyDiv w:val="1"/>
      <w:marLeft w:val="0"/>
      <w:marRight w:val="0"/>
      <w:marTop w:val="0"/>
      <w:marBottom w:val="0"/>
      <w:divBdr>
        <w:top w:val="none" w:sz="0" w:space="0" w:color="auto"/>
        <w:left w:val="none" w:sz="0" w:space="0" w:color="auto"/>
        <w:bottom w:val="none" w:sz="0" w:space="0" w:color="auto"/>
        <w:right w:val="none" w:sz="0" w:space="0" w:color="auto"/>
      </w:divBdr>
    </w:div>
    <w:div w:id="2032368271">
      <w:bodyDiv w:val="1"/>
      <w:marLeft w:val="0"/>
      <w:marRight w:val="0"/>
      <w:marTop w:val="0"/>
      <w:marBottom w:val="0"/>
      <w:divBdr>
        <w:top w:val="none" w:sz="0" w:space="0" w:color="auto"/>
        <w:left w:val="none" w:sz="0" w:space="0" w:color="auto"/>
        <w:bottom w:val="none" w:sz="0" w:space="0" w:color="auto"/>
        <w:right w:val="none" w:sz="0" w:space="0" w:color="auto"/>
      </w:divBdr>
      <w:divsChild>
        <w:div w:id="5606722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13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MP-MERGER-REGISTRY@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AP\WINWORD6\TEMPLATE\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ploaded Document" ma:contentTypeID="0x0101040016E48B8445D941CBBCE81CF8B95DDA2C007AAD59F81AFAF64EA7806FE53814CA89" ma:contentTypeVersion="1" ma:contentTypeDescription="Upload a Document from your Computer to this Library." ma:contentTypeScope="" ma:versionID="e84c9b758bef7aae03f2e4c9b1a088fc">
  <xsd:schema xmlns:xsd="http://www.w3.org/2001/XMLSchema" xmlns:xs="http://www.w3.org/2001/XMLSchema" xmlns:p="http://schemas.microsoft.com/office/2006/metadata/properties" xmlns:ns1="088202b7-44b3-4308-8cbe-2486e2aff631" xmlns:ns2="104bc713-7594-423e-b1eb-874a2b485756" targetNamespace="http://schemas.microsoft.com/office/2006/metadata/properties" ma:root="true" ma:fieldsID="947b7514ae49306a7abb37cb3c708095" ns1:_="" ns2:_="">
    <xsd:import namespace="088202b7-44b3-4308-8cbe-2486e2aff631"/>
    <xsd:import namespace="104bc713-7594-423e-b1eb-874a2b485756"/>
    <xsd:element name="properties">
      <xsd:complexType>
        <xsd:sequence>
          <xsd:element name="documentManagement">
            <xsd:complexType>
              <xsd:all>
                <xsd:element ref="ns1:documentTitle" minOccurs="0"/>
                <xsd:element ref="ns2:le163f84aeac4c978e8c8f59becf4c6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202b7-44b3-4308-8cbe-2486e2aff631" elementFormDefault="qualified">
    <xsd:import namespace="http://schemas.microsoft.com/office/2006/documentManagement/types"/>
    <xsd:import namespace="http://schemas.microsoft.com/office/infopath/2007/PartnerControls"/>
    <xsd:element name="documentTitle" ma:index="0" nillable="true" ma:displayName="Title" ma:description="The Title of the Document is different than the Filename." ma:internalName="docum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bc713-7594-423e-b1eb-874a2b485756" elementFormDefault="qualified">
    <xsd:import namespace="http://schemas.microsoft.com/office/2006/documentManagement/types"/>
    <xsd:import namespace="http://schemas.microsoft.com/office/infopath/2007/PartnerControls"/>
    <xsd:element name="le163f84aeac4c978e8c8f59becf4c6c" ma:index="1" nillable="true" ma:taxonomy="true" ma:internalName="le163f84aeac4c978e8c8f59becf4c6c" ma:taxonomyFieldName="documentLanguages" ma:displayName="Languages" ma:fieldId="{5e163f84-aeac-4c97-8e8c-8f59becf4c6c}" ma:taxonomyMulti="true" ma:sspId="ec101830-7bfe-4cd7-a36a-75e62b3f08e3" ma:termSetId="6885ea15-0cc2-43f4-ac54-976e52fcd41c" ma:anchorId="00000000-0000-0000-0000-000000000000" ma:open="false" ma:isKeyword="false">
      <xsd:complexType>
        <xsd:sequence>
          <xsd:element ref="pc:Terms" minOccurs="0" maxOccurs="1"/>
        </xsd:sequence>
      </xsd:complexType>
    </xsd:element>
    <xsd:element name="TaxCatchAll" ma:index="2" nillable="true" ma:displayName="Taxonomy Catch All Column" ma:description="" ma:hidden="true" ma:list="{2e993545-594d-4e46-b580-99c7d6fb2398}" ma:internalName="TaxCatchAll" ma:showField="CatchAllData" ma:web="104bc713-7594-423e-b1eb-874a2b485756">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description="" ma:hidden="true" ma:list="{2e993545-594d-4e46-b580-99c7d6fb2398}" ma:internalName="TaxCatchAllLabel" ma:readOnly="true" ma:showField="CatchAllDataLabel" ma:web="104bc713-7594-423e-b1eb-874a2b485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bc713-7594-423e-b1eb-874a2b485756"/>
    <le163f84aeac4c978e8c8f59becf4c6c xmlns="104bc713-7594-423e-b1eb-874a2b485756">
      <Terms xmlns="http://schemas.microsoft.com/office/infopath/2007/PartnerControls"/>
    </le163f84aeac4c978e8c8f59becf4c6c>
    <documentTitle xmlns="088202b7-44b3-4308-8cbe-2486e2aff63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0441E-FCEA-4E19-8E5A-1D0ADE852F94}">
  <ds:schemaRefs>
    <ds:schemaRef ds:uri="http://schemas.microsoft.com/office/2006/metadata/longProperties"/>
  </ds:schemaRefs>
</ds:datastoreItem>
</file>

<file path=customXml/itemProps2.xml><?xml version="1.0" encoding="utf-8"?>
<ds:datastoreItem xmlns:ds="http://schemas.openxmlformats.org/officeDocument/2006/customXml" ds:itemID="{97B8A3C1-4D7F-480D-A3BE-19161D7A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202b7-44b3-4308-8cbe-2486e2aff631"/>
    <ds:schemaRef ds:uri="104bc713-7594-423e-b1eb-874a2b485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89F67-FE3F-451A-99B3-7DD904D196AD}">
  <ds:schemaRefs>
    <ds:schemaRef ds:uri="http://www.w3.org/XML/1998/namespace"/>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088202b7-44b3-4308-8cbe-2486e2aff631"/>
    <ds:schemaRef ds:uri="http://schemas.microsoft.com/office/infopath/2007/PartnerControls"/>
    <ds:schemaRef ds:uri="104bc713-7594-423e-b1eb-874a2b485756"/>
    <ds:schemaRef ds:uri="http://schemas.microsoft.com/office/2006/metadata/properties"/>
  </ds:schemaRefs>
</ds:datastoreItem>
</file>

<file path=customXml/itemProps4.xml><?xml version="1.0" encoding="utf-8"?>
<ds:datastoreItem xmlns:ds="http://schemas.openxmlformats.org/officeDocument/2006/customXml" ds:itemID="{7B672751-E6AD-4175-A161-C382A00C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Template>
  <TotalTime>5</TotalTime>
  <Pages>27</Pages>
  <Words>9394</Words>
  <Characters>56116</Characters>
  <Application>Microsoft Office Word</Application>
  <DocSecurity>0</DocSecurity>
  <Lines>467</Lines>
  <Paragraphs>130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65380</CharactersWithSpaces>
  <SharedDoc>false</SharedDoc>
  <HLinks>
    <vt:vector size="18" baseType="variant">
      <vt:variant>
        <vt:i4>3801174</vt:i4>
      </vt:variant>
      <vt:variant>
        <vt:i4>6</vt:i4>
      </vt:variant>
      <vt:variant>
        <vt:i4>0</vt:i4>
      </vt:variant>
      <vt:variant>
        <vt:i4>5</vt:i4>
      </vt:variant>
      <vt:variant>
        <vt:lpwstr>mailto:comp-merger-registry@ec.europa.eu</vt:lpwstr>
      </vt:variant>
      <vt:variant>
        <vt:lpwstr/>
      </vt:variant>
      <vt:variant>
        <vt:i4>3211289</vt:i4>
      </vt:variant>
      <vt:variant>
        <vt:i4>3</vt:i4>
      </vt:variant>
      <vt:variant>
        <vt:i4>0</vt:i4>
      </vt:variant>
      <vt:variant>
        <vt:i4>5</vt:i4>
      </vt:variant>
      <vt:variant>
        <vt:lpwstr>http://ec.europa.eu/competition/index_en.html</vt:lpwstr>
      </vt:variant>
      <vt:variant>
        <vt:lpwstr/>
      </vt:variant>
      <vt:variant>
        <vt:i4>3801174</vt:i4>
      </vt:variant>
      <vt:variant>
        <vt:i4>3</vt:i4>
      </vt:variant>
      <vt:variant>
        <vt:i4>0</vt:i4>
      </vt:variant>
      <vt:variant>
        <vt:i4>5</vt:i4>
      </vt:variant>
      <vt:variant>
        <vt:lpwstr>mailto:COMP-MERGER-REGISTRY@ec.europa.eu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DISKEUVE</dc:creator>
  <cp:keywords>EL3</cp:keywords>
  <cp:lastModifiedBy>BERNARD Christelle (COMP)</cp:lastModifiedBy>
  <cp:revision>3</cp:revision>
  <cp:lastPrinted>2016-11-23T10:04:00Z</cp:lastPrinted>
  <dcterms:created xsi:type="dcterms:W3CDTF">2016-11-28T12:55:00Z</dcterms:created>
  <dcterms:modified xsi:type="dcterms:W3CDTF">2016-11-28T13:00:00Z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34000</vt:lpwstr>
  </property>
  <property fmtid="{D5CDD505-2E9C-101B-9397-08002B2CF9AE}" pid="5" name="Formatting">
    <vt:lpwstr>4.1</vt:lpwstr>
  </property>
  <property fmtid="{D5CDD505-2E9C-101B-9397-08002B2CF9AE}" pid="6" name="_NewReviewCycle">
    <vt:lpwstr/>
  </property>
  <property fmtid="{D5CDD505-2E9C-101B-9397-08002B2CF9AE}" pid="7" name="documentLanguages">
    <vt:lpwstr/>
  </property>
  <property fmtid="{D5CDD505-2E9C-101B-9397-08002B2CF9AE}" pid="8" name="xd_Signature">
    <vt:lpwstr/>
  </property>
  <property fmtid="{D5CDD505-2E9C-101B-9397-08002B2CF9AE}" pid="9" name="display_urn:schemas-microsoft-com:office:office#Editor">
    <vt:lpwstr>BERNARD Christelle (COMP)</vt:lpwstr>
  </property>
  <property fmtid="{D5CDD505-2E9C-101B-9397-08002B2CF9AE}" pid="10" name="documentTemplate">
    <vt:lpwstr/>
  </property>
  <property fmtid="{D5CDD505-2E9C-101B-9397-08002B2CF9AE}" pid="11" name="documentComments">
    <vt:lpwstr/>
  </property>
  <property fmtid="{D5CDD505-2E9C-101B-9397-08002B2CF9AE}" pid="12" name="xd_ProgID">
    <vt:lpwstr/>
  </property>
  <property fmtid="{D5CDD505-2E9C-101B-9397-08002B2CF9AE}" pid="13" name="k07f1fd1eeea4e02b680e7f403dab53b">
    <vt:lpwstr/>
  </property>
  <property fmtid="{D5CDD505-2E9C-101B-9397-08002B2CF9AE}" pid="14" name="display_urn:schemas-microsoft-com:office:office#Author">
    <vt:lpwstr>comp-spinstall</vt:lpwstr>
  </property>
  <property fmtid="{D5CDD505-2E9C-101B-9397-08002B2CF9AE}" pid="15" name="TemplateUrl">
    <vt:lpwstr/>
  </property>
  <property fmtid="{D5CDD505-2E9C-101B-9397-08002B2CF9AE}" pid="16" name="documentSummary">
    <vt:lpwstr/>
  </property>
  <property fmtid="{D5CDD505-2E9C-101B-9397-08002B2CF9AE}" pid="17" name="documentFollowUp">
    <vt:lpwstr/>
  </property>
  <property fmtid="{D5CDD505-2E9C-101B-9397-08002B2CF9AE}" pid="18" name="documentDeploy">
    <vt:lpwstr/>
  </property>
  <property fmtid="{D5CDD505-2E9C-101B-9397-08002B2CF9AE}" pid="19" name="caseInstrument">
    <vt:lpwstr/>
  </property>
  <property fmtid="{D5CDD505-2E9C-101B-9397-08002B2CF9AE}" pid="20" name="ContentTypeId">
    <vt:lpwstr>0x01010400988603A364794F7AA753E65AAE732805009574A7D1F119294DA4A5C7BC5C635C7D</vt:lpwstr>
  </property>
  <property fmtid="{D5CDD505-2E9C-101B-9397-08002B2CF9AE}" pid="21" name="_dlc_DocId">
    <vt:lpwstr>CT3PHXEYNCYM-1011972819-55</vt:lpwstr>
  </property>
  <property fmtid="{D5CDD505-2E9C-101B-9397-08002B2CF9AE}" pid="22" name="_dlc_DocIdUrl">
    <vt:lpwstr>http://workspace/cases/M.8183/_layouts/15/DocIdRedir.aspx?ID=CT3PHXEYNCYM-1011972819-55, CT3PHXEYNCYM-1011972819-55</vt:lpwstr>
  </property>
  <property fmtid="{D5CDD505-2E9C-101B-9397-08002B2CF9AE}" pid="23" name="_dlc_DocIdItemGuid">
    <vt:lpwstr>f121f73a-d148-4a53-9cca-7df076397e43</vt:lpwstr>
  </property>
</Properties>
</file>