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2E07" w:rsidR="00646AC2" w:rsidP="00E13DCD" w:rsidRDefault="0010261F" w14:paraId="786BB877" w14:textId="7604D908">
      <w:pPr>
        <w:jc w:val="center"/>
      </w:pPr>
      <w:bookmarkStart w:name="_GoBack" w:id="0"/>
      <w:bookmarkEnd w:id="0"/>
      <w:r>
        <w:rPr>
          <w:noProof/>
          <w:lang w:val="en-US"/>
        </w:rPr>
        <w:drawing>
          <wp:inline distT="0" distB="0" distL="0" distR="0" wp14:anchorId="6878B96D" wp14:editId="5DBC641D">
            <wp:extent cx="1792605" cy="1241425"/>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12307A">
        <w:rPr>
          <w:noProof/>
          <w:sz w:val="20"/>
          <w:lang w:val="en-US"/>
        </w:rPr>
        <mc:AlternateContent>
          <mc:Choice Requires="wps">
            <w:drawing>
              <wp:anchor distT="0" distB="0" distL="114300" distR="114300" simplePos="0" relativeHeight="251659264" behindDoc="1" locked="0" layoutInCell="0" allowOverlap="1" wp14:editId="3306F899" wp14:anchorId="025A251F">
                <wp:simplePos x="0" y="0"/>
                <wp:positionH relativeFrom="page">
                  <wp:posOffset>6769100</wp:posOffset>
                </wp:positionH>
                <wp:positionV relativeFrom="page">
                  <wp:posOffset>10081260</wp:posOffset>
                </wp:positionV>
                <wp:extent cx="647700" cy="396240"/>
                <wp:effectExtent l="0" t="3810" r="3175"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32B59" w:rsidRDefault="00D32B59" w14:paraId="4F8759E8" w14:textId="77777777">
                            <w:pPr>
                              <w:jc w:val="center"/>
                              <w:rPr>
                                <w:rFonts w:ascii="Arial" w:hAnsi="Arial" w:cs="Arial"/>
                                <w:b/>
                                <w:bCs/>
                                <w:sz w:val="48"/>
                              </w:rPr>
                            </w:pPr>
                            <w:r>
                              <w:rPr>
                                <w:rFonts w:ascii="Arial" w:hAnsi="Arial"/>
                                <w:b/>
                                <w:bCs/>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5A251F">
                <v:stroke joinstyle="miter"/>
                <v:path gradientshapeok="t" o:connecttype="rect"/>
              </v:shapetype>
              <v:shape id="Text Box 14"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DlfsMC3AgAA&#10;ugUAAA4AAAAAAAAAAAAAAAAALgIAAGRycy9lMm9Eb2MueG1sUEsBAi0AFAAGAAgAAAAhAOtUMVre&#10;AAAADwEAAA8AAAAAAAAAAAAAAAAAEQUAAGRycy9kb3ducmV2LnhtbFBLBQYAAAAABAAEAPMAAAAc&#10;BgAAAAA=&#10;">
                <v:textbox>
                  <w:txbxContent>
                    <w:p w:rsidRPr="00260E65" w:rsidR="00D32B59" w:rsidRDefault="00D32B59" w14:paraId="4F8759E8" w14:textId="77777777">
                      <w:pPr>
                        <w:jc w:val="center"/>
                        <w:rPr>
                          <w:rFonts w:ascii="Arial" w:hAnsi="Arial" w:cs="Arial"/>
                          <w:b/>
                          <w:bCs/>
                          <w:sz w:val="48"/>
                        </w:rPr>
                      </w:pPr>
                      <w:r>
                        <w:rPr>
                          <w:rFonts w:ascii="Arial" w:hAnsi="Arial"/>
                          <w:b/>
                          <w:bCs/>
                          <w:sz w:val="48"/>
                        </w:rPr>
                        <w:t>EL</w:t>
                      </w:r>
                    </w:p>
                  </w:txbxContent>
                </v:textbox>
                <w10:wrap anchorx="page" anchory="page"/>
              </v:shape>
            </w:pict>
          </mc:Fallback>
        </mc:AlternateContent>
      </w:r>
    </w:p>
    <w:p w:rsidRPr="00752E07" w:rsidR="00D32B59" w:rsidP="00E13DCD" w:rsidRDefault="00D32B59" w14:paraId="5790B36D" w14:textId="77777777"/>
    <w:p w:rsidRPr="00D56B46" w:rsidR="00646AC2" w:rsidP="00E13DCD" w:rsidRDefault="00D341EA" w14:paraId="654042B9" w14:textId="77777777">
      <w:pPr>
        <w:jc w:val="right"/>
      </w:pPr>
      <w:r>
        <w:rPr>
          <w:b/>
        </w:rPr>
        <w:t>INT/952</w:t>
      </w:r>
    </w:p>
    <w:p w:rsidRPr="00D56B46" w:rsidR="00563C84" w:rsidP="00E13DCD" w:rsidRDefault="00D341EA" w14:paraId="6D4CA326" w14:textId="77777777">
      <w:pPr>
        <w:jc w:val="right"/>
      </w:pPr>
      <w:r>
        <w:rPr>
          <w:b/>
        </w:rPr>
        <w:t>Μηχανήματα</w:t>
      </w:r>
    </w:p>
    <w:p w:rsidR="009B30AA" w:rsidP="00E13DCD" w:rsidRDefault="009B30AA" w14:paraId="301BD0E2" w14:textId="77777777"/>
    <w:p w:rsidRPr="00D56B46" w:rsidR="008E0956" w:rsidP="00E13DCD" w:rsidRDefault="008E0956" w14:paraId="36292D1E" w14:textId="77777777"/>
    <w:p w:rsidRPr="00D56B46" w:rsidR="00646AC2" w:rsidP="00E13DCD" w:rsidRDefault="008A33FD" w14:paraId="64B4A885" w14:textId="2A11C60D">
      <w:pPr>
        <w:jc w:val="center"/>
      </w:pPr>
      <w:r>
        <w:rPr>
          <w:b/>
          <w:sz w:val="28"/>
        </w:rPr>
        <w:t>ΓΝΩΜΟΔΟΤΗΣΗ</w:t>
      </w:r>
      <w:r>
        <w:rPr>
          <w:sz w:val="28"/>
        </w:rPr>
        <w:br/>
      </w:r>
      <w:r>
        <w:rPr>
          <w:sz w:val="28"/>
        </w:rPr>
        <w:br/>
      </w:r>
      <w:r>
        <w:t>Τμήμα «Ενιαία αγορά, παραγωγή και κατανάλωση»</w:t>
      </w:r>
      <w:r>
        <w:br/>
      </w:r>
      <w:r>
        <w:br/>
      </w:r>
      <w:r>
        <w:rPr>
          <w:b/>
        </w:rPr>
        <w:t>Πρόταση κανονισμού του Ευρωπαϊκού Κοινοβουλίου και του Συμβουλίου σχετικά με τα μηχανολογικά προϊόντα</w:t>
      </w:r>
      <w:r>
        <w:br/>
        <w:t xml:space="preserve">[COM(2021) 202 </w:t>
      </w:r>
      <w:proofErr w:type="spellStart"/>
      <w:r>
        <w:t>final</w:t>
      </w:r>
      <w:proofErr w:type="spellEnd"/>
      <w:r>
        <w:t xml:space="preserve"> – 2021/0105 (COD)]</w:t>
      </w:r>
    </w:p>
    <w:p w:rsidRPr="00D56B46" w:rsidR="009B30AA" w:rsidP="00E13DCD" w:rsidRDefault="009B30AA" w14:paraId="01B1E13E" w14:textId="77777777">
      <w:pPr>
        <w:jc w:val="center"/>
      </w:pPr>
    </w:p>
    <w:tbl>
      <w:tblPr>
        <w:tblpPr w:leftFromText="181" w:rightFromText="181" w:tblpYSpec="bottom"/>
        <w:tblOverlap w:val="never"/>
        <w:tblW w:w="0" w:type="auto"/>
        <w:tblLayout w:type="fixed"/>
        <w:tblLook w:val="04A0" w:firstRow="1" w:lastRow="0" w:firstColumn="1" w:lastColumn="0" w:noHBand="0" w:noVBand="1"/>
      </w:tblPr>
      <w:tblGrid>
        <w:gridCol w:w="3652"/>
        <w:gridCol w:w="5637"/>
      </w:tblGrid>
      <w:tr w:rsidRPr="00752E07" w:rsidR="00FF3759" w:rsidTr="00A35C06" w14:paraId="746F4808" w14:textId="77777777">
        <w:tc>
          <w:tcPr>
            <w:tcW w:w="3652" w:type="dxa"/>
          </w:tcPr>
          <w:p w:rsidRPr="00752E07" w:rsidR="00FF3759" w:rsidP="00E13DCD" w:rsidRDefault="00FF3759" w14:paraId="41C753C3" w14:textId="77777777">
            <w:pPr>
              <w:jc w:val="left"/>
            </w:pPr>
            <w:r>
              <w:t>Επικοινωνία</w:t>
            </w:r>
          </w:p>
        </w:tc>
        <w:tc>
          <w:tcPr>
            <w:tcW w:w="5637" w:type="dxa"/>
          </w:tcPr>
          <w:p w:rsidRPr="00752E07" w:rsidR="00FF3759" w:rsidP="00E13DCD" w:rsidRDefault="003E64A9" w14:paraId="16E54406" w14:textId="77777777">
            <w:pPr>
              <w:jc w:val="left"/>
            </w:pPr>
            <w:hyperlink w:history="1" r:id="rId12">
              <w:r w:rsidR="0010261F">
                <w:rPr>
                  <w:rStyle w:val="Hyperlink"/>
                </w:rPr>
                <w:t>int@eesc.europa.eu</w:t>
              </w:r>
            </w:hyperlink>
          </w:p>
        </w:tc>
      </w:tr>
      <w:tr w:rsidRPr="00752E07" w:rsidR="00FF3759" w:rsidTr="00A35C06" w14:paraId="7B24609E" w14:textId="77777777">
        <w:tc>
          <w:tcPr>
            <w:tcW w:w="3652" w:type="dxa"/>
          </w:tcPr>
          <w:p w:rsidRPr="00752E07" w:rsidR="00FF3759" w:rsidP="00E13DCD" w:rsidRDefault="00CE385B" w14:paraId="6C2B6166" w14:textId="77777777">
            <w:pPr>
              <w:jc w:val="left"/>
            </w:pPr>
            <w:r>
              <w:t>Υπάλληλος διοίκησης</w:t>
            </w:r>
          </w:p>
        </w:tc>
        <w:tc>
          <w:tcPr>
            <w:tcW w:w="5637" w:type="dxa"/>
          </w:tcPr>
          <w:p w:rsidRPr="00752E07" w:rsidR="00FF3759" w:rsidP="00E13DCD" w:rsidRDefault="00CE385B" w14:paraId="5744880E" w14:textId="77777777">
            <w:pPr>
              <w:jc w:val="left"/>
            </w:pPr>
            <w:proofErr w:type="spellStart"/>
            <w:r>
              <w:t>Silvia</w:t>
            </w:r>
            <w:proofErr w:type="spellEnd"/>
            <w:r>
              <w:t xml:space="preserve"> STAFFA</w:t>
            </w:r>
          </w:p>
        </w:tc>
      </w:tr>
      <w:tr w:rsidRPr="00752E07" w:rsidR="00FF3759" w:rsidTr="00A35C06" w14:paraId="2CF0B962" w14:textId="77777777">
        <w:tc>
          <w:tcPr>
            <w:tcW w:w="3652" w:type="dxa"/>
          </w:tcPr>
          <w:p w:rsidRPr="00752E07" w:rsidR="00FF3759" w:rsidP="00E13DCD" w:rsidRDefault="00FF3759" w14:paraId="3D9B7DF1" w14:textId="77777777">
            <w:pPr>
              <w:jc w:val="left"/>
            </w:pPr>
            <w:r>
              <w:t>Ημερομηνία του εγγράφου</w:t>
            </w:r>
          </w:p>
        </w:tc>
        <w:tc>
          <w:tcPr>
            <w:tcW w:w="5637" w:type="dxa"/>
          </w:tcPr>
          <w:p w:rsidRPr="00752E07" w:rsidR="00FF3759" w:rsidP="00D05EBB" w:rsidRDefault="00E95743" w14:paraId="113B59CD" w14:textId="0F44388C">
            <w:pPr>
              <w:jc w:val="left"/>
            </w:pPr>
            <w:r>
              <w:t>08/09/2021</w:t>
            </w:r>
          </w:p>
        </w:tc>
      </w:tr>
    </w:tbl>
    <w:p w:rsidRPr="00752E07" w:rsidR="00704FBB" w:rsidP="00E13DCD" w:rsidRDefault="007F5E0D" w14:paraId="2A04A903" w14:textId="77777777">
      <w:pPr>
        <w:jc w:val="center"/>
        <w:rPr>
          <w:b/>
        </w:rPr>
      </w:pPr>
      <w:r>
        <w:t xml:space="preserve">Εισηγητής: </w:t>
      </w:r>
      <w:r>
        <w:rPr>
          <w:b/>
        </w:rPr>
        <w:t>Martin BÖHME</w:t>
      </w:r>
    </w:p>
    <w:p w:rsidRPr="00752E07" w:rsidR="00E32DC6" w:rsidP="00E13DCD" w:rsidRDefault="00E32DC6" w14:paraId="0FD4ABB7" w14:textId="77777777"/>
    <w:p w:rsidRPr="00752E07" w:rsidR="00E32DC6" w:rsidP="00E13DCD" w:rsidRDefault="00E32DC6" w14:paraId="6CCC33DD" w14:textId="77777777"/>
    <w:p w:rsidRPr="00752E07" w:rsidR="00E32DC6" w:rsidP="00E13DCD" w:rsidRDefault="00E32DC6" w14:paraId="70EEA1D0" w14:textId="77777777">
      <w:pPr>
        <w:sectPr w:rsidRPr="00752E07" w:rsidR="00E32DC6" w:rsidSect="003E64A9">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4006"/>
        <w:gridCol w:w="5067"/>
      </w:tblGrid>
      <w:tr w:rsidRPr="00752E07" w:rsidR="0011656A" w:rsidTr="00D56B46" w14:paraId="36AF5749" w14:textId="77777777">
        <w:tc>
          <w:tcPr>
            <w:tcW w:w="4006" w:type="dxa"/>
          </w:tcPr>
          <w:p w:rsidRPr="00752E07" w:rsidR="0011656A" w:rsidP="00E13DCD" w:rsidRDefault="0090053A" w14:paraId="66D75F6A" w14:textId="77777777">
            <w:pPr>
              <w:jc w:val="left"/>
            </w:pPr>
            <w:r>
              <w:lastRenderedPageBreak/>
              <w:t xml:space="preserve">Αίτηση γνωμοδότησης </w:t>
            </w:r>
          </w:p>
        </w:tc>
        <w:tc>
          <w:tcPr>
            <w:tcW w:w="5067" w:type="dxa"/>
          </w:tcPr>
          <w:p w:rsidRPr="00737B27" w:rsidR="0034054C" w:rsidP="00E13DCD" w:rsidRDefault="0034054C" w14:paraId="6F744F87" w14:textId="77777777">
            <w:pPr>
              <w:jc w:val="left"/>
            </w:pPr>
            <w:r>
              <w:t>Συμβούλιο της Ευρωπαϊκής Ένωσης, 09/06/2021</w:t>
            </w:r>
          </w:p>
          <w:p w:rsidRPr="00752E07" w:rsidR="0011656A" w:rsidP="00E13DCD" w:rsidRDefault="0034054C" w14:paraId="5C1BEF11" w14:textId="77777777">
            <w:pPr>
              <w:jc w:val="left"/>
            </w:pPr>
            <w:r>
              <w:t>Ευρωπαϊκό Κοινοβούλιο, 07/06/2021</w:t>
            </w:r>
          </w:p>
        </w:tc>
      </w:tr>
      <w:tr w:rsidRPr="00752E07" w:rsidR="0016503F" w:rsidTr="00D56B46" w14:paraId="2EDF0AAC" w14:textId="77777777">
        <w:trPr>
          <w:trHeight w:val="251"/>
        </w:trPr>
        <w:tc>
          <w:tcPr>
            <w:tcW w:w="4006" w:type="dxa"/>
          </w:tcPr>
          <w:p w:rsidRPr="00752E07" w:rsidR="0016503F" w:rsidP="00E13DCD" w:rsidRDefault="0016503F" w14:paraId="7FB46BE0" w14:textId="77777777">
            <w:pPr>
              <w:jc w:val="left"/>
            </w:pPr>
            <w:r>
              <w:t>Νομική βάση</w:t>
            </w:r>
          </w:p>
        </w:tc>
        <w:tc>
          <w:tcPr>
            <w:tcW w:w="5067" w:type="dxa"/>
          </w:tcPr>
          <w:p w:rsidRPr="00CA1164" w:rsidR="0016503F" w:rsidP="00E13DCD" w:rsidRDefault="0016503F" w14:paraId="479B60D8" w14:textId="77777777">
            <w:pPr>
              <w:jc w:val="left"/>
            </w:pPr>
            <w:r>
              <w:t>Άρθρα 114 και 304 της Συνθήκης για τη λειτουργία της Ευρωπαϊκής Ένωσης</w:t>
            </w:r>
          </w:p>
        </w:tc>
      </w:tr>
      <w:tr w:rsidRPr="00752E07" w:rsidR="00DF5B64" w:rsidTr="00D56B46" w14:paraId="7062683D" w14:textId="77777777">
        <w:tc>
          <w:tcPr>
            <w:tcW w:w="4006" w:type="dxa"/>
          </w:tcPr>
          <w:p w:rsidRPr="00752E07" w:rsidR="00DF5B64" w:rsidP="00E13DCD" w:rsidRDefault="00AD4B4F" w14:paraId="3DA937E9" w14:textId="77777777">
            <w:pPr>
              <w:jc w:val="left"/>
            </w:pPr>
            <w:r>
              <w:t>Αρμόδιο όργανο</w:t>
            </w:r>
          </w:p>
        </w:tc>
        <w:tc>
          <w:tcPr>
            <w:tcW w:w="5067" w:type="dxa"/>
          </w:tcPr>
          <w:p w:rsidRPr="00752E07" w:rsidR="00DF5B64" w:rsidP="00E13DCD" w:rsidRDefault="004B717F" w14:paraId="1FD2ADCE" w14:textId="77777777">
            <w:pPr>
              <w:jc w:val="left"/>
            </w:pPr>
            <w:r>
              <w:t>Τμήμα «Ενιαία αγορά, παραγωγή και κατανάλωση»</w:t>
            </w:r>
          </w:p>
        </w:tc>
      </w:tr>
      <w:tr w:rsidRPr="00752E07" w:rsidR="00A156E6" w:rsidTr="00D56B46" w14:paraId="17A9DBB9" w14:textId="77777777">
        <w:tc>
          <w:tcPr>
            <w:tcW w:w="4006" w:type="dxa"/>
          </w:tcPr>
          <w:p w:rsidRPr="00752E07" w:rsidR="00A156E6" w:rsidP="00E13DCD" w:rsidRDefault="00A156E6" w14:paraId="0A45D30A" w14:textId="77777777">
            <w:pPr>
              <w:jc w:val="left"/>
            </w:pPr>
            <w:r>
              <w:t>Έγκριση από το τμήμα</w:t>
            </w:r>
          </w:p>
        </w:tc>
        <w:tc>
          <w:tcPr>
            <w:tcW w:w="5067" w:type="dxa"/>
          </w:tcPr>
          <w:p w:rsidRPr="00752E07" w:rsidR="00A156E6" w:rsidRDefault="0097117E" w14:paraId="33BDE93F" w14:textId="16A20A79">
            <w:pPr>
              <w:jc w:val="left"/>
            </w:pPr>
            <w:r>
              <w:t>02/09/2021</w:t>
            </w:r>
          </w:p>
        </w:tc>
      </w:tr>
      <w:tr w:rsidRPr="00752E07" w:rsidR="00A156E6" w:rsidTr="00D56B46" w14:paraId="6D7E9418" w14:textId="77777777">
        <w:tc>
          <w:tcPr>
            <w:tcW w:w="4006" w:type="dxa"/>
          </w:tcPr>
          <w:p w:rsidRPr="00752E07" w:rsidR="00A156E6" w:rsidP="00E13DCD" w:rsidRDefault="00A156E6" w14:paraId="6A5F06C5" w14:textId="77777777">
            <w:pPr>
              <w:jc w:val="left"/>
            </w:pPr>
            <w:r>
              <w:t>Έγκριση από την ολομέλεια</w:t>
            </w:r>
          </w:p>
        </w:tc>
        <w:tc>
          <w:tcPr>
            <w:tcW w:w="5067" w:type="dxa"/>
          </w:tcPr>
          <w:p w:rsidRPr="00752E07" w:rsidR="00A156E6" w:rsidP="00E13DCD" w:rsidRDefault="003439AB" w14:paraId="5A93A71B" w14:textId="77777777">
            <w:pPr>
              <w:jc w:val="left"/>
            </w:pPr>
            <w:r>
              <w:t>ΗΗ/ΜΜ/ΕΕΕΕ</w:t>
            </w:r>
          </w:p>
        </w:tc>
      </w:tr>
      <w:tr w:rsidRPr="00752E07" w:rsidR="00BA1290" w:rsidTr="00D56B46" w14:paraId="7330282B" w14:textId="77777777">
        <w:tc>
          <w:tcPr>
            <w:tcW w:w="4006" w:type="dxa"/>
          </w:tcPr>
          <w:p w:rsidRPr="00752E07" w:rsidR="00BA1290" w:rsidP="00E13DCD" w:rsidRDefault="00BA1290" w14:paraId="2C043C07" w14:textId="77777777">
            <w:pPr>
              <w:jc w:val="left"/>
            </w:pPr>
            <w:r>
              <w:t>Σύνοδος ολομέλειας αριθ.</w:t>
            </w:r>
          </w:p>
        </w:tc>
        <w:tc>
          <w:tcPr>
            <w:tcW w:w="5067" w:type="dxa"/>
          </w:tcPr>
          <w:p w:rsidRPr="00752E07" w:rsidR="00BA1290" w:rsidP="00E13DCD" w:rsidRDefault="00BA1290" w14:paraId="397FB42E" w14:textId="77777777">
            <w:pPr>
              <w:jc w:val="left"/>
            </w:pPr>
            <w:r>
              <w:t>…</w:t>
            </w:r>
          </w:p>
        </w:tc>
      </w:tr>
      <w:tr w:rsidRPr="00752E07" w:rsidR="00A156E6" w:rsidTr="00D56B46" w14:paraId="3EB16F6F" w14:textId="77777777">
        <w:tc>
          <w:tcPr>
            <w:tcW w:w="4006" w:type="dxa"/>
          </w:tcPr>
          <w:p w:rsidRPr="00752E07" w:rsidR="00D423D4" w:rsidP="00E13DCD" w:rsidRDefault="0043024C" w14:paraId="1981E333" w14:textId="77777777">
            <w:pPr>
              <w:jc w:val="left"/>
            </w:pPr>
            <w:r>
              <w:t>Αποτέλεσμα της ψηφοφορίας</w:t>
            </w:r>
            <w:r>
              <w:br/>
              <w:t>(υπέρ/κατά/αποχές)</w:t>
            </w:r>
          </w:p>
        </w:tc>
        <w:tc>
          <w:tcPr>
            <w:tcW w:w="5067" w:type="dxa"/>
            <w:vAlign w:val="bottom"/>
          </w:tcPr>
          <w:p w:rsidRPr="00752E07" w:rsidR="00A156E6" w:rsidP="00E13DCD" w:rsidRDefault="00A156E6" w14:paraId="26F5CC75" w14:textId="77777777">
            <w:pPr>
              <w:jc w:val="left"/>
            </w:pPr>
            <w:r>
              <w:t>…/…/…</w:t>
            </w:r>
          </w:p>
        </w:tc>
      </w:tr>
    </w:tbl>
    <w:p w:rsidRPr="00752E07" w:rsidR="0090053A" w:rsidP="00E13DCD" w:rsidRDefault="0090053A" w14:paraId="380CC161" w14:textId="77777777"/>
    <w:p w:rsidRPr="00752E07" w:rsidR="00646AC2" w:rsidP="00E13DCD" w:rsidRDefault="00646AC2" w14:paraId="5C6367B9" w14:textId="77777777">
      <w:r>
        <w:br w:type="page"/>
      </w:r>
    </w:p>
    <w:p w:rsidRPr="00752E07" w:rsidR="00011D33" w:rsidP="00E13DCD" w:rsidRDefault="00011D33" w14:paraId="6C8F1AF7" w14:textId="77777777">
      <w:pPr>
        <w:pStyle w:val="Heading1"/>
        <w:keepNext/>
        <w:rPr>
          <w:b/>
        </w:rPr>
      </w:pPr>
      <w:bookmarkStart w:name="_Hlk78290397" w:id="1"/>
      <w:r>
        <w:rPr>
          <w:b/>
        </w:rPr>
        <w:lastRenderedPageBreak/>
        <w:t>Συμπεράσματα και συστάσεις</w:t>
      </w:r>
    </w:p>
    <w:p w:rsidRPr="00752E07" w:rsidR="00011D33" w:rsidP="00E13DCD" w:rsidRDefault="00011D33" w14:paraId="490A721C" w14:textId="77777777">
      <w:pPr>
        <w:keepNext/>
      </w:pPr>
    </w:p>
    <w:p w:rsidRPr="00752E07" w:rsidR="00011D33" w:rsidP="00E13DCD" w:rsidRDefault="009844F3" w14:paraId="30C88A18" w14:textId="545ECF66">
      <w:pPr>
        <w:pStyle w:val="Heading2"/>
      </w:pPr>
      <w:r>
        <w:t>Ο κλάδος των μηχανολογικών προϊόντων είναι ένας από τους κεντρικούς τομείς της οικονομίας της Ευρωπαϊκής Ένωσης. Οι δυνατότητες και τα πεδία εφαρμογής των μηχανημάτων αναπτύσσονται ραγδαία χάρη σε νέες τεχνικές και μηχανολογικές ευκαιρίες. Έστω και αν έχουμε αργήσει, πρέπει να εφαρμοστούν εκτενέστερα ψηφιακές τεχνολογίες, όπως είναι η τεχνητή νοημοσύνη, το διαδίκτυο των πραγμάτων και η ρομποτική. Κατά συνέπεια, το κανονιστικό πλαίσιο πρέπει επίσης να προσαρμοστεί όσον αφορά την ασφάλεια και την προστασία της υγείας κατά τη χρήση μηχανημάτων. Στο πλαίσιο αυτό, η πρόταση κανονισμού έχει επίσης μεγάλη βαρύτητα για την εσωτερική αγορά. Η ΕΟΚΕ ασχολήθηκε ήδη το 2020 εκτενώς με τη θεματική της οδηγίας περί μηχανημάτων στην ενημερωτική της έκθεση με θέμα «Αναθεώρηση της οδηγίας σχετικά με τα μηχανήματα»</w:t>
      </w:r>
      <w:r w:rsidR="00C11D72">
        <w:rPr>
          <w:rStyle w:val="FootnoteReference"/>
        </w:rPr>
        <w:footnoteReference w:id="1"/>
      </w:r>
      <w:r>
        <w:t>.</w:t>
      </w:r>
    </w:p>
    <w:p w:rsidRPr="00752E07" w:rsidR="000D1F9F" w:rsidP="00E13DCD" w:rsidRDefault="000D1F9F" w14:paraId="1866801B" w14:textId="77777777"/>
    <w:p w:rsidRPr="00752E07" w:rsidR="000D1F9F" w:rsidP="00E13DCD" w:rsidRDefault="009C5129" w14:paraId="2F4D46EE" w14:textId="0F3A4265">
      <w:pPr>
        <w:pStyle w:val="Heading2"/>
      </w:pPr>
      <w:r>
        <w:t>Η ΕΟΚΕ υπογραμμίζει ότι οι εταιρείες στην ΕΕ, οι κατασκευαστές και οι χειριστές μηχανημάτων δεν θα πρέπει να παραβλέπουν την ανάγκη ρύθμισης των προτύπων σε πανευρωπαϊκό επίπεδο όσον αφορά τα μηχανήματα, τη θέσπιση νομικά δεσμευτικών απαιτήσεων και τη διασφάλιση συνεκτικής εφαρμογής. Αυτό ισχύει τόσο για τις μεγάλες εταιρείες όσο και για τις μικρές και μεσαίες επιχειρήσεις. Η κατασκευή μηχανημάτων αποτελεί διεθνή επιχειρηματικό κλάδο και η νομοθεσία της ΕΕ όσον αφορά τα προϊόντα πρέπει να δίνει τη δυνατότητα να προάγονται η ποιότητα, η ασφάλεια και η ανταγωνιστικότητα, καθώς επίσης να λαμβάνουν στήριξη οι εταιρείες για την ανάπτυξη καινοτόμων προσεγγίσεων και όχι να δημιουργούνται κανονιστικά εμπόδια.</w:t>
      </w:r>
    </w:p>
    <w:p w:rsidRPr="00752E07" w:rsidR="009C5129" w:rsidP="00E13DCD" w:rsidRDefault="009C5129" w14:paraId="42A6D800" w14:textId="77777777"/>
    <w:p w:rsidRPr="00752E07" w:rsidR="009C5129" w:rsidP="00E13DCD" w:rsidRDefault="009C5129" w14:paraId="15B9530A" w14:textId="5268E4D3">
      <w:pPr>
        <w:pStyle w:val="Heading2"/>
      </w:pPr>
      <w:r>
        <w:t>Η ΕΟΚΕ επικροτεί το γεγονός ότι οι χειριστές μηχανολογικών προϊόντων, οι εργαζόμενοι, παραμένουν στο επίκεντρο της πρότασης κανονισμού, καθώς η ασφάλεια και η προστασία της υγείας τους παραμένει βασικό μέλημα. Επιπλέον, η κανονιστική μετατροπή της οδηγίας για τα μηχανήματα σε κανονισμό θεωρείται ως πλεονέκτημα για τη συνεπέστερη ερμηνεία στα κράτη μέλη. Αυτό θα διευκολύνει μελλοντικά ακόμη περισσότερο τον εντοπισμό και την αποκατάσταση ελλείψεων στην ασφάλεια, κάτι που θα είναι ιδιαίτερα επωφελές για τα άτομα που χειρίζονται τα μηχανήματα.</w:t>
      </w:r>
    </w:p>
    <w:p w:rsidRPr="00752E07" w:rsidR="00E16BF4" w:rsidP="00E13DCD" w:rsidRDefault="00E16BF4" w14:paraId="01B374B6" w14:textId="77777777"/>
    <w:p w:rsidR="00E16BF4" w:rsidP="00E13DCD" w:rsidRDefault="00E16BF4" w14:paraId="5C9127EE" w14:textId="77777777">
      <w:pPr>
        <w:pStyle w:val="Heading2"/>
        <w:keepNext/>
        <w:keepLines/>
      </w:pPr>
      <w:r>
        <w:t>Η ΕΟΚΕ διατυπώνει τις ακόλουθες συστάσεις προς την Επιτροπή:</w:t>
      </w:r>
    </w:p>
    <w:p w:rsidR="00557710" w:rsidP="00E13DCD" w:rsidRDefault="00557710" w14:paraId="47B5D00C" w14:textId="77777777">
      <w:pPr>
        <w:keepNext/>
        <w:keepLines/>
      </w:pPr>
    </w:p>
    <w:p w:rsidR="00557710" w:rsidP="00E13DCD" w:rsidRDefault="00B41EE2" w14:paraId="24FB2D22" w14:textId="77777777">
      <w:pPr>
        <w:pStyle w:val="Heading3"/>
      </w:pPr>
      <w:r>
        <w:t>Οι μεταβατικές διατάξεις που οδηγούν στον νέο κανονισμό για τα μηχανήματα πρέπει να οριστικοποιηθούν προκειμένου να δημιουργηθεί ασφάλεια δικαίου για όλα τα ενδιαφερόμενα μέρη.</w:t>
      </w:r>
    </w:p>
    <w:p w:rsidR="00B41EE2" w:rsidP="00E13DCD" w:rsidRDefault="00B41EE2" w14:paraId="52FF43D9" w14:textId="77777777"/>
    <w:p w:rsidR="00B41EE2" w:rsidP="00E13DCD" w:rsidRDefault="00B41EE2" w14:paraId="25DAB526" w14:textId="77777777">
      <w:pPr>
        <w:pStyle w:val="Heading3"/>
      </w:pPr>
      <w:r>
        <w:t>Η ΕΟΚΕ θεωρεί αναγκαία την προσαρμογή της δομής και του περιεχομένου των παραρτημάτων που αποτελούν μέρος της πρότασης κανονισμού. Ο σχεδιασμός της αρίθμησης, η αντιστοίχιση των τύπων των μηχανημάτων και οι αλληλοεπικαλύψεις με συναφείς κανονισμούς της ΕΕ εξακολουθούν να αποτελούν πεδία προβληματισμού.</w:t>
      </w:r>
    </w:p>
    <w:p w:rsidR="00B41EE2" w:rsidP="00E13DCD" w:rsidRDefault="00B41EE2" w14:paraId="52643A10" w14:textId="77777777"/>
    <w:p w:rsidR="00B41EE2" w:rsidP="00E13DCD" w:rsidRDefault="00B41EE2" w14:paraId="6A1447AF" w14:textId="77777777">
      <w:pPr>
        <w:pStyle w:val="Heading3"/>
      </w:pPr>
      <w:r>
        <w:t>Σύμφωνα με την ΕΟΚΕ, πρέπει να γίνει σαφές ότι τα μηχανήματα απαιτείται να είναι ασφαλή όταν διατίθενται στην αγορά, αλλά και καθ’ όλη τη διάρκεια του κύκλου ζωής τους.</w:t>
      </w:r>
    </w:p>
    <w:p w:rsidR="00B41EE2" w:rsidP="00E13DCD" w:rsidRDefault="00B41EE2" w14:paraId="270EF68B" w14:textId="77777777"/>
    <w:p w:rsidR="00B41EE2" w:rsidP="00E13DCD" w:rsidRDefault="00B41EE2" w14:paraId="0414F08A" w14:textId="55F701BC">
      <w:pPr>
        <w:pStyle w:val="Heading3"/>
      </w:pPr>
      <w:r>
        <w:t>Καθώς τα μηχανήματα γίνονται όλο και πιο σύνθετα, απαιτείται ειδική εκπαίδευση των χρηστών, έτσι ώστε οι εργαζόμενοι να μην εκτίθενται σε περιττούς κινδύνους</w:t>
      </w:r>
      <w:r w:rsidR="00243CA1">
        <w:rPr>
          <w:rStyle w:val="FootnoteReference"/>
        </w:rPr>
        <w:footnoteReference w:id="2"/>
      </w:r>
      <w:r>
        <w:t>. Παραλλήλως, απαιτούνται δομές που θα δίνουν τη δυνατότητα απόδοσης καταφανών ευθυνών σε περίπτωση ατυχήματος. Οι εκπρόσωποι των εργαζομένων πρέπει να συμμετέχουν στις διαδικασίες αγοράς και εγκατάστασης νέων μηχανημάτων.</w:t>
      </w:r>
    </w:p>
    <w:p w:rsidR="00B41EE2" w:rsidP="00E13DCD" w:rsidRDefault="00B41EE2" w14:paraId="325CA0E5" w14:textId="77777777"/>
    <w:p w:rsidR="00B41EE2" w:rsidP="00E13DCD" w:rsidRDefault="000C01FC" w14:paraId="269544F7" w14:textId="5C01A0AE">
      <w:pPr>
        <w:pStyle w:val="Heading3"/>
      </w:pPr>
      <w:r>
        <w:t xml:space="preserve">Η χρήση της τεχνητής νοημοσύνης απαιτεί ένα ξεχωριστά καθορισμένο πλαίσιο ασφαλείας στο οποίο να μπορεί να πραγματοποιηθεί η λειτουργία τέτοιων συστημάτων. </w:t>
      </w:r>
    </w:p>
    <w:p w:rsidR="000C01FC" w:rsidP="00E13DCD" w:rsidRDefault="000C01FC" w14:paraId="47836E0E" w14:textId="77777777"/>
    <w:p w:rsidR="000C01FC" w:rsidP="00E13DCD" w:rsidRDefault="000C01FC" w14:paraId="1821DD04" w14:textId="4DA937B1">
      <w:pPr>
        <w:pStyle w:val="Heading3"/>
      </w:pPr>
      <w:r>
        <w:t xml:space="preserve">Η υποχρεωτική συμμετοχή των αρχών κοινοποίησης στην κατάρτιση αξιολογήσεων συμμόρφωσης για μηχανολογικά προϊόντα θα πρέπει να παραμείνει οικονομικά βιώσιμη για τις εταιρείες. </w:t>
      </w:r>
    </w:p>
    <w:p w:rsidR="000C01FC" w:rsidP="00E13DCD" w:rsidRDefault="000C01FC" w14:paraId="66289255" w14:textId="77777777"/>
    <w:p w:rsidR="001C47AD" w:rsidP="00E13DCD" w:rsidRDefault="000C01FC" w14:paraId="3D82A357" w14:textId="401F67C5">
      <w:pPr>
        <w:pStyle w:val="Heading3"/>
      </w:pPr>
      <w:r>
        <w:t>Η ΕΟΚΕ θεωρεί αναγκαία τη συνεχή παρακολούθηση της νομοθεσίας σχετικά με τα μηχανολογικά προϊόντα, σε συντονισμό με τα ενδιαφερόμενα μέρη, προκειμένου να είναι σε θέση να ανταποκρίνεται σε τεχνικές καινοτομίες, σε προκλήσεις για τους κατασκευαστές και σε ζητήματα προστασίας της φυσικής και ψυχικής υγείας των εργαζομένων.</w:t>
      </w:r>
    </w:p>
    <w:p w:rsidR="000C01FC" w:rsidP="00E13DCD" w:rsidRDefault="000C01FC" w14:paraId="57C11FFD" w14:textId="77777777">
      <w:pPr>
        <w:pStyle w:val="Heading3"/>
        <w:numPr>
          <w:ilvl w:val="0"/>
          <w:numId w:val="0"/>
        </w:numPr>
        <w:ind w:left="567"/>
      </w:pPr>
    </w:p>
    <w:p w:rsidRPr="00752E07" w:rsidR="00011D33" w:rsidP="00E13DCD" w:rsidRDefault="00AF42F7" w14:paraId="26F50F85" w14:textId="77777777">
      <w:pPr>
        <w:pStyle w:val="Heading1"/>
        <w:keepNext/>
        <w:rPr>
          <w:b/>
          <w:bCs/>
        </w:rPr>
      </w:pPr>
      <w:r>
        <w:rPr>
          <w:b/>
          <w:bCs/>
        </w:rPr>
        <w:t>Ιστορικό της γνωμοδότησης και της υπό εξέταση νομοθετικής πρότασης</w:t>
      </w:r>
    </w:p>
    <w:p w:rsidRPr="00752E07" w:rsidR="00011D33" w:rsidP="00E13DCD" w:rsidRDefault="00011D33" w14:paraId="2261164B" w14:textId="77777777">
      <w:pPr>
        <w:keepNext/>
      </w:pPr>
    </w:p>
    <w:p w:rsidRPr="00D56B46" w:rsidR="009D15D1" w:rsidP="00E13DCD" w:rsidRDefault="00B9342C" w14:paraId="01A0FED6" w14:textId="074CAC74">
      <w:pPr>
        <w:pStyle w:val="Heading2"/>
      </w:pPr>
      <w:r>
        <w:t>Το 2018, στον κλάδο κατασκευής μηχανών καταγράφηκαν πωλήσεις ύψους 700 δισεκατομμυρίων ευρώ, παραγωγή αξίας 670 δισεκατομμυρίων ευρώ και προστιθέμενη αξία 230 δισεκατομμυρίων ευρώ. Οι συνολικές εξαγωγές μηχανημάτων και εξοπλισμού από την ΕΕ ανήλθαν σε 517 δισεκατομμύρια ευρώ, εκ των οποίων περίπου το 50 % αφορά κράτη μέλη της ΕΕ (δηλαδή ενδοκοινοτικό εμπόριο), ενώ το υπόλοιπο χώρες εκτός ΕΕ (εμπόριο με τρίτες χώρες)</w:t>
      </w:r>
      <w:r w:rsidRPr="00D56B46" w:rsidR="006B5D89">
        <w:rPr>
          <w:rStyle w:val="FootnoteReference"/>
        </w:rPr>
        <w:footnoteReference w:id="3"/>
      </w:r>
      <w:r>
        <w:t>.</w:t>
      </w:r>
    </w:p>
    <w:p w:rsidRPr="00D56B46" w:rsidR="009D15D1" w:rsidP="00E13DCD" w:rsidRDefault="009D15D1" w14:paraId="185D0514" w14:textId="77777777">
      <w:pPr>
        <w:pStyle w:val="Heading2"/>
        <w:numPr>
          <w:ilvl w:val="0"/>
          <w:numId w:val="0"/>
        </w:numPr>
        <w:ind w:left="567"/>
      </w:pPr>
    </w:p>
    <w:p w:rsidRPr="00D56B46" w:rsidR="009D15D1" w:rsidP="00E13DCD" w:rsidRDefault="006B5D89" w14:paraId="43987F9F" w14:textId="77777777">
      <w:pPr>
        <w:pStyle w:val="Heading2"/>
      </w:pPr>
      <w:r>
        <w:t>Η πρόταση της Επιτροπής για έναν νέο κανονισμό σχετικά με τα μηχανήματα αποτελεί μέρος ενός ευρύτερου «πακέτου τεχνητής νοημοσύνης». Η πρόταση για τα μηχανήματα αφορά την αναθεώρηση της λεγόμενης «οδηγίας για τα μηχανήματα» (οδηγία 2006/42/ΕΚ). Η αναθεώρηση αποσκοπεί τόσο στην προώθηση του ψηφιακού μετασχηματισμού όσο και στην ενίσχυση της ενιαίας αγοράς. Η οδηγία για τα μηχανήματα αποτελεί μέρος της νομοθεσίας για την ασφάλεια των προϊόντων. Προορίζεται να εξασφαλίσει υψηλό επίπεδο προστασίας στους εργαζόμενους, τους καταναλωτές και άλλα εκτεθειμένα άτομα, εστιάζοντας στην ασφάλεια των ίδιων των μηχανημάτων. Υποχρεώνει τους κατασκευαστές μηχανημάτων να λαμβάνουν υπόψη τις πτυχές ασφάλειας ήδη από το στάδιο του σχεδιασμού και της κατασκευής μηχανημάτων («ασφάλεια βάσει σχεδιασμού»).</w:t>
      </w:r>
    </w:p>
    <w:p w:rsidRPr="00D56B46" w:rsidR="009D15D1" w:rsidP="00E13DCD" w:rsidRDefault="009D15D1" w14:paraId="4C64D44F" w14:textId="77777777">
      <w:pPr>
        <w:pStyle w:val="Heading2"/>
        <w:numPr>
          <w:ilvl w:val="0"/>
          <w:numId w:val="0"/>
        </w:numPr>
        <w:ind w:left="567"/>
      </w:pPr>
    </w:p>
    <w:p w:rsidRPr="00D56B46" w:rsidR="00477853" w:rsidP="00E13DCD" w:rsidRDefault="00477853" w14:paraId="5331BF41" w14:textId="77777777">
      <w:pPr>
        <w:pStyle w:val="Heading2"/>
        <w:keepNext/>
        <w:keepLines/>
      </w:pPr>
      <w:r>
        <w:t>Η πρόταση έχει έξι συγκεκριμένους στόχους:</w:t>
      </w:r>
    </w:p>
    <w:p w:rsidRPr="00D56B46" w:rsidR="00477853" w:rsidP="00E13DCD" w:rsidRDefault="00477853" w14:paraId="3682F150" w14:textId="77777777">
      <w:pPr>
        <w:pStyle w:val="Heading2"/>
        <w:keepNext/>
        <w:keepLines/>
        <w:numPr>
          <w:ilvl w:val="0"/>
          <w:numId w:val="0"/>
        </w:numPr>
        <w:ind w:left="567"/>
      </w:pPr>
    </w:p>
    <w:p w:rsidR="004A480A" w:rsidP="00E13DCD" w:rsidRDefault="00477853" w14:paraId="58705597" w14:textId="77777777">
      <w:pPr>
        <w:pStyle w:val="Heading2"/>
        <w:numPr>
          <w:ilvl w:val="0"/>
          <w:numId w:val="74"/>
        </w:numPr>
        <w:ind w:left="1134" w:hanging="567"/>
      </w:pPr>
      <w:r>
        <w:t>περιορισμό των νέων απειλών που σχετίζονται με νέες ψηφιακές τεχνολογίες,</w:t>
      </w:r>
    </w:p>
    <w:p w:rsidR="004A480A" w:rsidP="00E13DCD" w:rsidRDefault="00477853" w14:paraId="68905F4A" w14:textId="77777777">
      <w:pPr>
        <w:pStyle w:val="Heading2"/>
        <w:numPr>
          <w:ilvl w:val="0"/>
          <w:numId w:val="74"/>
        </w:numPr>
        <w:ind w:left="1134" w:hanging="567"/>
      </w:pPr>
      <w:r>
        <w:lastRenderedPageBreak/>
        <w:t>διασφάλιση συνεπούς ερμηνείας του πεδίου εφαρμογής και των ορισμών, καθώς και βελτίωση της ασφάλειας των συμβατικών τεχνολογιών,</w:t>
      </w:r>
    </w:p>
    <w:p w:rsidR="004A480A" w:rsidP="00E13DCD" w:rsidRDefault="00477853" w14:paraId="05A48722" w14:textId="77777777">
      <w:pPr>
        <w:pStyle w:val="Heading2"/>
        <w:numPr>
          <w:ilvl w:val="0"/>
          <w:numId w:val="74"/>
        </w:numPr>
        <w:ind w:left="1134" w:hanging="567"/>
      </w:pPr>
      <w:r>
        <w:t>επανεκτίμηση μηχανημάτων υψηλού δυνητικού κινδύνου και επαναξιολόγηση των σχετικών διαδικασιών συμμόρφωσης,</w:t>
      </w:r>
    </w:p>
    <w:p w:rsidR="004A480A" w:rsidP="00E13DCD" w:rsidRDefault="00477853" w14:paraId="13E0D063" w14:textId="77777777">
      <w:pPr>
        <w:pStyle w:val="Heading2"/>
        <w:numPr>
          <w:ilvl w:val="0"/>
          <w:numId w:val="74"/>
        </w:numPr>
        <w:ind w:left="1134" w:hanging="567"/>
      </w:pPr>
      <w:r>
        <w:t xml:space="preserve">μείωση των απαιτήσεων για τεκμηρίωση σε έντυπη μορφή, </w:t>
      </w:r>
    </w:p>
    <w:p w:rsidR="004A480A" w:rsidP="00E13DCD" w:rsidRDefault="00477853" w14:paraId="32A71FD0" w14:textId="77777777">
      <w:pPr>
        <w:pStyle w:val="Heading2"/>
        <w:numPr>
          <w:ilvl w:val="0"/>
          <w:numId w:val="74"/>
        </w:numPr>
        <w:ind w:left="1134" w:hanging="567"/>
      </w:pPr>
      <w:r>
        <w:t>διασφάλιση συμμόρφωσης με άλλες διατάξεις του νέου νομικού πλαισίου και</w:t>
      </w:r>
    </w:p>
    <w:p w:rsidRPr="00D56B46" w:rsidR="006B5D89" w:rsidP="00E13DCD" w:rsidRDefault="00477853" w14:paraId="507C2ABB" w14:textId="77777777">
      <w:pPr>
        <w:pStyle w:val="Heading2"/>
        <w:numPr>
          <w:ilvl w:val="0"/>
          <w:numId w:val="74"/>
        </w:numPr>
        <w:ind w:left="1134" w:hanging="567"/>
      </w:pPr>
      <w:r>
        <w:t>μείωση των πιθανών αποκλίσεων ερμηνείας που προκύπτουν από τη μεταφορά στο εθνικό δίκαιο.</w:t>
      </w:r>
    </w:p>
    <w:p w:rsidRPr="00D56B46" w:rsidR="000A1D9C" w:rsidP="00E13DCD" w:rsidRDefault="000A1D9C" w14:paraId="46801C4E" w14:textId="77777777"/>
    <w:p w:rsidRPr="00B10A73" w:rsidR="008B1762" w:rsidP="00E13DCD" w:rsidRDefault="000A1D9C" w14:paraId="3BCAA40B" w14:textId="2380A4BA">
      <w:pPr>
        <w:pStyle w:val="Heading2"/>
      </w:pPr>
      <w:r>
        <w:t xml:space="preserve">Στο πλαίσιο μιας ανάλυσης επιπτώσεων, η Επιτροπή εξέτασε διάφορες επιλογές σχετικά με τον τρόπο χειρισμού της οδηγίας για τα μηχανήματα, η οποία χρονολογείται από το 2006, δηλαδή ισχύει εδώ και 15 χρόνια και βασίζεται σε κανονισμό του 1989. Σε σχέση με την ταχύτητα της τεχνικής και μηχανολογικής ανάπτυξης, πρόκειται για ένα πολύ μεγάλο χρονικό διάστημα. Σε αυτό το πλαίσιο, η απόφαση για αναθεώρηση ελήφθη με στόχο την αύξηση της ανταγωνιστικότητας, μέσω της ελαχιστοποίησης των επιβαρύνσεων για τους κατασκευαστές και της βελτίωσης της ασφάλειας μέσω σαφέστερων ή πρόσθετων απαιτήσεων. Εν προκειμένω, το πρόσθετο κόστος που προκύπτει από τη συμμόρφωση με τις διατάξεις γίνεται αποδεκτό. </w:t>
      </w:r>
    </w:p>
    <w:p w:rsidRPr="00752E07" w:rsidR="008B1762" w:rsidP="00E13DCD" w:rsidRDefault="008B1762" w14:paraId="68040D50" w14:textId="77777777"/>
    <w:p w:rsidRPr="00752E07" w:rsidR="008B1762" w:rsidP="00E13DCD" w:rsidRDefault="008B1762" w14:paraId="7E7FB5A9" w14:textId="193C2B18">
      <w:pPr>
        <w:pStyle w:val="Heading2"/>
      </w:pPr>
      <w:r>
        <w:t>Η κανονιστική αλλαγή από οδηγία σε κανονισμό αποσκοπεί στην αποφυγή αποκλίσεων κατά την εφαρμογή στα μεμονωμένα κράτη μέλη. Με τον τρόπο αυτό, η Επιτροπή ελπίζει να αυξήσει και να διασφαλίσει γενικά τη συνοχή στην ερμηνεία της νομικής πράξης και στην εφαρμογή της.</w:t>
      </w:r>
    </w:p>
    <w:p w:rsidRPr="00752E07" w:rsidR="00011D33" w:rsidP="00E13DCD" w:rsidRDefault="00011D33" w14:paraId="0469216A" w14:textId="77777777"/>
    <w:p w:rsidRPr="00752E07" w:rsidR="006074CA" w:rsidP="00E13DCD" w:rsidRDefault="008D1738" w14:paraId="50338D4A" w14:textId="77777777">
      <w:pPr>
        <w:pStyle w:val="Heading1"/>
        <w:keepNext/>
        <w:keepLines/>
        <w:rPr>
          <w:b/>
          <w:bCs/>
        </w:rPr>
      </w:pPr>
      <w:r>
        <w:rPr>
          <w:b/>
          <w:bCs/>
        </w:rPr>
        <w:t>Γενικές παρατηρήσεις</w:t>
      </w:r>
    </w:p>
    <w:p w:rsidRPr="00752E07" w:rsidR="008D1738" w:rsidP="00E13DCD" w:rsidRDefault="008D1738" w14:paraId="64C0290C" w14:textId="77777777">
      <w:pPr>
        <w:keepNext/>
        <w:keepLines/>
      </w:pPr>
    </w:p>
    <w:p w:rsidRPr="00752E07" w:rsidR="00A33AB1" w:rsidP="00E13DCD" w:rsidRDefault="00A33AB1" w14:paraId="3AF3910B" w14:textId="344E020C">
      <w:pPr>
        <w:pStyle w:val="Heading2"/>
      </w:pPr>
      <w:r>
        <w:t xml:space="preserve">Σε αντίθεση με πολλές άλλες οδηγίες, η μέχρι σήμερα ισχύουσα οδηγία για τα μηχανήματα δεν έχει ακόμη προσαρμοστεί στο λεγόμενο νέο νομικό πλαίσιο. Από την άποψη αυτή, η ΕΟΚΕ επικροτεί το γεγονός ότι οι ρυθμίσεις πλέον </w:t>
      </w:r>
      <w:proofErr w:type="spellStart"/>
      <w:r>
        <w:t>επικαιροποιούνται</w:t>
      </w:r>
      <w:proofErr w:type="spellEnd"/>
      <w:r>
        <w:t xml:space="preserve"> και προσαρμόζονται στο τροποποιημένο ρυθμιστικό πλαίσιο της ΕΕ. Σημαντικές θεωρούνται οι διευκρινίσεις σχετικά με το πεδίο εφαρμογής, ιδίως όσον αφορά την οριοθέτηση του πεδίου εφαρμογής της οδηγίας για τη χαμηλή τάση, της οδηγίας για τον εξοπλισμό υπό πίεση και άλλων οδηγιών, καθώς και η συγκεκριμενοποίηση των ορισμών, όπως για παράδειγμα του ορισμού σχετικά με τα ημιτελή μηχανήματα.</w:t>
      </w:r>
    </w:p>
    <w:p w:rsidRPr="00752E07" w:rsidR="00F01728" w:rsidP="00E13DCD" w:rsidRDefault="00F01728" w14:paraId="2D102B1D" w14:textId="77777777"/>
    <w:p w:rsidRPr="00752E07" w:rsidR="00A33AB1" w:rsidP="00E13DCD" w:rsidRDefault="00A33AB1" w14:paraId="6052C263" w14:textId="77777777">
      <w:pPr>
        <w:pStyle w:val="Heading2"/>
      </w:pPr>
      <w:r>
        <w:t xml:space="preserve">Η ΕΟΚΕ θεωρεί την πρόταση αναθεώρησης ως παρέμβαση σε έναν τομέα σημαντικό για πολλές εταιρείες, για τους εργαζόμενους και για άλλες σχετικές ομάδες στην ΕΕ. Οι προτεινόμενοι κανόνες αποτελούν την κεντρική νομική βάση για κάθε εταιρεία που σχεδιάζει, κατασκευάζει ή χειρίζεται μηχανήματα. Η ασφάλεια των εργαζομένων που χειρίζονται μηχανήματα εξαρτάται σε μεγάλο βαθμό από τη συνεκτική επιβολή και τον έλεγχο των απαιτήσεων στα κράτη μέλη. </w:t>
      </w:r>
    </w:p>
    <w:p w:rsidRPr="00752E07" w:rsidR="00270EF6" w:rsidP="00E13DCD" w:rsidRDefault="00270EF6" w14:paraId="61F83B69" w14:textId="77777777"/>
    <w:p w:rsidRPr="00752E07" w:rsidR="00270EF6" w:rsidP="00E13DCD" w:rsidRDefault="00270EF6" w14:paraId="0B0C171F" w14:textId="43D849C9">
      <w:pPr>
        <w:pStyle w:val="Heading2"/>
      </w:pPr>
      <w:r>
        <w:t>Σύμφωνα με την αρχή της ισότητας στην ΕΕ, οι απαιτήσεις για την προστασία της ασφάλειας και της υγείας κατά τη χρήση των μηχανημάτων είναι οι ίδιες σε όλα τα κράτη μέλη και πρέπει να είναι εξίσου δεσμευτικές για όλους τους κατασκευαστές, τους διανομείς και τους χειριστές σε αυτές τις χώρες. Για την ΕΟΚΕ, είναι σαφές ότι εάν πληρούνται αυτές οι προϋποθέσεις, τα προϊόντα μπορούν να αποτελούν αντικείμενο ελεύθερης εμπορίας μεταξύ όλων των κρατών μελών.</w:t>
      </w:r>
    </w:p>
    <w:p w:rsidRPr="00752E07" w:rsidR="00270EF6" w:rsidP="00E13DCD" w:rsidRDefault="00270EF6" w14:paraId="69DFA9EB" w14:textId="77777777">
      <w:pPr>
        <w:pStyle w:val="ListParagraph"/>
      </w:pPr>
    </w:p>
    <w:p w:rsidR="00270EF6" w:rsidP="00E13DCD" w:rsidRDefault="00270EF6" w14:paraId="44869C46" w14:textId="5B93716B">
      <w:pPr>
        <w:pStyle w:val="Heading2"/>
      </w:pPr>
      <w:r>
        <w:lastRenderedPageBreak/>
        <w:t>Η ΕΟΚΕ επικροτεί το γεγονός ότι στην πρόταση κανονισμού διατηρείται ο κεντρικός στόχος της μέχρι σήμερα ισχύουσας οδηγίας: η θέσπιση θεμελιωδών, πανευρωπαϊκών κανονισμών για την ασφάλεια, την προστασία της υγείας και την ελεύθερη κυκλοφορία των εμπορευμάτων, στη συγκεκριμένη περίπτωση των μηχανημάτων. Ως κύριοι στόχοι παραμένουν, αφενός, η ασφάλεια και αφετέρου, η άρση των εμπορικών φραγμών· ωστόσο θα συμπεριλαμβάνονται πλέον οι σημερινές και οι μελλοντικές τεχνικές και μηχανολογικές καινοτομίες στον κλάδο των μηχανημάτων.</w:t>
      </w:r>
    </w:p>
    <w:p w:rsidR="008E28F8" w:rsidP="00E13DCD" w:rsidRDefault="008E28F8" w14:paraId="7B260597" w14:textId="77777777"/>
    <w:p w:rsidR="008E28F8" w:rsidP="00E13DCD" w:rsidRDefault="008E28F8" w14:paraId="7CB15BBA" w14:textId="3895EC0E">
      <w:pPr>
        <w:pStyle w:val="Heading2"/>
      </w:pPr>
      <w:r>
        <w:t>Η ΕΟΚΕ υπογραμμίζει την ανάγκη για διαφανείς, αναλογικές και κατανοητές μεταβατικές διατάξεις κατά τη μετάβαση από την οδηγία για τα μηχανήματα στον νέο κανονισμό για τα μηχανήματα. Πρέπει να διευκρινιστεί το άρθρο 50 της πρότασης. Δεν είναι σαφές ποιοι κανόνες ισχύουν για μηχανήματα που παράγονται ή διατίθενται στην αγορά κατά την 30μηνη φάση της μετάβασης και πώς αυτά τα μηχανήματα διαφοροποιούνται από τα προϊόντα πριν από τη φάση μετάβασης. Οι κατασκευαστές και οι εισαγωγείς πρέπει να διαθέτουν επαρκή χρόνο προσαρμογής. Μια λογική λύση θα ήταν, για παράδειγμα, να θεσπιστεί ότι δεν επιτρέπεται στα κράτη μέλη να εμποδίσουν τη διάθεση στην αγορά για έως και 42 μήνες μετά την έναρξη ισχύος του νέου κανονισμού των μηχανημάτων εκείνων τα οποία κατασκευάστηκαν σύμφωνα με την οδηγία 2006/42/ΕΚ πριν από την ημερομηνία κατάργησης της οδηγίας.</w:t>
      </w:r>
    </w:p>
    <w:p w:rsidRPr="00752E07" w:rsidR="00270EF6" w:rsidP="00E13DCD" w:rsidRDefault="00270EF6" w14:paraId="3B18E1BC" w14:textId="77777777">
      <w:pPr>
        <w:pStyle w:val="ListParagraph"/>
      </w:pPr>
    </w:p>
    <w:p w:rsidR="00137D62" w:rsidP="00E13DCD" w:rsidRDefault="009856F7" w14:paraId="4498CA2E" w14:textId="77777777">
      <w:pPr>
        <w:pStyle w:val="Heading2"/>
      </w:pPr>
      <w:r>
        <w:t xml:space="preserve">Η υπό εξέταση πρόταση σχετικά με τα μηχανολογικά προϊόντα διευρύνει για ακόμα μια φορά το φάσμα των πολύ διαφορετικών τύπων μηχανημάτων που πρέπει να περιληφθούν σε έναν τέτοιο κανονισμό. Κατά την άποψη της ΕΟΚΕ, αυτό είναι λογικό προκειμένου να δημιουργηθεί ένα ολοκληρωμένο και κατανοητό σύνολο κανόνων. Είναι ιδιαίτερα σημαντικό για τους κατασκευαστές, τους </w:t>
      </w:r>
      <w:proofErr w:type="spellStart"/>
      <w:r>
        <w:t>εξαγωγείς</w:t>
      </w:r>
      <w:proofErr w:type="spellEnd"/>
      <w:r>
        <w:t xml:space="preserve"> και επίσης τους αγοραστές μηχανημάτων να ρυθμίζεται με ασφάλεια η ενσωμάτωση συστημάτων τεχνητής νοημοσύνης (ΤΝ) στα μηχανήματα. Αυτή η ολιστική κανονιστική προσέγγιση επιτρέπει στις εταιρείες να πραγματοποιούν μόνο μία αξιολόγηση συμμόρφωσης κάθε φορά. </w:t>
      </w:r>
    </w:p>
    <w:p w:rsidRPr="00137D62" w:rsidR="00137D62" w:rsidP="00E13DCD" w:rsidRDefault="00137D62" w14:paraId="34911B3B" w14:textId="77777777"/>
    <w:p w:rsidR="00497179" w:rsidP="00E13DCD" w:rsidRDefault="00137D62" w14:paraId="3DCE7C14" w14:textId="3F23801F">
      <w:pPr>
        <w:pStyle w:val="Heading2"/>
      </w:pPr>
      <w:r>
        <w:t xml:space="preserve">Η ΕΟΚΕ θεωρεί αναγκαία την προσαρμογή της δομής και του περιεχομένου των παραρτημάτων που αποτελούν μέρος της πρότασης κανονισμού. Δεν υπάρχει προφανής λόγος αλλαγής της αρίθμησης των σχετικών παραρτημάτων της πρότασης κανονισμού (το παράρτημα IV είναι τώρα παράρτημα Ι κ.λπ.). Οι αλλαγές πρέπει να περιορίζονται σε εκείνες τις περιπτώσεις όπου υπάρχει σαφής ανάγκη. Επιπλέον, λόγω του δυνητικά υψηλού κινδύνου, ορισμένα στοιχεία ασφαλείας από το παράρτημα II, όπως τα συστήματα προστασίας σε περίπτωση ανατροπής, τα συστήματα προστασίας από την πτώση αντικειμένων ή το λογισμικό για λειτουργίες ασφάλειας, είναι ορθό να περιλαμβάνονται επίσης στον κατάλογο των μηχανολογικών προϊόντων υψηλού κινδύνου σύμφωνα με το παράρτημα Ι. Επιπλέον, θα πρέπει να αποφεύγονται οι αλληλοεπικαλύψεις με άλλες ισχύουσες νομοθετικές πράξεις της ΕΕ για τα μηχανήματα, όπως στην περίπτωση της οδηγίας για τη χαμηλή τάση. Οι διαδικασίες αξιολόγησης της συμμόρφωσης θα πρέπει να διενεργούνται μόνο μία φορά. Αυτό θα ήταν σημαντικό, για παράδειγμα, για ορισμένες απαιτήσεις υγείας και ασφάλειας που παρατίθενται στο παράρτημα ΙΙΙ της εν λόγω πρότασης, οι οποίες συνδέονται με κινδύνους (π.χ. στην οδηγία για τον </w:t>
      </w:r>
      <w:proofErr w:type="spellStart"/>
      <w:r>
        <w:t>ραδιοεξοπλισμό</w:t>
      </w:r>
      <w:proofErr w:type="spellEnd"/>
      <w:r>
        <w:t xml:space="preserve"> 2014/53/ΕΕ ή στην οδηγία για τον εξοπλισμό υπό πίεση (ΕΥΠ) 2014/38/ΕΕ). Στην περίπτωση αυτή, οι διαδικασίες αξιολόγησης της συμμόρφωσης θα πρέπει να εφαρμόζονται μόνο για τη διάθεση στην αγορά ή τη θέση σε λειτουργία των μηχανημάτων, όπως προβλέπεται στην υπό εξέταση πρόταση κανονισμού. </w:t>
      </w:r>
    </w:p>
    <w:p w:rsidRPr="00752E07" w:rsidR="009856F7" w:rsidP="00E13DCD" w:rsidRDefault="009856F7" w14:paraId="357AD658" w14:textId="77777777">
      <w:pPr>
        <w:pStyle w:val="ListParagraph"/>
      </w:pPr>
    </w:p>
    <w:p w:rsidR="009856F7" w:rsidP="00E13DCD" w:rsidRDefault="009856F7" w14:paraId="447DC7F5" w14:textId="74E651B1">
      <w:pPr>
        <w:pStyle w:val="Heading2"/>
      </w:pPr>
      <w:r>
        <w:t>Η ΕΟΚΕ θεωρεί ότι η υγεία και η ασφάλεια των εργαζομένων αποτελεί ουσιώδη παράμετρο. Οι κατασκευαστές και οι σχεδιαστές μηχανημάτων είναι υπεύθυνοι για τη βασική ασφάλεια ενός μηχανήματος. Εάν η ασφάλεια δεν είναι εγγυημένη, δεν πρέπει να τεθεί σε λειτουργία. Τα άτομα που χειρίζονται μηχανήματα καθημερινά δεν πρέπει να εκτίθενται σε κινδύνους που μπορούν να αποφευχθούν. Συγκεκριμένα, αυτό σημαίνει ότι τα μηχανήματα πρέπει να είναι ασφαλή όταν διατίθενται στην αγορά και καθ’ όλη τη διάρκεια του κύκλου ζωής τους. Η συμμόρφωση με τους κανόνες ασφαλείας πρέπει να ελέγχεται τακτικά. Τα μηχανήματα πρέπει να είναι ασφαλή κατά τη λειτουργία τους και όλες οι λειτουργίες ασφάλειας και προστασίας πρέπει να είναι σχεδιασμένες με τέτοιο τρόπο ώστε να μην μπορούν να παρακαμφθούν ή να απενεργοποιηθούν εύκολα. Επιπλέον, όλοι οι κίνδυνοι που δεν μπορούν να εξαλειφθούν στο στάδιο του σχεδιασμού πρέπει να είναι σαφώς αναγνωρίσιμοι από τον χρήστη ή τον χειριστή μέσω σήμανσης και τεχνικής τεκμηρίωσης (φάκελος κατασκευής), και κυρίως να αναφέρονται στις οδηγίες λειτουργίας. Η ΕΟΚΕ συμβουλεύει την Επιτροπή να συμπεριλάβει στην πρόταση κανονισμού σύσταση σχετικά με την ανάγκη διαβούλευσης με τους εκπροσώπους των εργαζομένων και τους υπεύθυνους ασφαλείας των χώρων εργασίας. Επιπλέον, η ευθύνη τόσο των φυσικών όσο και των νομικών προσώπων σε περίπτωση ατυχήματος θα πρέπει να καθορίζεται δεόντως, ιδίως όσον αφορά τη χρήση της τεχνητής νοημοσύνης.</w:t>
      </w:r>
    </w:p>
    <w:p w:rsidR="001D0C58" w:rsidP="00E13DCD" w:rsidRDefault="001D0C58" w14:paraId="286CE19D" w14:textId="77777777"/>
    <w:p w:rsidRPr="001D0C58" w:rsidR="001D0C58" w:rsidP="00E13DCD" w:rsidRDefault="001D0C58" w14:paraId="7418152E" w14:textId="42D8DDA0">
      <w:pPr>
        <w:pStyle w:val="Heading2"/>
      </w:pPr>
      <w:r>
        <w:t>Η ΕΟΚΕ αναφέρεται στο περιεχόμενο της γνωμοδότησής της του 2019 σχετικά με το «συντονισμένο σχέδιο για την τεχνητή νοημοσύνη»</w:t>
      </w:r>
      <w:r w:rsidR="00243CA1">
        <w:rPr>
          <w:rStyle w:val="FootnoteReference"/>
        </w:rPr>
        <w:footnoteReference w:id="4"/>
      </w:r>
      <w:r>
        <w:t>. Εκεί εμπεριέχεται ήδη η διαπίστωση ότι, για να μειωθούν οι κίνδυνοι στους οποίους θα μπορούσαν να εκτεθούν οι άνθρωποι όταν χειρίζονται μηχανήματα, οι εργαζόμενοι πρέπει να εκπαιδεύονται ατομικά στη χρήση τεχνητής νοημοσύνης και ρομπότ, προκειμένου να μπορούν να χρησιμοποιούν τα εν λόγω μηχανήματα με ασφάλεια και να είναι σε θέση να τα σταματήσουν σε περίπτωση έκτακτης ανάγκης («αρχή της πέδησης έκτακτης ανάγκης»). Αυτό ισχύει ιδιαίτερα όταν άνθρωποι και μηχανές συνεργάζονται στενά. Για τον σκοπό αυτόν, ο Διεθνής Οργανισμός Τυποποίησης (ISO) έχει υιοθετήσει ένα πρότυπο για τα ρομπότ, το οποίο απευθύνεται σε κατασκευαστές, διανομείς και χρήστες. Στο εν λόγω πρότυπο παρέχονται οδηγίες για τον σχεδιασμό και την οργάνωση των χώρων εργασίας, προκειμένου να μειωθούν οι κίνδυνοι στον χώρο εργασίας.</w:t>
      </w:r>
    </w:p>
    <w:p w:rsidRPr="00752E07" w:rsidR="00C03F92" w:rsidP="00E13DCD" w:rsidRDefault="00C03F92" w14:paraId="5AF17B0C" w14:textId="77777777"/>
    <w:p w:rsidRPr="001D0C58" w:rsidR="001D0C58" w:rsidP="00E13DCD" w:rsidRDefault="00C03F92" w14:paraId="7D0A6694" w14:textId="77777777">
      <w:pPr>
        <w:pStyle w:val="Heading2"/>
      </w:pPr>
      <w:r>
        <w:t>Η ΕΟΚΕ δίνει προτεραιότητα στις ψηφιακές οδηγίες λειτουργίας. Κατόπιν αιτήματος του πελάτη, ο κατασκευαστής μπορεί να παρέχει τις οδηγίες λειτουργίας και σε έντυπη μορφή. Ωστόσο, είναι γνωστό από τον κλάδο ότι σε πολλές περιπτώσεις οι πελάτες ζητούν ήδη τις οδηγίες λειτουργίας σε ψηφιακή μορφή.</w:t>
      </w:r>
    </w:p>
    <w:p w:rsidRPr="00752E07" w:rsidR="009856F7" w:rsidP="00E13DCD" w:rsidRDefault="009856F7" w14:paraId="130E3933" w14:textId="77777777">
      <w:pPr>
        <w:pStyle w:val="ListParagraph"/>
      </w:pPr>
    </w:p>
    <w:p w:rsidRPr="00752E07" w:rsidR="009856F7" w:rsidP="00E13DCD" w:rsidRDefault="009856F7" w14:paraId="23B50FB4" w14:textId="14BB1360">
      <w:pPr>
        <w:pStyle w:val="Heading2"/>
      </w:pPr>
      <w:r>
        <w:t xml:space="preserve">Η καθημερινή χρήση των μηχανημάτων αποδεικνύει ότι η ποικιλία των σκοπών και των σχετικών κινδύνων δεν επιτρέπει καθόλου γενικευμένους και απλουστευμένους κανόνες, όπως η απλή «απαγόρευση» της παρουσίας αιχμηρών μεταλλικών ακμών, καθώς αυτά ορισμένες φορές αποτελούν μέρος της λειτουργίας μιας μηχανής. Σε πολλούς τύπους μηχανημάτων, για παράδειγμα πρέσες ή συστήματα κοπής λέιζερ, οι κίνδυνοι για τον χειριστή του μηχανήματος συνδέονται άρρηκτα με την επιθυμητή λειτουργία του μηχανήματος. Είναι ευθύνη του </w:t>
      </w:r>
      <w:r>
        <w:lastRenderedPageBreak/>
        <w:t>κατασκευαστή να μειώσει όσο το δυνατόν περισσότερο τον κίνδυνο τραυματισμού, λαμβάνοντας κατάλληλα προστατευτικά μέτρα.</w:t>
      </w:r>
    </w:p>
    <w:p w:rsidRPr="00752E07" w:rsidR="00C44C51" w:rsidP="00E13DCD" w:rsidRDefault="00C44C51" w14:paraId="74282C60" w14:textId="77777777"/>
    <w:p w:rsidRPr="00752E07" w:rsidR="00CE2B9F" w:rsidP="00E13DCD" w:rsidRDefault="00691491" w14:paraId="443B63B9" w14:textId="67E311F4">
      <w:pPr>
        <w:pStyle w:val="Heading2"/>
      </w:pPr>
      <w:r>
        <w:t xml:space="preserve">Η ΕΟΚΕ πιστεύει ότι θα ήταν σωστό η πρόταση κανονισμού να περιλαμβάνει επίσης μηχανήματα που είναι πιο προηγμένα και, ως εκ τούτου, εξαρτώνται λιγότερο από τον ανθρώπινο παράγοντα. Το μερίδιο αυτών των τεχνολογιών στη συνολική ευρωπαϊκή αγορά μηχανημάτων αναμένεται να αυξηθεί έντονα τα επόμενα χρόνια. Συγκεκριμένα, απαιτούνται ομοιόμορφα πρότυπα για μηχανήματα που μπορούν να </w:t>
      </w:r>
      <w:proofErr w:type="spellStart"/>
      <w:r>
        <w:t>αυτοδιδάσκονται</w:t>
      </w:r>
      <w:proofErr w:type="spellEnd"/>
      <w:r>
        <w:t xml:space="preserve"> και σταδιακά να γίνονται πιο αυτόνομα, εκτελώντας συνεπώς νέες ενέργειες και λειτουργικές πράξεις. Έτσι, είναι σχεδόν αυτονόητο ότι από τις ψηφιακές τεχνολογίες, όπως η τεχνητή νοημοσύνη, το διαδίκτυο των πραγμάτων και η ρομποτική, θα γεννηθούν νέες προκλήσεις όσον αφορά την ασφάλεια των προϊόντων. Ειδικά για τη χρήση της τεχνητής νοημοσύνης απαιτείται ένα ατομικά καθορισμένο πλαίσιο ασφαλείας στο οποίο να πραγματοποιείται η λειτουργία τέτοιων συστημάτων. </w:t>
      </w:r>
    </w:p>
    <w:p w:rsidRPr="00752E07" w:rsidR="00CE2B9F" w:rsidP="00E13DCD" w:rsidRDefault="00CE2B9F" w14:paraId="356D8BFF" w14:textId="77777777">
      <w:pPr>
        <w:pStyle w:val="Heading2"/>
        <w:numPr>
          <w:ilvl w:val="0"/>
          <w:numId w:val="0"/>
        </w:numPr>
        <w:ind w:left="567"/>
      </w:pPr>
    </w:p>
    <w:p w:rsidRPr="00752E07" w:rsidR="00C44C51" w:rsidP="00E13DCD" w:rsidRDefault="00CE2B9F" w14:paraId="46A07CAB" w14:textId="47B2A61E">
      <w:pPr>
        <w:pStyle w:val="Heading2"/>
      </w:pPr>
      <w:r>
        <w:t xml:space="preserve">Η ΕΟΚΕ τονίζει ότι, εκτός από την προστασία της (φυσικής και ψυχικής) υγείας των χειριστών μηχανημάτων, οι περιβαλλοντικές πτυχές και οι επιπτώσεις στο κλίμα θα πρέπει να λαμβάνονται σοβαρά υπόψη για να χαρακτηρίζεται ασφαλές ένα μηχάνημα. Η κατασκευή και η λειτουργία ενός μηχανήματος και το ζήτημα της βιωσιμότητας πρέπει να εξεταστούν από κοινού και να αξιολογηθούν ως προς τις επιπτώσεις στον άνθρωπο και στο περιβάλλον. Ένα μηχάνημα που έχει μόνιμες βλαβερές συνέπειες για το κλίμα, δύσκολα μπορεί να θεωρηθεί ασφαλές. Η πρόταση που παρουσιάζεται περιλαμβάνει την παράμετρο των περιβαλλοντικών επιπτώσεων. Συγκεκριμένα, τίθεται το ερώτημα τι θα συμβεί εάν τα μηχανολογικά προϊόντα μεταγενέστερα υποστούν αλλαγές μέσω φυσικής παρέμβασης ή με ψηφιακό τρόπο, πιθανότατα χωρίς αυτό να έχει </w:t>
      </w:r>
      <w:proofErr w:type="spellStart"/>
      <w:r>
        <w:t>προβλεφτεί</w:t>
      </w:r>
      <w:proofErr w:type="spellEnd"/>
      <w:r>
        <w:t xml:space="preserve"> από τον κατασκευαστή. Κάτι τέτοιο θα μπορούσε να έχει ως συνέπεια οι βασικές απαιτήσεις ασφάλειας και προστασίας της υγείας να μην πληρούνται και οι αξιολογήσεις συμμόρφωσης στις οποίες βασίζονται να μην ισχύουν πλέον. Η γενική θεώρηση υπέρ της προστασίας του περιβάλλοντος και του κλίματος κατά την κατασκευή και τη λειτουργία ενός μηχανήματος απαιτεί συνεκτική σύνδεση με άλλες </w:t>
      </w:r>
      <w:proofErr w:type="spellStart"/>
      <w:r>
        <w:t>ενωσιακές</w:t>
      </w:r>
      <w:proofErr w:type="spellEnd"/>
      <w:r>
        <w:t xml:space="preserve"> νομοθεσίες (π.χ. σχετικά με τη βιωσιμότητα των προϊόντων). </w:t>
      </w:r>
    </w:p>
    <w:p w:rsidRPr="00752E07" w:rsidR="00C03F92" w:rsidP="00E13DCD" w:rsidRDefault="00C03F92" w14:paraId="15DB8D75" w14:textId="77777777">
      <w:pPr>
        <w:ind w:left="567" w:hanging="567"/>
      </w:pPr>
    </w:p>
    <w:p w:rsidR="00C03F92" w:rsidP="00E13DCD" w:rsidRDefault="00C03F92" w14:paraId="22CE731C" w14:textId="24947DA5">
      <w:pPr>
        <w:pStyle w:val="Heading2"/>
      </w:pPr>
      <w:r>
        <w:t>Στην πρόταση της Επιτροπής ορίζεται ότι, στην περίπτωση μηχανημάτων υψηλού κινδύνου που υπόκεινται σε επιθεώρηση, δεν θα επιτρέπεται πλέον στον κατασκευαστή να διενεργεί πλήρη διαδικασία αξιολόγησης της συμμόρφωσης ο ίδιος, ακόμη και αν εφαρμόζονται εναρμονισμένα πρότυπα. Ωστόσο, πολλά από τα εν λόγω μηχανήματα παράγονται σε μικρές σειρές ή ως μεμονωμένα τεμάχια, επομένως η συμμετοχή εξωτερικού κέντρου δοκιμών σε αυτές τις περιπτώσεις δεν είναι πρακτικά η κατάλληλη. Συνεπώς, η ΕΟΚΕ συνιστά να διατηρηθούν οι ισχύοντες κανόνες σε μεμονωμένες περιπτώσεις, όπου αυτό τεκμηριωμένα απαιτείται, για παράδειγμα, εάν το μερίδιο της τεχνητής νοημοσύνης περιορίζεται μόνο στο στατικό λογισμικό που δεν μπορεί να εξελιχθεί από μόνο του ή να λαμβάνει αποφάσεις. Επιπλέον, τίθεται το ερώτημα εάν η υποχρεωτική συμμετοχή αρχής κοινοποίησης στη διενέργεια αξιολόγησης της συμμόρφωσης επιφέρει και σημαντικό κόστος, το οποίο επιβαρύνει σημαντικά κυρίως τις μικρές και μεσαίες επιχειρήσεις. Αυτό ισχύει ιδιαίτερα όταν μόνον ένα μικρό μέρος του μηχανήματος είναι εξοπλισμένο με τεχνητή νοημοσύνη, με αποτέλεσμα να πρέπει να ελεγχθεί το πλήρες μηχάνημα και να κοινοποιηθεί ως μηχάνημα υψηλού κινδύνου. Ειδικά στην περίπτωση μεμονωμένων τεμαχίων, εάν δεν μπορεί να εφαρμοστεί κατάλληλο πρότυπο δοκιμής, ανακύπτει ζήτημα αποτελεσματικότητας της εξωτερικής αρχής κοινοποίησης.</w:t>
      </w:r>
    </w:p>
    <w:p w:rsidR="00451C6A" w:rsidP="00E13DCD" w:rsidRDefault="00451C6A" w14:paraId="6522B616" w14:textId="77777777"/>
    <w:p w:rsidR="00451C6A" w:rsidP="00E13DCD" w:rsidRDefault="00451C6A" w14:paraId="7FB05DAE" w14:textId="0E7DE807">
      <w:pPr>
        <w:pStyle w:val="Heading2"/>
      </w:pPr>
      <w:r>
        <w:t>Η ΕΟΚΕ επικροτεί το γεγονός ότι η Επιτροπή δύναται να διατυπώσει τις δικές της τεχνικές προδιαγραφές σε περίπτωση έλλειψης κατάλληλων εναρμονισμένων προτύπων. Για τον σκοπό αυτόν, πρέπει να επιδιώκεται η συμμετοχή όλων των σχετικών ενδιαφερόμενων φορέων σε πρώιμο στάδιο.</w:t>
      </w:r>
    </w:p>
    <w:p w:rsidR="00451C6A" w:rsidP="00E13DCD" w:rsidRDefault="00451C6A" w14:paraId="2C06C76F" w14:textId="77777777">
      <w:pPr>
        <w:pStyle w:val="ListParagraph"/>
      </w:pPr>
    </w:p>
    <w:p w:rsidR="00815E93" w:rsidP="00E13DCD" w:rsidRDefault="00BE2632" w14:paraId="1B1DC478" w14:textId="2174D16B">
      <w:pPr>
        <w:pStyle w:val="Heading2"/>
      </w:pPr>
      <w:r>
        <w:t>Η ΕΟΚΕ συνιστά στο πλαίσιο των ενιαίων διαδικασιών δοκιμών και κοινοποίησης τη θέσπιση ευρωπαϊκού πιστοποιητικού για τις επιχειρήσεις, με το οποίο θα πιστοποιείται η ανθεκτικότητα των αξιόπιστων συστημάτων τεχνητής νοημοσύνης</w:t>
      </w:r>
      <w:r w:rsidR="00FE33D0">
        <w:rPr>
          <w:rStyle w:val="FootnoteReference"/>
        </w:rPr>
        <w:footnoteReference w:id="5"/>
      </w:r>
      <w:r>
        <w:t>.</w:t>
      </w:r>
    </w:p>
    <w:p w:rsidR="00BE2632" w:rsidP="00E13DCD" w:rsidRDefault="00BE2632" w14:paraId="6006EC95" w14:textId="77777777">
      <w:pPr>
        <w:pStyle w:val="Heading2"/>
        <w:numPr>
          <w:ilvl w:val="0"/>
          <w:numId w:val="0"/>
        </w:numPr>
      </w:pPr>
    </w:p>
    <w:p w:rsidR="00CD2A44" w:rsidP="00E13DCD" w:rsidRDefault="00CD2A44" w14:paraId="04AF0ACA" w14:textId="3E8F84C0">
      <w:pPr>
        <w:pStyle w:val="Heading2"/>
      </w:pPr>
      <w:r>
        <w:t>Στην πρόταση προβλέπεται ότι τα μηχανολογικά προϊόντα μπορούν να διατίθενται στην αγορά ή να τίθενται σε λειτουργία μόνο εάν έχουν εγκατασταθεί και συντηρηθεί σωστά, και τυγχάνουν ορθού χειρισμού. Επιπλέον, πρέπει να πληρούνται οι βασικές απαιτήσεις υγείας και ασφάλειας σύμφωνα με το παράρτημα III (άρθρο 7). Ωστόσο, τα ημιτελή μηχανήματα δεν χρειάζεται να τεθούν σε λειτουργία και, ως εκ τούτου, πρέπει να εξαιρούνται από τους κανονισμούς θέσης σε λειτουργία. Για παράδειγμα, θα μπορούσε να υπάρχει ξεχωριστή ρύθμιση για τα ημιτελή μηχανήματα προκειμένου να διατίθενται στην αγορά μόνο εάν πληρούν τις βασικές απαιτήσεις ασφάλειας και προστασίας της υγείας σύμφωνα με το παράρτημα III, για τις οποίες ο κατασκευαστής έχει δηλώσει συμμόρφωση στη δήλωση ενσωμάτωσης.</w:t>
      </w:r>
    </w:p>
    <w:p w:rsidR="00E26E61" w:rsidP="00E13DCD" w:rsidRDefault="00E26E61" w14:paraId="4A3DA81F" w14:textId="77777777"/>
    <w:p w:rsidR="00E26E61" w:rsidP="00E13DCD" w:rsidRDefault="00E26E61" w14:paraId="3A6784B4" w14:textId="047B47F4">
      <w:pPr>
        <w:pStyle w:val="Heading2"/>
      </w:pPr>
      <w:r>
        <w:t>Για να είναι όσο το δυνατόν πιο συνεκτική η εφαρμογή του κανονισμού περί μηχανημάτων, η ΕΟΚΕ θεωρεί αναγκαία τη συνεχή παρακολούθηση από την Ευρωπαϊκή Επιτροπή και όλους τους σχετικούς ενδιαφερόμενους. Αυτό απαιτεί συντονισμένες διαδικασίες συνεργασίας μεταξύ των Γενικών Διευθύνσεων GROW, EMPL και CONNECT. Παράλληλα, θα πρέπει να δημιουργηθεί, για παράδειγμα, ένας συναφής φορέας που θα χρηματοδοτείται από την Επιτροπή και θα αποτελείται, αφενός, από τις ομάδες διοικητικής συνεργασίας (ADCO) στον τομέα των μηχανημάτων και, αφετέρου, από την Επιτροπή Ανώτερων Επιθεωρητών Εργασίας για την Ασφάλεια και την Υγεία στην Εργασία (SLIC).</w:t>
      </w:r>
    </w:p>
    <w:bookmarkEnd w:id="1"/>
    <w:p w:rsidR="00715A0B" w:rsidP="00D05EBB" w:rsidRDefault="00715A0B" w14:paraId="6AE14D84" w14:textId="38F6F555">
      <w:pPr>
        <w:jc w:val="left"/>
      </w:pPr>
    </w:p>
    <w:p w:rsidR="00715A0B" w:rsidP="00715A0B" w:rsidRDefault="005372F7" w14:paraId="4CBAD13A" w14:textId="564B8E78">
      <w:pPr>
        <w:jc w:val="left"/>
      </w:pPr>
      <w:r>
        <w:t>Βρυξέλλες, 2 Σεπτεμβρίου 2021</w:t>
      </w:r>
    </w:p>
    <w:p w:rsidR="00715A0B" w:rsidP="00715A0B" w:rsidRDefault="00715A0B" w14:paraId="35F9816D" w14:textId="77777777">
      <w:pPr>
        <w:jc w:val="left"/>
      </w:pPr>
    </w:p>
    <w:p w:rsidR="00715A0B" w:rsidP="00715A0B" w:rsidRDefault="00715A0B" w14:paraId="3FE706E4" w14:textId="77777777">
      <w:pPr>
        <w:jc w:val="left"/>
      </w:pPr>
    </w:p>
    <w:p w:rsidR="00715A0B" w:rsidP="00715A0B" w:rsidRDefault="00715A0B" w14:paraId="1D003FEF" w14:textId="77777777">
      <w:pPr>
        <w:jc w:val="left"/>
      </w:pPr>
    </w:p>
    <w:p w:rsidR="00715A0B" w:rsidP="00715A0B" w:rsidRDefault="00715A0B" w14:paraId="2DA164E7" w14:textId="77777777">
      <w:pPr>
        <w:jc w:val="left"/>
      </w:pPr>
    </w:p>
    <w:p w:rsidR="00715A0B" w:rsidP="00715A0B" w:rsidRDefault="00933E5D" w14:paraId="23A8CAC9" w14:textId="3B392BE0">
      <w:pPr>
        <w:jc w:val="left"/>
      </w:pPr>
      <w:proofErr w:type="spellStart"/>
      <w:r>
        <w:t>Alain</w:t>
      </w:r>
      <w:proofErr w:type="spellEnd"/>
      <w:r>
        <w:t xml:space="preserve"> COHEUR </w:t>
      </w:r>
    </w:p>
    <w:p w:rsidR="00715A0B" w:rsidP="00D05EBB" w:rsidRDefault="001E4D49" w14:paraId="752E8655" w14:textId="11ED209C">
      <w:pPr>
        <w:jc w:val="left"/>
      </w:pPr>
      <w:r>
        <w:t>Πρόεδρος του τμήματος «Ενιαία αγορά, παραγωγή και κατανάλωση»</w:t>
      </w:r>
    </w:p>
    <w:p w:rsidRPr="00752E07" w:rsidR="00646AC2" w:rsidP="00E13DCD" w:rsidRDefault="00646AC2" w14:paraId="305AC642" w14:textId="7D6D72FD">
      <w:pPr>
        <w:jc w:val="center"/>
      </w:pPr>
      <w:r>
        <w:t>_____________</w:t>
      </w:r>
    </w:p>
    <w:sectPr w:rsidRPr="00752E07" w:rsidR="00646AC2" w:rsidSect="003E64A9">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304B" w14:textId="77777777" w:rsidR="00267B42" w:rsidRDefault="00267B42">
      <w:r>
        <w:separator/>
      </w:r>
    </w:p>
  </w:endnote>
  <w:endnote w:type="continuationSeparator" w:id="0">
    <w:p w14:paraId="37EFCB83" w14:textId="77777777" w:rsidR="00267B42" w:rsidRDefault="0026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782A" w14:textId="77777777" w:rsidR="003E64A9" w:rsidRPr="003E64A9" w:rsidRDefault="003E64A9" w:rsidP="003E6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46BF" w14:textId="5401619D" w:rsidR="00E32DC6" w:rsidRPr="003E64A9" w:rsidRDefault="003E64A9" w:rsidP="003E64A9">
    <w:pPr>
      <w:pStyle w:val="Footer"/>
    </w:pPr>
    <w:r>
      <w:t xml:space="preserve">INT/952 – EESC-2021-02559-00-00-AS-TRA (DE)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9</w:instrText>
      </w:r>
    </w:fldSimple>
    <w:r>
      <w:instrText xml:space="preserve"> -0 </w:instrText>
    </w:r>
    <w:r>
      <w:fldChar w:fldCharType="separate"/>
    </w:r>
    <w:r>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156C" w14:textId="77777777" w:rsidR="003E64A9" w:rsidRPr="003E64A9" w:rsidRDefault="003E64A9" w:rsidP="003E64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C3A8" w14:textId="77777777" w:rsidR="004A480A" w:rsidRPr="003E64A9" w:rsidRDefault="004A480A" w:rsidP="003E64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3E3C" w14:textId="3406D0CB" w:rsidR="004A480A" w:rsidRPr="003E64A9" w:rsidRDefault="003E64A9" w:rsidP="003E64A9">
    <w:pPr>
      <w:pStyle w:val="Footer"/>
    </w:pPr>
    <w:r>
      <w:t xml:space="preserve">INT/952 – EESC-2021-02559-00-00-AS-TRA (DE) </w:t>
    </w:r>
    <w:r>
      <w:fldChar w:fldCharType="begin"/>
    </w:r>
    <w:r>
      <w:instrText xml:space="preserve"> PAGE  \* Arabic  \* MERGEFORMAT </w:instrText>
    </w:r>
    <w:r>
      <w:fldChar w:fldCharType="separate"/>
    </w:r>
    <w:r>
      <w:rPr>
        <w:noProof/>
      </w:rPr>
      <w:t>9</w:t>
    </w:r>
    <w:r>
      <w:fldChar w:fldCharType="end"/>
    </w:r>
    <w:r>
      <w:t>/</w:t>
    </w:r>
    <w:r>
      <w:fldChar w:fldCharType="begin"/>
    </w:r>
    <w:r>
      <w:instrText xml:space="preserve"> = </w:instrText>
    </w:r>
    <w:fldSimple w:instr=" NUMPAGES ">
      <w:r>
        <w:rPr>
          <w:noProof/>
        </w:rPr>
        <w:instrText>9</w:instrText>
      </w:r>
    </w:fldSimple>
    <w:r>
      <w:instrText xml:space="preserve"> -0 </w:instrText>
    </w:r>
    <w:r>
      <w:fldChar w:fldCharType="separate"/>
    </w:r>
    <w:r>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AAB3" w14:textId="1968415F" w:rsidR="004A480A" w:rsidRPr="003E64A9" w:rsidRDefault="004A480A" w:rsidP="003E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E54D9" w14:textId="77777777" w:rsidR="00267B42" w:rsidRDefault="00267B42">
      <w:r>
        <w:separator/>
      </w:r>
    </w:p>
  </w:footnote>
  <w:footnote w:type="continuationSeparator" w:id="0">
    <w:p w14:paraId="19046A8C" w14:textId="77777777" w:rsidR="00267B42" w:rsidRDefault="00267B42">
      <w:r>
        <w:continuationSeparator/>
      </w:r>
    </w:p>
  </w:footnote>
  <w:footnote w:id="1">
    <w:p w14:paraId="0EE80003" w14:textId="77777777" w:rsidR="00C11D72" w:rsidRPr="00B2586A" w:rsidRDefault="00C11D72">
      <w:pPr>
        <w:pStyle w:val="FootnoteText"/>
      </w:pPr>
      <w:r>
        <w:rPr>
          <w:rStyle w:val="FootnoteReference"/>
        </w:rPr>
        <w:footnoteRef/>
      </w:r>
      <w:r>
        <w:t xml:space="preserve"> </w:t>
      </w:r>
      <w:r>
        <w:tab/>
      </w:r>
      <w:hyperlink r:id="rId1" w:history="1">
        <w:r>
          <w:rPr>
            <w:rStyle w:val="Hyperlink"/>
          </w:rPr>
          <w:t>Ενημερωτική έκθεση «Αναθεώρηση της οδηγίας σχετικά με τα μηχανήματα»</w:t>
        </w:r>
      </w:hyperlink>
      <w:r>
        <w:t>.</w:t>
      </w:r>
    </w:p>
  </w:footnote>
  <w:footnote w:id="2">
    <w:p w14:paraId="75551E05" w14:textId="0F8AC865" w:rsidR="00243CA1" w:rsidRPr="00243CA1" w:rsidRDefault="00243CA1">
      <w:pPr>
        <w:pStyle w:val="FootnoteText"/>
      </w:pPr>
      <w:r>
        <w:rPr>
          <w:rStyle w:val="FootnoteReference"/>
        </w:rPr>
        <w:footnoteRef/>
      </w:r>
      <w:r>
        <w:t xml:space="preserve"> </w:t>
      </w:r>
      <w:r>
        <w:tab/>
        <w:t xml:space="preserve">Βλ. επίσης </w:t>
      </w:r>
      <w:hyperlink r:id="rId2" w:history="1">
        <w:r>
          <w:rPr>
            <w:rStyle w:val="Hyperlink"/>
          </w:rPr>
          <w:t>ΕΕ C 240 της 16/7/2019, σ. 51</w:t>
        </w:r>
      </w:hyperlink>
      <w:r>
        <w:t>.</w:t>
      </w:r>
    </w:p>
  </w:footnote>
  <w:footnote w:id="3">
    <w:p w14:paraId="5D6DA917" w14:textId="77777777" w:rsidR="006B5D89" w:rsidRPr="00036686" w:rsidRDefault="006B5D89">
      <w:pPr>
        <w:pStyle w:val="FootnoteText"/>
      </w:pPr>
      <w:r>
        <w:rPr>
          <w:rStyle w:val="FootnoteReference"/>
        </w:rPr>
        <w:footnoteRef/>
      </w:r>
      <w:r>
        <w:t xml:space="preserve"> </w:t>
      </w:r>
      <w:r>
        <w:tab/>
        <w:t xml:space="preserve">Πηγή: </w:t>
      </w:r>
      <w:hyperlink r:id="rId3" w:history="1">
        <w:r>
          <w:rPr>
            <w:rStyle w:val="Hyperlink"/>
          </w:rPr>
          <w:t>https://ec.europa.eu/growth/sectors/mechanical-engineering/machinery_el</w:t>
        </w:r>
      </w:hyperlink>
      <w:r>
        <w:t>.</w:t>
      </w:r>
    </w:p>
  </w:footnote>
  <w:footnote w:id="4">
    <w:p w14:paraId="52FCBA2F" w14:textId="78C3BB95" w:rsidR="00243CA1" w:rsidRPr="00B2586A" w:rsidRDefault="00243CA1">
      <w:pPr>
        <w:pStyle w:val="FootnoteText"/>
      </w:pPr>
      <w:r>
        <w:rPr>
          <w:rStyle w:val="FootnoteReference"/>
        </w:rPr>
        <w:footnoteRef/>
      </w:r>
      <w:r>
        <w:t xml:space="preserve"> </w:t>
      </w:r>
      <w:r>
        <w:tab/>
      </w:r>
      <w:hyperlink r:id="rId4" w:history="1">
        <w:r>
          <w:rPr>
            <w:rStyle w:val="Hyperlink"/>
          </w:rPr>
          <w:t>ΕΕ C 240 της 16.7.2019, σ. 51</w:t>
        </w:r>
      </w:hyperlink>
      <w:r>
        <w:t>.</w:t>
      </w:r>
    </w:p>
  </w:footnote>
  <w:footnote w:id="5">
    <w:p w14:paraId="447F8D51" w14:textId="0AD98003" w:rsidR="00FE33D0" w:rsidRPr="001250CD" w:rsidRDefault="00FE33D0">
      <w:pPr>
        <w:pStyle w:val="FootnoteText"/>
      </w:pPr>
      <w:r>
        <w:rPr>
          <w:rStyle w:val="FootnoteReference"/>
        </w:rPr>
        <w:footnoteRef/>
      </w:r>
      <w:r>
        <w:t xml:space="preserve"> </w:t>
      </w:r>
      <w:r>
        <w:tab/>
        <w:t xml:space="preserve">Βλ. επίσης </w:t>
      </w:r>
      <w:hyperlink r:id="rId5" w:history="1">
        <w:r>
          <w:rPr>
            <w:rStyle w:val="Hyperlink"/>
          </w:rPr>
          <w:t>ΕΕ C 240 της 16.7.2019, σ. 51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25E6" w14:textId="77777777" w:rsidR="003E64A9" w:rsidRPr="003E64A9" w:rsidRDefault="003E64A9" w:rsidP="003E6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918B" w14:textId="77777777" w:rsidR="003E64A9" w:rsidRPr="003E64A9" w:rsidRDefault="003E64A9" w:rsidP="003E6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A25E" w14:textId="77777777" w:rsidR="003E64A9" w:rsidRPr="003E64A9" w:rsidRDefault="003E64A9" w:rsidP="003E64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1498" w14:textId="77777777" w:rsidR="004A480A" w:rsidRPr="003E64A9" w:rsidRDefault="004A480A" w:rsidP="003E64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74FC" w14:textId="1CE578CF" w:rsidR="004A480A" w:rsidRPr="003E64A9" w:rsidRDefault="004A480A" w:rsidP="003E64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56F3" w14:textId="7F63664D" w:rsidR="004A480A" w:rsidRPr="003E64A9" w:rsidRDefault="004A480A" w:rsidP="003E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C9648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4361D4D"/>
    <w:multiLevelType w:val="hybridMultilevel"/>
    <w:tmpl w:val="ABB26F2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FE60E4B"/>
    <w:multiLevelType w:val="hybridMultilevel"/>
    <w:tmpl w:val="BC92DA4A"/>
    <w:lvl w:ilvl="0" w:tplc="C4C2DDF0">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710E63AB"/>
    <w:multiLevelType w:val="hybridMultilevel"/>
    <w:tmpl w:val="E5628C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3"/>
  </w:num>
  <w:num w:numId="72">
    <w:abstractNumId w:val="4"/>
  </w:num>
  <w:num w:numId="73">
    <w:abstractNumId w:val="2"/>
  </w:num>
  <w:num w:numId="74">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1100"/>
    <w:rsid w:val="00005AB9"/>
    <w:rsid w:val="00005EB9"/>
    <w:rsid w:val="00006E24"/>
    <w:rsid w:val="00007A40"/>
    <w:rsid w:val="00011D33"/>
    <w:rsid w:val="00020E6E"/>
    <w:rsid w:val="000228C7"/>
    <w:rsid w:val="00031A4B"/>
    <w:rsid w:val="00033913"/>
    <w:rsid w:val="00033E5B"/>
    <w:rsid w:val="000357A8"/>
    <w:rsid w:val="00036686"/>
    <w:rsid w:val="000430A6"/>
    <w:rsid w:val="00044923"/>
    <w:rsid w:val="0005249C"/>
    <w:rsid w:val="000534A5"/>
    <w:rsid w:val="0005680D"/>
    <w:rsid w:val="00063FB4"/>
    <w:rsid w:val="0006793E"/>
    <w:rsid w:val="00072E0F"/>
    <w:rsid w:val="000735E5"/>
    <w:rsid w:val="0007392F"/>
    <w:rsid w:val="00076638"/>
    <w:rsid w:val="00076AC1"/>
    <w:rsid w:val="00087B39"/>
    <w:rsid w:val="0009158A"/>
    <w:rsid w:val="00094BC7"/>
    <w:rsid w:val="00096502"/>
    <w:rsid w:val="000A0B84"/>
    <w:rsid w:val="000A1A33"/>
    <w:rsid w:val="000A1D9C"/>
    <w:rsid w:val="000A3C00"/>
    <w:rsid w:val="000A49BB"/>
    <w:rsid w:val="000C01FC"/>
    <w:rsid w:val="000C04B0"/>
    <w:rsid w:val="000C1B16"/>
    <w:rsid w:val="000C3441"/>
    <w:rsid w:val="000C7F53"/>
    <w:rsid w:val="000D1F9F"/>
    <w:rsid w:val="000D2F8E"/>
    <w:rsid w:val="000E2020"/>
    <w:rsid w:val="000E3312"/>
    <w:rsid w:val="000E3B77"/>
    <w:rsid w:val="000F196B"/>
    <w:rsid w:val="000F62AB"/>
    <w:rsid w:val="0010261F"/>
    <w:rsid w:val="00105361"/>
    <w:rsid w:val="001101F8"/>
    <w:rsid w:val="00111094"/>
    <w:rsid w:val="0011206F"/>
    <w:rsid w:val="0011656A"/>
    <w:rsid w:val="0012220C"/>
    <w:rsid w:val="0012307A"/>
    <w:rsid w:val="001250CD"/>
    <w:rsid w:val="00136EA3"/>
    <w:rsid w:val="00137575"/>
    <w:rsid w:val="00137D62"/>
    <w:rsid w:val="00144231"/>
    <w:rsid w:val="001447AD"/>
    <w:rsid w:val="0014795A"/>
    <w:rsid w:val="00150434"/>
    <w:rsid w:val="00152DD7"/>
    <w:rsid w:val="00154905"/>
    <w:rsid w:val="00155721"/>
    <w:rsid w:val="0016503F"/>
    <w:rsid w:val="0016674F"/>
    <w:rsid w:val="00167CA0"/>
    <w:rsid w:val="0017120D"/>
    <w:rsid w:val="001714F6"/>
    <w:rsid w:val="00176168"/>
    <w:rsid w:val="00177158"/>
    <w:rsid w:val="001808A5"/>
    <w:rsid w:val="00184FD4"/>
    <w:rsid w:val="00186B04"/>
    <w:rsid w:val="00186F1E"/>
    <w:rsid w:val="001873FA"/>
    <w:rsid w:val="00190836"/>
    <w:rsid w:val="00193930"/>
    <w:rsid w:val="001963A5"/>
    <w:rsid w:val="00196F1E"/>
    <w:rsid w:val="001977D4"/>
    <w:rsid w:val="00197FCA"/>
    <w:rsid w:val="001A27DB"/>
    <w:rsid w:val="001A6852"/>
    <w:rsid w:val="001B286A"/>
    <w:rsid w:val="001B2D02"/>
    <w:rsid w:val="001B3647"/>
    <w:rsid w:val="001B77FA"/>
    <w:rsid w:val="001C0ABE"/>
    <w:rsid w:val="001C13A0"/>
    <w:rsid w:val="001C47AD"/>
    <w:rsid w:val="001C5852"/>
    <w:rsid w:val="001C64DA"/>
    <w:rsid w:val="001D0C58"/>
    <w:rsid w:val="001D45F0"/>
    <w:rsid w:val="001E4A33"/>
    <w:rsid w:val="001E4D49"/>
    <w:rsid w:val="001E5C27"/>
    <w:rsid w:val="001F4CB5"/>
    <w:rsid w:val="001F602B"/>
    <w:rsid w:val="001F6AC8"/>
    <w:rsid w:val="002037D5"/>
    <w:rsid w:val="00206F90"/>
    <w:rsid w:val="00211474"/>
    <w:rsid w:val="00212B03"/>
    <w:rsid w:val="002131AE"/>
    <w:rsid w:val="00215C10"/>
    <w:rsid w:val="00215C2D"/>
    <w:rsid w:val="002176A0"/>
    <w:rsid w:val="002252C4"/>
    <w:rsid w:val="0023183E"/>
    <w:rsid w:val="00235138"/>
    <w:rsid w:val="00243CA1"/>
    <w:rsid w:val="00243E36"/>
    <w:rsid w:val="0024540B"/>
    <w:rsid w:val="00245EF4"/>
    <w:rsid w:val="00250E11"/>
    <w:rsid w:val="00251383"/>
    <w:rsid w:val="002522AC"/>
    <w:rsid w:val="002522C9"/>
    <w:rsid w:val="00252A21"/>
    <w:rsid w:val="00253E4F"/>
    <w:rsid w:val="002542E4"/>
    <w:rsid w:val="00260E9B"/>
    <w:rsid w:val="00261053"/>
    <w:rsid w:val="00262FDE"/>
    <w:rsid w:val="00263629"/>
    <w:rsid w:val="00267B42"/>
    <w:rsid w:val="00270EF6"/>
    <w:rsid w:val="002769BD"/>
    <w:rsid w:val="00276A75"/>
    <w:rsid w:val="002809EA"/>
    <w:rsid w:val="00284962"/>
    <w:rsid w:val="00287B0E"/>
    <w:rsid w:val="00294F5A"/>
    <w:rsid w:val="002A0B53"/>
    <w:rsid w:val="002A0EEF"/>
    <w:rsid w:val="002B2DF7"/>
    <w:rsid w:val="002C3BF4"/>
    <w:rsid w:val="002C749F"/>
    <w:rsid w:val="002D1723"/>
    <w:rsid w:val="002D2DDA"/>
    <w:rsid w:val="002E0007"/>
    <w:rsid w:val="002E492B"/>
    <w:rsid w:val="002E7B33"/>
    <w:rsid w:val="002F059B"/>
    <w:rsid w:val="002F39EC"/>
    <w:rsid w:val="002F5B0B"/>
    <w:rsid w:val="00300924"/>
    <w:rsid w:val="0030596E"/>
    <w:rsid w:val="003073C3"/>
    <w:rsid w:val="0030772A"/>
    <w:rsid w:val="00322C76"/>
    <w:rsid w:val="00323637"/>
    <w:rsid w:val="00323D5C"/>
    <w:rsid w:val="00324E8A"/>
    <w:rsid w:val="00330390"/>
    <w:rsid w:val="00330E2D"/>
    <w:rsid w:val="00331D87"/>
    <w:rsid w:val="00332850"/>
    <w:rsid w:val="00334478"/>
    <w:rsid w:val="003346B4"/>
    <w:rsid w:val="00334AE6"/>
    <w:rsid w:val="003365D0"/>
    <w:rsid w:val="00336D0B"/>
    <w:rsid w:val="0034054C"/>
    <w:rsid w:val="003438C8"/>
    <w:rsid w:val="003439AB"/>
    <w:rsid w:val="0035034C"/>
    <w:rsid w:val="00353EAD"/>
    <w:rsid w:val="00354695"/>
    <w:rsid w:val="0035549B"/>
    <w:rsid w:val="00356A41"/>
    <w:rsid w:val="003663E8"/>
    <w:rsid w:val="003755C8"/>
    <w:rsid w:val="003755F9"/>
    <w:rsid w:val="00375687"/>
    <w:rsid w:val="00380AE0"/>
    <w:rsid w:val="00383324"/>
    <w:rsid w:val="00385A2B"/>
    <w:rsid w:val="00387A75"/>
    <w:rsid w:val="003904FD"/>
    <w:rsid w:val="00394254"/>
    <w:rsid w:val="003A3C4A"/>
    <w:rsid w:val="003B5B9C"/>
    <w:rsid w:val="003C2BFB"/>
    <w:rsid w:val="003C436B"/>
    <w:rsid w:val="003C5337"/>
    <w:rsid w:val="003C5F92"/>
    <w:rsid w:val="003C6417"/>
    <w:rsid w:val="003D7A8C"/>
    <w:rsid w:val="003D7C00"/>
    <w:rsid w:val="003E56E5"/>
    <w:rsid w:val="003E64A9"/>
    <w:rsid w:val="003E7E60"/>
    <w:rsid w:val="003F00D4"/>
    <w:rsid w:val="003F2209"/>
    <w:rsid w:val="003F3D39"/>
    <w:rsid w:val="003F646A"/>
    <w:rsid w:val="003F6761"/>
    <w:rsid w:val="003F6A0A"/>
    <w:rsid w:val="004024F5"/>
    <w:rsid w:val="00402DE1"/>
    <w:rsid w:val="00403D8B"/>
    <w:rsid w:val="004058F1"/>
    <w:rsid w:val="00407D8E"/>
    <w:rsid w:val="00407E7D"/>
    <w:rsid w:val="0041283D"/>
    <w:rsid w:val="00413AB4"/>
    <w:rsid w:val="00421373"/>
    <w:rsid w:val="00421FB7"/>
    <w:rsid w:val="0042763B"/>
    <w:rsid w:val="0043024C"/>
    <w:rsid w:val="004331BB"/>
    <w:rsid w:val="00436706"/>
    <w:rsid w:val="00442107"/>
    <w:rsid w:val="00443D38"/>
    <w:rsid w:val="00450E7A"/>
    <w:rsid w:val="00451C6A"/>
    <w:rsid w:val="00452163"/>
    <w:rsid w:val="00454141"/>
    <w:rsid w:val="00456AF8"/>
    <w:rsid w:val="00470B15"/>
    <w:rsid w:val="00475869"/>
    <w:rsid w:val="00475A77"/>
    <w:rsid w:val="00477853"/>
    <w:rsid w:val="004866A9"/>
    <w:rsid w:val="004905FA"/>
    <w:rsid w:val="00492774"/>
    <w:rsid w:val="00496D7A"/>
    <w:rsid w:val="00497179"/>
    <w:rsid w:val="004A31BC"/>
    <w:rsid w:val="004A3F1A"/>
    <w:rsid w:val="004A3F45"/>
    <w:rsid w:val="004A4596"/>
    <w:rsid w:val="004A480A"/>
    <w:rsid w:val="004B1AFA"/>
    <w:rsid w:val="004B7088"/>
    <w:rsid w:val="004B717F"/>
    <w:rsid w:val="004C1F70"/>
    <w:rsid w:val="004C4D12"/>
    <w:rsid w:val="004C5B76"/>
    <w:rsid w:val="004C6231"/>
    <w:rsid w:val="004D02CD"/>
    <w:rsid w:val="004D0B24"/>
    <w:rsid w:val="004D4B90"/>
    <w:rsid w:val="004D6B95"/>
    <w:rsid w:val="004D7F41"/>
    <w:rsid w:val="004E03A2"/>
    <w:rsid w:val="004E317E"/>
    <w:rsid w:val="004E3954"/>
    <w:rsid w:val="004E5856"/>
    <w:rsid w:val="004F2330"/>
    <w:rsid w:val="004F53C6"/>
    <w:rsid w:val="004F55C6"/>
    <w:rsid w:val="004F69DB"/>
    <w:rsid w:val="004F6B87"/>
    <w:rsid w:val="004F7324"/>
    <w:rsid w:val="00500B15"/>
    <w:rsid w:val="00501C2D"/>
    <w:rsid w:val="00502637"/>
    <w:rsid w:val="00511140"/>
    <w:rsid w:val="00513CFE"/>
    <w:rsid w:val="00523B6A"/>
    <w:rsid w:val="00525F6C"/>
    <w:rsid w:val="00535494"/>
    <w:rsid w:val="005372F7"/>
    <w:rsid w:val="00546AB4"/>
    <w:rsid w:val="00550FC6"/>
    <w:rsid w:val="005514E5"/>
    <w:rsid w:val="00552411"/>
    <w:rsid w:val="00556D90"/>
    <w:rsid w:val="00557710"/>
    <w:rsid w:val="00563C84"/>
    <w:rsid w:val="0057506B"/>
    <w:rsid w:val="005762F6"/>
    <w:rsid w:val="00576BBA"/>
    <w:rsid w:val="00577159"/>
    <w:rsid w:val="00581AAB"/>
    <w:rsid w:val="00584FBE"/>
    <w:rsid w:val="00585483"/>
    <w:rsid w:val="00586EF7"/>
    <w:rsid w:val="00587378"/>
    <w:rsid w:val="00587C05"/>
    <w:rsid w:val="00590AAB"/>
    <w:rsid w:val="005938C3"/>
    <w:rsid w:val="0059468C"/>
    <w:rsid w:val="00595125"/>
    <w:rsid w:val="00596F21"/>
    <w:rsid w:val="005A394B"/>
    <w:rsid w:val="005B1CDD"/>
    <w:rsid w:val="005B1E19"/>
    <w:rsid w:val="005B55FC"/>
    <w:rsid w:val="005C2D5E"/>
    <w:rsid w:val="005C3B81"/>
    <w:rsid w:val="005C650C"/>
    <w:rsid w:val="005D086C"/>
    <w:rsid w:val="005D11D3"/>
    <w:rsid w:val="005D4E1F"/>
    <w:rsid w:val="005D4FB3"/>
    <w:rsid w:val="005E2F07"/>
    <w:rsid w:val="005E2FEA"/>
    <w:rsid w:val="005E3E72"/>
    <w:rsid w:val="005F314B"/>
    <w:rsid w:val="006017CC"/>
    <w:rsid w:val="006074CA"/>
    <w:rsid w:val="006109D3"/>
    <w:rsid w:val="00611AF2"/>
    <w:rsid w:val="0061212B"/>
    <w:rsid w:val="006127AF"/>
    <w:rsid w:val="00612FF4"/>
    <w:rsid w:val="00613A98"/>
    <w:rsid w:val="0061506A"/>
    <w:rsid w:val="00615FB2"/>
    <w:rsid w:val="00617BD1"/>
    <w:rsid w:val="00617CE8"/>
    <w:rsid w:val="006278A0"/>
    <w:rsid w:val="0063095F"/>
    <w:rsid w:val="00631CBD"/>
    <w:rsid w:val="00632AEF"/>
    <w:rsid w:val="0063704F"/>
    <w:rsid w:val="00646AC2"/>
    <w:rsid w:val="00647D85"/>
    <w:rsid w:val="00650390"/>
    <w:rsid w:val="00654DAB"/>
    <w:rsid w:val="006610F9"/>
    <w:rsid w:val="0066204A"/>
    <w:rsid w:val="00670E3C"/>
    <w:rsid w:val="00675C23"/>
    <w:rsid w:val="00677F57"/>
    <w:rsid w:val="00681088"/>
    <w:rsid w:val="0069024A"/>
    <w:rsid w:val="00691491"/>
    <w:rsid w:val="006943E8"/>
    <w:rsid w:val="0069577E"/>
    <w:rsid w:val="00695BA2"/>
    <w:rsid w:val="0069634B"/>
    <w:rsid w:val="00696623"/>
    <w:rsid w:val="006A04E9"/>
    <w:rsid w:val="006A4A03"/>
    <w:rsid w:val="006A7543"/>
    <w:rsid w:val="006B5D89"/>
    <w:rsid w:val="006B725C"/>
    <w:rsid w:val="006C273D"/>
    <w:rsid w:val="006C5C4F"/>
    <w:rsid w:val="006C6282"/>
    <w:rsid w:val="006C762A"/>
    <w:rsid w:val="006D13FF"/>
    <w:rsid w:val="006D5FF9"/>
    <w:rsid w:val="006E0772"/>
    <w:rsid w:val="006E0F86"/>
    <w:rsid w:val="006F0B15"/>
    <w:rsid w:val="006F0DCC"/>
    <w:rsid w:val="00703DF9"/>
    <w:rsid w:val="00703FD4"/>
    <w:rsid w:val="007048EB"/>
    <w:rsid w:val="00704FBB"/>
    <w:rsid w:val="0070726A"/>
    <w:rsid w:val="0071226B"/>
    <w:rsid w:val="00715A0B"/>
    <w:rsid w:val="00717040"/>
    <w:rsid w:val="00725EB4"/>
    <w:rsid w:val="00734BAF"/>
    <w:rsid w:val="00752E07"/>
    <w:rsid w:val="007578A7"/>
    <w:rsid w:val="007622A7"/>
    <w:rsid w:val="007750A2"/>
    <w:rsid w:val="007817D6"/>
    <w:rsid w:val="00781E1C"/>
    <w:rsid w:val="00783754"/>
    <w:rsid w:val="00787912"/>
    <w:rsid w:val="0079177A"/>
    <w:rsid w:val="00794836"/>
    <w:rsid w:val="007948D5"/>
    <w:rsid w:val="007A15C9"/>
    <w:rsid w:val="007A6676"/>
    <w:rsid w:val="007B7FF5"/>
    <w:rsid w:val="007C3FC6"/>
    <w:rsid w:val="007D1827"/>
    <w:rsid w:val="007D2CE9"/>
    <w:rsid w:val="007D4FED"/>
    <w:rsid w:val="007D69DA"/>
    <w:rsid w:val="007D70B1"/>
    <w:rsid w:val="007D7140"/>
    <w:rsid w:val="007E1CDB"/>
    <w:rsid w:val="007E38CB"/>
    <w:rsid w:val="007E408C"/>
    <w:rsid w:val="007E7E21"/>
    <w:rsid w:val="007F0460"/>
    <w:rsid w:val="007F0DA2"/>
    <w:rsid w:val="007F39CE"/>
    <w:rsid w:val="007F5E0D"/>
    <w:rsid w:val="00801085"/>
    <w:rsid w:val="00801A89"/>
    <w:rsid w:val="00803DD1"/>
    <w:rsid w:val="00812138"/>
    <w:rsid w:val="008151F2"/>
    <w:rsid w:val="00815E93"/>
    <w:rsid w:val="0081777A"/>
    <w:rsid w:val="008210E0"/>
    <w:rsid w:val="00824079"/>
    <w:rsid w:val="0082570A"/>
    <w:rsid w:val="00831F0A"/>
    <w:rsid w:val="00833A78"/>
    <w:rsid w:val="0084585F"/>
    <w:rsid w:val="00853E53"/>
    <w:rsid w:val="0085535C"/>
    <w:rsid w:val="0086198B"/>
    <w:rsid w:val="00864D76"/>
    <w:rsid w:val="008656C9"/>
    <w:rsid w:val="008668F6"/>
    <w:rsid w:val="0086711C"/>
    <w:rsid w:val="00867535"/>
    <w:rsid w:val="00875C5B"/>
    <w:rsid w:val="0088389C"/>
    <w:rsid w:val="00883C5F"/>
    <w:rsid w:val="00891C7D"/>
    <w:rsid w:val="00892FA7"/>
    <w:rsid w:val="008A2D52"/>
    <w:rsid w:val="008A3301"/>
    <w:rsid w:val="008A33FD"/>
    <w:rsid w:val="008A4DF1"/>
    <w:rsid w:val="008A5636"/>
    <w:rsid w:val="008B125E"/>
    <w:rsid w:val="008B1762"/>
    <w:rsid w:val="008B241C"/>
    <w:rsid w:val="008B408B"/>
    <w:rsid w:val="008B4F11"/>
    <w:rsid w:val="008C2362"/>
    <w:rsid w:val="008C3049"/>
    <w:rsid w:val="008C3CF1"/>
    <w:rsid w:val="008D1738"/>
    <w:rsid w:val="008D2610"/>
    <w:rsid w:val="008D2E9E"/>
    <w:rsid w:val="008D4AE9"/>
    <w:rsid w:val="008D5CF3"/>
    <w:rsid w:val="008D7D39"/>
    <w:rsid w:val="008E0956"/>
    <w:rsid w:val="008E28F8"/>
    <w:rsid w:val="008E4574"/>
    <w:rsid w:val="008F4016"/>
    <w:rsid w:val="008F42FE"/>
    <w:rsid w:val="008F4A00"/>
    <w:rsid w:val="008F5402"/>
    <w:rsid w:val="0090053A"/>
    <w:rsid w:val="00901C2A"/>
    <w:rsid w:val="009118C7"/>
    <w:rsid w:val="0091352E"/>
    <w:rsid w:val="009225B6"/>
    <w:rsid w:val="00925397"/>
    <w:rsid w:val="009324E8"/>
    <w:rsid w:val="00933A21"/>
    <w:rsid w:val="00933E5D"/>
    <w:rsid w:val="00934C10"/>
    <w:rsid w:val="0093655D"/>
    <w:rsid w:val="0093662A"/>
    <w:rsid w:val="00936BF6"/>
    <w:rsid w:val="0094060C"/>
    <w:rsid w:val="00942C4B"/>
    <w:rsid w:val="00944196"/>
    <w:rsid w:val="009606A5"/>
    <w:rsid w:val="00962F1F"/>
    <w:rsid w:val="00965304"/>
    <w:rsid w:val="0097117E"/>
    <w:rsid w:val="00971293"/>
    <w:rsid w:val="00973A3B"/>
    <w:rsid w:val="00983EAE"/>
    <w:rsid w:val="009844F3"/>
    <w:rsid w:val="009856F7"/>
    <w:rsid w:val="0098760B"/>
    <w:rsid w:val="00997CDB"/>
    <w:rsid w:val="009A11DD"/>
    <w:rsid w:val="009B30AA"/>
    <w:rsid w:val="009B5217"/>
    <w:rsid w:val="009C48DE"/>
    <w:rsid w:val="009C5129"/>
    <w:rsid w:val="009D15D1"/>
    <w:rsid w:val="009D60D9"/>
    <w:rsid w:val="009E1E1E"/>
    <w:rsid w:val="009E33E3"/>
    <w:rsid w:val="009E7F16"/>
    <w:rsid w:val="009F4016"/>
    <w:rsid w:val="009F5052"/>
    <w:rsid w:val="009F7451"/>
    <w:rsid w:val="00A03083"/>
    <w:rsid w:val="00A04C85"/>
    <w:rsid w:val="00A0531F"/>
    <w:rsid w:val="00A0655F"/>
    <w:rsid w:val="00A100F0"/>
    <w:rsid w:val="00A11E4C"/>
    <w:rsid w:val="00A156E6"/>
    <w:rsid w:val="00A177C5"/>
    <w:rsid w:val="00A27D86"/>
    <w:rsid w:val="00A30A3D"/>
    <w:rsid w:val="00A33151"/>
    <w:rsid w:val="00A33AB1"/>
    <w:rsid w:val="00A35C06"/>
    <w:rsid w:val="00A36970"/>
    <w:rsid w:val="00A41EB4"/>
    <w:rsid w:val="00A44BFF"/>
    <w:rsid w:val="00A501E3"/>
    <w:rsid w:val="00A50F0C"/>
    <w:rsid w:val="00A56441"/>
    <w:rsid w:val="00A63D34"/>
    <w:rsid w:val="00A736DD"/>
    <w:rsid w:val="00A82869"/>
    <w:rsid w:val="00A83EED"/>
    <w:rsid w:val="00A8758C"/>
    <w:rsid w:val="00A961F0"/>
    <w:rsid w:val="00AA127E"/>
    <w:rsid w:val="00AA17A0"/>
    <w:rsid w:val="00AA19AE"/>
    <w:rsid w:val="00AA423D"/>
    <w:rsid w:val="00AA6A95"/>
    <w:rsid w:val="00AB10DE"/>
    <w:rsid w:val="00AB3668"/>
    <w:rsid w:val="00AB5ED7"/>
    <w:rsid w:val="00AB6A46"/>
    <w:rsid w:val="00AC0B4C"/>
    <w:rsid w:val="00AD0AEE"/>
    <w:rsid w:val="00AD1A17"/>
    <w:rsid w:val="00AD494D"/>
    <w:rsid w:val="00AD49E3"/>
    <w:rsid w:val="00AD4B4F"/>
    <w:rsid w:val="00AF0616"/>
    <w:rsid w:val="00AF0E28"/>
    <w:rsid w:val="00AF42F7"/>
    <w:rsid w:val="00AF6F9B"/>
    <w:rsid w:val="00AF7671"/>
    <w:rsid w:val="00B01409"/>
    <w:rsid w:val="00B040F4"/>
    <w:rsid w:val="00B10A73"/>
    <w:rsid w:val="00B10DBD"/>
    <w:rsid w:val="00B15629"/>
    <w:rsid w:val="00B2372C"/>
    <w:rsid w:val="00B2586A"/>
    <w:rsid w:val="00B27698"/>
    <w:rsid w:val="00B3063B"/>
    <w:rsid w:val="00B306E5"/>
    <w:rsid w:val="00B32F70"/>
    <w:rsid w:val="00B369F7"/>
    <w:rsid w:val="00B373D0"/>
    <w:rsid w:val="00B41EE2"/>
    <w:rsid w:val="00B43AAA"/>
    <w:rsid w:val="00B53139"/>
    <w:rsid w:val="00B562CE"/>
    <w:rsid w:val="00B62DE2"/>
    <w:rsid w:val="00B712DA"/>
    <w:rsid w:val="00B7228C"/>
    <w:rsid w:val="00B74417"/>
    <w:rsid w:val="00B76B61"/>
    <w:rsid w:val="00B77246"/>
    <w:rsid w:val="00B866CD"/>
    <w:rsid w:val="00B93034"/>
    <w:rsid w:val="00B9342C"/>
    <w:rsid w:val="00B93E6C"/>
    <w:rsid w:val="00B93EEF"/>
    <w:rsid w:val="00B965FF"/>
    <w:rsid w:val="00B97C5D"/>
    <w:rsid w:val="00BA06CB"/>
    <w:rsid w:val="00BA1290"/>
    <w:rsid w:val="00BA6CFA"/>
    <w:rsid w:val="00BB2792"/>
    <w:rsid w:val="00BB4D02"/>
    <w:rsid w:val="00BB76BF"/>
    <w:rsid w:val="00BC1AD1"/>
    <w:rsid w:val="00BC3F01"/>
    <w:rsid w:val="00BC4A58"/>
    <w:rsid w:val="00BC613B"/>
    <w:rsid w:val="00BD3CF0"/>
    <w:rsid w:val="00BD51D9"/>
    <w:rsid w:val="00BD64E2"/>
    <w:rsid w:val="00BE2632"/>
    <w:rsid w:val="00BE4995"/>
    <w:rsid w:val="00BF429A"/>
    <w:rsid w:val="00BF62BE"/>
    <w:rsid w:val="00C03F92"/>
    <w:rsid w:val="00C07126"/>
    <w:rsid w:val="00C11D72"/>
    <w:rsid w:val="00C11F27"/>
    <w:rsid w:val="00C16853"/>
    <w:rsid w:val="00C263F0"/>
    <w:rsid w:val="00C329D0"/>
    <w:rsid w:val="00C33552"/>
    <w:rsid w:val="00C33D41"/>
    <w:rsid w:val="00C40AFD"/>
    <w:rsid w:val="00C417CB"/>
    <w:rsid w:val="00C41E20"/>
    <w:rsid w:val="00C42E3E"/>
    <w:rsid w:val="00C44C51"/>
    <w:rsid w:val="00C51C13"/>
    <w:rsid w:val="00C525A5"/>
    <w:rsid w:val="00C5300F"/>
    <w:rsid w:val="00C54594"/>
    <w:rsid w:val="00C6020B"/>
    <w:rsid w:val="00C66CE0"/>
    <w:rsid w:val="00C71BED"/>
    <w:rsid w:val="00C737B2"/>
    <w:rsid w:val="00C81B53"/>
    <w:rsid w:val="00C82AD2"/>
    <w:rsid w:val="00C90FB6"/>
    <w:rsid w:val="00C9220E"/>
    <w:rsid w:val="00C932BD"/>
    <w:rsid w:val="00C93429"/>
    <w:rsid w:val="00CA1164"/>
    <w:rsid w:val="00CA16C5"/>
    <w:rsid w:val="00CA415A"/>
    <w:rsid w:val="00CA5052"/>
    <w:rsid w:val="00CA7A35"/>
    <w:rsid w:val="00CB0452"/>
    <w:rsid w:val="00CB1536"/>
    <w:rsid w:val="00CB686E"/>
    <w:rsid w:val="00CB7FB8"/>
    <w:rsid w:val="00CC1F71"/>
    <w:rsid w:val="00CC5588"/>
    <w:rsid w:val="00CC5EB3"/>
    <w:rsid w:val="00CD0227"/>
    <w:rsid w:val="00CD0E7B"/>
    <w:rsid w:val="00CD2A44"/>
    <w:rsid w:val="00CD2ABD"/>
    <w:rsid w:val="00CD4024"/>
    <w:rsid w:val="00CD4617"/>
    <w:rsid w:val="00CD4855"/>
    <w:rsid w:val="00CD57F7"/>
    <w:rsid w:val="00CE2B9F"/>
    <w:rsid w:val="00CE385B"/>
    <w:rsid w:val="00CE6B16"/>
    <w:rsid w:val="00CE6D43"/>
    <w:rsid w:val="00CE7888"/>
    <w:rsid w:val="00CF24A3"/>
    <w:rsid w:val="00D05EBB"/>
    <w:rsid w:val="00D10E1C"/>
    <w:rsid w:val="00D1290B"/>
    <w:rsid w:val="00D153AA"/>
    <w:rsid w:val="00D161A3"/>
    <w:rsid w:val="00D22E49"/>
    <w:rsid w:val="00D23716"/>
    <w:rsid w:val="00D25ED8"/>
    <w:rsid w:val="00D27F8F"/>
    <w:rsid w:val="00D316B8"/>
    <w:rsid w:val="00D31CFC"/>
    <w:rsid w:val="00D3255D"/>
    <w:rsid w:val="00D32B59"/>
    <w:rsid w:val="00D33418"/>
    <w:rsid w:val="00D340C3"/>
    <w:rsid w:val="00D341EA"/>
    <w:rsid w:val="00D409CD"/>
    <w:rsid w:val="00D423D4"/>
    <w:rsid w:val="00D42CAF"/>
    <w:rsid w:val="00D440FD"/>
    <w:rsid w:val="00D5310F"/>
    <w:rsid w:val="00D56B46"/>
    <w:rsid w:val="00D57D11"/>
    <w:rsid w:val="00D601EF"/>
    <w:rsid w:val="00D61533"/>
    <w:rsid w:val="00D63B2F"/>
    <w:rsid w:val="00D70747"/>
    <w:rsid w:val="00D720F6"/>
    <w:rsid w:val="00D7261D"/>
    <w:rsid w:val="00D755FC"/>
    <w:rsid w:val="00D76B6D"/>
    <w:rsid w:val="00D84D07"/>
    <w:rsid w:val="00D8526A"/>
    <w:rsid w:val="00D86C2C"/>
    <w:rsid w:val="00D90E91"/>
    <w:rsid w:val="00D95EAD"/>
    <w:rsid w:val="00DA42EE"/>
    <w:rsid w:val="00DA7CC5"/>
    <w:rsid w:val="00DB5BEF"/>
    <w:rsid w:val="00DB60E1"/>
    <w:rsid w:val="00DC1347"/>
    <w:rsid w:val="00DC1B07"/>
    <w:rsid w:val="00DC39F1"/>
    <w:rsid w:val="00DD09D4"/>
    <w:rsid w:val="00DE20FC"/>
    <w:rsid w:val="00DE3A22"/>
    <w:rsid w:val="00DE454B"/>
    <w:rsid w:val="00DE4B35"/>
    <w:rsid w:val="00DF19C1"/>
    <w:rsid w:val="00DF54CA"/>
    <w:rsid w:val="00DF56C9"/>
    <w:rsid w:val="00DF5B64"/>
    <w:rsid w:val="00E02794"/>
    <w:rsid w:val="00E038CE"/>
    <w:rsid w:val="00E043E3"/>
    <w:rsid w:val="00E0505B"/>
    <w:rsid w:val="00E11280"/>
    <w:rsid w:val="00E12359"/>
    <w:rsid w:val="00E13DCD"/>
    <w:rsid w:val="00E152FF"/>
    <w:rsid w:val="00E15FE2"/>
    <w:rsid w:val="00E16BF4"/>
    <w:rsid w:val="00E24595"/>
    <w:rsid w:val="00E2461B"/>
    <w:rsid w:val="00E24886"/>
    <w:rsid w:val="00E26E61"/>
    <w:rsid w:val="00E276FB"/>
    <w:rsid w:val="00E31310"/>
    <w:rsid w:val="00E31AFF"/>
    <w:rsid w:val="00E32595"/>
    <w:rsid w:val="00E32DC6"/>
    <w:rsid w:val="00E33A74"/>
    <w:rsid w:val="00E34F01"/>
    <w:rsid w:val="00E4030B"/>
    <w:rsid w:val="00E4123A"/>
    <w:rsid w:val="00E41D56"/>
    <w:rsid w:val="00E457DF"/>
    <w:rsid w:val="00E45813"/>
    <w:rsid w:val="00E46642"/>
    <w:rsid w:val="00E5139A"/>
    <w:rsid w:val="00E5413D"/>
    <w:rsid w:val="00E57977"/>
    <w:rsid w:val="00E635D7"/>
    <w:rsid w:val="00E70576"/>
    <w:rsid w:val="00E71DED"/>
    <w:rsid w:val="00E81089"/>
    <w:rsid w:val="00E83954"/>
    <w:rsid w:val="00E91730"/>
    <w:rsid w:val="00E9470F"/>
    <w:rsid w:val="00E95743"/>
    <w:rsid w:val="00E96F04"/>
    <w:rsid w:val="00E97AEC"/>
    <w:rsid w:val="00EA20FE"/>
    <w:rsid w:val="00EB491E"/>
    <w:rsid w:val="00EB681B"/>
    <w:rsid w:val="00EC4FAD"/>
    <w:rsid w:val="00EE3CFA"/>
    <w:rsid w:val="00EE4AC2"/>
    <w:rsid w:val="00EE69E4"/>
    <w:rsid w:val="00EF2A7F"/>
    <w:rsid w:val="00EF7D7A"/>
    <w:rsid w:val="00EF7E90"/>
    <w:rsid w:val="00F002B6"/>
    <w:rsid w:val="00F01728"/>
    <w:rsid w:val="00F10AFE"/>
    <w:rsid w:val="00F12206"/>
    <w:rsid w:val="00F135B1"/>
    <w:rsid w:val="00F15C6C"/>
    <w:rsid w:val="00F17173"/>
    <w:rsid w:val="00F20987"/>
    <w:rsid w:val="00F224DC"/>
    <w:rsid w:val="00F2687F"/>
    <w:rsid w:val="00F26A5E"/>
    <w:rsid w:val="00F27F29"/>
    <w:rsid w:val="00F314BB"/>
    <w:rsid w:val="00F32D54"/>
    <w:rsid w:val="00F36C54"/>
    <w:rsid w:val="00F40B9B"/>
    <w:rsid w:val="00F418EA"/>
    <w:rsid w:val="00F41A29"/>
    <w:rsid w:val="00F44C1C"/>
    <w:rsid w:val="00F45606"/>
    <w:rsid w:val="00F47602"/>
    <w:rsid w:val="00F518DF"/>
    <w:rsid w:val="00F544DB"/>
    <w:rsid w:val="00F6502E"/>
    <w:rsid w:val="00F65663"/>
    <w:rsid w:val="00F75147"/>
    <w:rsid w:val="00F756C0"/>
    <w:rsid w:val="00F75A40"/>
    <w:rsid w:val="00F77637"/>
    <w:rsid w:val="00F8435D"/>
    <w:rsid w:val="00F862E5"/>
    <w:rsid w:val="00F87DD0"/>
    <w:rsid w:val="00F93360"/>
    <w:rsid w:val="00F93FE4"/>
    <w:rsid w:val="00F97E4E"/>
    <w:rsid w:val="00FA1A40"/>
    <w:rsid w:val="00FA217B"/>
    <w:rsid w:val="00FA2AAA"/>
    <w:rsid w:val="00FA4324"/>
    <w:rsid w:val="00FB0BC5"/>
    <w:rsid w:val="00FB0BCC"/>
    <w:rsid w:val="00FC0FE5"/>
    <w:rsid w:val="00FC2E52"/>
    <w:rsid w:val="00FC2EF0"/>
    <w:rsid w:val="00FD1ABC"/>
    <w:rsid w:val="00FD7DDF"/>
    <w:rsid w:val="00FE33D0"/>
    <w:rsid w:val="00FE4C92"/>
    <w:rsid w:val="00FF0FAA"/>
    <w:rsid w:val="00FF3759"/>
    <w:rsid w:val="00FF4396"/>
    <w:rsid w:val="00FF5D9F"/>
    <w:rsid w:val="00FF7A49"/>
  </w:rsids>
  <m:mathPr>
    <m:mathFont m:val="Cambria Math"/>
    <m:brkBin m:val="before"/>
    <m:brkBinSub m:val="--"/>
    <m:smallFrac m:val="0"/>
    <m:dispDef/>
    <m:lMargin m:val="0"/>
    <m:rMargin m:val="0"/>
    <m:defJc m:val="centerGroup"/>
    <m:wrapIndent m:val="1440"/>
    <m:intLim m:val="subSup"/>
    <m:naryLim m:val="undOvr"/>
  </m:mathPr>
  <w:themeFontLang w:val="es-E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DB23347"/>
  <w15:docId w15:val="{6AB5C88B-D819-4B66-9660-E7415756A24C}"/>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de-DE" w:bidi="de-DE"/>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07"/>
    <w:pPr>
      <w:spacing w:line="288" w:lineRule="auto"/>
      <w:jc w:val="both"/>
    </w:pPr>
    <w:rPr>
      <w:lang w:eastAsia="en-US" w:bidi="ar-SA"/>
    </w:rPr>
  </w:style>
  <w:style w:type="paragraph" w:styleId="Heading1">
    <w:name w:val="heading 1"/>
    <w:basedOn w:val="Normal"/>
    <w:next w:val="Normal"/>
    <w:link w:val="Heading1Char"/>
    <w:qFormat/>
    <w:rsid w:val="00442107"/>
    <w:pPr>
      <w:numPr>
        <w:numId w:val="1"/>
      </w:numPr>
      <w:ind w:left="567" w:hanging="567"/>
      <w:outlineLvl w:val="0"/>
    </w:pPr>
    <w:rPr>
      <w:kern w:val="28"/>
    </w:rPr>
  </w:style>
  <w:style w:type="paragraph" w:styleId="Heading2">
    <w:name w:val="heading 2"/>
    <w:basedOn w:val="Normal"/>
    <w:next w:val="Normal"/>
    <w:link w:val="Heading2Char"/>
    <w:qFormat/>
    <w:rsid w:val="00442107"/>
    <w:pPr>
      <w:numPr>
        <w:ilvl w:val="1"/>
        <w:numId w:val="1"/>
      </w:numPr>
      <w:ind w:left="567" w:hanging="567"/>
      <w:outlineLvl w:val="1"/>
    </w:pPr>
  </w:style>
  <w:style w:type="paragraph" w:styleId="Heading3">
    <w:name w:val="heading 3"/>
    <w:basedOn w:val="Normal"/>
    <w:next w:val="Normal"/>
    <w:link w:val="Heading3Char"/>
    <w:qFormat/>
    <w:rsid w:val="00442107"/>
    <w:pPr>
      <w:numPr>
        <w:ilvl w:val="2"/>
        <w:numId w:val="1"/>
      </w:numPr>
      <w:ind w:left="567" w:hanging="567"/>
      <w:outlineLvl w:val="2"/>
    </w:pPr>
  </w:style>
  <w:style w:type="paragraph" w:styleId="Heading4">
    <w:name w:val="heading 4"/>
    <w:basedOn w:val="Normal"/>
    <w:next w:val="Normal"/>
    <w:link w:val="Heading4Char"/>
    <w:qFormat/>
    <w:rsid w:val="00442107"/>
    <w:pPr>
      <w:numPr>
        <w:ilvl w:val="3"/>
        <w:numId w:val="1"/>
      </w:numPr>
      <w:ind w:left="567" w:hanging="567"/>
      <w:outlineLvl w:val="3"/>
    </w:pPr>
  </w:style>
  <w:style w:type="paragraph" w:styleId="Heading5">
    <w:name w:val="heading 5"/>
    <w:basedOn w:val="Normal"/>
    <w:next w:val="Normal"/>
    <w:link w:val="Heading5Char"/>
    <w:qFormat/>
    <w:rsid w:val="00442107"/>
    <w:pPr>
      <w:numPr>
        <w:ilvl w:val="4"/>
        <w:numId w:val="1"/>
      </w:numPr>
      <w:ind w:left="567" w:hanging="567"/>
      <w:outlineLvl w:val="4"/>
    </w:pPr>
  </w:style>
  <w:style w:type="paragraph" w:styleId="Heading6">
    <w:name w:val="heading 6"/>
    <w:basedOn w:val="Normal"/>
    <w:next w:val="Normal"/>
    <w:link w:val="Heading6Char"/>
    <w:qFormat/>
    <w:rsid w:val="00442107"/>
    <w:pPr>
      <w:numPr>
        <w:ilvl w:val="5"/>
        <w:numId w:val="1"/>
      </w:numPr>
      <w:ind w:left="567" w:hanging="567"/>
      <w:outlineLvl w:val="5"/>
    </w:pPr>
  </w:style>
  <w:style w:type="paragraph" w:styleId="Heading7">
    <w:name w:val="heading 7"/>
    <w:basedOn w:val="Normal"/>
    <w:next w:val="Normal"/>
    <w:link w:val="Heading7Char"/>
    <w:qFormat/>
    <w:rsid w:val="00442107"/>
    <w:pPr>
      <w:numPr>
        <w:ilvl w:val="6"/>
        <w:numId w:val="1"/>
      </w:numPr>
      <w:ind w:left="567" w:hanging="567"/>
      <w:outlineLvl w:val="6"/>
    </w:pPr>
  </w:style>
  <w:style w:type="paragraph" w:styleId="Heading8">
    <w:name w:val="heading 8"/>
    <w:basedOn w:val="Normal"/>
    <w:next w:val="Normal"/>
    <w:link w:val="Heading8Char"/>
    <w:qFormat/>
    <w:rsid w:val="00442107"/>
    <w:pPr>
      <w:numPr>
        <w:ilvl w:val="7"/>
        <w:numId w:val="1"/>
      </w:numPr>
      <w:ind w:left="567" w:hanging="567"/>
      <w:outlineLvl w:val="7"/>
    </w:pPr>
  </w:style>
  <w:style w:type="paragraph" w:styleId="Heading9">
    <w:name w:val="heading 9"/>
    <w:basedOn w:val="Normal"/>
    <w:next w:val="Normal"/>
    <w:link w:val="Heading9Char"/>
    <w:qFormat/>
    <w:rsid w:val="0044210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l-GR" w:eastAsia="en-US" w:bidi="ar-SA"/>
    </w:rPr>
  </w:style>
  <w:style w:type="character" w:customStyle="1" w:styleId="Heading2Char">
    <w:name w:val="Heading 2 Char"/>
    <w:basedOn w:val="DefaultParagraphFont"/>
    <w:link w:val="Heading2"/>
    <w:locked/>
    <w:rsid w:val="00CB1536"/>
    <w:rPr>
      <w:lang w:val="el-GR" w:eastAsia="en-US" w:bidi="ar-SA"/>
    </w:rPr>
  </w:style>
  <w:style w:type="character" w:customStyle="1" w:styleId="Heading3Char">
    <w:name w:val="Heading 3 Char"/>
    <w:basedOn w:val="DefaultParagraphFont"/>
    <w:link w:val="Heading3"/>
    <w:locked/>
    <w:rsid w:val="00CB1536"/>
    <w:rPr>
      <w:lang w:val="el-GR" w:eastAsia="en-US" w:bidi="ar-SA"/>
    </w:rPr>
  </w:style>
  <w:style w:type="character" w:customStyle="1" w:styleId="Heading4Char">
    <w:name w:val="Heading 4 Char"/>
    <w:basedOn w:val="DefaultParagraphFont"/>
    <w:link w:val="Heading4"/>
    <w:locked/>
    <w:rsid w:val="00CB1536"/>
    <w:rPr>
      <w:lang w:val="el-GR" w:eastAsia="en-US" w:bidi="ar-SA"/>
    </w:rPr>
  </w:style>
  <w:style w:type="character" w:customStyle="1" w:styleId="Heading5Char">
    <w:name w:val="Heading 5 Char"/>
    <w:basedOn w:val="DefaultParagraphFont"/>
    <w:link w:val="Heading5"/>
    <w:locked/>
    <w:rsid w:val="00CB1536"/>
    <w:rPr>
      <w:lang w:val="el-GR" w:eastAsia="en-US" w:bidi="ar-SA"/>
    </w:rPr>
  </w:style>
  <w:style w:type="character" w:customStyle="1" w:styleId="Heading6Char">
    <w:name w:val="Heading 6 Char"/>
    <w:basedOn w:val="DefaultParagraphFont"/>
    <w:link w:val="Heading6"/>
    <w:locked/>
    <w:rsid w:val="00CB1536"/>
    <w:rPr>
      <w:lang w:val="el-GR" w:eastAsia="en-US" w:bidi="ar-SA"/>
    </w:rPr>
  </w:style>
  <w:style w:type="character" w:customStyle="1" w:styleId="Heading7Char">
    <w:name w:val="Heading 7 Char"/>
    <w:basedOn w:val="DefaultParagraphFont"/>
    <w:link w:val="Heading7"/>
    <w:locked/>
    <w:rsid w:val="00CB1536"/>
    <w:rPr>
      <w:lang w:val="el-GR" w:eastAsia="en-US" w:bidi="ar-SA"/>
    </w:rPr>
  </w:style>
  <w:style w:type="character" w:customStyle="1" w:styleId="Heading8Char">
    <w:name w:val="Heading 8 Char"/>
    <w:basedOn w:val="DefaultParagraphFont"/>
    <w:link w:val="Heading8"/>
    <w:locked/>
    <w:rsid w:val="00CB1536"/>
    <w:rPr>
      <w:lang w:val="el-GR" w:eastAsia="en-US" w:bidi="ar-SA"/>
    </w:rPr>
  </w:style>
  <w:style w:type="character" w:customStyle="1" w:styleId="Heading9Char">
    <w:name w:val="Heading 9 Char"/>
    <w:basedOn w:val="DefaultParagraphFont"/>
    <w:link w:val="Heading9"/>
    <w:locked/>
    <w:rsid w:val="00CB1536"/>
    <w:rPr>
      <w:lang w:val="el-GR" w:eastAsia="en-US" w:bidi="ar-SA"/>
    </w:rPr>
  </w:style>
  <w:style w:type="paragraph" w:styleId="Footer">
    <w:name w:val="footer"/>
    <w:basedOn w:val="Normal"/>
    <w:link w:val="FooterChar"/>
    <w:qFormat/>
    <w:rsid w:val="00442107"/>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442107"/>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l-GR" w:eastAsia="en-US" w:bidi="ar-SA"/>
    </w:rPr>
  </w:style>
  <w:style w:type="paragraph" w:styleId="Header">
    <w:name w:val="header"/>
    <w:basedOn w:val="Normal"/>
    <w:link w:val="HeaderChar"/>
    <w:qFormat/>
    <w:rsid w:val="00442107"/>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4210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4421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107"/>
    <w:rPr>
      <w:rFonts w:ascii="Tahoma" w:hAnsi="Tahoma" w:cs="Tahoma"/>
      <w:sz w:val="16"/>
      <w:szCs w:val="16"/>
      <w:lang w:val="el-GR" w:eastAsia="en-US" w:bidi="ar-SA"/>
    </w:rPr>
  </w:style>
  <w:style w:type="paragraph" w:customStyle="1" w:styleId="quotes">
    <w:name w:val="quotes"/>
    <w:basedOn w:val="Normal"/>
    <w:next w:val="Normal"/>
    <w:rsid w:val="00442107"/>
    <w:pPr>
      <w:ind w:left="720"/>
    </w:pPr>
    <w:rPr>
      <w:i/>
    </w:rPr>
  </w:style>
  <w:style w:type="paragraph" w:styleId="ListParagraph">
    <w:name w:val="List Paragraph"/>
    <w:basedOn w:val="Normal"/>
    <w:uiPriority w:val="34"/>
    <w:qFormat/>
    <w:rsid w:val="008B1762"/>
    <w:pPr>
      <w:ind w:left="720"/>
      <w:contextualSpacing/>
    </w:pPr>
  </w:style>
  <w:style w:type="table" w:styleId="TableGrid">
    <w:name w:val="Table Grid"/>
    <w:basedOn w:val="TableNormal"/>
    <w:locked/>
    <w:rsid w:val="006B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11D72"/>
    <w:rPr>
      <w:sz w:val="16"/>
      <w:szCs w:val="16"/>
    </w:rPr>
  </w:style>
  <w:style w:type="paragraph" w:styleId="CommentText">
    <w:name w:val="annotation text"/>
    <w:basedOn w:val="Normal"/>
    <w:link w:val="CommentTextChar"/>
    <w:semiHidden/>
    <w:unhideWhenUsed/>
    <w:rsid w:val="00C11D72"/>
    <w:pPr>
      <w:spacing w:line="240" w:lineRule="auto"/>
    </w:pPr>
    <w:rPr>
      <w:sz w:val="20"/>
      <w:szCs w:val="20"/>
    </w:rPr>
  </w:style>
  <w:style w:type="character" w:customStyle="1" w:styleId="CommentTextChar">
    <w:name w:val="Comment Text Char"/>
    <w:basedOn w:val="DefaultParagraphFont"/>
    <w:link w:val="CommentText"/>
    <w:semiHidden/>
    <w:rsid w:val="00C11D72"/>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C11D72"/>
    <w:rPr>
      <w:b/>
      <w:bCs/>
    </w:rPr>
  </w:style>
  <w:style w:type="character" w:customStyle="1" w:styleId="CommentSubjectChar">
    <w:name w:val="Comment Subject Char"/>
    <w:basedOn w:val="CommentTextChar"/>
    <w:link w:val="CommentSubject"/>
    <w:uiPriority w:val="99"/>
    <w:semiHidden/>
    <w:rsid w:val="00C11D72"/>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315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ectors/mechanical-engineering/machinery_el" TargetMode="External"/><Relationship Id="rId2" Type="http://schemas.openxmlformats.org/officeDocument/2006/relationships/hyperlink" Target="https://eur-lex.europa.eu/LexUriServ/LexUriServ.do?uri=OJ:C:2019:240:SOM:EL:HTML" TargetMode="External"/><Relationship Id="rId1" Type="http://schemas.openxmlformats.org/officeDocument/2006/relationships/hyperlink" Target="https://www.eesc.europa.eu/el/our-work/opinions-information-reports/information-reports/revision-machinery-directive" TargetMode="External"/><Relationship Id="rId5" Type="http://schemas.openxmlformats.org/officeDocument/2006/relationships/hyperlink" Target="https://eur-lex.europa.eu/LexUriServ/LexUriServ.do?uri=OJ:C:2019:240:SOM:EL:HTML" TargetMode="External"/><Relationship Id="rId4" Type="http://schemas.openxmlformats.org/officeDocument/2006/relationships/hyperlink" Target="https://eur-lex.europa.eu/LexUriServ/LexUriServ.do?uri=OJ:C:2019:240:SOM:EL:HTML" TargetMode="External"/></Relationships>
</file>

<file path=word/_rels/settings.xml.rels><?xml version='1.0' encoding='UTF-8' standalone='yes'?>
<Relationships xmlns="http://schemas.openxmlformats.org/package/2006/relationships"><Relationship Id="relationId"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V63NAVDT5PV3-197900780-7961</_dlc_DocId>
    <_dlc_DocIdUrl xmlns="01cfe264-354f-4f3f-acd0-cf26eb309336">
      <Url>http://dm/eesc/2021/_layouts/15/DocIdRedir.aspx?ID=V63NAVDT5PV3-197900780-7961</Url>
      <Description>V63NAVDT5PV3-197900780-7961</Description>
    </_dlc_DocIdUrl>
    <Procedure xmlns="01cfe264-354f-4f3f-acd0-cf26eb309336">2021/0105(COD)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2021-09-08T12:00:00+00:00</ProductionDate>
    <DocumentNumber xmlns="1bc4b14f-a4b5-43b1-8863-417d54b6b72f">2559</DocumentNumber>
    <FicheYear xmlns="01cfe264-354f-4f3f-acd0-cf26eb309336" xsi:nil="true"/>
    <DocumentVersion xmlns="01cfe264-354f-4f3f-acd0-cf26eb309336">0</DocumentVersion>
    <DossierNumber xmlns="01cfe264-354f-4f3f-acd0-cf26eb309336">952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2021-09-22T12:00:00+00:00</MeetingDate>
    <TaxCatchAll xmlns="01cfe264-354f-4f3f-acd0-cf26eb309336">
      <Value>66</Value>
      <Value>58</Value>
      <Value>50</Value>
      <Value>136</Value>
      <Value>45</Value>
      <Value>42</Value>
      <Value>41</Value>
      <Value>40</Value>
      <Value>39</Value>
      <Value>38</Value>
      <Value>37</Value>
      <Value>35</Value>
      <Value>31</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01cfe264-354f-4f3f-acd0-cf26eb309336">BÖHME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10428</FicheNumber>
    <OriginalSender xmlns="01cfe264-354f-4f3f-acd0-cf26eb309336">
      <UserInfo>
        <DisplayName>Skarpas Georges</DisplayName>
        <AccountId>2064</AccountId>
        <AccountType/>
      </UserInfo>
    </OriginalSender>
    <DocumentPart xmlns="01cfe264-354f-4f3f-acd0-cf26eb309336">0</DocumentPart>
    <AdoptionDate xmlns="01cfe264-354f-4f3f-acd0-cf26eb309336" xsi:nil="true"/>
    <RequestingService xmlns="01cfe264-354f-4f3f-acd0-cf26eb309336">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MeetingNumber xmlns="1bc4b14f-a4b5-43b1-8863-417d54b6b72f">563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6" ma:contentTypeDescription="Defines the documents for Document Manager V2" ma:contentTypeScope="" ma:versionID="d519d576acc3faf30814d5b68e6ef22c">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2b7c5fda01af84229fc452a92b24884"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27B17-18D9-4D71-8012-A365E4FC5C91}"/>
</file>

<file path=customXml/itemProps2.xml><?xml version="1.0" encoding="utf-8"?>
<ds:datastoreItem xmlns:ds="http://schemas.openxmlformats.org/officeDocument/2006/customXml" ds:itemID="{BC13299D-BD58-4C2D-B9C5-264652FE407E}"/>
</file>

<file path=customXml/itemProps3.xml><?xml version="1.0" encoding="utf-8"?>
<ds:datastoreItem xmlns:ds="http://schemas.openxmlformats.org/officeDocument/2006/customXml" ds:itemID="{E60F0270-7C91-49B4-9FE1-11A4E60DD125}"/>
</file>

<file path=customXml/itemProps4.xml><?xml version="1.0" encoding="utf-8"?>
<ds:datastoreItem xmlns:ds="http://schemas.openxmlformats.org/officeDocument/2006/customXml" ds:itemID="{3C81FEDC-50E4-4813-B10D-6361EC256BE1}"/>
</file>

<file path=docProps/app.xml><?xml version="1.0" encoding="utf-8"?>
<Properties xmlns="http://schemas.openxmlformats.org/officeDocument/2006/extended-properties" xmlns:vt="http://schemas.openxmlformats.org/officeDocument/2006/docPropsVTypes">
  <Template>Normal</Template>
  <TotalTime>4</TotalTime>
  <Pages>9</Pages>
  <Words>3084</Words>
  <Characters>18238</Characters>
  <Application>Microsoft Office Word</Application>
  <DocSecurity>0</DocSecurity>
  <Lines>151</Lines>
  <Paragraphs>42</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Maschinen</vt:lpstr>
      <vt:lpstr>Maschinen</vt:lpstr>
      <vt:lpstr>European Agenda on Migration: Second implementation package - A permanent crisis relocation mechanism under the Dublin system</vt:lpstr>
    </vt:vector>
  </TitlesOfParts>
  <Company>CESE-CdR</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Μηχανήματα</dc:title>
  <dc:subject>AS</dc:subject>
  <dc:creator/>
  <cp:keywords>EESC-2021-02559-00-00-AS-TRA-DE</cp:keywords>
  <dc:description>Rapporteur: BÖHME - Original language: DE - Date of document: 08/09/2021 - Date of meeting: 30/22/2021 14:30 - External documents: COM(2021)202- final - Administrator: Mme STAFFA Silvia</dc:description>
  <cp:lastModifiedBy/>
  <cp:revision>8</cp:revision>
  <cp:lastPrinted>2021-05-20T14:06:00Z</cp:lastPrinted>
  <dcterms:created xsi:type="dcterms:W3CDTF">2021-09-03T12:59:00Z</dcterms:created>
  <dcterms:modified xsi:type="dcterms:W3CDTF">2021-09-08T08:55:00Z</dcterms:modified>
  <cp:category>INT/952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05/08/2021, 29/07/2021, 24/06/2021, 23/06/2021, 03/06/2021, 02/06/2021, 04/11/2015, 27/10/2015, 19/10/2015, 09/10/2015, 05/10/2015, 05/10/2015, 26/08/2015, 26/08/2015, 25/08/2015</vt:lpwstr>
  </property>
  <property fmtid="{D5CDD505-2E9C-101B-9397-08002B2CF9AE}" pid="4" name="Pref_Time">
    <vt:lpwstr>17:06:31, 10:44:46, 13:07:49, 17:24:17, 10:46:30, 11:22:13, 12/10/07, 14:44:02, 16/04/16, 14:09:30, 16:24:55, 16:04:02, 08:56:14, 07:27:56, 17:31:53</vt:lpwstr>
  </property>
  <property fmtid="{D5CDD505-2E9C-101B-9397-08002B2CF9AE}" pid="5" name="Pref_User">
    <vt:lpwstr>amett, enied, hnic, amett, amett, enied, ssex, enied, amett, tvoc, mreg, mreg, amett, enied, ssex</vt:lpwstr>
  </property>
  <property fmtid="{D5CDD505-2E9C-101B-9397-08002B2CF9AE}" pid="6" name="Pref_FileName">
    <vt:lpwstr>EESC-2021-02559-00-01-PA-ORI.docx, EESC-2021-02559-00-00-PA-TRA-DE-CRR.docx, EESC-2021-02559-00-01-APA-ORI.docx, EESC-2021-02559-00-00-APA-ORI.docx, EESC-2021-02559-00-02-DT-ORI.docx, EESC-2021-02559-00-01-DT-ORI.docx, EESC-2015-05408-00-00-PA-CRR-EN.docx</vt:lpwstr>
  </property>
  <property fmtid="{D5CDD505-2E9C-101B-9397-08002B2CF9AE}" pid="7" name="ContentTypeId">
    <vt:lpwstr>0x010100EA97B91038054C99906057A708A1480A009690440AC106F944B6F22BE813F1E9BC</vt:lpwstr>
  </property>
  <property fmtid="{D5CDD505-2E9C-101B-9397-08002B2CF9AE}" pid="8" name="_dlc_DocIdItemGuid">
    <vt:lpwstr>c5f7fab1-f45b-4e55-9e7f-d5b881943394</vt:lpwstr>
  </property>
  <property fmtid="{D5CDD505-2E9C-101B-9397-08002B2CF9AE}" pid="9" name="Procedure">
    <vt:lpwstr>2021/0105(COD)</vt:lpwstr>
  </property>
  <property fmtid="{D5CDD505-2E9C-101B-9397-08002B2CF9AE}" pid="10" name="AvailableTranslations">
    <vt:lpwstr>45;#RO|feb747a2-64cd-4299-af12-4833ddc30497;#16;#IT|0774613c-01ed-4e5d-a25d-11d2388de825;#38;#HR|2f555653-ed1a-4fe6-8362-9082d95989e5;#4;#FR|d2afafd3-4c81-4f60-8f52-ee33f2f54ff3;#21;#HU|6b229040-c589-4408-b4c1-4285663d20a8;#66;#GA|762d2456-c427-4ecb-b312-af3dad8e258c;#17;#NL|55c6556c-b4f4-441d-9acf-c498d4f838bd;#58;#MT|7df99101-6854-4a26-b53a-b88c0da02c26;#40;#SV|c2ed69e7-a339-43d7-8f22-d93680a92aa0;#18;#LV|46f7e311-5d9f-4663-b433-18aeccb7ace7;#41;#BG|1a1b3951-7821-4e6a-85f5-5673fc08bd2c;#11;#DE|f6b31e5a-26fa-4935-b661-318e46daf27e;#15;#LT|a7ff5ce7-6123-4f68-865a-a57c31810414;#13;#PT|50ccc04a-eadd-42ae-a0cb-acaf45f812ba;#35;#PL|1e03da61-4678-4e07-b136-b5024ca9197b;#42;#FI|87606a43-d45f-42d6-b8c9-e1a3457db5b7;#14;#ET|ff6c3f4c-b02c-4c3c-ab07-2c37995a7a0a;#28;#ES|e7a6b05b-ae16-40c8-add9-68b64b03aeba;#25;#CS|72f9705b-0217-4fd3-bea2-cbc7ed80e26e;#39;#SL|98a412ae-eb01-49e9-ae3d-585a81724cfc;#37;#EL|6d4f4d51-af9b-4650-94b4-4276bee85c91;#9;#EN|f2175f21-25d7-44a3-96da-d6a61b075e1b;#12;#DA|5d49c027-8956-412b-aa16-e85a0f96ad0e;#19;#SK|46d9fce0-ef79-4f71-b89b-cd6aa82426b8</vt:lpwstr>
  </property>
  <property fmtid="{D5CDD505-2E9C-101B-9397-08002B2CF9AE}" pid="11" name="DocumentType_0">
    <vt:lpwstr>AS|c7a748eb-f6f2-4d9d-8b5a-af0cafebc224</vt:lpwstr>
  </property>
  <property fmtid="{D5CDD505-2E9C-101B-9397-08002B2CF9AE}" pid="12" name="MeetingNumber">
    <vt:i4>563</vt:i4>
  </property>
  <property fmtid="{D5CDD505-2E9C-101B-9397-08002B2CF9AE}" pid="13" name="DossierName_0">
    <vt:lpwstr>INT|e1edfecb-ed43-427b-bb02-d45fe6645386</vt:lpwstr>
  </property>
  <property fmtid="{D5CDD505-2E9C-101B-9397-08002B2CF9AE}" pid="14" name="DocumentSource_0">
    <vt:lpwstr>EESC|422833ec-8d7e-4e65-8e4e-8bed07ffb729</vt:lpwstr>
  </property>
  <property fmtid="{D5CDD505-2E9C-101B-9397-08002B2CF9AE}" pid="15" name="DocumentNumber">
    <vt:i4>2559</vt:i4>
  </property>
  <property fmtid="{D5CDD505-2E9C-101B-9397-08002B2CF9AE}" pid="16" name="DocumentVersion">
    <vt:i4>0</vt:i4>
  </property>
  <property fmtid="{D5CDD505-2E9C-101B-9397-08002B2CF9AE}" pid="17" name="DossierNumber">
    <vt:i4>952</vt:i4>
  </property>
  <property fmtid="{D5CDD505-2E9C-101B-9397-08002B2CF9AE}" pid="18" name="DocumentStatus">
    <vt:lpwstr>7;#TRA|150d2a88-1431-44e6-a8ca-0bb753ab8672</vt:lpwstr>
  </property>
  <property fmtid="{D5CDD505-2E9C-101B-9397-08002B2CF9AE}" pid="19" name="DocumentPart">
    <vt:i4>0</vt:i4>
  </property>
  <property fmtid="{D5CDD505-2E9C-101B-9397-08002B2CF9AE}" pid="20" name="DossierName">
    <vt:lpwstr>31;#INT|e1edfecb-ed43-427b-bb02-d45fe6645386</vt:lpwstr>
  </property>
  <property fmtid="{D5CDD505-2E9C-101B-9397-08002B2CF9AE}" pid="21" name="DocumentSource">
    <vt:lpwstr>1;#EESC|422833ec-8d7e-4e65-8e4e-8bed07ffb729</vt:lpwstr>
  </property>
  <property fmtid="{D5CDD505-2E9C-101B-9397-08002B2CF9AE}" pid="23" name="DocumentType">
    <vt:lpwstr>136;#AS|c7a748eb-f6f2-4d9d-8b5a-af0cafebc224</vt:lpwstr>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MeetingName_0">
    <vt:lpwstr>SPL-CES|32d8cb1f-c9ec-4365-95c7-8385a18618ac</vt:lpwstr>
  </property>
  <property fmtid="{D5CDD505-2E9C-101B-9397-08002B2CF9AE}" pid="27" name="Confidentiality_0">
    <vt:lpwstr>Unrestricted|826e22d7-d029-4ec0-a450-0c28ff673572</vt:lpwstr>
  </property>
  <property fmtid="{D5CDD505-2E9C-101B-9397-08002B2CF9AE}" pid="28" name="OriginalLanguage">
    <vt:lpwstr>11;#DE|f6b31e5a-26fa-4935-b661-318e46daf27e</vt:lpwstr>
  </property>
  <property fmtid="{D5CDD505-2E9C-101B-9397-08002B2CF9AE}" pid="29" name="MeetingName">
    <vt:lpwstr>50;#SPL-CES|32d8cb1f-c9ec-4365-95c7-8385a18618ac</vt:lpwstr>
  </property>
  <property fmtid="{D5CDD505-2E9C-101B-9397-08002B2CF9AE}" pid="30" name="MeetingDate">
    <vt:filetime>2021-09-22T12:00:00Z</vt:filetime>
  </property>
  <property fmtid="{D5CDD505-2E9C-101B-9397-08002B2CF9AE}" pid="31" name="AvailableTranslations_0">
    <vt:lpwstr>IT|0774613c-01ed-4e5d-a25d-11d2388de825;HR|2f555653-ed1a-4fe6-8362-9082d95989e5;FR|d2afafd3-4c81-4f60-8f52-ee33f2f54ff3;MT|7df99101-6854-4a26-b53a-b88c0da02c26;SV|c2ed69e7-a339-43d7-8f22-d93680a92aa0;LV|46f7e311-5d9f-4663-b433-18aeccb7ace7;DE|f6b31e5a-26fa-4935-b661-318e46daf27e;PT|50ccc04a-eadd-42ae-a0cb-acaf45f812ba;PL|1e03da61-4678-4e07-b136-b5024ca9197b;FI|87606a43-d45f-42d6-b8c9-e1a3457db5b7;ET|ff6c3f4c-b02c-4c3c-ab07-2c37995a7a0a;ES|e7a6b05b-ae16-40c8-add9-68b64b03aeba;SL|98a412ae-eb01-49e9-ae3d-585a81724cfc;DA|5d49c027-8956-412b-aa16-e85a0f96ad0e;SK|46d9fce0-ef79-4f71-b89b-cd6aa82426b8</vt:lpwstr>
  </property>
  <property fmtid="{D5CDD505-2E9C-101B-9397-08002B2CF9AE}" pid="32" name="DocumentStatus_0">
    <vt:lpwstr>TRA|150d2a88-1431-44e6-a8ca-0bb753ab8672</vt:lpwstr>
  </property>
  <property fmtid="{D5CDD505-2E9C-101B-9397-08002B2CF9AE}" pid="33" name="OriginalLanguage_0">
    <vt:lpwstr>DE|f6b31e5a-26fa-4935-b661-318e46daf27e</vt:lpwstr>
  </property>
  <property fmtid="{D5CDD505-2E9C-101B-9397-08002B2CF9AE}" pid="34" name="TaxCatchAll">
    <vt:lpwstr>42;#FI|87606a43-d45f-42d6-b8c9-e1a3457db5b7;#35;#PL|1e03da61-4678-4e07-b136-b5024ca9197b;#31;#INT|e1edfecb-ed43-427b-bb02-d45fe6645386;#28;#ES|e7a6b05b-ae16-40c8-add9-68b64b03aeba;#136;#AS|c7a748eb-f6f2-4d9d-8b5a-af0cafebc224;#38;#HR|2f555653-ed1a-4fe6-8362-9082d95989e5;#58;#MT|7df99101-6854-4a26-b53a-b88c0da02c26;#19;#SK|46d9fce0-ef79-4f71-b89b-cd6aa82426b8;#18;#LV|46f7e311-5d9f-4663-b433-18aeccb7ace7;#16;#IT|0774613c-01ed-4e5d-a25d-11d2388de825;#14;#ET|ff6c3f4c-b02c-4c3c-ab07-2c37995a7a0a;#50;#SPL-CES|32d8cb1f-c9ec-4365-95c7-8385a18618ac;#13;#PT|50ccc04a-eadd-42ae-a0cb-acaf45f812ba;#11;#DE|f6b31e5a-26fa-4935-b661-318e46daf27e;#7;#TRA|150d2a88-1431-44e6-a8ca-0bb753ab8672;#6;#Final|ea5e6674-7b27-4bac-b091-73adbb394efe;#5;#Unrestricted|826e22d7-d029-4ec0-a450-0c28ff673572;#4;#FR|d2afafd3-4c81-4f60-8f52-ee33f2f54ff3;#40;#SV|c2ed69e7-a339-43d7-8f22-d93680a92aa0;#39;#SL|98a412ae-eb01-49e9-ae3d-585a81724cfc;#1;#EESC|422833ec-8d7e-4e65-8e4e-8bed07ffb729;#12;#DA|5d49c027-8956-412b-aa16-e85a0f96ad0e</vt:lpwstr>
  </property>
  <property fmtid="{D5CDD505-2E9C-101B-9397-08002B2CF9AE}" pid="35" name="Rapporteur">
    <vt:lpwstr>BÖHME</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2021</vt:i4>
  </property>
  <property fmtid="{D5CDD505-2E9C-101B-9397-08002B2CF9AE}" pid="39" name="FicheNumber">
    <vt:i4>10428</vt:i4>
  </property>
  <property fmtid="{D5CDD505-2E9C-101B-9397-08002B2CF9AE}" pid="40" name="DocumentLanguage">
    <vt:lpwstr>37;#EL|6d4f4d51-af9b-4650-94b4-4276bee85c91</vt:lpwstr>
  </property>
  <property name="OP_sanitized" fmtid="{D5CDD505-2E9C-101B-9397-08002B2CF9AE}" pid="40">
    <vt:lpwstr>True</vt:lpwstr>
  </property>
</Properties>
</file>