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FEE6E" w14:textId="252CE8B8" w:rsidR="008E7AC1" w:rsidRPr="00514951" w:rsidRDefault="00A75262" w:rsidP="00A75262">
      <w:pPr>
        <w:pStyle w:val="Pagedecouverture"/>
        <w:rPr>
          <w:noProof/>
        </w:rPr>
      </w:pPr>
      <w:r>
        <w:rPr>
          <w:noProof/>
        </w:rPr>
        <w:pict w14:anchorId="69EE3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D4C02397-BA1D-4882-8798-9985755AA40D" style="width:455.25pt;height:341.25pt">
            <v:imagedata r:id="rId8" o:title=""/>
          </v:shape>
        </w:pict>
      </w:r>
    </w:p>
    <w:p w14:paraId="3D6AD3D1" w14:textId="77777777" w:rsidR="008E7AC1" w:rsidRPr="00514951" w:rsidRDefault="008E7AC1" w:rsidP="008E7AC1">
      <w:pPr>
        <w:rPr>
          <w:noProof/>
        </w:rPr>
        <w:sectPr w:rsidR="008E7AC1" w:rsidRPr="00514951" w:rsidSect="00A75262">
          <w:footerReference w:type="default" r:id="rId9"/>
          <w:pgSz w:w="11907" w:h="16839"/>
          <w:pgMar w:top="1134" w:right="1417" w:bottom="1134" w:left="1417" w:header="709" w:footer="709" w:gutter="0"/>
          <w:pgNumType w:start="0"/>
          <w:cols w:space="720"/>
          <w:docGrid w:linePitch="360"/>
        </w:sectPr>
      </w:pPr>
    </w:p>
    <w:p w14:paraId="464CDB4E" w14:textId="77777777" w:rsidR="008E7AC1" w:rsidRPr="00514951" w:rsidRDefault="008E7AC1" w:rsidP="00A75600">
      <w:pPr>
        <w:pStyle w:val="Exposdesmotifstitre"/>
        <w:rPr>
          <w:noProof/>
        </w:rPr>
      </w:pPr>
      <w:bookmarkStart w:id="0" w:name="_GoBack"/>
      <w:bookmarkEnd w:id="0"/>
      <w:r w:rsidRPr="00514951">
        <w:rPr>
          <w:noProof/>
        </w:rPr>
        <w:lastRenderedPageBreak/>
        <w:t>ΑΙΤΙΟΛΟΓΙΚΗ ΕΚΘΕΣΗ</w:t>
      </w:r>
    </w:p>
    <w:p w14:paraId="0D862C23" w14:textId="77777777" w:rsidR="00A75B61" w:rsidRPr="00514951" w:rsidRDefault="00A75B61" w:rsidP="00A75B61">
      <w:pPr>
        <w:pStyle w:val="ManualHeading1"/>
        <w:rPr>
          <w:noProof/>
        </w:rPr>
      </w:pPr>
      <w:r w:rsidRPr="00514951">
        <w:rPr>
          <w:noProof/>
        </w:rPr>
        <w:t>1.</w:t>
      </w:r>
      <w:r w:rsidRPr="00514951">
        <w:rPr>
          <w:noProof/>
        </w:rPr>
        <w:tab/>
        <w:t>ΠΛΑΙΣΙΟ ΤΗΣ ΚΑΤ’ ΕΞΟΥΣΙΟΔΟΤΗΣΗ ΠΡΑΞΗΣ</w:t>
      </w:r>
    </w:p>
    <w:p w14:paraId="6F57E44C" w14:textId="20C08355" w:rsidR="00A75B61" w:rsidRPr="00514951" w:rsidRDefault="00A75B61" w:rsidP="00A75B61">
      <w:pPr>
        <w:rPr>
          <w:rFonts w:eastAsia="Calibri"/>
          <w:noProof/>
          <w:color w:val="000000"/>
          <w:szCs w:val="24"/>
        </w:rPr>
      </w:pPr>
      <w:r w:rsidRPr="00514951">
        <w:rPr>
          <w:noProof/>
        </w:rPr>
        <w:t>Τον Σεπτέμβριο του 2018 το Ευρωπαϊκό Κοινοβούλιο και το Συμβούλιο εξέδωσαν τον κανονισμό (ΕΕ) 2018/1240 για τη θέσπιση Ευρωπαϊκού Συστήματος Πληροφοριών και Αδειοδότησης Ταξιδιού (ETIAS)</w:t>
      </w:r>
      <w:r w:rsidRPr="00514951">
        <w:rPr>
          <w:rStyle w:val="FootnoteReference"/>
          <w:noProof/>
        </w:rPr>
        <w:footnoteReference w:id="1"/>
      </w:r>
      <w:r w:rsidRPr="00514951">
        <w:rPr>
          <w:noProof/>
        </w:rPr>
        <w:t>.</w:t>
      </w:r>
      <w:r w:rsidRPr="00514951">
        <w:rPr>
          <w:noProof/>
          <w:color w:val="000000"/>
          <w:szCs w:val="24"/>
        </w:rPr>
        <w:t xml:space="preserve"> </w:t>
      </w:r>
    </w:p>
    <w:p w14:paraId="19DE308C" w14:textId="13D17416" w:rsidR="00A75B61" w:rsidRPr="00514951" w:rsidRDefault="00F93963" w:rsidP="00A75B61">
      <w:pPr>
        <w:rPr>
          <w:rFonts w:eastAsia="Calibri"/>
          <w:noProof/>
          <w:color w:val="000000"/>
          <w:szCs w:val="24"/>
        </w:rPr>
      </w:pPr>
      <w:r w:rsidRPr="00514951">
        <w:rPr>
          <w:noProof/>
          <w:color w:val="000000"/>
          <w:szCs w:val="24"/>
        </w:rPr>
        <w:t>Ο κανονισμός απαιτεί από την Ευρωπαϊκή Επιτροπή να εκδίδει κατ’ εξουσιοδότηση πράξεις για την ανάπτυξη και την τεχνική εφαρμογή του Ευρωπαϊκού Συστήματος Πληροφοριών και Αδειοδότησης Ταξιδιού.</w:t>
      </w:r>
    </w:p>
    <w:p w14:paraId="7BF924ED" w14:textId="149A1F28" w:rsidR="00A75B61" w:rsidRPr="00514951" w:rsidRDefault="00A75B61" w:rsidP="00A75B61">
      <w:pPr>
        <w:rPr>
          <w:rFonts w:eastAsia="Calibri"/>
          <w:noProof/>
          <w:color w:val="000000"/>
          <w:szCs w:val="24"/>
        </w:rPr>
      </w:pPr>
      <w:r w:rsidRPr="00514951">
        <w:rPr>
          <w:noProof/>
          <w:color w:val="000000"/>
          <w:szCs w:val="24"/>
        </w:rPr>
        <w:t xml:space="preserve">Ειδικότερα, σύμφωνα με το άρθρο 33 παράγραφος 2 του κανονισμού (ΕΕ) 2018/1240, ανατίθεται στην Επιτροπή το καθήκον έκδοσης κατ’ εξουσιοδότηση πράξεων «για τον περαιτέρω καθορισμό των εν λόγω κινδύνων που αφορούν την ασφάλεια ή την παράνομη μετανάστευση ή υψηλό επιδημικό κίνδυνο» με βάση τις στατιστικές και τις πληροφορίες που προβλέπονται στο άρθρο 33 παράγραφος 2 στοιχεία α) έως στ). </w:t>
      </w:r>
    </w:p>
    <w:p w14:paraId="200A8F89" w14:textId="77777777" w:rsidR="00A75B61" w:rsidRPr="00514951" w:rsidRDefault="00A75B61" w:rsidP="00A75B61">
      <w:pPr>
        <w:pStyle w:val="ManualHeading1"/>
        <w:rPr>
          <w:noProof/>
        </w:rPr>
      </w:pPr>
      <w:r w:rsidRPr="00514951">
        <w:rPr>
          <w:noProof/>
        </w:rPr>
        <w:t>2.</w:t>
      </w:r>
      <w:r w:rsidRPr="00514951">
        <w:rPr>
          <w:noProof/>
        </w:rPr>
        <w:tab/>
        <w:t>ΔΙΑΒΟΥΛΕΥΣΕΙΣ ΠΡΙΝ ΑΠΟ ΤΗΝ ΕΚΔΟΣΗ ΤΗΣ ΠΡΑΞΗΣ</w:t>
      </w:r>
    </w:p>
    <w:p w14:paraId="503142ED" w14:textId="4B7BB010" w:rsidR="00A75B61" w:rsidRPr="00514951" w:rsidRDefault="001C4966" w:rsidP="00A75B61">
      <w:pPr>
        <w:rPr>
          <w:rFonts w:eastAsia="Calibri"/>
          <w:noProof/>
          <w:color w:val="000000"/>
          <w:szCs w:val="24"/>
        </w:rPr>
      </w:pPr>
      <w:r w:rsidRPr="00514951">
        <w:rPr>
          <w:noProof/>
          <w:color w:val="000000"/>
          <w:szCs w:val="24"/>
        </w:rPr>
        <w:t xml:space="preserve">Συστάθηκε ομάδα εμπειρογνωμόνων για τα συστήματα πληροφοριών για τα σύνορα και την ασφάλεια, η οποία συνέβαλε στη σύνταξη της κατ’ εξουσιοδότηση πράξης. Σε όλα τα κράτη μέλη δόθηκε η ευκαιρία να ορίσουν εμπειρογνώμονες, σύμφωνα με το άρθρο 89 παράγραφος 4 του κανονισμού (ΕΕ) 2018/1240 και τις αρχές της διοργανικής συμφωνίας της 13ης Απριλίου 2016 για τη βελτίωση του νομοθετικού έργου. Ως αποτέλεσμα, η παρούσα απόφαση της Επιτροπής καταρτίστηκε με βάση τις εισηγήσεις εμπειρογνωμόνων των κρατών μελών στην ομάδα εμπειρογνωμόνων. Η διαβούλευση με την εν λόγω ομάδα εμπειρογνωμόνων πραγματοποιήθηκε από τις 3 Ιουλίου 2020 έως τις 15 Ιανουαρίου 2021 και στη συνέχεια το κείμενο θεωρήθηκε τελικό από τους εμπειρογνώμονες και την Επιτροπή. Οι εμπειρογνώμονες είχαν επίσης την ευκαιρία να παράσχουν στην Επιτροπή προφορικές και γραπτές παρατηρήσεις καθ’ όλη τη διάρκεια της περιόδου αυτής. </w:t>
      </w:r>
    </w:p>
    <w:p w14:paraId="0CE154DE" w14:textId="2B4AA1AF" w:rsidR="00A75B61" w:rsidRPr="00514951" w:rsidRDefault="00E740CA" w:rsidP="00A75B61">
      <w:pPr>
        <w:rPr>
          <w:rFonts w:eastAsia="Calibri"/>
          <w:noProof/>
          <w:color w:val="000000"/>
          <w:szCs w:val="24"/>
        </w:rPr>
      </w:pPr>
      <w:r w:rsidRPr="00514951">
        <w:rPr>
          <w:noProof/>
          <w:color w:val="000000"/>
          <w:szCs w:val="24"/>
        </w:rPr>
        <w:t xml:space="preserve">Ζητήθηκε η γνώμη του Ευρωπαϊκού Οργανισμού Συνοριοφυλακής και Ακτοφυλακής, στους κόλπους του οποίου θα συσταθεί η κεντρική μονάδα ETIAS, και η γνώμη της Ευρωπόλ. </w:t>
      </w:r>
    </w:p>
    <w:p w14:paraId="3B81892A" w14:textId="6DCB9AA7" w:rsidR="00A75B61" w:rsidRPr="00514951" w:rsidRDefault="00E740CA" w:rsidP="00A75B61">
      <w:pPr>
        <w:rPr>
          <w:rFonts w:eastAsia="Calibri"/>
          <w:noProof/>
          <w:color w:val="000000"/>
          <w:szCs w:val="24"/>
        </w:rPr>
      </w:pPr>
      <w:r w:rsidRPr="00514951">
        <w:rPr>
          <w:noProof/>
          <w:color w:val="000000"/>
          <w:szCs w:val="24"/>
        </w:rPr>
        <w:t xml:space="preserve">Ο Οργανισμός της Ευρωπαϊκής Ένωσης για τη Λειτουργική Διαχείριση Συστημάτων ΤΠ Μεγάλης Κλίμακας στον Χώρο Ελευθερίας, Ασφάλειας και Δικαιοσύνης («eu-LISA») ενημέρωσε, εξάλλου, την Επιτροπή σχετικά με τις τεχνικές ανάγκες και τη σκοπιμότητα της προτεινόμενης πρωτοβουλίας. </w:t>
      </w:r>
    </w:p>
    <w:p w14:paraId="7377D2CB" w14:textId="42CC75F0" w:rsidR="00A75B61" w:rsidRPr="00514951" w:rsidRDefault="00A75B61" w:rsidP="00A75B61">
      <w:pPr>
        <w:rPr>
          <w:rFonts w:eastAsia="Calibri"/>
          <w:noProof/>
          <w:color w:val="000000"/>
          <w:szCs w:val="24"/>
        </w:rPr>
      </w:pPr>
      <w:r w:rsidRPr="00514951">
        <w:rPr>
          <w:noProof/>
          <w:color w:val="000000"/>
          <w:szCs w:val="24"/>
        </w:rPr>
        <w:t xml:space="preserve">Πριν από την έκδοση ζητήθηκε η γνώμη του Ευρωπαίου Επόπτη Προστασίας Δεδομένων, ώστε να διασφαλιστεί ότι η προτεινόμενη πρωτοβουλία τηρεί τις διατάξεις για την προστασία των δεδομένων. </w:t>
      </w:r>
    </w:p>
    <w:p w14:paraId="56DE9AF9" w14:textId="77777777" w:rsidR="00A75B61" w:rsidRPr="00514951" w:rsidRDefault="00A75B61" w:rsidP="00A75B61">
      <w:pPr>
        <w:pStyle w:val="ManualHeading1"/>
        <w:rPr>
          <w:noProof/>
        </w:rPr>
      </w:pPr>
      <w:r w:rsidRPr="00514951">
        <w:rPr>
          <w:noProof/>
        </w:rPr>
        <w:t>3.</w:t>
      </w:r>
      <w:r w:rsidRPr="00514951">
        <w:rPr>
          <w:noProof/>
        </w:rPr>
        <w:tab/>
        <w:t>ΝΟΜΙΚΑ ΣΤΟΙΧΕΙΑ ΤΗΣ ΚΑΤ’ ΕΞΟΥΣΙΟΔΟΤΗΣΗ ΠΡΑΞΗΣ</w:t>
      </w:r>
    </w:p>
    <w:p w14:paraId="34EC2B95" w14:textId="5A486695" w:rsidR="00A75B61" w:rsidRPr="00514951" w:rsidRDefault="00A75B61" w:rsidP="00A75B61">
      <w:pPr>
        <w:spacing w:after="200"/>
        <w:rPr>
          <w:rFonts w:eastAsia="Calibri"/>
          <w:noProof/>
          <w:color w:val="000000"/>
          <w:szCs w:val="24"/>
        </w:rPr>
      </w:pPr>
      <w:r w:rsidRPr="00514951">
        <w:rPr>
          <w:noProof/>
          <w:color w:val="000000"/>
          <w:szCs w:val="24"/>
        </w:rPr>
        <w:t>Για να προσδιοριστούν οι συγκεκριμένοι δείκτες κινδύνου που χρησιμοποιούνται στο πλαίσιο της διαδικασίας διαλογής, είναι αναγκαίο να καθοριστούν οι κίνδυνοι που αφορούν την ασφάλεια, την παράνομη μετανάστευση ή τις επιδημικές εκρήξεις, με τη συλλογή και την ανάλυση στατιστικών, πληροφοριών και εκθέσεων που προβλέπονται στο άρθρο 33 παράγραφος 2 στοιχεία α) έως στ) του κανονισμού (ΕΕ) 2018/1240. Η ανάλυση αυτή θα καταλήξει σε σύνολα χαρακτηριστικών συγκεκριμένων ομάδων ταξιδιωτών που συνδέονται με τους εν λόγω κινδύνους. Η ερμηνεία αυτών των συνόλων χαρακτηριστικών θα επιτρέψει τον προσδιορισμό συγκεκριμένων κινδύνων. Αυτοί, με τη σειρά τους, θα αποτελέσουν τη βάση για την ανάπτυξη συγκεκριμένων δεικτών κινδύνου.</w:t>
      </w:r>
    </w:p>
    <w:p w14:paraId="6350C6E6" w14:textId="436D5E37" w:rsidR="00A75B61" w:rsidRPr="00514951" w:rsidRDefault="00A75B61" w:rsidP="00A75B61">
      <w:pPr>
        <w:spacing w:after="200"/>
        <w:rPr>
          <w:rFonts w:eastAsia="Calibri"/>
          <w:noProof/>
          <w:color w:val="000000"/>
          <w:szCs w:val="24"/>
        </w:rPr>
      </w:pPr>
      <w:r w:rsidRPr="00514951">
        <w:rPr>
          <w:noProof/>
          <w:color w:val="000000"/>
          <w:szCs w:val="24"/>
        </w:rPr>
        <w:t>Για να διασφαλιστεί ότι οι κίνδυνοι μπορούν να καθορίζονται με βάση τα στοιχεία που προβλέπονται στο άρθρο 33 παράγραφος 2 στοιχεία α) έως γ) του κανονισμού (ΕΕ) 2018/1240, είναι αναγκαίο να διασφαλιστεί ότι τα στοιχεία αυτά παρακολουθούνται και συλλέγονται από το Ευρωπαϊκό Σύστημα Πληροφοριών και Αδειοδότησης Ταξιδιού και το Σύστημα Εισόδου/Εξόδου σύμφωνα με τον κατ’ εξουσιοδότηση κανονισμό C(2021) 4982 της Επιτροπής</w:t>
      </w:r>
      <w:r w:rsidRPr="00514951">
        <w:rPr>
          <w:rStyle w:val="FootnoteReference"/>
          <w:rFonts w:eastAsia="Calibri"/>
          <w:noProof/>
          <w:color w:val="000000"/>
          <w:szCs w:val="24"/>
        </w:rPr>
        <w:footnoteReference w:id="2"/>
      </w:r>
      <w:r w:rsidRPr="00514951">
        <w:rPr>
          <w:noProof/>
          <w:color w:val="000000"/>
          <w:szCs w:val="24"/>
        </w:rPr>
        <w:t xml:space="preserve"> και κατά τρόπο που καθιστά δυνατό τον συνεχή προσδιορισμό συνόλων χαρακτηριστικών συγκεκριμένων ομάδων ταξιδιωτών που συνδέονται με υπέρβαση της επιτρεπόμενης διάρκειας παραμονής, άρνηση εισόδου ή απόρριψη αίτησης άδειας ταξιδιού. Για τον σκοπό αυτόν, η κεντρική μονάδα ETIAS θα πρέπει να εκτιμά τον συνολικό αριθμό των περιπτώσεων που συνδέονται με τις εν λόγω πρακτικές, να εντοπίζει συγκεκριμένες ομάδες ταξιδιωτών για τους οποίους οι εν λόγω πρακτικές εφαρμόζονται σε ασυνήθιστα ποσοστά, να προσδιορίζει τα σύνολα χαρακτηριστικών των συγκεκριμένων ομάδων ταξιδιωτών και οποιαδήποτε συσχέτιση με πληροφορίες που συλλέγονται μέσω των φακέλων αίτησής τους. </w:t>
      </w:r>
    </w:p>
    <w:p w14:paraId="2CEB423E" w14:textId="3CD5E589" w:rsidR="00A75B61" w:rsidRPr="00514951" w:rsidRDefault="00A75B61" w:rsidP="00A75B61">
      <w:pPr>
        <w:spacing w:after="200"/>
        <w:rPr>
          <w:rFonts w:eastAsia="Calibri"/>
          <w:noProof/>
          <w:color w:val="000000"/>
          <w:szCs w:val="24"/>
        </w:rPr>
      </w:pPr>
      <w:r w:rsidRPr="00514951">
        <w:rPr>
          <w:noProof/>
          <w:color w:val="000000"/>
          <w:szCs w:val="24"/>
        </w:rPr>
        <w:t xml:space="preserve">Ομοίως, όσον αφορά τις αρνήσεις εισόδου και τα πρόσωπα που υπερβαίνουν την επιτρεπόμενη διάρκεια παραμονής, τα κράτη μέλη που είναι υπεύθυνα για την παροχή των δεδομένων που προβλέπονται στο άρθρο 33 παράγραφος 2 στοιχείο ε) του κανονισμού (ΕΕ) 2018/1240 μέσω των εθνικών μονάδων ETIAS θα πρέπει να παρέχουν, βάσει αποδεικτικών στοιχείων, σύνολα χαρακτηριστικών συγκεκριμένων ομάδων ταξιδιωτών που συνδέονται με υπέρβαση της επιτρεπόμενης διάρκειας παραμονής ή άρνηση εισόδου. Για τον σκοπό αυτόν, τα κράτη μέλη θα πρέπει να εντοπίζουν ασυνήθιστα ποσοστά προσώπων που υπερβαίνουν την επιτρεπόμενη διάρκεια παραμονής σε ορισμένο κράτος μέλος ή σε συγκεκριμένη περιοχή κράτους μέλους ή ασυνήθιστα ποσοστά άρνησης εισόδου από ορισμένο κράτος μέλος για συγκεκριμένες ομάδες ταξιδιωτών σε σύγκριση με άλλες συγκεκριμένες ομάδες ταξιδιωτών. Η ανάλυση αυτή θα πρέπει να επανεξετάζεται κάθε 6 μήνες. </w:t>
      </w:r>
    </w:p>
    <w:p w14:paraId="58591273" w14:textId="5A36C2A8" w:rsidR="00A75B61" w:rsidRPr="00514951" w:rsidRDefault="00A75B61" w:rsidP="00A75B61">
      <w:pPr>
        <w:spacing w:after="200"/>
        <w:rPr>
          <w:rFonts w:eastAsia="Calibri"/>
          <w:noProof/>
          <w:color w:val="000000"/>
          <w:szCs w:val="24"/>
        </w:rPr>
      </w:pPr>
      <w:r w:rsidRPr="00514951">
        <w:rPr>
          <w:noProof/>
          <w:color w:val="000000"/>
          <w:szCs w:val="24"/>
        </w:rPr>
        <w:t>Για να διασφαλιστεί ότι οι κίνδυνοι μπορούν να καθορίζονται με βάση τα στοιχεία που προβλέπονται στο άρθρο 33 παράγραφος 2 στοιχείο δ) του κανονισμού (ΕΕ) 2018/1240, τα κράτη μέλη που είναι υπεύθυνα για την παροχή των δεδομένων που αναφέρονται στην παρούσα διάταξη μέσω των εθνικών τους μονάδων ETIAS θα πρέπει να παρέχουν σύνολα χαρακτηριστικών συγκεκριμένων ομάδων ταξιδιωτών που συνδέονται με κινδύνους για την ασφάλεια οι οποίοι εντοπίζονται βάσει γνωστών πραγματικών περιστατικών και αποδεικτικών στοιχείων. Η ανάλυση αυτή θα πρέπει να επανεξετάζεται κάθε 6 μήνες.</w:t>
      </w:r>
    </w:p>
    <w:p w14:paraId="6C259C04" w14:textId="52C67B67" w:rsidR="00A75B61" w:rsidRPr="00514951" w:rsidRDefault="00A75B61" w:rsidP="00A75B61">
      <w:pPr>
        <w:spacing w:after="200"/>
        <w:rPr>
          <w:rFonts w:eastAsia="Calibri"/>
          <w:noProof/>
          <w:color w:val="000000"/>
          <w:szCs w:val="24"/>
        </w:rPr>
      </w:pPr>
      <w:r w:rsidRPr="00514951">
        <w:rPr>
          <w:noProof/>
          <w:color w:val="000000"/>
          <w:szCs w:val="24"/>
        </w:rPr>
        <w:t>Τέλος, για να διασφαλιστεί ότι οι κίνδυνοι μπορούν να καθορίζονται με βάση τα στοιχεία που προβλέπονται στο άρθρο 33 παράγραφος 2 στοιχείο στ) του κανονισμού (ΕΕ) 2018/1240, οι επιδημιολογικές αξιολογήσεις κινδύνου που παρέχονται από τα κράτη μέλη, ιδίως μέσω του δικτύου επιδημιολογικής επιτήρησης και ελέγχου των μεταδοτικών ασθενειών και του συστήματος έγκαιρης προειδοποίησης και αντίδρασης, του Ευρωπαϊκού Κέντρου Πρόληψης και Ελέγχου Νόσων και του Παγκόσμιου Οργανισμού Υγείας, θα πρέπει να περιλαμβάνουν έναν ελάχιστο αριθμό στοιχείων που να καθιστά δυνατό τον προσδιορισμό συνόλων χαρακτηριστικών συγκεκριμένων ομάδων ταξιδιωτών που συνδέονται με υψηλούς επιδημικούς κινδύνους.</w:t>
      </w:r>
    </w:p>
    <w:p w14:paraId="619E890A" w14:textId="2C0F2036" w:rsidR="00493564" w:rsidRPr="00514951" w:rsidRDefault="00493564" w:rsidP="00493564">
      <w:pPr>
        <w:rPr>
          <w:noProof/>
          <w:sz w:val="23"/>
          <w:szCs w:val="23"/>
        </w:rPr>
        <w:sectPr w:rsidR="00493564" w:rsidRPr="00514951" w:rsidSect="00A75262">
          <w:footerReference w:type="default" r:id="rId10"/>
          <w:footerReference w:type="first" r:id="rId11"/>
          <w:pgSz w:w="11907" w:h="16839"/>
          <w:pgMar w:top="1134" w:right="1417" w:bottom="1134" w:left="1417" w:header="709" w:footer="709" w:gutter="0"/>
          <w:cols w:space="708"/>
          <w:docGrid w:linePitch="360"/>
        </w:sectPr>
      </w:pPr>
    </w:p>
    <w:p w14:paraId="05E4AB55" w14:textId="5BAA2F87" w:rsidR="008E7AC1" w:rsidRPr="00514951" w:rsidRDefault="00514951" w:rsidP="00514951">
      <w:pPr>
        <w:pStyle w:val="Typedudocument"/>
        <w:rPr>
          <w:noProof/>
        </w:rPr>
      </w:pPr>
      <w:r w:rsidRPr="00514951">
        <w:rPr>
          <w:noProof/>
        </w:rPr>
        <w:t>ΚΑΤ’</w:t>
      </w:r>
      <w:r>
        <w:rPr>
          <w:noProof/>
        </w:rPr>
        <w:t> </w:t>
      </w:r>
      <w:r w:rsidRPr="00514951">
        <w:rPr>
          <w:noProof/>
        </w:rPr>
        <w:t>ΕΞΟΥΣΙΟΔΟΤΗΣΗ ΑΠΟΦΑΣΗ ΤΗΣ ΕΠΙΤΡΟΠΗΣ</w:t>
      </w:r>
    </w:p>
    <w:p w14:paraId="308D7FC5" w14:textId="3053A0D5" w:rsidR="008E7AC1" w:rsidRPr="00514951" w:rsidRDefault="00967F75" w:rsidP="00514951">
      <w:pPr>
        <w:pStyle w:val="Datedadoption"/>
        <w:rPr>
          <w:noProof/>
        </w:rPr>
      </w:pPr>
      <w:r>
        <w:t>της 23.11.2021</w:t>
      </w:r>
    </w:p>
    <w:p w14:paraId="3F6B82A1" w14:textId="44D9643E" w:rsidR="008E7AC1" w:rsidRPr="00514951" w:rsidRDefault="00514951" w:rsidP="00514951">
      <w:pPr>
        <w:pStyle w:val="Titreobjet"/>
        <w:rPr>
          <w:noProof/>
        </w:rPr>
      </w:pPr>
      <w:r w:rsidRPr="00514951">
        <w:rPr>
          <w:noProof/>
        </w:rPr>
        <w:t xml:space="preserve">σχετικά με τον περαιτέρω καθορισμό των κινδύνων που αφορούν την ασφάλεια, την παράνομη μετανάστευση ή των υψηλών επιδημικών κινδύνων  </w:t>
      </w:r>
    </w:p>
    <w:p w14:paraId="1A7F4111" w14:textId="77777777" w:rsidR="008E7AC1" w:rsidRPr="00514951" w:rsidRDefault="008E7AC1" w:rsidP="00C04C44">
      <w:pPr>
        <w:pStyle w:val="Institutionquiagit"/>
        <w:rPr>
          <w:noProof/>
        </w:rPr>
      </w:pPr>
      <w:r w:rsidRPr="00514951">
        <w:rPr>
          <w:noProof/>
        </w:rPr>
        <w:t>Η ΕΥΡΩΠΑΪΚΗ ΕΠΙΤΡΟΠΗ,</w:t>
      </w:r>
    </w:p>
    <w:p w14:paraId="1EEFF634" w14:textId="77777777" w:rsidR="008E7AC1" w:rsidRPr="00514951" w:rsidRDefault="008E7AC1" w:rsidP="00C04C44">
      <w:pPr>
        <w:rPr>
          <w:noProof/>
        </w:rPr>
      </w:pPr>
      <w:r w:rsidRPr="00514951">
        <w:rPr>
          <w:noProof/>
        </w:rPr>
        <w:t>Έχοντας υπόψη τη Συνθήκη για τη λειτουργία της Ευρωπαϊκής Ένωσης,</w:t>
      </w:r>
    </w:p>
    <w:p w14:paraId="76C4F83D" w14:textId="77777777" w:rsidR="00A75B61" w:rsidRPr="00514951" w:rsidRDefault="00A75B61" w:rsidP="00A75B61">
      <w:pPr>
        <w:rPr>
          <w:noProof/>
        </w:rPr>
      </w:pPr>
      <w:r w:rsidRPr="00514951">
        <w:rPr>
          <w:noProof/>
        </w:rPr>
        <w:t>Έχοντας υπόψη τον κανονισμό (ΕΕ) 2018/1240 του Ευρωπαϊκού Κοινοβουλίου και του Συμβουλίου, της 12ης Σεπτεμβρίου 2018, για τη θέσπιση Ευρωπαϊκού Συστήματος Πληροφοριών και Αδειοδότησης Ταξιδιού (ETIAS), καθώς και για την τροποποίηση των κανονισμών (ΕΕ) αριθ. 1077/2011, (ΕΕ) αριθ. 515/2014, (ΕΕ) 2016/399, (ΕΕ) 2016/1624 και (ΕΕ) 2017/2226</w:t>
      </w:r>
      <w:r w:rsidRPr="00514951">
        <w:rPr>
          <w:rStyle w:val="FootnoteReference"/>
          <w:noProof/>
        </w:rPr>
        <w:footnoteReference w:id="3"/>
      </w:r>
      <w:r w:rsidRPr="00514951">
        <w:rPr>
          <w:noProof/>
        </w:rPr>
        <w:t>, και ιδίως το άρθρο 33 παράγραφος 2,</w:t>
      </w:r>
    </w:p>
    <w:p w14:paraId="7D7423B5" w14:textId="77777777" w:rsidR="00A75B61" w:rsidRPr="00514951" w:rsidRDefault="00A75B61" w:rsidP="00A75B61">
      <w:pPr>
        <w:rPr>
          <w:noProof/>
        </w:rPr>
      </w:pPr>
      <w:r w:rsidRPr="00514951">
        <w:rPr>
          <w:noProof/>
        </w:rPr>
        <w:t>Εκτιμώντας τα ακόλουθα:</w:t>
      </w:r>
    </w:p>
    <w:p w14:paraId="6B8AD827" w14:textId="3CC49481" w:rsidR="00A75B61" w:rsidRPr="00514951" w:rsidRDefault="004971E6" w:rsidP="004971E6">
      <w:pPr>
        <w:pStyle w:val="ManualConsidrant"/>
        <w:rPr>
          <w:noProof/>
        </w:rPr>
      </w:pPr>
      <w:r w:rsidRPr="004971E6">
        <w:t>(1)</w:t>
      </w:r>
      <w:r w:rsidRPr="004971E6">
        <w:tab/>
      </w:r>
      <w:r w:rsidR="00A75B61" w:rsidRPr="00514951">
        <w:rPr>
          <w:noProof/>
        </w:rPr>
        <w:t xml:space="preserve">O κανονισμός (ΕΕ) 2018/1240 θεσπίζει το Ευρωπαϊκό Σύστημα Πληροφοριών και Αδειοδότησης Ταξιδιού (ETIAS), το οποίο εφαρμόζεται σε υπηκόους τρίτων χωρών που δεν υποχρεούνται να διαθέτουν θεώρηση για να εισέλθουν στο έδαφος των κρατών μελών. </w:t>
      </w:r>
    </w:p>
    <w:p w14:paraId="489344AE" w14:textId="7AAF93C3" w:rsidR="00A75B61" w:rsidRPr="00514951" w:rsidRDefault="004971E6" w:rsidP="004971E6">
      <w:pPr>
        <w:pStyle w:val="ManualConsidrant"/>
        <w:rPr>
          <w:noProof/>
        </w:rPr>
      </w:pPr>
      <w:r w:rsidRPr="004971E6">
        <w:t>(2)</w:t>
      </w:r>
      <w:r w:rsidRPr="004971E6">
        <w:tab/>
      </w:r>
      <w:r w:rsidR="00A75B61" w:rsidRPr="00514951">
        <w:rPr>
          <w:noProof/>
        </w:rPr>
        <w:t xml:space="preserve">Οι αιτήσεις αδειοδότησης πρέπει να υπόκεινται σε κανόνες διαλογής που επιτρέπουν την ανάλυση των δεδομένων που καταγράφονται στις αιτήσεις με βάση συγκεκριμένους δείκτες κινδύνου που αντιστοιχούν σε κινδύνους που αφορούν την ασφάλεια, την παράνομη μετανάστευση ή υψηλούς επιδημικούς κινδύνους που έχουν προσδιοριστεί προηγουμένως. </w:t>
      </w:r>
    </w:p>
    <w:p w14:paraId="54BEB26F" w14:textId="70013DDF" w:rsidR="00A75B61" w:rsidRPr="00514951" w:rsidRDefault="004971E6" w:rsidP="004971E6">
      <w:pPr>
        <w:pStyle w:val="ManualConsidrant"/>
        <w:rPr>
          <w:noProof/>
        </w:rPr>
      </w:pPr>
      <w:r w:rsidRPr="004971E6">
        <w:t>(3)</w:t>
      </w:r>
      <w:r w:rsidRPr="004971E6">
        <w:tab/>
      </w:r>
      <w:r w:rsidR="00A75B61" w:rsidRPr="00514951">
        <w:rPr>
          <w:noProof/>
        </w:rPr>
        <w:t xml:space="preserve">Για να προσδιοριστούν οι συγκεκριμένοι δείκτες κινδύνου που χρησιμοποιούνται στο πλαίσιο της διαδικασίας διαλογής, είναι αναγκαίο να καθοριστούν περαιτέρω οι εν λόγω κίνδυνοι, με τη συλλογή και την ανάλυση στατιστικών και πληροφοριών που προβλέπονται στο άρθρο 33 παράγραφος 2 στοιχεία α) έως στ) του κανονισμού (ΕΕ) 2018/1240. Η ανάλυση αυτή πρέπει να καταλήξει σε σύνολα χαρακτηριστικών συγκεκριμένων ομάδων ταξιδιωτών που συνδέονται με κινδύνους που αφορούν την ασφάλεια, την παράνομη μετανάστευση ή υψηλούς επιδημικούς κινδύνους. </w:t>
      </w:r>
      <w:r w:rsidR="00A75B61" w:rsidRPr="00514951">
        <w:rPr>
          <w:noProof/>
          <w:color w:val="000000"/>
          <w:szCs w:val="24"/>
        </w:rPr>
        <w:t xml:space="preserve">Η ερμηνεία αυτών των συνόλων χαρακτηριστικών θα επιτρέψει τον προσδιορισμό συγκεκριμένων κινδύνων. </w:t>
      </w:r>
      <w:r w:rsidR="00A75B61" w:rsidRPr="00514951">
        <w:rPr>
          <w:noProof/>
        </w:rPr>
        <w:t>Αυτοί, με τη σειρά τους, θα αποτελέσουν τη βάση για την ανάπτυξη συγκεκριμένων δεικτών κινδύνου.</w:t>
      </w:r>
    </w:p>
    <w:p w14:paraId="32D02364" w14:textId="450871C4" w:rsidR="00A75B61" w:rsidRPr="00514951" w:rsidRDefault="004971E6" w:rsidP="004971E6">
      <w:pPr>
        <w:pStyle w:val="ManualConsidrant"/>
        <w:rPr>
          <w:noProof/>
        </w:rPr>
      </w:pPr>
      <w:r w:rsidRPr="004971E6">
        <w:t>(4)</w:t>
      </w:r>
      <w:r w:rsidRPr="004971E6">
        <w:tab/>
      </w:r>
      <w:r w:rsidR="00A75B61" w:rsidRPr="00514951">
        <w:rPr>
          <w:noProof/>
        </w:rPr>
        <w:t xml:space="preserve">Για να διασφαλιστεί ότι οι κίνδυνοι μπορούν να καθορίζονται με βάση τα στοιχεία που προβλέπονται στο άρθρο 33 παράγραφος 2 στοιχεία α) έως γ) του κανονισμού (ΕΕ) 2018/1240, είναι αναγκαίο να διασφαλιστεί ότι τα στοιχεία αυτά παρακολουθούνται και συλλέγονται από το Ευρωπαϊκό Σύστημα Πληροφοριών και Αδειοδότησης Ταξιδιού και το Σύστημα Εισόδου/Εξόδου σύμφωνα με τον κατ’ εξουσιοδότηση κανονισμό C(2021)4982 της Επιτροπής και κατά τρόπο που καθιστά δυνατό τον συνεχή προσδιορισμό συνόλων χαρακτηριστικών συγκεκριμένων ομάδων ταξιδιωτών που συνδέονται με υπέρβαση της επιτρεπόμενης διάρκειας παραμονής, άρνηση εισόδου ή απόρριψη αίτησης άδειας ταξιδιού. Για τον σκοπό αυτόν, η κεντρική μονάδα ETIAS θα πρέπει να εκτιμά τον συνολικό αριθμό των περιπτώσεων που συνδέονται με τις εν λόγω πρακτικές, να εντοπίζει συγκεκριμένες ομάδες ταξιδιωτών για τους οποίους οι εν λόγω πρακτικές εφαρμόζονται σε ασυνήθιστα ποσοστά, να προσδιορίζει τα σύνολα χαρακτηριστικών των συγκεκριμένων ομάδων ταξιδιωτών και οποιαδήποτε συσχέτιση με πληροφορίες που συλλέγονται μέσω των φακέλων αίτησής τους. </w:t>
      </w:r>
    </w:p>
    <w:p w14:paraId="75EA8FB6" w14:textId="3E3CFED1" w:rsidR="00A75B61" w:rsidRPr="00514951" w:rsidRDefault="004971E6" w:rsidP="004971E6">
      <w:pPr>
        <w:pStyle w:val="ManualConsidrant"/>
        <w:rPr>
          <w:noProof/>
        </w:rPr>
      </w:pPr>
      <w:r w:rsidRPr="004971E6">
        <w:t>(5)</w:t>
      </w:r>
      <w:r w:rsidRPr="004971E6">
        <w:tab/>
      </w:r>
      <w:r w:rsidR="00A75B61" w:rsidRPr="00514951">
        <w:rPr>
          <w:noProof/>
        </w:rPr>
        <w:t xml:space="preserve">Ομοίως, όσον αφορά τις αρνήσεις εισόδου και τα πρόσωπα που υπερβαίνουν την επιτρεπόμενη διάρκεια παραμονής, τα κράτη μέλη που είναι υπεύθυνα για την παροχή των δεδομένων που προβλέπονται στο άρθρο 33 παράγραφος 2 στοιχείο ε) του κανονισμού (ΕΕ) 2018/1240 μέσω των εθνικών τους μονάδων ETIAS θα πρέπει να παρέχουν σύνολα χαρακτηριστικών συγκεκριμένων ομάδων ταξιδιωτών που συνδέονται με υπέρβαση της επιτρεπόμενης διάρκειας παραμονής ή άρνηση εισόδου. Για τον σκοπό αυτόν, τα κράτη μέλη θα πρέπει να εντοπίζουν ασυνήθιστα ποσοστά προσώπων που υπερβαίνουν την επιτρεπόμενη διάρκεια παραμονής σε ορισμένο κράτος μέλος ή σε συγκεκριμένη περιοχή κράτους μέλους ή ασυνήθιστα ποσοστά άρνησης εισόδου από ορισμένο κράτος μέλος για συγκεκριμένες ομάδες ταξιδιωτών σε σύγκριση με άλλες συγκεκριμένες ομάδες ταξιδιωτών. Η ανάλυση αυτή θα πρέπει να επανεξετάζεται κάθε 6 μήνες. </w:t>
      </w:r>
    </w:p>
    <w:p w14:paraId="429837E5" w14:textId="7D40E924" w:rsidR="00A75B61" w:rsidRPr="00514951" w:rsidRDefault="004971E6" w:rsidP="004971E6">
      <w:pPr>
        <w:pStyle w:val="ManualConsidrant"/>
        <w:rPr>
          <w:noProof/>
        </w:rPr>
      </w:pPr>
      <w:r w:rsidRPr="004971E6">
        <w:t>(6)</w:t>
      </w:r>
      <w:r w:rsidRPr="004971E6">
        <w:tab/>
      </w:r>
      <w:r w:rsidR="00A75B61" w:rsidRPr="00514951">
        <w:rPr>
          <w:noProof/>
        </w:rPr>
        <w:t>Για να διασφαλιστεί ότι οι κίνδυνοι μπορούν να καθορίζονται με βάση τα στοιχεία που προβλέπονται στο άρθρο 33 παράγραφος 2 στοιχείο δ) του κανονισμού (ΕΕ) 2018/1240, τα κράτη μέλη που είναι υπεύθυνα για την παροχή των δεδομένων που αναφέρονται στην παρούσα διάταξη μέσω των εθνικών τους μονάδων ETIAS θα πρέπει να παρέχουν σύνολα χαρακτηριστικών συγκεκριμένων ομάδων ταξιδιωτών που συνδέονται με κινδύνους για την ασφάλεια οι οποίοι εντοπίζονται βάσει γνωστών πραγματικών περιστατικών και αποδεικτικών στοιχείων. Η ανάλυση αυτή θα πρέπει να επανεξετάζεται κάθε 6 μήνες.</w:t>
      </w:r>
    </w:p>
    <w:p w14:paraId="64A532EB" w14:textId="1F619294" w:rsidR="00A75B61" w:rsidRPr="00514951" w:rsidRDefault="004971E6" w:rsidP="004971E6">
      <w:pPr>
        <w:pStyle w:val="ManualConsidrant"/>
        <w:rPr>
          <w:noProof/>
        </w:rPr>
      </w:pPr>
      <w:r w:rsidRPr="004971E6">
        <w:t>(7)</w:t>
      </w:r>
      <w:r w:rsidRPr="004971E6">
        <w:tab/>
      </w:r>
      <w:r w:rsidR="00A75B61" w:rsidRPr="00514951">
        <w:rPr>
          <w:noProof/>
        </w:rPr>
        <w:t>Για να διασφαλιστεί ότι οι κίνδυνοι μπορούν να καθορίζονται με βάση τα στοιχεία που προβλέπονται στο άρθρο 33 παράγραφος 2 στοιχείο στ) του κανονισμού (ΕΕ) 2018/1240, οι επιδημιολογικές αξιολογήσεις κινδύνου που παρέχονται από τα κράτη μέλη, ιδίως μέσω του δικτύου επιδημιολογικής παρακολούθησης και ελέγχου των μεταδοτικών ασθενειών και του συστήματος έγκαιρης προειδοποίησης και αντίδρασης, του Ευρωπαϊκού Κέντρου Πρόληψης και Ελέγχου Νόσων και του Παγκόσμιου Οργανισμού Υγείας, θα πρέπει να περιλαμβάνουν έναν ελάχιστο αριθμό στοιχείων που να καθιστά δυνατό τον προσδιορισμό συνόλων χαρακτηριστικών συγκεκριμένων ομάδων ταξιδιωτών που συνδέονται με υψηλούς επιδημικούς κινδύνους.</w:t>
      </w:r>
    </w:p>
    <w:p w14:paraId="309F3C56" w14:textId="73BC71AB" w:rsidR="00A75B61" w:rsidRPr="00514951" w:rsidRDefault="004971E6" w:rsidP="004971E6">
      <w:pPr>
        <w:pStyle w:val="ManualConsidrant"/>
        <w:rPr>
          <w:noProof/>
        </w:rPr>
      </w:pPr>
      <w:r w:rsidRPr="004971E6">
        <w:t>(8)</w:t>
      </w:r>
      <w:r w:rsidRPr="004971E6">
        <w:tab/>
      </w:r>
      <w:r w:rsidR="00A75B61" w:rsidRPr="00514951">
        <w:rPr>
          <w:noProof/>
        </w:rPr>
        <w:t>Κατά τον προσδιορισμό των συνόλων χαρακτηριστικών συγκεκριμένων ομάδων ταξιδιωτών που συνδέονται με συγκεκριμένο κίνδυνο, η κεντρική μονάδα ETIAS και τα κράτη μέλη θα πρέπει να λαμβάνουν υπόψη το ηλικιακό φάσμα, το φύλο, την ιθαγένεια, τη χώρα και την πόλη διαμονής, το επίπεδο εκπαίδευσης και το τρέχον επάγγελμα των ατόμων στη συγκεκριμένη ομάδα ταξιδιωτών που προσδιορίστηκε.</w:t>
      </w:r>
    </w:p>
    <w:p w14:paraId="5E394E0F" w14:textId="66B2C856" w:rsidR="008522D9" w:rsidRPr="00514951" w:rsidRDefault="004971E6" w:rsidP="004971E6">
      <w:pPr>
        <w:pStyle w:val="ManualConsidrant"/>
        <w:rPr>
          <w:noProof/>
        </w:rPr>
      </w:pPr>
      <w:r w:rsidRPr="004971E6">
        <w:t>(9)</w:t>
      </w:r>
      <w:r w:rsidRPr="004971E6">
        <w:tab/>
      </w:r>
      <w:r w:rsidR="008522D9" w:rsidRPr="00514951">
        <w:rPr>
          <w:noProof/>
        </w:rPr>
        <w:t>Δεδομένου ότι ο κανονισμός (ΕΕ) 2018/1240 αναπτύσσει περαιτέρω το κεκτημένο του Σένγκεν, σύμφωνα με το άρθρο 4 του πρωτοκόλλου αριθ. 22 σχετικά με τη θέση της Δανίας, το οποίο προσαρτάται στη Συνθήκη για την Ευρωπαϊκή Ένωση και στη Συνθήκη για τη λειτουργία της Ευρωπαϊκής Ένωσης, η Δανία κοινοποίησε τη μεταφορά του κανονισμού (ΕΕ) 2018/1240 στην εθνική της νομοθεσία. Ως εκ τούτου, η Δανία δεσμεύεται από την παρούσα απόφαση.</w:t>
      </w:r>
    </w:p>
    <w:p w14:paraId="42FB1CA2" w14:textId="7BB1951F" w:rsidR="00A75B61" w:rsidRPr="00514951" w:rsidRDefault="004971E6" w:rsidP="004971E6">
      <w:pPr>
        <w:pStyle w:val="ManualConsidrant"/>
        <w:rPr>
          <w:noProof/>
        </w:rPr>
      </w:pPr>
      <w:r w:rsidRPr="004971E6">
        <w:t>(10)</w:t>
      </w:r>
      <w:r w:rsidRPr="004971E6">
        <w:tab/>
      </w:r>
      <w:r w:rsidR="00A75B61" w:rsidRPr="00514951">
        <w:rPr>
          <w:noProof/>
        </w:rPr>
        <w:t>Η παρούσα απόφαση συνιστά ανάπτυξη των διατάξεων του κεκτημένου του Σένγκεν στις οποίες δεν συμμετέχει η Ιρλανδία</w:t>
      </w:r>
      <w:r w:rsidR="00A75B61" w:rsidRPr="00514951">
        <w:rPr>
          <w:rStyle w:val="FootnoteReference"/>
          <w:noProof/>
          <w:szCs w:val="24"/>
        </w:rPr>
        <w:footnoteReference w:id="4"/>
      </w:r>
      <w:r w:rsidR="00A75B61" w:rsidRPr="00514951">
        <w:rPr>
          <w:noProof/>
        </w:rPr>
        <w:t>. Ως εκ τούτου, η Ιρλανδία δεν συμμετέχει στη θέσπιση της παρούσας απόφασης και δεν δεσμεύεται από αυτήν ούτε υπόκειται στην εφαρμογή της.</w:t>
      </w:r>
    </w:p>
    <w:p w14:paraId="368646B2" w14:textId="61725EF4" w:rsidR="00A75B61" w:rsidRPr="00514951" w:rsidRDefault="004971E6" w:rsidP="004971E6">
      <w:pPr>
        <w:pStyle w:val="ManualConsidrant"/>
        <w:rPr>
          <w:noProof/>
        </w:rPr>
      </w:pPr>
      <w:r w:rsidRPr="004971E6">
        <w:t>(11)</w:t>
      </w:r>
      <w:r w:rsidRPr="004971E6">
        <w:tab/>
      </w:r>
      <w:r w:rsidR="00A75B61" w:rsidRPr="00514951">
        <w:rPr>
          <w:noProof/>
        </w:rPr>
        <w:t>Όσον αφορά την Ισλανδία και τη Νορβηγία, η παρούσα απόφαση αποτελεί ανάπτυξη των διατάξεων του κεκτημένου του Σένγκεν, κατά την έννοια της συμφωνίας που έχει συναφθεί από το Συμβούλιο της Ευρωπαϊκής Ένωσης, τη Δημοκρατία της Ισλανδίας και το Βασίλειο της Νορβηγίας για τη σύνδεση των δύο αυτών κρατών με την υλοποίηση, την εφαρμογή και την ανάπτυξη του κεκτημένου του Σένγκεν</w:t>
      </w:r>
      <w:r w:rsidR="00A75B61" w:rsidRPr="00514951">
        <w:rPr>
          <w:rStyle w:val="FootnoteReference"/>
          <w:noProof/>
          <w:szCs w:val="24"/>
        </w:rPr>
        <w:footnoteReference w:id="5"/>
      </w:r>
      <w:r w:rsidR="00A75B61" w:rsidRPr="00514951">
        <w:rPr>
          <w:noProof/>
        </w:rPr>
        <w:t>, οι οποίες διατάξεις εμπίπτουν στον τομέα στον οποίο αναφέρεται το άρθρο 1 στοιχείο Α της απόφασης 1999/437/ΕΚ του Συμβουλίου</w:t>
      </w:r>
      <w:r w:rsidR="00A75B61" w:rsidRPr="00514951">
        <w:rPr>
          <w:rStyle w:val="FootnoteReference"/>
          <w:noProof/>
          <w:szCs w:val="24"/>
        </w:rPr>
        <w:footnoteReference w:id="6"/>
      </w:r>
      <w:r w:rsidR="00A75B61" w:rsidRPr="00514951">
        <w:rPr>
          <w:noProof/>
        </w:rPr>
        <w:t>.</w:t>
      </w:r>
    </w:p>
    <w:p w14:paraId="5852FE51" w14:textId="65935D62" w:rsidR="00A75B61" w:rsidRPr="00514951" w:rsidRDefault="004971E6" w:rsidP="004971E6">
      <w:pPr>
        <w:pStyle w:val="ManualConsidrant"/>
        <w:rPr>
          <w:noProof/>
        </w:rPr>
      </w:pPr>
      <w:r w:rsidRPr="004971E6">
        <w:t>(12)</w:t>
      </w:r>
      <w:r w:rsidRPr="004971E6">
        <w:tab/>
      </w:r>
      <w:r w:rsidR="00A75B61" w:rsidRPr="00514951">
        <w:rPr>
          <w:noProof/>
        </w:rPr>
        <w:t>Όσον αφορά την Ελβετία, η παρούσα απόφαση αποτελεί ανάπτυξη των διατάξεων του κεκτημένου του Σένγκεν, κατά την έννοια της συμφωνίας μεταξύ της Ευρωπαϊκής Ένωσης, της Ευρωπαϊκής Κοινότητας και της Ελβετικής Συνομοσπονδίας σχετικά με τη σύνδεση της Ελβετικής Συνομοσπονδίας προς την υλοποίηση, την εφαρμογή και την ανάπτυξη του κεκτημένου του Σένγκεν</w:t>
      </w:r>
      <w:r w:rsidR="00A75B61" w:rsidRPr="00514951">
        <w:rPr>
          <w:rStyle w:val="FootnoteReference"/>
          <w:noProof/>
          <w:szCs w:val="24"/>
        </w:rPr>
        <w:footnoteReference w:id="7"/>
      </w:r>
      <w:r w:rsidR="00A75B61" w:rsidRPr="00514951">
        <w:rPr>
          <w:noProof/>
        </w:rPr>
        <w:t>, οι οποίες διατάξεις εμπίπτουν στον τομέα στον οποίο αναφέρεται το άρθρο 1 στοιχείο Α της απόφασης 1999/437/ΕΚ του Συμβουλίου, σε συνδυασμό με το άρθρο 3 της απόφασης 2008/146/ΕΚ του Συμβουλίου</w:t>
      </w:r>
      <w:r w:rsidR="00A75B61" w:rsidRPr="00514951">
        <w:rPr>
          <w:rStyle w:val="FootnoteReference"/>
          <w:noProof/>
          <w:szCs w:val="24"/>
        </w:rPr>
        <w:footnoteReference w:id="8"/>
      </w:r>
      <w:r w:rsidR="00A75B61" w:rsidRPr="00514951">
        <w:rPr>
          <w:noProof/>
        </w:rPr>
        <w:t xml:space="preserve">. </w:t>
      </w:r>
    </w:p>
    <w:p w14:paraId="02F35999" w14:textId="5E61B616" w:rsidR="00A75B61" w:rsidRPr="00514951" w:rsidRDefault="004971E6" w:rsidP="004971E6">
      <w:pPr>
        <w:pStyle w:val="ManualConsidrant"/>
        <w:rPr>
          <w:noProof/>
        </w:rPr>
      </w:pPr>
      <w:r w:rsidRPr="004971E6">
        <w:t>(13)</w:t>
      </w:r>
      <w:r w:rsidRPr="004971E6">
        <w:tab/>
      </w:r>
      <w:r w:rsidR="00A75B61" w:rsidRPr="00514951">
        <w:rPr>
          <w:noProof/>
        </w:rPr>
        <w:t>Όσον αφορά το Λιχτενστάιν, η παρούσα απόφαση αποτελεί ανάπτυξη των διατάξεων του κεκτημένου του Σένγκεν, κατά την έννοια του πρωτοκόλλου μεταξύ της Ευρωπαϊκής Ένωσης, της Ευρωπαϊκής Κοινότητας, της Ελβετικής Συνομοσπονδίας και του Πριγκιπάτου του Λιχτενστάιν για την προσχώρηση του Πριγκιπάτου του Λιχτενστάιν στη συμφωνία μεταξύ της Ευρωπαϊκής Ένωσης, της Ευρωπαϊκής Κοινότητας και της Ελβετικής Συνομοσπονδίας σχετικά με τη σύνδεση της Ελβετικής Συνομοσπονδίας προς τη θέση σε ισχύ, την εφαρμογή και την ανάπτυξη του κεκτημένου του Σένγκεν</w:t>
      </w:r>
      <w:r w:rsidR="00A75B61" w:rsidRPr="00514951">
        <w:rPr>
          <w:rStyle w:val="FootnoteReference"/>
          <w:noProof/>
          <w:szCs w:val="24"/>
        </w:rPr>
        <w:footnoteReference w:id="9"/>
      </w:r>
      <w:r w:rsidR="00A75B61" w:rsidRPr="00514951">
        <w:rPr>
          <w:noProof/>
        </w:rPr>
        <w:t>, οι οποίες διατάξεις εμπίπτουν στον τομέα στον οποίο αναφέρεται το άρθρο 1 στοιχείο Α της απόφασης 1999/437/ΕΚ του Συμβουλίου, σε συνδυασμό με το άρθρο 3 της απόφασης 2011/350/ΕΕ του Συμβουλίου</w:t>
      </w:r>
      <w:r w:rsidR="00A75B61" w:rsidRPr="00514951">
        <w:rPr>
          <w:rStyle w:val="FootnoteReference"/>
          <w:noProof/>
          <w:szCs w:val="24"/>
        </w:rPr>
        <w:footnoteReference w:id="10"/>
      </w:r>
      <w:r w:rsidR="00A75B61" w:rsidRPr="00514951">
        <w:rPr>
          <w:noProof/>
        </w:rPr>
        <w:t xml:space="preserve">. </w:t>
      </w:r>
    </w:p>
    <w:p w14:paraId="4CC0F2D6" w14:textId="0271AF60" w:rsidR="00A75B61" w:rsidRPr="00514951" w:rsidRDefault="004971E6" w:rsidP="004971E6">
      <w:pPr>
        <w:pStyle w:val="ManualConsidrant"/>
        <w:rPr>
          <w:noProof/>
        </w:rPr>
      </w:pPr>
      <w:r w:rsidRPr="004971E6">
        <w:t>(14)</w:t>
      </w:r>
      <w:r w:rsidRPr="004971E6">
        <w:tab/>
      </w:r>
      <w:r w:rsidR="00A75B61" w:rsidRPr="00514951">
        <w:rPr>
          <w:noProof/>
        </w:rPr>
        <w:t>Όσον αφορά την Κύπρο, τη Βουλγαρία, τη Ρουμανία, και την Κροατία, η παρούσα απόφαση συνιστά πράξη ανάπτυξης του κεκτημένου του Σένγκεν ή σχετίζεται άλλως με αυτό, κατά την έννοια του άρθρου 3 παράγραφος 1 της πράξης προσχώρησης του 2003, του άρθρου 4 παράγραφος 1 της πράξης προσχώρησης του 2005 και του άρθρου 4 παράγραφος 1 της πράξης προσχώρησης του 2011, αντίστοιχα.</w:t>
      </w:r>
    </w:p>
    <w:p w14:paraId="695C1F5A" w14:textId="1714579C" w:rsidR="00A75B61" w:rsidRPr="00514951" w:rsidRDefault="004971E6" w:rsidP="004971E6">
      <w:pPr>
        <w:pStyle w:val="ManualConsidrant"/>
        <w:rPr>
          <w:noProof/>
        </w:rPr>
      </w:pPr>
      <w:r w:rsidRPr="004971E6">
        <w:t>(15)</w:t>
      </w:r>
      <w:r w:rsidRPr="004971E6">
        <w:tab/>
      </w:r>
      <w:r w:rsidR="00A75B61" w:rsidRPr="00514951">
        <w:rPr>
          <w:noProof/>
        </w:rPr>
        <w:t>Ο Ευρωπαίος Επόπτης Προστασίας Δεδομένων, του οποίου η γνώμη ζητήθηκε σύμφωνα με το άρθρο 42 παράγραφος 1 του κανονισμού (ΕΕ) 2018/1725 του Ευρωπαϊκού Κοινοβουλίου και του Συμβουλίου</w:t>
      </w:r>
      <w:r w:rsidR="00A75B61" w:rsidRPr="00514951">
        <w:rPr>
          <w:rStyle w:val="FootnoteReference"/>
          <w:noProof/>
        </w:rPr>
        <w:footnoteReference w:id="11"/>
      </w:r>
      <w:r w:rsidR="00A75B61" w:rsidRPr="00514951">
        <w:rPr>
          <w:noProof/>
        </w:rPr>
        <w:t>, γνωμοδότησε στις 7 Ιουνίου 2021,</w:t>
      </w:r>
    </w:p>
    <w:p w14:paraId="0E2BC179" w14:textId="77777777" w:rsidR="00A75B61" w:rsidRPr="00514951" w:rsidRDefault="00A75B61" w:rsidP="00A75B61">
      <w:pPr>
        <w:pStyle w:val="Formuledadoption"/>
        <w:rPr>
          <w:noProof/>
        </w:rPr>
      </w:pPr>
      <w:r w:rsidRPr="00514951">
        <w:rPr>
          <w:noProof/>
        </w:rPr>
        <w:t xml:space="preserve">ΕΞΕΔΩΣΕ ΤΗΝ ΠΑΡΟΥΣΑ ΑΠΟΦΑΣΗ: </w:t>
      </w:r>
    </w:p>
    <w:p w14:paraId="3FAA0983" w14:textId="77777777" w:rsidR="00A75B61" w:rsidRPr="00514951" w:rsidRDefault="00A75B61" w:rsidP="00A75B61">
      <w:pPr>
        <w:pStyle w:val="Titrearticle"/>
        <w:rPr>
          <w:noProof/>
        </w:rPr>
      </w:pPr>
      <w:r w:rsidRPr="00514951">
        <w:rPr>
          <w:noProof/>
        </w:rPr>
        <w:t xml:space="preserve">Άρθρο 1 </w:t>
      </w:r>
      <w:r w:rsidRPr="00514951">
        <w:rPr>
          <w:noProof/>
        </w:rPr>
        <w:br/>
        <w:t>Αντικείμενο</w:t>
      </w:r>
    </w:p>
    <w:p w14:paraId="793BB629" w14:textId="511DCB8D" w:rsidR="00A75B61" w:rsidRPr="00514951" w:rsidRDefault="00A75B61" w:rsidP="00A75B61">
      <w:pPr>
        <w:rPr>
          <w:noProof/>
        </w:rPr>
      </w:pPr>
      <w:r w:rsidRPr="00514951">
        <w:rPr>
          <w:noProof/>
        </w:rPr>
        <w:t>Η παρούσα απόφαση καθορίζει περαιτέρω τους κινδύνους που αφορούν την ασφάλεια, την παράνομη μετανάστευση ή τους υψηλούς επιδημικούς κινδύνους βάσει λεπτομερών στατιστικών δεδομένων και πληροφοριών που προβλέπονται στο άρθρο 33 παράγραφος 2 του κανονισμού (ΕΕ) 2018/1240.</w:t>
      </w:r>
    </w:p>
    <w:p w14:paraId="02C83F5B" w14:textId="77777777" w:rsidR="00A75B61" w:rsidRPr="00514951" w:rsidRDefault="00A75B61" w:rsidP="00A75B61">
      <w:pPr>
        <w:pStyle w:val="Titrearticle"/>
        <w:rPr>
          <w:noProof/>
        </w:rPr>
      </w:pPr>
      <w:r w:rsidRPr="00514951">
        <w:rPr>
          <w:noProof/>
        </w:rPr>
        <w:t xml:space="preserve">Άρθρο 2 </w:t>
      </w:r>
      <w:r w:rsidRPr="00514951">
        <w:rPr>
          <w:noProof/>
        </w:rPr>
        <w:br/>
        <w:t>Ορισμοί</w:t>
      </w:r>
    </w:p>
    <w:p w14:paraId="57332E4B" w14:textId="77777777" w:rsidR="00A75B61" w:rsidRPr="00514951" w:rsidRDefault="00A75B61" w:rsidP="00A75B61">
      <w:pPr>
        <w:rPr>
          <w:noProof/>
        </w:rPr>
      </w:pPr>
      <w:r w:rsidRPr="00514951">
        <w:rPr>
          <w:noProof/>
        </w:rPr>
        <w:t>Για τους σκοπούς της παρούσας απόφασης, ισχύουν οι ακόλουθοι ορισμοί:</w:t>
      </w:r>
    </w:p>
    <w:p w14:paraId="6183E1D7" w14:textId="6FB0FD94" w:rsidR="00A75B61" w:rsidRPr="00514951" w:rsidRDefault="00514951" w:rsidP="00514951">
      <w:pPr>
        <w:pStyle w:val="Point0"/>
        <w:rPr>
          <w:noProof/>
        </w:rPr>
      </w:pPr>
      <w:r>
        <w:rPr>
          <w:noProof/>
        </w:rPr>
        <w:t>α)</w:t>
      </w:r>
      <w:r>
        <w:rPr>
          <w:noProof/>
        </w:rPr>
        <w:tab/>
      </w:r>
      <w:r w:rsidR="00A75B61" w:rsidRPr="00514951">
        <w:rPr>
          <w:noProof/>
        </w:rPr>
        <w:t>«συγκεκριμένη ομάδα ταξιδιωτών»: ομάδα υπηκόων τρίτων χωρών γνωστού μεγέθους και σύνθεσης, στην οποία αποδίδονται συγκεκριμένα σύνολα χαρακτηριστικών·</w:t>
      </w:r>
    </w:p>
    <w:p w14:paraId="1B7BE9D9" w14:textId="1AC420FD" w:rsidR="00A75B61" w:rsidRPr="00514951" w:rsidRDefault="00514951" w:rsidP="00514951">
      <w:pPr>
        <w:pStyle w:val="Point0"/>
        <w:rPr>
          <w:noProof/>
        </w:rPr>
      </w:pPr>
      <w:r>
        <w:rPr>
          <w:noProof/>
        </w:rPr>
        <w:t>β)</w:t>
      </w:r>
      <w:r>
        <w:rPr>
          <w:noProof/>
        </w:rPr>
        <w:tab/>
      </w:r>
      <w:r w:rsidR="00A75B61" w:rsidRPr="00514951">
        <w:rPr>
          <w:noProof/>
        </w:rPr>
        <w:t xml:space="preserve">«σύνολα χαρακτηριστικών»: διακριτικά σύνολα παρατηρήσιμων χαρακτηριστικών ή ιδιοτήτων που προσδιορίζονται με βάση τις πληροφορίες και τις στατιστικές που προβλέπονται στο άρθρο 33 παράγραφος 2 του κανονισμού (ΕΕ) 2018/1240 και λαμβανομένων υπόψη των δεδομένων που προβλέπονται στο άρθρο 33 παράγραφος 4 στοιχείο α) έως δ) του εν λόγω κανονισμού· </w:t>
      </w:r>
    </w:p>
    <w:p w14:paraId="7BC6DD28" w14:textId="1C6B7783" w:rsidR="00A75B61" w:rsidRPr="00514951" w:rsidRDefault="00514951" w:rsidP="00514951">
      <w:pPr>
        <w:pStyle w:val="Point0"/>
        <w:rPr>
          <w:noProof/>
        </w:rPr>
      </w:pPr>
      <w:r>
        <w:rPr>
          <w:noProof/>
        </w:rPr>
        <w:t>γ)</w:t>
      </w:r>
      <w:r>
        <w:rPr>
          <w:noProof/>
        </w:rPr>
        <w:tab/>
      </w:r>
      <w:r w:rsidR="00A75B61" w:rsidRPr="00514951">
        <w:rPr>
          <w:noProof/>
        </w:rPr>
        <w:t>«σοβαρή διασυνοριακή απειλή κατά της υγείας»: σύμφωνα με το άρθρο 3 της απόφασης αριθ. 1082/2013/ΕΕ, κίνδυνος που απειλεί τη ζωή ή άλλος σοβαρός κίνδυνος για την υγεία, βιολογικής, χημικής, περιβαλλοντικής ή άγνωστης προέλευσης, ο οποίος εξαπλώνεται ή ενέχει σημαντικό κίνδυνο εξάπλωσης πέρα από τα εξωτερικά σύνορα των κρατών μελών και ο οποίος ενδέχεται να απαιτήσει συντονισμό σε επίπεδο Ένωσης προκειμένου να εξασφαλιστεί υψηλό επίπεδο προστασίας της υγείας του ανθρώπου·</w:t>
      </w:r>
    </w:p>
    <w:p w14:paraId="171F31A2" w14:textId="6EF1B7E7" w:rsidR="00A75B61" w:rsidRPr="00514951" w:rsidRDefault="00514951" w:rsidP="00514951">
      <w:pPr>
        <w:pStyle w:val="Point0"/>
        <w:rPr>
          <w:noProof/>
        </w:rPr>
      </w:pPr>
      <w:r>
        <w:rPr>
          <w:noProof/>
        </w:rPr>
        <w:t>δ)</w:t>
      </w:r>
      <w:r>
        <w:rPr>
          <w:noProof/>
        </w:rPr>
        <w:tab/>
      </w:r>
      <w:r w:rsidR="00A75B61" w:rsidRPr="00514951">
        <w:rPr>
          <w:noProof/>
        </w:rPr>
        <w:t>«μεταδοτική νόσος»: σύμφωνα με το άρθρο 3 της απόφασης αριθ. 1082/2013/ΕΕ, λοιμώδης νόσος που προκαλείται από μολυσματικό παράγοντα μεταδιδόμενο από άνθρωπο σε άνθρωπο είτε με άμεση επαφή με προσβεβλημένο άτομο είτε εμμέσως, όπως με την έκθεση σε φορείς, ζώα, μικροβιοφόρους ουσίες, προϊόντα ή περιβάλλοντα ή με την ανταλλαγή υγρού που έχει προσβληθεί από τον μολυσματικό παράγοντα·</w:t>
      </w:r>
    </w:p>
    <w:p w14:paraId="22BFCF1F" w14:textId="07CFF23C" w:rsidR="00A75B61" w:rsidRPr="00514951" w:rsidRDefault="00514951" w:rsidP="00514951">
      <w:pPr>
        <w:pStyle w:val="Point0"/>
        <w:rPr>
          <w:noProof/>
        </w:rPr>
      </w:pPr>
      <w:r>
        <w:rPr>
          <w:noProof/>
        </w:rPr>
        <w:t>ε)</w:t>
      </w:r>
      <w:r>
        <w:rPr>
          <w:noProof/>
        </w:rPr>
        <w:tab/>
      </w:r>
      <w:r w:rsidR="00A75B61" w:rsidRPr="00514951">
        <w:rPr>
          <w:noProof/>
        </w:rPr>
        <w:t>«επιδημιολογική επιτήρηση»: σύμφωνα με το άρθρο 3 της απόφασης αριθ. 1082/2013/ΕΕ, η συστηματική συλλογή, καταγραφή, ανάλυση, ερμηνεία και διάδοση δεδομένων και αναλύσεων για τις μεταδοτικές νόσους και τα συναφή ειδικά ζητήματα υγείας·</w:t>
      </w:r>
    </w:p>
    <w:p w14:paraId="3379A5BD" w14:textId="6E6BD70F" w:rsidR="00A75B61" w:rsidRPr="00514951" w:rsidRDefault="00514951" w:rsidP="00514951">
      <w:pPr>
        <w:pStyle w:val="Point0"/>
        <w:rPr>
          <w:noProof/>
        </w:rPr>
      </w:pPr>
      <w:r>
        <w:rPr>
          <w:noProof/>
        </w:rPr>
        <w:t>στ)</w:t>
      </w:r>
      <w:r>
        <w:rPr>
          <w:noProof/>
        </w:rPr>
        <w:tab/>
      </w:r>
      <w:r w:rsidR="00A75B61" w:rsidRPr="00514951">
        <w:rPr>
          <w:noProof/>
        </w:rPr>
        <w:t xml:space="preserve">«στατιστικά δεδομένα»: η συλλογή στατιστικών που παράγονται από το Σύστημα Εισόδου/Εξόδου ή το Ευρωπαϊκό Σύστημα Πληροφοριών και Αδειοδότησης Ταξιδιού, όπως ορίζεται περαιτέρω στο άρθρο 1 σημείο 1 του κατ’ εξουσιοδότηση κανονισμού C(2021) 4982 της Επιτροπής· </w:t>
      </w:r>
    </w:p>
    <w:p w14:paraId="5CD81674" w14:textId="3BFA3778" w:rsidR="00A75B61" w:rsidRPr="00514951" w:rsidRDefault="00514951" w:rsidP="00514951">
      <w:pPr>
        <w:pStyle w:val="Point0"/>
        <w:rPr>
          <w:noProof/>
        </w:rPr>
      </w:pPr>
      <w:r>
        <w:rPr>
          <w:noProof/>
        </w:rPr>
        <w:t>ζ)</w:t>
      </w:r>
      <w:r>
        <w:rPr>
          <w:noProof/>
        </w:rPr>
        <w:tab/>
      </w:r>
      <w:r w:rsidR="00A75B61" w:rsidRPr="00514951">
        <w:rPr>
          <w:noProof/>
        </w:rPr>
        <w:t xml:space="preserve">«εκθέσεις στατιστικών δεδομένων»: οι εκθέσεις όπως ορίζονται στο άρθρο 1 σημείο 2 του κατ’ εξουσιοδότηση κανονισμού C(2021) 4982 της Επιτροπής· </w:t>
      </w:r>
    </w:p>
    <w:p w14:paraId="68E25554" w14:textId="7145FBBB" w:rsidR="00A75B61" w:rsidRPr="00514951" w:rsidRDefault="00514951" w:rsidP="00514951">
      <w:pPr>
        <w:pStyle w:val="Point0"/>
        <w:rPr>
          <w:noProof/>
        </w:rPr>
      </w:pPr>
      <w:r>
        <w:rPr>
          <w:noProof/>
        </w:rPr>
        <w:t>η)</w:t>
      </w:r>
      <w:r>
        <w:rPr>
          <w:noProof/>
        </w:rPr>
        <w:tab/>
      </w:r>
      <w:r w:rsidR="00A75B61" w:rsidRPr="00514951">
        <w:rPr>
          <w:noProof/>
        </w:rPr>
        <w:t>«εξατομικευμένες εκθέσεις»: οι εκθέσεις όπως ορίζονται στο άρθρο 1 σημείο 3 του κατ’ εξουσιοδότηση κανονισμού C(2021) 4982 της Επιτροπής.</w:t>
      </w:r>
    </w:p>
    <w:p w14:paraId="4DF054A7" w14:textId="77777777" w:rsidR="00A75B61" w:rsidRPr="00514951" w:rsidRDefault="00A75B61" w:rsidP="00A75B61">
      <w:pPr>
        <w:pStyle w:val="Titrearticle"/>
        <w:rPr>
          <w:noProof/>
        </w:rPr>
      </w:pPr>
      <w:r w:rsidRPr="00514951">
        <w:rPr>
          <w:noProof/>
        </w:rPr>
        <w:t xml:space="preserve">Άρθρο 3 </w:t>
      </w:r>
      <w:r w:rsidRPr="00514951">
        <w:rPr>
          <w:noProof/>
        </w:rPr>
        <w:br/>
        <w:t>Ανάλυση στατιστικών δεδομένων που σχετίζονται με υπέρβαση της επιτρεπόμενης διάρκειας παραμονής, άρνηση εισόδου και απόρριψη αίτησης άδειας ταξιδιού</w:t>
      </w:r>
    </w:p>
    <w:p w14:paraId="17EC5C0B" w14:textId="225AF922" w:rsidR="00A75B61" w:rsidRPr="00514951" w:rsidRDefault="004971E6" w:rsidP="004971E6">
      <w:pPr>
        <w:pStyle w:val="ManualNumPar1"/>
        <w:rPr>
          <w:noProof/>
        </w:rPr>
      </w:pPr>
      <w:r w:rsidRPr="004971E6">
        <w:t>1.</w:t>
      </w:r>
      <w:r w:rsidRPr="004971E6">
        <w:tab/>
      </w:r>
      <w:r w:rsidR="00A75B61" w:rsidRPr="00514951">
        <w:rPr>
          <w:noProof/>
        </w:rPr>
        <w:t>Η κεντρική μονάδα ETIAS παρακολουθεί τα στατιστικά δεδομένα που προβλέπονται στο άρθρο 33 παράγραφος 2 στοιχεία α) έως γ) του κανονισμού (ΕΕ) 2018/1240 τα οποία είναι αποθηκευμένα στο κεντρικό αποθετήριο για την υποβολή εκθέσεων και την κατάρτιση στατιστικών που θεσπίστηκε σύμφωνα με το άρθρο 39 του κανονισμού (ΕΕ) 2019/817.</w:t>
      </w:r>
    </w:p>
    <w:p w14:paraId="6193CF83" w14:textId="277A855D" w:rsidR="00A75B61" w:rsidRPr="00514951" w:rsidRDefault="004971E6" w:rsidP="004971E6">
      <w:pPr>
        <w:pStyle w:val="ManualNumPar1"/>
        <w:rPr>
          <w:noProof/>
        </w:rPr>
      </w:pPr>
      <w:r w:rsidRPr="004971E6">
        <w:t>2.</w:t>
      </w:r>
      <w:r w:rsidRPr="004971E6">
        <w:tab/>
      </w:r>
      <w:r w:rsidR="00A75B61" w:rsidRPr="00514951">
        <w:rPr>
          <w:noProof/>
        </w:rPr>
        <w:t xml:space="preserve">Για τους σκοπούς της παραγράφου 1, το κεντρικό αποθετήριο για την υποβολή εκθέσεων και την κατάρτιση στατιστικών επιτρέπει στην κεντρική μονάδα ETIAS να λαμβάνει, σύμφωνα με το άρθρο 6 του κατ’ εξουσιοδότηση κανονισμού C(2021) 4982 της Επιτροπής, στατιστικά δεδομένα, εκθέσεις στατιστικών δεδομένων και εξατομικευμένες εκθέσεις που καθιστούν δυνατή την ανάλυση των εν λόγω δεδομένων και εκθέσεων για τον περαιτέρω καθορισμό των κινδύνων που αφορούν υπέρβαση της επιτρεπόμενης διάρκειας παραμονής, άρνηση εισόδου ή απόρριψη αίτησης άδειας ταξιδιού, μεταξύ άλλων με τον προσδιορισμό: </w:t>
      </w:r>
    </w:p>
    <w:p w14:paraId="7E8CB34C" w14:textId="58179B39" w:rsidR="00A75B61" w:rsidRPr="00514951" w:rsidRDefault="00514951" w:rsidP="00514951">
      <w:pPr>
        <w:pStyle w:val="Point1"/>
        <w:rPr>
          <w:noProof/>
        </w:rPr>
      </w:pPr>
      <w:r>
        <w:rPr>
          <w:noProof/>
        </w:rPr>
        <w:t>α)</w:t>
      </w:r>
      <w:r>
        <w:rPr>
          <w:noProof/>
        </w:rPr>
        <w:tab/>
      </w:r>
      <w:r w:rsidR="00A75B61" w:rsidRPr="00514951">
        <w:rPr>
          <w:noProof/>
        </w:rPr>
        <w:t>του συνολικού αριθμού περιπτώσεων που σχετίζονται με υπέρβαση της επιτρεπόμενης διάρκειας παραμονής, άρνηση εισόδου ή απόρριψη αίτησης άδειας ταξιδιού, αντίστοιχα, με χρήση ιστορικών δεδομένων·</w:t>
      </w:r>
    </w:p>
    <w:p w14:paraId="76C75B39" w14:textId="3295DDC2" w:rsidR="00A75B61" w:rsidRPr="00514951" w:rsidRDefault="00514951" w:rsidP="00514951">
      <w:pPr>
        <w:pStyle w:val="Point1"/>
        <w:rPr>
          <w:noProof/>
        </w:rPr>
      </w:pPr>
      <w:r>
        <w:rPr>
          <w:noProof/>
        </w:rPr>
        <w:t>β)</w:t>
      </w:r>
      <w:r>
        <w:rPr>
          <w:noProof/>
        </w:rPr>
        <w:tab/>
      </w:r>
      <w:r w:rsidR="00A75B61" w:rsidRPr="00514951">
        <w:rPr>
          <w:noProof/>
        </w:rPr>
        <w:t>συγκεκριμένων ομάδων ταξιδιωτών που συνδέονται με υπέρβαση της επιτρεπόμενης διάρκειας παραμονής, άρνηση εισόδου ή απόρριψη αίτησης άδειας ταξιδιού, αντίστοιχα, με χρήση δεδομένων που προκύπτουν από ασυνήθιστα ποσοστά και απόλυτους αριθμούς προσώπων που υπερβαίνουν την επιτρεπόμενη διάρκεια παραμονής, αρνήσεων εισόδου ή απορρίψεων αιτήσεων άδειας ταξιδιού, αντίστοιχα, σε σύγκριση με άλλες ειδικές ομάδες·</w:t>
      </w:r>
    </w:p>
    <w:p w14:paraId="59039A35" w14:textId="3DEA395B" w:rsidR="00A75B61" w:rsidRPr="00514951" w:rsidRDefault="00514951" w:rsidP="00514951">
      <w:pPr>
        <w:pStyle w:val="Point1"/>
        <w:rPr>
          <w:noProof/>
        </w:rPr>
      </w:pPr>
      <w:r>
        <w:rPr>
          <w:noProof/>
        </w:rPr>
        <w:t>γ)</w:t>
      </w:r>
      <w:r>
        <w:rPr>
          <w:noProof/>
        </w:rPr>
        <w:tab/>
      </w:r>
      <w:r w:rsidR="00A75B61" w:rsidRPr="00514951">
        <w:rPr>
          <w:noProof/>
        </w:rPr>
        <w:t>των συνόλων χαρακτηριστικών συγκεκριμένων ομάδων ταξιδιωτών που προσδιορίζονται στο στοιχείο β)·</w:t>
      </w:r>
    </w:p>
    <w:p w14:paraId="7A3FD0DF" w14:textId="06B6EABC" w:rsidR="00A75B61" w:rsidRPr="00514951" w:rsidRDefault="00514951" w:rsidP="00514951">
      <w:pPr>
        <w:pStyle w:val="Point1"/>
        <w:rPr>
          <w:noProof/>
        </w:rPr>
      </w:pPr>
      <w:r>
        <w:rPr>
          <w:noProof/>
        </w:rPr>
        <w:t>δ)</w:t>
      </w:r>
      <w:r>
        <w:rPr>
          <w:noProof/>
        </w:rPr>
        <w:tab/>
      </w:r>
      <w:r w:rsidR="00A75B61" w:rsidRPr="00514951">
        <w:rPr>
          <w:noProof/>
        </w:rPr>
        <w:t>των συνόλων χαρακτηριστικών που αντιστοιχούν στις συσχετίσεις μεταξύ των συγκεκριμένων ομάδων ταξιδιωτών που προσδιορίζονται στο στοιχείο β) και των πληροφοριών που συλλέγονται μέσω του φακέλου αίτησής τους.</w:t>
      </w:r>
    </w:p>
    <w:p w14:paraId="7D3CF13F" w14:textId="576DB9B7" w:rsidR="00A75B61" w:rsidRPr="00514951" w:rsidDel="00E76DBC" w:rsidRDefault="004971E6" w:rsidP="004971E6">
      <w:pPr>
        <w:pStyle w:val="ManualNumPar1"/>
        <w:rPr>
          <w:noProof/>
        </w:rPr>
      </w:pPr>
      <w:r w:rsidRPr="004971E6">
        <w:t>3.</w:t>
      </w:r>
      <w:r w:rsidRPr="004971E6">
        <w:tab/>
      </w:r>
      <w:r w:rsidR="00A75B61" w:rsidRPr="00514951">
        <w:rPr>
          <w:noProof/>
        </w:rPr>
        <w:t>Όπου απαιτείται για την ανάλυση των λόγων για συγκεκριμένα ασυνήθιστα ποσοστά και απόλυτους αριθμούς που προσδιορίζονται σύμφωνα με την παράγραφο 2 στοιχείο β), η κεντρική μονάδα ETIAS μπορεί να συμβουλεύεται τις εθνικές μονάδες ETIAS των οικείων κρατών μελών.</w:t>
      </w:r>
    </w:p>
    <w:p w14:paraId="25FFF001" w14:textId="3D539E5C" w:rsidR="00A75B61" w:rsidRPr="00514951" w:rsidRDefault="00A75B61" w:rsidP="00A75B61">
      <w:pPr>
        <w:pStyle w:val="Titrearticle"/>
        <w:rPr>
          <w:noProof/>
        </w:rPr>
      </w:pPr>
      <w:r w:rsidRPr="00514951">
        <w:rPr>
          <w:noProof/>
        </w:rPr>
        <w:t xml:space="preserve">Άρθρο 4 </w:t>
      </w:r>
      <w:r w:rsidRPr="00514951">
        <w:rPr>
          <w:noProof/>
        </w:rPr>
        <w:br/>
        <w:t>Ανάλυση από τα κράτη μέλη συγκεκριμένων κινδύνων ή απειλών για την ασφάλεια</w:t>
      </w:r>
    </w:p>
    <w:p w14:paraId="66A7226A" w14:textId="2EAA5438" w:rsidR="00A75B61" w:rsidRPr="00514951" w:rsidRDefault="004971E6" w:rsidP="004971E6">
      <w:pPr>
        <w:pStyle w:val="ManualNumPar1"/>
        <w:rPr>
          <w:noProof/>
        </w:rPr>
      </w:pPr>
      <w:r w:rsidRPr="004971E6">
        <w:t>1.</w:t>
      </w:r>
      <w:r w:rsidRPr="004971E6">
        <w:tab/>
      </w:r>
      <w:r w:rsidR="00533E6A" w:rsidRPr="00514951">
        <w:rPr>
          <w:noProof/>
        </w:rPr>
        <w:t>Μέσω των εθνικών μονάδων ETIAS, τα κράτη μέλη παρέχουν στην κεντρική μονάδα ETIAS την ανάλυση που προβλέπεται στο άρθρο 33 παράγραφος 2 στοιχείο δ) του κανονισμού (ΕΕ) 2018/1240. Τα κράτη μέλη επανεξετάζουν την ανάλυσή τους τουλάχιστον κάθε 6 μήνες ή όταν προκύπτουν νέες πληροφορίες που καθιστούν αναγκαία την τροποποίηση της ανάλυσης και, κατά περίπτωση, παρέχουν στην κεντρική μονάδα ETIAS την αναθεωρημένη ανάλυση μέσω των εθνικών τους μονάδων ETIAS. Η ανάλυση και τυχόν επανεξέτασή της περιλαμβάνει τουλάχιστον:</w:t>
      </w:r>
    </w:p>
    <w:p w14:paraId="34E0245C" w14:textId="06372324" w:rsidR="00A75B61" w:rsidRPr="00514951" w:rsidRDefault="00514951" w:rsidP="00514951">
      <w:pPr>
        <w:pStyle w:val="Point1"/>
        <w:rPr>
          <w:noProof/>
        </w:rPr>
      </w:pPr>
      <w:r>
        <w:rPr>
          <w:noProof/>
        </w:rPr>
        <w:t>α)</w:t>
      </w:r>
      <w:r>
        <w:rPr>
          <w:noProof/>
        </w:rPr>
        <w:tab/>
      </w:r>
      <w:r w:rsidR="00A75B61" w:rsidRPr="00514951">
        <w:rPr>
          <w:noProof/>
        </w:rPr>
        <w:t>περιγραφή του προσδιορισθέντος κινδύνου ή απειλής για την ασφάλεια, συμπεριλαμβανομένης της συχνότητας, των τάσεων και των επιπτώσεων περιστατικών του παρελθόντος, με προσδιορισμό ενός μοναδικού αριθμού αναφοράς για κάθε κίνδυνο ή απειλή·</w:t>
      </w:r>
    </w:p>
    <w:p w14:paraId="15DFADD3" w14:textId="3DBC0430" w:rsidR="00A75B61" w:rsidRPr="00514951" w:rsidRDefault="00514951" w:rsidP="00514951">
      <w:pPr>
        <w:pStyle w:val="Point1"/>
        <w:rPr>
          <w:noProof/>
        </w:rPr>
      </w:pPr>
      <w:r>
        <w:rPr>
          <w:noProof/>
        </w:rPr>
        <w:t>β)</w:t>
      </w:r>
      <w:r>
        <w:rPr>
          <w:noProof/>
        </w:rPr>
        <w:tab/>
      </w:r>
      <w:r w:rsidR="00A75B61" w:rsidRPr="00514951">
        <w:rPr>
          <w:noProof/>
        </w:rPr>
        <w:t>κατάλογο των γνωστών πραγματικών περιστατικών και αποδεικτικών στοιχείων που σχετίζονται με τον κίνδυνο ή την απειλή που έχει προσδιοριστεί ως προς την ασφάλεια·</w:t>
      </w:r>
    </w:p>
    <w:p w14:paraId="411C274F" w14:textId="0215E9D6" w:rsidR="00A75B61" w:rsidRPr="00514951" w:rsidRDefault="00514951" w:rsidP="00514951">
      <w:pPr>
        <w:pStyle w:val="Point1"/>
        <w:rPr>
          <w:noProof/>
        </w:rPr>
      </w:pPr>
      <w:r>
        <w:rPr>
          <w:noProof/>
        </w:rPr>
        <w:t>γ)</w:t>
      </w:r>
      <w:r>
        <w:rPr>
          <w:noProof/>
        </w:rPr>
        <w:tab/>
      </w:r>
      <w:r w:rsidR="00A75B61" w:rsidRPr="00514951">
        <w:rPr>
          <w:noProof/>
        </w:rPr>
        <w:t>τα σύνολα χαρακτηριστικών συγκεκριμένων ομάδων ταξιδιωτών που συνδέονται με τον προσδιορισθέντα κίνδυνο ή απειλή για την ασφάλεια.</w:t>
      </w:r>
    </w:p>
    <w:p w14:paraId="701CC941" w14:textId="2DF51819" w:rsidR="00A75B61" w:rsidRPr="00514951" w:rsidRDefault="004971E6" w:rsidP="004971E6">
      <w:pPr>
        <w:pStyle w:val="ManualNumPar1"/>
        <w:rPr>
          <w:noProof/>
        </w:rPr>
      </w:pPr>
      <w:r w:rsidRPr="004971E6">
        <w:t>2.</w:t>
      </w:r>
      <w:r w:rsidRPr="004971E6">
        <w:tab/>
      </w:r>
      <w:r w:rsidR="00A75B61" w:rsidRPr="00514951">
        <w:rPr>
          <w:noProof/>
        </w:rPr>
        <w:t>Όταν ένα ή περισσότερα από τα στοιχεία που προβλέπονται στην παράγραφο 1 στοιχείο α) δεν είναι διαθέσιμα, τα κράτη μέλη, μέσω των εθνικών τους μονάδων ETIAS, παρέχουν αιτιολόγηση στην κεντρική μονάδα ETIAS.</w:t>
      </w:r>
    </w:p>
    <w:p w14:paraId="1B61AE5D" w14:textId="71C1AC1F" w:rsidR="00A75B61" w:rsidRPr="00514951" w:rsidRDefault="004971E6" w:rsidP="004971E6">
      <w:pPr>
        <w:pStyle w:val="ManualNumPar1"/>
        <w:rPr>
          <w:noProof/>
        </w:rPr>
      </w:pPr>
      <w:r w:rsidRPr="004971E6">
        <w:t>3.</w:t>
      </w:r>
      <w:r w:rsidRPr="004971E6">
        <w:tab/>
      </w:r>
      <w:r w:rsidR="00A75B61" w:rsidRPr="00514951">
        <w:rPr>
          <w:noProof/>
        </w:rPr>
        <w:t>Τα κράτη μέλη ενημερώνονται εκ των προτέρων από την κεντρική μονάδα ETIAS σχετικά με την ανάγκη επανεξέτασης και επικαιροποίησης της ανάλυσης που προβλέπεται στην παράγραφο 1.</w:t>
      </w:r>
    </w:p>
    <w:p w14:paraId="0D6AE10F" w14:textId="5F2035ED" w:rsidR="00A75B61" w:rsidRPr="00514951" w:rsidRDefault="004971E6" w:rsidP="004971E6">
      <w:pPr>
        <w:pStyle w:val="ManualNumPar1"/>
        <w:rPr>
          <w:noProof/>
        </w:rPr>
      </w:pPr>
      <w:r w:rsidRPr="004971E6">
        <w:t>4.</w:t>
      </w:r>
      <w:r w:rsidRPr="004971E6">
        <w:tab/>
      </w:r>
      <w:r w:rsidR="00A75B61" w:rsidRPr="00514951">
        <w:rPr>
          <w:noProof/>
        </w:rPr>
        <w:t xml:space="preserve">Η κεντρική μονάδα ETIAS, σε διαβούλευση με την εθνική μονάδα ETIAS του κράτους μέλους που έχει παράσχει τις σχετικές πληροφορίες, αξιολογεί τη σημασία τους για τον προσδιορισμό των εν λόγω κινδύνων. </w:t>
      </w:r>
    </w:p>
    <w:p w14:paraId="5848A390" w14:textId="38846990" w:rsidR="00A75B61" w:rsidRPr="00514951" w:rsidRDefault="00A75B61" w:rsidP="00A75B61">
      <w:pPr>
        <w:pStyle w:val="Titrearticle"/>
        <w:rPr>
          <w:noProof/>
        </w:rPr>
      </w:pPr>
      <w:r w:rsidRPr="00514951">
        <w:rPr>
          <w:noProof/>
        </w:rPr>
        <w:t xml:space="preserve">Άρθρο 5 </w:t>
      </w:r>
      <w:r w:rsidRPr="00514951">
        <w:rPr>
          <w:noProof/>
        </w:rPr>
        <w:br/>
        <w:t>Ανάλυση από τα κράτη μέλη των ασυνήθιστων ποσοστών υπέρβασης της επιτρεπόμενης διάρκειας παραμονής και αρνήσεων εισόδου</w:t>
      </w:r>
    </w:p>
    <w:p w14:paraId="75B79E1B" w14:textId="70E3682B" w:rsidR="00A75B61" w:rsidRPr="00514951" w:rsidRDefault="004971E6" w:rsidP="004971E6">
      <w:pPr>
        <w:pStyle w:val="ManualNumPar1"/>
        <w:rPr>
          <w:noProof/>
        </w:rPr>
      </w:pPr>
      <w:r w:rsidRPr="004971E6">
        <w:t>1.</w:t>
      </w:r>
      <w:r w:rsidRPr="004971E6">
        <w:tab/>
      </w:r>
      <w:r w:rsidR="003C391B" w:rsidRPr="00514951">
        <w:rPr>
          <w:noProof/>
        </w:rPr>
        <w:t>Μέσω των εθνικών μονάδων ETIAS, τα κράτη μέλη παρέχουν στην κεντρική μονάδα ETIAS την ανάλυση που προβλέπεται στο άρθρο 33 παράγραφος 2 στοιχείο ε) του κανονισμού (ΕΕ) 2018/1240. Τα κράτη μέλη επανεξετάζουν την ανάλυσή τους τουλάχιστον κάθε 6 μήνες ή όταν προκύπτουν νέες πληροφορίες που καθιστούν αναγκαία την τροποποίηση της ανάλυσης και, κατά περίπτωση, παρέχουν στην κεντρική μονάδα ETIAS την αναθεωρημένη ανάλυση μέσω των εθνικών τους μονάδων ETIAS. Η ανάλυση και τυχόν επανεξέτασή της περιλαμβάνει τουλάχιστον:</w:t>
      </w:r>
    </w:p>
    <w:p w14:paraId="20396700" w14:textId="3D97AB33" w:rsidR="00A75B61" w:rsidRPr="00514951" w:rsidRDefault="00514951" w:rsidP="00514951">
      <w:pPr>
        <w:pStyle w:val="Point1"/>
        <w:rPr>
          <w:noProof/>
        </w:rPr>
      </w:pPr>
      <w:r>
        <w:rPr>
          <w:noProof/>
        </w:rPr>
        <w:t>α)</w:t>
      </w:r>
      <w:r>
        <w:rPr>
          <w:noProof/>
        </w:rPr>
        <w:tab/>
      </w:r>
      <w:r w:rsidR="00A75B61" w:rsidRPr="00514951">
        <w:rPr>
          <w:noProof/>
        </w:rPr>
        <w:t>περιγραφή των κινδύνων που συνδέονται με ασυνήθιστα ποσοστά διαπιστωθεισών υπερβάσεων της επιτρεπόμενης διάρκειας παραμονής ή αρνήσεων εισόδου, με προσδιορισμό ενός μοναδικού αριθμού αναφοράς για κάθε κίνδυνο·</w:t>
      </w:r>
    </w:p>
    <w:p w14:paraId="553121C6" w14:textId="20A7403E" w:rsidR="00A75B61" w:rsidRPr="00514951" w:rsidRDefault="00514951" w:rsidP="00514951">
      <w:pPr>
        <w:pStyle w:val="Point1"/>
        <w:rPr>
          <w:noProof/>
        </w:rPr>
      </w:pPr>
      <w:r>
        <w:rPr>
          <w:noProof/>
        </w:rPr>
        <w:t>β)</w:t>
      </w:r>
      <w:r>
        <w:rPr>
          <w:noProof/>
        </w:rPr>
        <w:tab/>
      </w:r>
      <w:r w:rsidR="00A75B61" w:rsidRPr="00514951">
        <w:rPr>
          <w:noProof/>
        </w:rPr>
        <w:t>αποδεικτικά στοιχεία σχετικά με:</w:t>
      </w:r>
    </w:p>
    <w:p w14:paraId="58E97A4D" w14:textId="1551070A" w:rsidR="00A75B61" w:rsidRPr="00514951" w:rsidRDefault="00A75B61" w:rsidP="00912CBB">
      <w:pPr>
        <w:pStyle w:val="Tiret2"/>
        <w:numPr>
          <w:ilvl w:val="0"/>
          <w:numId w:val="7"/>
        </w:numPr>
        <w:rPr>
          <w:noProof/>
        </w:rPr>
      </w:pPr>
      <w:r w:rsidRPr="00514951">
        <w:rPr>
          <w:noProof/>
        </w:rPr>
        <w:t>ασυνήθιστο ποσοστό και τον απόλυτο αριθμό προσώπων που υπερβαίνουν την επιτρεπόμενη διάρκεια παραμονής για συγκεκριμένη ομάδα ταξιδιωτών που βρίσκονται σε ορισμένο κράτος μέλος ή σε συγκεκριμένη περιοχή κράτους μέλους σε σύγκριση με άλλες ειδικές ομάδες ταξιδιωτών που βρίσκονται σε ορισμένο κράτος μέλος ή σε συγκεκριμένη περιοχή κράτους μέλους· ή</w:t>
      </w:r>
    </w:p>
    <w:p w14:paraId="1005BFDB" w14:textId="779574ED" w:rsidR="00A75B61" w:rsidRPr="00514951" w:rsidRDefault="00A75B61" w:rsidP="00A75B61">
      <w:pPr>
        <w:pStyle w:val="Tiret2"/>
        <w:rPr>
          <w:noProof/>
        </w:rPr>
      </w:pPr>
      <w:r w:rsidRPr="00514951">
        <w:rPr>
          <w:noProof/>
        </w:rPr>
        <w:t>ασυνήθιστο ποσοστό και τον απόλυτο αριθμό αρνήσεων εισόδου που εκδίδονται από ορισμένο κράτος μέλος για συγκεκριμένη ομάδα ταξιδιωτών σε σύγκριση με τον αριθμό των αρνήσεων εισόδου που εκδίδονται από ορισμένο κράτος μέλος για άλλες ειδικές ομάδες ταξιδιωτών·</w:t>
      </w:r>
    </w:p>
    <w:p w14:paraId="479DECE8" w14:textId="15E67A91" w:rsidR="00A75B61" w:rsidRPr="00514951" w:rsidRDefault="00514951" w:rsidP="00514951">
      <w:pPr>
        <w:pStyle w:val="Point1"/>
        <w:rPr>
          <w:noProof/>
        </w:rPr>
      </w:pPr>
      <w:r>
        <w:rPr>
          <w:noProof/>
        </w:rPr>
        <w:t>γ)</w:t>
      </w:r>
      <w:r>
        <w:rPr>
          <w:noProof/>
        </w:rPr>
        <w:tab/>
      </w:r>
      <w:r w:rsidR="00A75B61" w:rsidRPr="00514951">
        <w:rPr>
          <w:noProof/>
        </w:rPr>
        <w:t xml:space="preserve">τα σύνολα χαρακτηριστικών συγκεκριμένων ομάδων ταξιδιωτών που συνδέονται με υπέρβαση της επιτρεπόμενης διάρκειας παραμονής ή με άρνηση εισόδου. </w:t>
      </w:r>
    </w:p>
    <w:p w14:paraId="10964A8A" w14:textId="5B413D8E" w:rsidR="00A75B61" w:rsidRPr="00514951" w:rsidRDefault="004971E6" w:rsidP="004971E6">
      <w:pPr>
        <w:pStyle w:val="ManualNumPar1"/>
        <w:rPr>
          <w:noProof/>
        </w:rPr>
      </w:pPr>
      <w:r w:rsidRPr="004971E6">
        <w:t>2.</w:t>
      </w:r>
      <w:r w:rsidRPr="004971E6">
        <w:tab/>
      </w:r>
      <w:r w:rsidR="000E7E54" w:rsidRPr="00514951">
        <w:rPr>
          <w:noProof/>
        </w:rPr>
        <w:t>Όταν ένα ή περισσότερα από τα στοιχεία που προβλέπονται στην παράγραφο 1 στοιχείο α) δεν είναι διαθέσιμα, τα κράτη μέλη, μέσω των εθνικών τους μονάδων ETIAS, ενημερώνουν την κεντρική μονάδα ETIAS παρέχοντας τους λόγους.</w:t>
      </w:r>
    </w:p>
    <w:p w14:paraId="70B643D5" w14:textId="25F5A17F" w:rsidR="00A75B61" w:rsidRPr="00514951" w:rsidRDefault="004971E6" w:rsidP="004971E6">
      <w:pPr>
        <w:pStyle w:val="ManualNumPar1"/>
        <w:rPr>
          <w:noProof/>
        </w:rPr>
      </w:pPr>
      <w:r w:rsidRPr="004971E6">
        <w:t>3.</w:t>
      </w:r>
      <w:r w:rsidRPr="004971E6">
        <w:tab/>
      </w:r>
      <w:r w:rsidR="00A75B61" w:rsidRPr="00514951">
        <w:rPr>
          <w:noProof/>
        </w:rPr>
        <w:t>Τα κράτη μέλη ενημερώνονται εκ των προτέρων από την κεντρική μονάδα ETIAS σχετικά με την ανάγκη επανεξέτασης και επικαιροποίησης της ανάλυσης που προβλέπεται στην παράγραφο 1.</w:t>
      </w:r>
    </w:p>
    <w:p w14:paraId="1B5528F5" w14:textId="0D94F131" w:rsidR="00A75B61" w:rsidRPr="00514951" w:rsidRDefault="004971E6" w:rsidP="004971E6">
      <w:pPr>
        <w:pStyle w:val="ManualNumPar1"/>
        <w:rPr>
          <w:noProof/>
        </w:rPr>
      </w:pPr>
      <w:r w:rsidRPr="004971E6">
        <w:t>4.</w:t>
      </w:r>
      <w:r w:rsidRPr="004971E6">
        <w:tab/>
      </w:r>
      <w:r w:rsidR="00A75B61" w:rsidRPr="00514951">
        <w:rPr>
          <w:noProof/>
        </w:rPr>
        <w:t>Η κεντρική μονάδα ETIAS, σε διαβούλευση με την εθνική μονάδα ETIAS του κράτους μέλους που έχει παράσχει τις σχετικές πληροφορίες, αξιολογεί τη σημασία τους και τη χρηστικότητά τους για τον προσδιορισμό των εν λόγω κινδύνων.</w:t>
      </w:r>
    </w:p>
    <w:p w14:paraId="2D110C1B" w14:textId="77777777" w:rsidR="00A75B61" w:rsidRPr="00514951" w:rsidRDefault="00A75B61" w:rsidP="00A75B61">
      <w:pPr>
        <w:pStyle w:val="Titrearticle"/>
        <w:rPr>
          <w:noProof/>
        </w:rPr>
      </w:pPr>
      <w:r w:rsidRPr="00514951">
        <w:rPr>
          <w:noProof/>
        </w:rPr>
        <w:t xml:space="preserve">Άρθρο 6 </w:t>
      </w:r>
      <w:r w:rsidRPr="00514951">
        <w:rPr>
          <w:noProof/>
        </w:rPr>
        <w:br/>
        <w:t xml:space="preserve">Ανάλυση ειδικών υψηλών επιδημικών κινδύνων </w:t>
      </w:r>
    </w:p>
    <w:p w14:paraId="020A3E21" w14:textId="56A185C0" w:rsidR="00A75B61" w:rsidRPr="00514951" w:rsidRDefault="004971E6" w:rsidP="004971E6">
      <w:pPr>
        <w:pStyle w:val="ManualNumPar1"/>
        <w:rPr>
          <w:noProof/>
        </w:rPr>
      </w:pPr>
      <w:r w:rsidRPr="004971E6">
        <w:t>1.</w:t>
      </w:r>
      <w:r w:rsidRPr="004971E6">
        <w:tab/>
      </w:r>
      <w:r w:rsidR="00A75B61" w:rsidRPr="00514951">
        <w:rPr>
          <w:noProof/>
        </w:rPr>
        <w:t>Κατά τον περαιτέρω καθορισμό συγκεκριμένων υψηλών επιδημικών κινδύνων, όπως προβλέπεται στο άρθρο 33 παράγραφος 2 στοιχείο στ) του κανονισμού (ΕΕ) 2018/1240, η κεντρική μονάδα ETIAS βασίζει την ανάλυσή της στα εξής:</w:t>
      </w:r>
    </w:p>
    <w:p w14:paraId="5DFE350E" w14:textId="6C1047B8" w:rsidR="00A75B61" w:rsidRPr="00514951" w:rsidRDefault="00514951" w:rsidP="00514951">
      <w:pPr>
        <w:pStyle w:val="Point1"/>
        <w:rPr>
          <w:noProof/>
        </w:rPr>
      </w:pPr>
      <w:r>
        <w:rPr>
          <w:noProof/>
        </w:rPr>
        <w:t>α)</w:t>
      </w:r>
      <w:r>
        <w:rPr>
          <w:noProof/>
        </w:rPr>
        <w:tab/>
      </w:r>
      <w:r w:rsidR="00A75B61" w:rsidRPr="00514951">
        <w:rPr>
          <w:noProof/>
        </w:rPr>
        <w:t>πληροφορίες που παρέχονται από τα κράτη μέλη σχετικά με περιπτώσεις υψηλού επιδημικού κινδύνου, ιδίως όταν συνιστούν σοβαρή διασυνοριακή απειλή κατά της υγείας στην Ένωση, οι οποίες παρέχονται μέσω του δικτύου επιδημιολογικής επιτήρησης και ελέγχου των μεταδοτικών ασθενειών και του συστήματος έγκαιρης προειδοποίησης και αντίδρασης σύμφωνα με τα άρθρα 6, 8 και 9 της απόφασης αριθ. 1082/2013/ΕΕ·</w:t>
      </w:r>
    </w:p>
    <w:p w14:paraId="7C463559" w14:textId="295DFBBB" w:rsidR="00A75B61" w:rsidRPr="00514951" w:rsidRDefault="00514951" w:rsidP="00514951">
      <w:pPr>
        <w:pStyle w:val="Point1"/>
        <w:rPr>
          <w:noProof/>
        </w:rPr>
      </w:pPr>
      <w:r>
        <w:rPr>
          <w:noProof/>
        </w:rPr>
        <w:t>β)</w:t>
      </w:r>
      <w:r>
        <w:rPr>
          <w:noProof/>
        </w:rPr>
        <w:tab/>
      </w:r>
      <w:r w:rsidR="00A75B61" w:rsidRPr="00514951">
        <w:rPr>
          <w:noProof/>
        </w:rPr>
        <w:t>πληροφορίες που παρέχονται από το Ευρωπαϊκό Κέντρο Πρόληψης και Ελέγχου Νόσων σχετικά με τις πληροφορίες επιδημιολογικής επιτήρησης και την εκτίμηση κινδύνου της δυνητικής σοβαρότητας της απειλής για τη δημόσια υγεία σύμφωνα με το άρθρο 10 παράγραφος 1 στοιχείο α) της απόφασης 1082/2013/ΕΕ·</w:t>
      </w:r>
    </w:p>
    <w:p w14:paraId="2C799151" w14:textId="7551FD76" w:rsidR="00A75B61" w:rsidRPr="00514951" w:rsidRDefault="00514951" w:rsidP="00514951">
      <w:pPr>
        <w:pStyle w:val="Point1"/>
        <w:rPr>
          <w:noProof/>
        </w:rPr>
      </w:pPr>
      <w:r>
        <w:rPr>
          <w:noProof/>
        </w:rPr>
        <w:t>γ)</w:t>
      </w:r>
      <w:r>
        <w:rPr>
          <w:noProof/>
        </w:rPr>
        <w:tab/>
      </w:r>
      <w:r w:rsidR="00A75B61" w:rsidRPr="00514951">
        <w:rPr>
          <w:noProof/>
        </w:rPr>
        <w:t>επιδημικές εκρήξεις νόσων που έχουν αναφερθεί από τον Παγκόσμιο Οργανισμό Υγείας μέσω των πρωτοκόλλων του Διεθνούς Υγειονομικού Κανονισμού και των ειδήσεων σχετικά με επιδημικές εκρήξεις νόσων (Disease Outbreak News).</w:t>
      </w:r>
    </w:p>
    <w:p w14:paraId="4EC89F2D" w14:textId="12A4C836" w:rsidR="00A75B61" w:rsidRPr="00514951" w:rsidRDefault="004971E6" w:rsidP="004971E6">
      <w:pPr>
        <w:pStyle w:val="ManualNumPar1"/>
        <w:rPr>
          <w:noProof/>
        </w:rPr>
      </w:pPr>
      <w:r w:rsidRPr="004971E6">
        <w:t>2.</w:t>
      </w:r>
      <w:r w:rsidRPr="004971E6">
        <w:tab/>
      </w:r>
      <w:r w:rsidR="00A75B61" w:rsidRPr="00514951">
        <w:rPr>
          <w:noProof/>
        </w:rPr>
        <w:t>Η κεντρική μονάδα ETIAS εξετάζει τα εξής:</w:t>
      </w:r>
    </w:p>
    <w:p w14:paraId="018F5785" w14:textId="5D03D8D4" w:rsidR="00A75B61" w:rsidRPr="00514951" w:rsidRDefault="00514951" w:rsidP="00514951">
      <w:pPr>
        <w:pStyle w:val="Point1"/>
        <w:rPr>
          <w:noProof/>
        </w:rPr>
      </w:pPr>
      <w:r>
        <w:rPr>
          <w:noProof/>
        </w:rPr>
        <w:t>α)</w:t>
      </w:r>
      <w:r>
        <w:rPr>
          <w:noProof/>
        </w:rPr>
        <w:tab/>
      </w:r>
      <w:r w:rsidR="00A75B61" w:rsidRPr="00514951">
        <w:rPr>
          <w:noProof/>
        </w:rPr>
        <w:t>την αναγνώριση κατάστασης έκτακτης ανάγκης στον τομέα της δημόσιας υγείας σύμφωνα με το άρθρο 12 της απόφασης 1082/2013/ΕΕ·</w:t>
      </w:r>
    </w:p>
    <w:p w14:paraId="731D3872" w14:textId="1368F6E6" w:rsidR="00A75B61" w:rsidRPr="00514951" w:rsidRDefault="00514951" w:rsidP="00514951">
      <w:pPr>
        <w:pStyle w:val="Point1"/>
        <w:rPr>
          <w:noProof/>
        </w:rPr>
      </w:pPr>
      <w:r>
        <w:rPr>
          <w:noProof/>
        </w:rPr>
        <w:t>β)</w:t>
      </w:r>
      <w:r>
        <w:rPr>
          <w:noProof/>
        </w:rPr>
        <w:tab/>
      </w:r>
      <w:r w:rsidR="00A75B61" w:rsidRPr="00514951">
        <w:rPr>
          <w:noProof/>
        </w:rPr>
        <w:t>συντονισμένη αντίδραση σύμφωνα με το άρθρο 11 της απόφασης αριθ. 1082/2013/ΕΕ·</w:t>
      </w:r>
    </w:p>
    <w:p w14:paraId="430B50EC" w14:textId="1D31FFCD" w:rsidR="00A75B61" w:rsidRPr="00514951" w:rsidRDefault="00514951" w:rsidP="00514951">
      <w:pPr>
        <w:pStyle w:val="Point1"/>
        <w:rPr>
          <w:noProof/>
        </w:rPr>
      </w:pPr>
      <w:r>
        <w:rPr>
          <w:noProof/>
        </w:rPr>
        <w:t>γ)</w:t>
      </w:r>
      <w:r>
        <w:rPr>
          <w:noProof/>
        </w:rPr>
        <w:tab/>
      </w:r>
      <w:r w:rsidR="00A75B61" w:rsidRPr="00514951">
        <w:rPr>
          <w:noProof/>
        </w:rPr>
        <w:t>την κήρυξη από τον Παγκόσμιο Οργανισμό Υγείας κατάστασης έκτακτης ανάγκης για τη δημόσια υγεία σε διεθνές επίπεδο.</w:t>
      </w:r>
    </w:p>
    <w:p w14:paraId="242C3525" w14:textId="69110DF6" w:rsidR="00A75B61" w:rsidRPr="00514951" w:rsidRDefault="00A75B61" w:rsidP="0075575B">
      <w:pPr>
        <w:pStyle w:val="Text1"/>
        <w:rPr>
          <w:noProof/>
        </w:rPr>
      </w:pPr>
      <w:r w:rsidRPr="00514951">
        <w:rPr>
          <w:noProof/>
        </w:rPr>
        <w:t>Στις περιπτώσεις όπου οι πληροφορίες που προβλέπονται στο άρθρο 6 παράγραφος 2 αφορούν οποιαδήποτε από τις μεταδοτικές νόσους που αναφέρονται στο παράρτημα I της εκτελεστικής απόφασης (ΕΕ) 2018/945 της Επιτροπής, εφαρμόζονται τα ειδικά κριτήρια και οι ορισμοί κρουσμάτων του παραρτήματος ΙΙ της οικείας εκτελεστικής απόφασης της Επιτροπής.</w:t>
      </w:r>
    </w:p>
    <w:p w14:paraId="4EFF83E3" w14:textId="44733428" w:rsidR="00A75B61" w:rsidRPr="00514951" w:rsidRDefault="004971E6" w:rsidP="004971E6">
      <w:pPr>
        <w:pStyle w:val="ManualNumPar1"/>
        <w:rPr>
          <w:noProof/>
        </w:rPr>
      </w:pPr>
      <w:r w:rsidRPr="004971E6">
        <w:t>3.</w:t>
      </w:r>
      <w:r w:rsidRPr="004971E6">
        <w:tab/>
      </w:r>
      <w:r w:rsidR="00A75B61" w:rsidRPr="00514951">
        <w:rPr>
          <w:noProof/>
        </w:rPr>
        <w:t xml:space="preserve">Η ανάλυση διενεργείται από την κεντρική μονάδα ETIAS, σε διαβούλευση με τις εθνικές μονάδες ETIAS των οικείων κρατών μελών και το Ευρωπαϊκό Κέντρο Πρόληψης και Ελέγχου Νόσων. Περιλαμβάνει τουλάχιστον τον προσδιορισμό των συνόλων χαρακτηριστικών συγκεκριμένων ομάδων ταξιδιωτών που συνδέονται με τον προσδιορισθέντα κίνδυνο. </w:t>
      </w:r>
    </w:p>
    <w:p w14:paraId="3B738530" w14:textId="77777777" w:rsidR="00A75B61" w:rsidRPr="00514951" w:rsidRDefault="00A75B61" w:rsidP="00A75B61">
      <w:pPr>
        <w:pStyle w:val="Titrearticle"/>
        <w:rPr>
          <w:noProof/>
        </w:rPr>
      </w:pPr>
      <w:r w:rsidRPr="00514951">
        <w:rPr>
          <w:noProof/>
        </w:rPr>
        <w:t xml:space="preserve">Άρθρο 7 </w:t>
      </w:r>
      <w:r w:rsidRPr="00514951">
        <w:rPr>
          <w:noProof/>
        </w:rPr>
        <w:br/>
        <w:t>Επικοινωνία</w:t>
      </w:r>
    </w:p>
    <w:p w14:paraId="59C96797" w14:textId="4BDBA5C4" w:rsidR="00A75B61" w:rsidRPr="00514951" w:rsidRDefault="004971E6" w:rsidP="004971E6">
      <w:pPr>
        <w:pStyle w:val="ManualNumPar1"/>
        <w:rPr>
          <w:noProof/>
        </w:rPr>
      </w:pPr>
      <w:r w:rsidRPr="004971E6">
        <w:t>1.</w:t>
      </w:r>
      <w:r w:rsidRPr="004971E6">
        <w:tab/>
      </w:r>
      <w:r w:rsidR="00A75B61" w:rsidRPr="00514951">
        <w:rPr>
          <w:noProof/>
        </w:rPr>
        <w:t xml:space="preserve">Για τους σκοπούς του άρθρου 3 παράγραφος 3, των άρθρων 4 και 5, και του άρθρου 6 παράγραφος 3, ο Οργανισμός της Ευρωπαϊκής Ένωσης για τα Συστήματα ΤΠ Μεγάλης Κλίμακας καθιστά λειτουργικό το λογισμικό που προβλέπεται στο άρθρο 6 παράγραφος 2 στοιχείο ιγ) του κανονισμού (ΕΕ) 2018/1240, η οποία παρέχει στις εθνικές μονάδες ETIAS και στην κεντρική μονάδα ETIAS τη δυνατότητα να ανταλλάσσουν πληροφορίες. </w:t>
      </w:r>
    </w:p>
    <w:p w14:paraId="1E97EDF0" w14:textId="523B6698" w:rsidR="00A75B61" w:rsidRPr="00514951" w:rsidRDefault="004971E6" w:rsidP="004971E6">
      <w:pPr>
        <w:pStyle w:val="ManualNumPar1"/>
        <w:rPr>
          <w:noProof/>
        </w:rPr>
      </w:pPr>
      <w:r w:rsidRPr="004971E6">
        <w:t>2.</w:t>
      </w:r>
      <w:r w:rsidRPr="004971E6">
        <w:tab/>
      </w:r>
      <w:r w:rsidR="00A75B61" w:rsidRPr="00514951">
        <w:rPr>
          <w:noProof/>
        </w:rPr>
        <w:t>Για τους σκοπούς της ανταλλαγής πληροφοριών που αναφέρεται στα άρθρα 4 και 5, η λειτουργικότητα που προβλέπεται στην παράγραφο 1 απαιτεί οι πληροφορίες να παρέχονται σε ειδικό μορφότυπο, λαμβάνοντας υπόψη την εκτελεστική απόφαση C(2021) 1840 της Επιτροπής</w:t>
      </w:r>
      <w:r w:rsidR="00A75B61" w:rsidRPr="00514951">
        <w:rPr>
          <w:rStyle w:val="FootnoteReference"/>
          <w:noProof/>
        </w:rPr>
        <w:footnoteReference w:id="12"/>
      </w:r>
      <w:r w:rsidR="00A75B61" w:rsidRPr="00514951">
        <w:rPr>
          <w:noProof/>
        </w:rPr>
        <w:t xml:space="preserve"> και τον κατ’ εξουσιοδότηση κανονισμό (ΕΕ) 2021/916 της Επιτροπής</w:t>
      </w:r>
      <w:r w:rsidR="00A75B61" w:rsidRPr="00514951">
        <w:rPr>
          <w:rStyle w:val="FootnoteReference"/>
          <w:noProof/>
        </w:rPr>
        <w:footnoteReference w:id="13"/>
      </w:r>
      <w:r w:rsidR="00A75B61" w:rsidRPr="00514951">
        <w:rPr>
          <w:noProof/>
        </w:rPr>
        <w:t>.</w:t>
      </w:r>
    </w:p>
    <w:p w14:paraId="458FE11C" w14:textId="77777777" w:rsidR="00A75B61" w:rsidRPr="00514951" w:rsidRDefault="00A75B61" w:rsidP="00A75B61">
      <w:pPr>
        <w:pStyle w:val="Titrearticle"/>
        <w:rPr>
          <w:noProof/>
        </w:rPr>
      </w:pPr>
      <w:r w:rsidRPr="00514951">
        <w:rPr>
          <w:noProof/>
        </w:rPr>
        <w:t xml:space="preserve">Άρθρο 8 </w:t>
      </w:r>
      <w:r w:rsidRPr="00514951">
        <w:rPr>
          <w:noProof/>
        </w:rPr>
        <w:br/>
        <w:t>Προστασία δεδομένων</w:t>
      </w:r>
    </w:p>
    <w:p w14:paraId="3BBBCF9B" w14:textId="77777777" w:rsidR="00A75B61" w:rsidRPr="00514951" w:rsidRDefault="00A75B61" w:rsidP="00A75B61">
      <w:pPr>
        <w:keepNext/>
        <w:spacing w:before="360"/>
        <w:rPr>
          <w:noProof/>
        </w:rPr>
      </w:pPr>
      <w:r w:rsidRPr="00514951">
        <w:rPr>
          <w:noProof/>
        </w:rPr>
        <w:t>Οι διάφορες αναλύσεις που προβλέπονται στην παρούσα απόφαση δεν περιέχουν δεδομένα προσωπικού χαρακτήρα.</w:t>
      </w:r>
    </w:p>
    <w:p w14:paraId="2F183E62" w14:textId="6C82A291" w:rsidR="008E7AC1" w:rsidRPr="00514951" w:rsidRDefault="00A75B61" w:rsidP="00F63E1F">
      <w:pPr>
        <w:pStyle w:val="Titrearticle"/>
        <w:rPr>
          <w:noProof/>
        </w:rPr>
      </w:pPr>
      <w:r w:rsidRPr="00514951">
        <w:rPr>
          <w:noProof/>
        </w:rPr>
        <w:t xml:space="preserve">Άρθρο 9 </w:t>
      </w:r>
      <w:r w:rsidRPr="00514951">
        <w:rPr>
          <w:noProof/>
        </w:rPr>
        <w:br/>
        <w:t>Αποδέκτες</w:t>
      </w:r>
    </w:p>
    <w:p w14:paraId="501DFD9B" w14:textId="77777777" w:rsidR="008E7AC1" w:rsidRPr="00514951" w:rsidRDefault="00A75B61" w:rsidP="00C04C44">
      <w:pPr>
        <w:rPr>
          <w:noProof/>
        </w:rPr>
      </w:pPr>
      <w:r w:rsidRPr="00514951">
        <w:rPr>
          <w:noProof/>
        </w:rPr>
        <w:t>Η παρούσα απόφαση απευθύνεται στο Βασίλειο του Βελγίου, στη Δημοκρατία της Βουλγαρίας, στην Τσεχική Δημοκρατία, στο Βασίλειο της Δανίας, στην Ομοσπονδιακή Δημοκρατία της Γερμανίας, στη Δημοκρατία της Εσθονίας, στην Ελληνική Δημοκρατία, στο Βασίλειο της Ισπανίας, στη Γαλλική Δημοκρατία, στη Δημοκρατία της Κροατίας, στην Ιταλική Δημοκρατία, στην Κυπριακή Δημοκρατία, στη Δημοκρατία της Λετονίας, στη Δημοκρατία της Λιθουανίας, στο Μεγάλο Δουκάτο του Λουξεμβούργου, στην Ουγγαρία, στη Δημοκρατία της Μάλτας, στο Βασίλειο των Κάτω Χωρών, στη Δημοκρατία της Αυστρίας, στη Δημοκρατία της Πολωνίας, στην Πορτογαλική Δημοκρατία, στη Ρουμανία, στη Δημοκρατία της Σλοβενίας, στη Σλοβακική Δημοκρατία, στη Δημοκρατία της Φινλανδίας και στο Βασίλειο της Σουηδίας.</w:t>
      </w:r>
    </w:p>
    <w:p w14:paraId="29971281" w14:textId="16B820FE" w:rsidR="008E7AC1" w:rsidRPr="00514951" w:rsidRDefault="006C159B" w:rsidP="00F63E1F">
      <w:pPr>
        <w:pStyle w:val="Fait"/>
        <w:rPr>
          <w:noProof/>
        </w:rPr>
      </w:pPr>
      <w:r w:rsidRPr="006C159B">
        <w:t>Βρυξέλλες, 23.11.2021</w:t>
      </w:r>
    </w:p>
    <w:p w14:paraId="23ADA79F" w14:textId="77777777" w:rsidR="008E7AC1" w:rsidRPr="00514951" w:rsidRDefault="008E7AC1" w:rsidP="00F63E1F">
      <w:pPr>
        <w:pStyle w:val="Institutionquisigne"/>
        <w:rPr>
          <w:noProof/>
        </w:rPr>
      </w:pPr>
      <w:r w:rsidRPr="00514951">
        <w:rPr>
          <w:noProof/>
        </w:rPr>
        <w:tab/>
        <w:t>Για την Επιτροπή</w:t>
      </w:r>
    </w:p>
    <w:p w14:paraId="2869A0A9" w14:textId="77777777" w:rsidR="000E39E1" w:rsidRPr="000E39E1" w:rsidRDefault="005F69F1" w:rsidP="00F63E1F">
      <w:pPr>
        <w:pStyle w:val="Personnequisigne"/>
        <w:keepNext/>
      </w:pPr>
      <w:r>
        <w:tab/>
        <w:t>Ylva JOHANSSON</w:t>
      </w:r>
      <w:r>
        <w:br/>
      </w:r>
      <w:r>
        <w:tab/>
        <w:t>Μέλος της Επιτροπής</w:t>
      </w:r>
    </w:p>
    <w:tbl>
      <w:tblPr>
        <w:tblW w:w="0" w:type="auto"/>
        <w:tblInd w:w="4252" w:type="dxa"/>
        <w:tblCellMar>
          <w:top w:w="567" w:type="dxa"/>
          <w:left w:w="0" w:type="dxa"/>
          <w:right w:w="0" w:type="dxa"/>
        </w:tblCellMar>
        <w:tblLook w:val="0000" w:firstRow="0" w:lastRow="0" w:firstColumn="0" w:lastColumn="0" w:noHBand="0" w:noVBand="0"/>
      </w:tblPr>
      <w:tblGrid>
        <w:gridCol w:w="3705"/>
      </w:tblGrid>
      <w:tr w:rsidR="000E39E1" w14:paraId="426932BF" w14:textId="77777777" w:rsidTr="000E39E1">
        <w:tblPrEx>
          <w:tblCellMar>
            <w:bottom w:w="0" w:type="dxa"/>
          </w:tblCellMar>
        </w:tblPrEx>
        <w:trPr>
          <w:cantSplit/>
        </w:trPr>
        <w:tc>
          <w:tcPr>
            <w:tcW w:w="0" w:type="auto"/>
            <w:shd w:val="clear" w:color="auto" w:fill="auto"/>
          </w:tcPr>
          <w:p w14:paraId="34D3F4F5" w14:textId="1D46822D" w:rsidR="000E39E1" w:rsidRDefault="000E39E1" w:rsidP="000E39E1">
            <w:r>
              <w:pict w14:anchorId="53BCFDCC">
                <v:shape id="_x0000_i1029" type="#_x0000_t75" style="width:185.25pt;height:100.5pt">
                  <v:imagedata r:id="rId12" o:title=""/>
                </v:shape>
              </w:pict>
            </w:r>
          </w:p>
        </w:tc>
      </w:tr>
    </w:tbl>
    <w:p w14:paraId="5804408C" w14:textId="6E7F6599" w:rsidR="008E7AC1" w:rsidRPr="000E39E1" w:rsidRDefault="008E7AC1" w:rsidP="000E39E1"/>
    <w:sectPr w:rsidR="008E7AC1" w:rsidRPr="000E39E1" w:rsidSect="00A7526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4E923" w14:textId="77777777" w:rsidR="0069462F" w:rsidRDefault="0069462F" w:rsidP="008E7AC1">
      <w:pPr>
        <w:spacing w:before="0" w:after="0"/>
      </w:pPr>
      <w:r>
        <w:separator/>
      </w:r>
    </w:p>
  </w:endnote>
  <w:endnote w:type="continuationSeparator" w:id="0">
    <w:p w14:paraId="3898546C" w14:textId="77777777" w:rsidR="0069462F" w:rsidRDefault="0069462F" w:rsidP="008E7A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4B4B" w14:textId="4B2874F7" w:rsidR="00D9137B" w:rsidRPr="00A75262" w:rsidRDefault="00A75262" w:rsidP="00A75262">
    <w:pPr>
      <w:pStyle w:val="Footer"/>
      <w:rPr>
        <w:rFonts w:ascii="Arial" w:hAnsi="Arial" w:cs="Arial"/>
        <w:b/>
        <w:sz w:val="48"/>
      </w:rPr>
    </w:pPr>
    <w:r w:rsidRPr="00A75262">
      <w:rPr>
        <w:rFonts w:ascii="Arial" w:hAnsi="Arial" w:cs="Arial"/>
        <w:b/>
        <w:sz w:val="48"/>
      </w:rPr>
      <w:t>EL</w:t>
    </w:r>
    <w:r w:rsidRPr="00A75262">
      <w:rPr>
        <w:rFonts w:ascii="Arial" w:hAnsi="Arial" w:cs="Arial"/>
        <w:b/>
        <w:sz w:val="48"/>
      </w:rPr>
      <w:tab/>
    </w:r>
    <w:r w:rsidRPr="00A75262">
      <w:rPr>
        <w:rFonts w:ascii="Arial" w:hAnsi="Arial" w:cs="Arial"/>
        <w:b/>
        <w:sz w:val="48"/>
      </w:rPr>
      <w:tab/>
    </w:r>
    <w:r w:rsidRPr="00A75262">
      <w:tab/>
    </w:r>
    <w:r w:rsidRPr="00A75262">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4CB5" w14:textId="07297064" w:rsidR="00A75262" w:rsidRPr="00A75262" w:rsidRDefault="00A75262" w:rsidP="00A75262">
    <w:pPr>
      <w:pStyle w:val="Footer"/>
      <w:rPr>
        <w:rFonts w:ascii="Arial" w:hAnsi="Arial" w:cs="Arial"/>
        <w:b/>
        <w:sz w:val="48"/>
      </w:rPr>
    </w:pPr>
    <w:r w:rsidRPr="00A75262">
      <w:rPr>
        <w:rFonts w:ascii="Arial" w:hAnsi="Arial" w:cs="Arial"/>
        <w:b/>
        <w:sz w:val="48"/>
      </w:rPr>
      <w:t>EL</w:t>
    </w:r>
    <w:r w:rsidRPr="00A75262">
      <w:rPr>
        <w:rFonts w:ascii="Arial" w:hAnsi="Arial" w:cs="Arial"/>
        <w:b/>
        <w:sz w:val="48"/>
      </w:rPr>
      <w:tab/>
    </w:r>
    <w:r>
      <w:fldChar w:fldCharType="begin"/>
    </w:r>
    <w:r>
      <w:instrText xml:space="preserve"> PAGE  \* MERGEFORMAT </w:instrText>
    </w:r>
    <w:r>
      <w:fldChar w:fldCharType="separate"/>
    </w:r>
    <w:r w:rsidR="00F63E1F">
      <w:rPr>
        <w:noProof/>
      </w:rPr>
      <w:t>12</w:t>
    </w:r>
    <w:r>
      <w:fldChar w:fldCharType="end"/>
    </w:r>
    <w:r>
      <w:tab/>
    </w:r>
    <w:r w:rsidRPr="00A75262">
      <w:tab/>
    </w:r>
    <w:r w:rsidRPr="00A75262">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E076" w14:textId="77777777" w:rsidR="00A75262" w:rsidRPr="00A75262" w:rsidRDefault="00A75262" w:rsidP="00A7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0C2DB" w14:textId="77777777" w:rsidR="0069462F" w:rsidRDefault="0069462F" w:rsidP="008E7AC1">
      <w:pPr>
        <w:spacing w:before="0" w:after="0"/>
      </w:pPr>
      <w:r>
        <w:separator/>
      </w:r>
    </w:p>
  </w:footnote>
  <w:footnote w:type="continuationSeparator" w:id="0">
    <w:p w14:paraId="74B035BD" w14:textId="77777777" w:rsidR="0069462F" w:rsidRDefault="0069462F" w:rsidP="008E7AC1">
      <w:pPr>
        <w:spacing w:before="0" w:after="0"/>
      </w:pPr>
      <w:r>
        <w:continuationSeparator/>
      </w:r>
    </w:p>
  </w:footnote>
  <w:footnote w:id="1">
    <w:p w14:paraId="7D521837" w14:textId="45F65302" w:rsidR="00A75B61" w:rsidRPr="006040CE" w:rsidRDefault="00A75B61" w:rsidP="00280BAE">
      <w:pPr>
        <w:pStyle w:val="FootnoteText"/>
      </w:pPr>
      <w:r>
        <w:rPr>
          <w:rStyle w:val="FootnoteReference"/>
        </w:rPr>
        <w:footnoteRef/>
      </w:r>
      <w:r>
        <w:tab/>
        <w:t>Κανονισμός (ΕΕ) 2018/1240 του Ευρωπαϊκού Κοινοβουλίου και του Συμβουλίου, της 12ης Σεπτεμβρίου 2018, για τη θέσπιση Ευρωπαϊκού Συστήματος Πληροφοριών και Αδειοδότησης Ταξιδιού (ETIAS), καθώς και για την τροποποίηση των κανονισμών (ΕΕ) αριθ. 1077/2011, (ΕΕ) αριθ. 515/2014, (ΕΕ) 2016/399, (ΕΕ) 2016/1624 και (ΕΕ) 2017/2226 (ΕΕ L 236 της 19.9.2018, σ. 1).</w:t>
      </w:r>
    </w:p>
  </w:footnote>
  <w:footnote w:id="2">
    <w:p w14:paraId="1E840B53" w14:textId="2AAA7AE0" w:rsidR="002558A4" w:rsidRPr="002558A4" w:rsidRDefault="002558A4" w:rsidP="00280BAE">
      <w:pPr>
        <w:pStyle w:val="FootnoteText"/>
      </w:pPr>
      <w:r>
        <w:rPr>
          <w:rStyle w:val="FootnoteReference"/>
        </w:rPr>
        <w:footnoteRef/>
      </w:r>
      <w:r>
        <w:tab/>
        <w:t>Κατ’ εξουσιοδότηση κανονισμός C(2021)4982 της Επιτροπής για τη συμπλήρωση του κανονισμού (ΕΕ) 2019/817 του Ευρωπαϊκού Κοινοβουλίου και του Συμβουλίου με αναλυτικούς κανόνες σχετικά με τη λειτουργία του κεντρικού αποθετηρίου για την υποβολή εκθέσεων και την κατάρτιση στατιστικών.</w:t>
      </w:r>
    </w:p>
  </w:footnote>
  <w:footnote w:id="3">
    <w:p w14:paraId="5177FA74" w14:textId="198828D2" w:rsidR="00A75B61" w:rsidRDefault="00A75B61" w:rsidP="00280BAE">
      <w:pPr>
        <w:pStyle w:val="FootnoteText"/>
      </w:pPr>
      <w:r>
        <w:rPr>
          <w:rStyle w:val="FootnoteReference"/>
        </w:rPr>
        <w:footnoteRef/>
      </w:r>
      <w:r>
        <w:tab/>
        <w:t xml:space="preserve">ΕΕ L 236 της 19.9.2018, σ. 1. </w:t>
      </w:r>
    </w:p>
  </w:footnote>
  <w:footnote w:id="4">
    <w:p w14:paraId="02D01361" w14:textId="30776018" w:rsidR="00A75B61" w:rsidRPr="007C74AF" w:rsidRDefault="00A75B61" w:rsidP="00280BAE">
      <w:pPr>
        <w:pStyle w:val="FootnoteText"/>
        <w:rPr>
          <w:rFonts w:eastAsiaTheme="minorEastAsia"/>
        </w:rPr>
      </w:pPr>
      <w:r>
        <w:rPr>
          <w:rStyle w:val="FootnoteReference"/>
        </w:rPr>
        <w:footnoteRef/>
      </w:r>
      <w:r>
        <w:tab/>
        <w:t>Η παρούσα απόφαση δεν εμπίπτει στο πεδίο εφαρμογής των μέτρων που προβλέπονται στην απόφαση 2002/192/ΕΚ του Συμβουλίου, της 28ης Φεβρουαρίου 2002, σχετικά με το αίτημα της Ιρλανδίας να συμμετέχει σε ορισμένες από τις διατάξεις του κεκτημένου του Σένγκεν (ΕΕ L 64 της 7.3.2002, σ. 20).</w:t>
      </w:r>
    </w:p>
  </w:footnote>
  <w:footnote w:id="5">
    <w:p w14:paraId="03841E8C" w14:textId="77777777" w:rsidR="00A75B61" w:rsidRPr="007C74AF" w:rsidRDefault="00A75B61" w:rsidP="00280BAE">
      <w:pPr>
        <w:pStyle w:val="FootnoteText"/>
      </w:pPr>
      <w:r>
        <w:rPr>
          <w:rStyle w:val="FootnoteReference"/>
        </w:rPr>
        <w:footnoteRef/>
      </w:r>
      <w:r>
        <w:tab/>
        <w:t>ΕΕ L 176 της 10.7.1999, σ. 36.</w:t>
      </w:r>
    </w:p>
  </w:footnote>
  <w:footnote w:id="6">
    <w:p w14:paraId="7E949E13" w14:textId="77777777" w:rsidR="00A75B61" w:rsidRPr="007C74AF" w:rsidRDefault="00A75B61" w:rsidP="00280BAE">
      <w:pPr>
        <w:pStyle w:val="FootnoteText"/>
      </w:pPr>
      <w:r>
        <w:rPr>
          <w:rStyle w:val="FootnoteReference"/>
        </w:rPr>
        <w:footnoteRef/>
      </w:r>
      <w:r>
        <w:tab/>
        <w:t>Απόφαση 1999/437/ΕΚ του Συμβουλίου, της 17ης Μαΐου 1999, σχετικά με ορισμένες λεπτομέρειες εφαρμογής της συμφωνίας που έχει συναφθεί από το Συμβούλιο της Ευρωπαϊκής Ένωσης, τη Δημοκρατία της Ισλανδίας και το Βασίλειο της Νορβηγίας για τη σύνδεση των δύο αυτών κρατών, με την υλοποίηση, την εφαρμογή και την ανάπτυξη του κεκτημένου του Σένγκεν (ΕΕ L 176 της 10.7.1999, σ. 31).</w:t>
      </w:r>
    </w:p>
  </w:footnote>
  <w:footnote w:id="7">
    <w:p w14:paraId="26813F19" w14:textId="77777777" w:rsidR="00A75B61" w:rsidRPr="007C74AF" w:rsidRDefault="00A75B61" w:rsidP="00280BAE">
      <w:pPr>
        <w:pStyle w:val="FootnoteText"/>
      </w:pPr>
      <w:r>
        <w:rPr>
          <w:rStyle w:val="FootnoteReference"/>
        </w:rPr>
        <w:footnoteRef/>
      </w:r>
      <w:r>
        <w:tab/>
        <w:t>ΕΕ L 53 της 27.2.2008, σ. 52.</w:t>
      </w:r>
    </w:p>
  </w:footnote>
  <w:footnote w:id="8">
    <w:p w14:paraId="475E648B" w14:textId="597954B6" w:rsidR="00A75B61" w:rsidRPr="007C74AF" w:rsidRDefault="00A75B61" w:rsidP="00280BAE">
      <w:pPr>
        <w:pStyle w:val="FootnoteText"/>
      </w:pPr>
      <w:r>
        <w:rPr>
          <w:rStyle w:val="FootnoteReference"/>
        </w:rPr>
        <w:footnoteRef/>
      </w:r>
      <w:r>
        <w:tab/>
        <w:t>Απόφαση 2008/146/ΕΚ του Συμβουλίου, της 28ης Ιανουαρίου 2008, για τη σύναψη εξ ονόματος της Ευρωπαϊκής Κοινότητας της συμφωνίας μεταξύ της Ευρωπαϊκής Ένωσης, της Ευρωπαϊκής Κοινότητας και της Ελβετικής Συνομοσπονδίας σχετικά με τη σύνδεση της Ελβετικής Συνομοσπονδίας προς την υλοποίηση, την εφαρμογή και την ανάπτυξη του κεκτημένου του Σένγκεν (ΕΕ L 53 της 27.2.2008, σ. 1).</w:t>
      </w:r>
    </w:p>
  </w:footnote>
  <w:footnote w:id="9">
    <w:p w14:paraId="0B4406C2" w14:textId="77777777" w:rsidR="00A75B61" w:rsidRPr="007C74AF" w:rsidRDefault="00A75B61" w:rsidP="00280BAE">
      <w:pPr>
        <w:pStyle w:val="FootnoteText"/>
        <w:rPr>
          <w:rFonts w:eastAsiaTheme="minorEastAsia"/>
        </w:rPr>
      </w:pPr>
      <w:r>
        <w:rPr>
          <w:rStyle w:val="FootnoteReference"/>
        </w:rPr>
        <w:footnoteRef/>
      </w:r>
      <w:r>
        <w:tab/>
        <w:t>ΕΕ L 160 της 18.6.2011, σ. 21.</w:t>
      </w:r>
    </w:p>
  </w:footnote>
  <w:footnote w:id="10">
    <w:p w14:paraId="4BC40749" w14:textId="77777777" w:rsidR="00A75B61" w:rsidRPr="007C74AF" w:rsidRDefault="00A75B61" w:rsidP="00280BAE">
      <w:pPr>
        <w:pStyle w:val="FootnoteText"/>
      </w:pPr>
      <w:bookmarkStart w:id="1" w:name="_DV_C302"/>
      <w:r>
        <w:rPr>
          <w:rStyle w:val="FootnoteReference"/>
        </w:rPr>
        <w:footnoteRef/>
      </w:r>
      <w:r>
        <w:tab/>
        <w:t>Απόφαση 2011/350/EE του Συμβουλίου, της 7ης Μαρτίου 2011, για τη σύναψη, εξ ονόματος της Ευρωπαϊκής Ένωσης, του πρωτοκόλλου μεταξύ της Ευρωπαϊκής Ένωσης, της Ευρωπαϊκής Κοινότητας, της Ελβετικής Συνομοσπονδίας και του Πριγκιπάτου του Λιχτενστάιν για την προσχώρηση του Πριγκιπάτου του Λιχτενστάιν στη συμφωνία μεταξύ της Ευρωπαϊκής Ένωσης, της Ευρωπαϊκής Κοινότητας και της Ελβετικής Συνομοσπονδίας σχετικά με τη σύνδεση της Ελβετικής Συνομοσπονδίας προς τη θέση σε ισχύ, την εφαρμογή και την ανάπτυξη του κεκτημένου του Σένγκεν, όσον αφορά την κατάργηση των ελέγχων στα εσωτερικά σύνορα και την κυκλοφορία των προσώπων (ΕΕ L 160 της 18.6.2011, σ. 19).</w:t>
      </w:r>
      <w:bookmarkEnd w:id="1"/>
    </w:p>
  </w:footnote>
  <w:footnote w:id="11">
    <w:p w14:paraId="3A5847F2" w14:textId="77777777" w:rsidR="00A75B61" w:rsidRPr="000817EB" w:rsidRDefault="00A75B61" w:rsidP="00280BAE">
      <w:pPr>
        <w:pStyle w:val="FootnoteText"/>
      </w:pPr>
      <w:r>
        <w:rPr>
          <w:rStyle w:val="FootnoteReference"/>
        </w:rPr>
        <w:footnoteRef/>
      </w:r>
      <w:r>
        <w:tab/>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w:t>
      </w:r>
    </w:p>
  </w:footnote>
  <w:footnote w:id="12">
    <w:p w14:paraId="0F392592" w14:textId="06EADB4B" w:rsidR="00810195" w:rsidRPr="00810195" w:rsidRDefault="00810195" w:rsidP="00280BAE">
      <w:pPr>
        <w:pStyle w:val="FootnoteText"/>
      </w:pPr>
      <w:r>
        <w:rPr>
          <w:rStyle w:val="FootnoteReference"/>
        </w:rPr>
        <w:footnoteRef/>
      </w:r>
      <w:r>
        <w:tab/>
        <w:t>Εκτελεστική απόφαση C(2021) 1840 της Επιτροπής, της 20ής Μαΐου 2021, για τον καθορισμό απαιτήσεων σχετικά με τον μορφότυπο των δεδομένων προσωπικού χαρακτήρα που πρέπει να εισάγονται στο έντυπο αίτησης το οποίο υποβάλλεται σύμφωνα με το άρθρο 17 παράγραφος 1 του κανονισμού (ΕΕ) 2018/1240 του Ευρωπαϊκού Κοινοβουλίου και του Συμβουλίου, καθώς και σχετικά με τις παραμέτρους και τις επαληθεύσεις που πρέπει να πραγματοποιούνται προκειμένου να διασφαλίζεται η πληρότητα της αίτησης και η συνεκτικότητα των εν λόγω δεδομένων.</w:t>
      </w:r>
    </w:p>
  </w:footnote>
  <w:footnote w:id="13">
    <w:p w14:paraId="7AFD0B98" w14:textId="06BE19B5" w:rsidR="00810195" w:rsidRPr="00810195" w:rsidRDefault="00810195" w:rsidP="00280BAE">
      <w:pPr>
        <w:pStyle w:val="FootnoteText"/>
      </w:pPr>
      <w:r>
        <w:rPr>
          <w:rStyle w:val="FootnoteReference"/>
        </w:rPr>
        <w:footnoteRef/>
      </w:r>
      <w:r>
        <w:tab/>
        <w:t>ΕΕ L 201 της 8.6.2021, 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77A068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4208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5D0E26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1189D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2A81F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59E7D4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AA434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2EC08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2"/>
  </w:num>
  <w:num w:numId="30">
    <w:abstractNumId w:val="20"/>
  </w:num>
  <w:num w:numId="31">
    <w:abstractNumId w:val="20"/>
  </w:num>
  <w:num w:numId="32">
    <w:abstractNumId w:val="20"/>
  </w:num>
  <w:num w:numId="33">
    <w:abstractNumId w:val="14"/>
  </w:num>
  <w:num w:numId="34">
    <w:abstractNumId w:val="9"/>
  </w:num>
  <w:num w:numId="35">
    <w:abstractNumId w:val="9"/>
  </w:num>
  <w:num w:numId="3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9 16:23: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D4C02397-BA1D-4882-8798-9985755AA40D"/>
    <w:docVar w:name="LW_COVERPAGE_TYPE" w:val="1"/>
    <w:docVar w:name="LW_CROSSREFERENCE" w:val="&lt;UNUSED&gt;"/>
    <w:docVar w:name="LW_DATE.ADOPT.CP" w:val="\u964?\u951?\u962? 23.11.2021"/>
    <w:docVar w:name="LW_DATE.ADOPT.CP_DATEFORMAT" w:val="\u964?\u951?\u962? %DATE%"/>
    <w:docVar w:name="LW_DATE.ADOPT.CP_ISODATE" w:val="2021-11-23"/>
    <w:docVar w:name="LW_DocType" w:val="COM"/>
    <w:docVar w:name="LW_EMISSION" w:val="23.11.2021"/>
    <w:docVar w:name="LW_EMISSION_ISODATE" w:val="2021-11-23"/>
    <w:docVar w:name="LW_EMISSION_LOCATION" w:val="BRX"/>
    <w:docVar w:name="LW_EMISSION_PREFIX" w:val="\u914?\u961?\u965?\u958?\u941?\u955?\u955?\u949?\u962?, "/>
    <w:docVar w:name="LW_EMISSION_SUFFIX" w:val=" "/>
    <w:docVar w:name="LW_ID_DOCMODEL" w:val="SJ-012"/>
    <w:docVar w:name="LW_ID_DOCSIGNATURE" w:val="SJ-012"/>
    <w:docVar w:name="LW_ID_DOCSTRUCTURE" w:val="COM/AA"/>
    <w:docVar w:name="LW_ID_DOCTYPE" w:val="SJ-012"/>
    <w:docVar w:name="LW_ID_EXP.MOTIFS.NEW" w:val="EM_AA_"/>
    <w:docVar w:name="LW_INTERETEEE.CP" w:val="&lt;UNUSED&gt;"/>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
    <w:docVar w:name="LW_REF.INST.NEW_ADOPTED" w:val="final"/>
    <w:docVar w:name="LW_REF.INST.NEW_TEXT" w:val="(2021) 49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63?\u967?\u949?\u964?\u953?\u954?\u940? \u956?\u949? \u964?\u959?\u957? \u960?\u949?\u961?\u945?\u953?\u964?\u941?\u961?\u969? \u954?\u945?\u952?\u959?\u961?\u953?\u963?\u956?\u972? \u964?\u969?\u957? \u954?\u953?\u957?\u948?\u973?\u957?\u969?\u957? \u960?\u959?\u965? \u945?\u966?\u959?\u961?\u959?\u973?\u957? \u964?\u951?\u957? \u945?\u963?\u966?\u940?\u955?\u949?\u953?\u945?, \u964?\u951?\u957? \u960?\u945?\u961?\u940?\u957?\u959?\u956?\u951? \u956?\u949?\u964?\u945?\u957?\u940?\u963?\u964?\u949?\u965?\u963?\u951? \u942? \u964?\u969?\u957? \u965?\u968?\u951?\u955?\u974?\u957? \u949?\u960?\u953?\u948?\u951?\u956?\u953?\u954?\u974?\u957? \u954?\u953?\u957?\u948?\u973?\u957?\u969?\u957?  "/>
    <w:docVar w:name="LW_TYPE.DOC.CP" w:val="\u922?\u913?\u932?\u8217? \u917?\u926?\u927?\u933?\u931?\u921?\u927?\u916?\u927?\u932?\u919?\u931?\u919? \u913?\u928?\u927?\u934?\u913?\u931?\u919? \u932?\u919?\u931? \u917?\u928?\u921?\u932?\u929?\u927?\u928?\u919?\u931?"/>
    <w:docVar w:name="LwApiVersions" w:val="LW4CoDe 1.23.1.0; LW 8.0, Build 20210728"/>
  </w:docVars>
  <w:rsids>
    <w:rsidRoot w:val="008E7AC1"/>
    <w:rsid w:val="00002C26"/>
    <w:rsid w:val="000101B1"/>
    <w:rsid w:val="00037068"/>
    <w:rsid w:val="000373F4"/>
    <w:rsid w:val="00042569"/>
    <w:rsid w:val="0006267E"/>
    <w:rsid w:val="00063DFD"/>
    <w:rsid w:val="000644FD"/>
    <w:rsid w:val="00065FA3"/>
    <w:rsid w:val="0008017E"/>
    <w:rsid w:val="000A52A8"/>
    <w:rsid w:val="000A7517"/>
    <w:rsid w:val="000A79B8"/>
    <w:rsid w:val="000B5889"/>
    <w:rsid w:val="000C5FB5"/>
    <w:rsid w:val="000C685F"/>
    <w:rsid w:val="000E198E"/>
    <w:rsid w:val="000E353E"/>
    <w:rsid w:val="000E39E1"/>
    <w:rsid w:val="000E680B"/>
    <w:rsid w:val="000E7E54"/>
    <w:rsid w:val="001028B7"/>
    <w:rsid w:val="00104B59"/>
    <w:rsid w:val="001179BA"/>
    <w:rsid w:val="00126CB9"/>
    <w:rsid w:val="00154CD3"/>
    <w:rsid w:val="00170861"/>
    <w:rsid w:val="00171F2F"/>
    <w:rsid w:val="00174CBE"/>
    <w:rsid w:val="00183BFB"/>
    <w:rsid w:val="00186C1C"/>
    <w:rsid w:val="00190673"/>
    <w:rsid w:val="001B3887"/>
    <w:rsid w:val="001C2816"/>
    <w:rsid w:val="001C4966"/>
    <w:rsid w:val="001D022E"/>
    <w:rsid w:val="00202EFD"/>
    <w:rsid w:val="0021619A"/>
    <w:rsid w:val="00224413"/>
    <w:rsid w:val="00232E98"/>
    <w:rsid w:val="002558A4"/>
    <w:rsid w:val="00267081"/>
    <w:rsid w:val="00270643"/>
    <w:rsid w:val="00276659"/>
    <w:rsid w:val="00280BAE"/>
    <w:rsid w:val="00284B25"/>
    <w:rsid w:val="002B17C2"/>
    <w:rsid w:val="002D2589"/>
    <w:rsid w:val="00314CFA"/>
    <w:rsid w:val="003249BC"/>
    <w:rsid w:val="003311DC"/>
    <w:rsid w:val="003604F0"/>
    <w:rsid w:val="0037114D"/>
    <w:rsid w:val="00374907"/>
    <w:rsid w:val="00384FE5"/>
    <w:rsid w:val="003857FA"/>
    <w:rsid w:val="003A383B"/>
    <w:rsid w:val="003A4726"/>
    <w:rsid w:val="003B1549"/>
    <w:rsid w:val="003B18E2"/>
    <w:rsid w:val="003C04CA"/>
    <w:rsid w:val="003C391B"/>
    <w:rsid w:val="00401E47"/>
    <w:rsid w:val="00420ABE"/>
    <w:rsid w:val="00451EC7"/>
    <w:rsid w:val="00461DC7"/>
    <w:rsid w:val="0046574E"/>
    <w:rsid w:val="0048084A"/>
    <w:rsid w:val="004843E6"/>
    <w:rsid w:val="00486902"/>
    <w:rsid w:val="00493564"/>
    <w:rsid w:val="004971E6"/>
    <w:rsid w:val="004C2C64"/>
    <w:rsid w:val="00514951"/>
    <w:rsid w:val="00517059"/>
    <w:rsid w:val="005254C9"/>
    <w:rsid w:val="00525961"/>
    <w:rsid w:val="00531BF5"/>
    <w:rsid w:val="00533E6A"/>
    <w:rsid w:val="00567E7C"/>
    <w:rsid w:val="00591ABE"/>
    <w:rsid w:val="005A349D"/>
    <w:rsid w:val="005A7B2B"/>
    <w:rsid w:val="005B4BEF"/>
    <w:rsid w:val="005C5C14"/>
    <w:rsid w:val="005C6AA1"/>
    <w:rsid w:val="005F2841"/>
    <w:rsid w:val="005F69F1"/>
    <w:rsid w:val="00621DE6"/>
    <w:rsid w:val="00631038"/>
    <w:rsid w:val="006310F3"/>
    <w:rsid w:val="006704BB"/>
    <w:rsid w:val="00694445"/>
    <w:rsid w:val="0069462F"/>
    <w:rsid w:val="00695173"/>
    <w:rsid w:val="006B1054"/>
    <w:rsid w:val="006C159B"/>
    <w:rsid w:val="006D16BD"/>
    <w:rsid w:val="0070128F"/>
    <w:rsid w:val="007016B6"/>
    <w:rsid w:val="0071725E"/>
    <w:rsid w:val="00721D27"/>
    <w:rsid w:val="007306DD"/>
    <w:rsid w:val="00733231"/>
    <w:rsid w:val="00741A73"/>
    <w:rsid w:val="0075575B"/>
    <w:rsid w:val="0077352E"/>
    <w:rsid w:val="007863B6"/>
    <w:rsid w:val="007A3AA5"/>
    <w:rsid w:val="007A7530"/>
    <w:rsid w:val="007A7748"/>
    <w:rsid w:val="007B4C0F"/>
    <w:rsid w:val="007C06F6"/>
    <w:rsid w:val="007C312E"/>
    <w:rsid w:val="00803045"/>
    <w:rsid w:val="00810195"/>
    <w:rsid w:val="008341EA"/>
    <w:rsid w:val="008367A0"/>
    <w:rsid w:val="00840552"/>
    <w:rsid w:val="00840FBF"/>
    <w:rsid w:val="008522D9"/>
    <w:rsid w:val="00855F79"/>
    <w:rsid w:val="008724B5"/>
    <w:rsid w:val="00874543"/>
    <w:rsid w:val="0089210B"/>
    <w:rsid w:val="008B2BD8"/>
    <w:rsid w:val="008D6CB8"/>
    <w:rsid w:val="008E7AC1"/>
    <w:rsid w:val="00912CBB"/>
    <w:rsid w:val="009276C5"/>
    <w:rsid w:val="00943F16"/>
    <w:rsid w:val="0096560A"/>
    <w:rsid w:val="00967F75"/>
    <w:rsid w:val="00973B3A"/>
    <w:rsid w:val="00986B33"/>
    <w:rsid w:val="00987AD5"/>
    <w:rsid w:val="009B0B94"/>
    <w:rsid w:val="009B7138"/>
    <w:rsid w:val="009D12E3"/>
    <w:rsid w:val="009D2D76"/>
    <w:rsid w:val="00A1009C"/>
    <w:rsid w:val="00A20B73"/>
    <w:rsid w:val="00A52894"/>
    <w:rsid w:val="00A642B6"/>
    <w:rsid w:val="00A75262"/>
    <w:rsid w:val="00A75B61"/>
    <w:rsid w:val="00AA5731"/>
    <w:rsid w:val="00AA7232"/>
    <w:rsid w:val="00AD621C"/>
    <w:rsid w:val="00AF342E"/>
    <w:rsid w:val="00B00562"/>
    <w:rsid w:val="00B01B85"/>
    <w:rsid w:val="00B1709C"/>
    <w:rsid w:val="00B30BBE"/>
    <w:rsid w:val="00B350F1"/>
    <w:rsid w:val="00B37F54"/>
    <w:rsid w:val="00B62AA4"/>
    <w:rsid w:val="00B70B3E"/>
    <w:rsid w:val="00B75CEF"/>
    <w:rsid w:val="00BC05F9"/>
    <w:rsid w:val="00BC6590"/>
    <w:rsid w:val="00BD379D"/>
    <w:rsid w:val="00BE246D"/>
    <w:rsid w:val="00BE40D2"/>
    <w:rsid w:val="00BF17AA"/>
    <w:rsid w:val="00BF3284"/>
    <w:rsid w:val="00BF64E5"/>
    <w:rsid w:val="00C24556"/>
    <w:rsid w:val="00C41300"/>
    <w:rsid w:val="00C41A04"/>
    <w:rsid w:val="00C4518D"/>
    <w:rsid w:val="00C50A2E"/>
    <w:rsid w:val="00C54DBD"/>
    <w:rsid w:val="00C570C1"/>
    <w:rsid w:val="00C61544"/>
    <w:rsid w:val="00C70EDE"/>
    <w:rsid w:val="00C95E5D"/>
    <w:rsid w:val="00C9623F"/>
    <w:rsid w:val="00C9706B"/>
    <w:rsid w:val="00C973A5"/>
    <w:rsid w:val="00CA144D"/>
    <w:rsid w:val="00CA5D79"/>
    <w:rsid w:val="00CA7439"/>
    <w:rsid w:val="00CA7D7E"/>
    <w:rsid w:val="00CB31B7"/>
    <w:rsid w:val="00CB565B"/>
    <w:rsid w:val="00CC4489"/>
    <w:rsid w:val="00CC5779"/>
    <w:rsid w:val="00CD3951"/>
    <w:rsid w:val="00CE0C7F"/>
    <w:rsid w:val="00CF176D"/>
    <w:rsid w:val="00CF6624"/>
    <w:rsid w:val="00D0174E"/>
    <w:rsid w:val="00D06E58"/>
    <w:rsid w:val="00D12C18"/>
    <w:rsid w:val="00D21260"/>
    <w:rsid w:val="00D31371"/>
    <w:rsid w:val="00D72044"/>
    <w:rsid w:val="00D8045C"/>
    <w:rsid w:val="00D8128B"/>
    <w:rsid w:val="00D82141"/>
    <w:rsid w:val="00D9137B"/>
    <w:rsid w:val="00D9242C"/>
    <w:rsid w:val="00D95AD2"/>
    <w:rsid w:val="00DA68DB"/>
    <w:rsid w:val="00DB7B20"/>
    <w:rsid w:val="00DD448F"/>
    <w:rsid w:val="00DE50EE"/>
    <w:rsid w:val="00DF6F74"/>
    <w:rsid w:val="00E02D06"/>
    <w:rsid w:val="00E10ACE"/>
    <w:rsid w:val="00E45088"/>
    <w:rsid w:val="00E619EB"/>
    <w:rsid w:val="00E71C9A"/>
    <w:rsid w:val="00E72095"/>
    <w:rsid w:val="00E740CA"/>
    <w:rsid w:val="00EC32A6"/>
    <w:rsid w:val="00ED206B"/>
    <w:rsid w:val="00ED7970"/>
    <w:rsid w:val="00F20062"/>
    <w:rsid w:val="00F5367F"/>
    <w:rsid w:val="00F63E1F"/>
    <w:rsid w:val="00F64A06"/>
    <w:rsid w:val="00F93963"/>
    <w:rsid w:val="00FA3FA0"/>
    <w:rsid w:val="00FB2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90EB21A"/>
  <w15:docId w15:val="{4440D97C-ABE9-4CC0-BD21-A8A78434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83BFB"/>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183BFB"/>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183BFB"/>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75B61"/>
    <w:pPr>
      <w:numPr>
        <w:numId w:val="1"/>
      </w:numPr>
      <w:contextualSpacing/>
    </w:pPr>
  </w:style>
  <w:style w:type="paragraph" w:styleId="ListBullet2">
    <w:name w:val="List Bullet 2"/>
    <w:basedOn w:val="Normal"/>
    <w:uiPriority w:val="99"/>
    <w:semiHidden/>
    <w:unhideWhenUsed/>
    <w:rsid w:val="00A75B61"/>
    <w:pPr>
      <w:numPr>
        <w:numId w:val="2"/>
      </w:numPr>
      <w:contextualSpacing/>
    </w:pPr>
  </w:style>
  <w:style w:type="paragraph" w:styleId="ListBullet3">
    <w:name w:val="List Bullet 3"/>
    <w:basedOn w:val="Normal"/>
    <w:uiPriority w:val="99"/>
    <w:semiHidden/>
    <w:unhideWhenUsed/>
    <w:rsid w:val="00A75B61"/>
    <w:pPr>
      <w:numPr>
        <w:numId w:val="3"/>
      </w:numPr>
      <w:contextualSpacing/>
    </w:pPr>
  </w:style>
  <w:style w:type="paragraph" w:styleId="ListBullet4">
    <w:name w:val="List Bullet 4"/>
    <w:basedOn w:val="Normal"/>
    <w:uiPriority w:val="99"/>
    <w:semiHidden/>
    <w:unhideWhenUsed/>
    <w:rsid w:val="00A75B61"/>
    <w:pPr>
      <w:numPr>
        <w:numId w:val="4"/>
      </w:numPr>
      <w:contextualSpacing/>
    </w:pPr>
  </w:style>
  <w:style w:type="paragraph" w:styleId="Caption">
    <w:name w:val="caption"/>
    <w:basedOn w:val="Normal"/>
    <w:next w:val="Normal"/>
    <w:uiPriority w:val="35"/>
    <w:semiHidden/>
    <w:unhideWhenUsed/>
    <w:qFormat/>
    <w:rsid w:val="00063DF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63DFD"/>
    <w:pPr>
      <w:spacing w:after="0"/>
    </w:pPr>
  </w:style>
  <w:style w:type="paragraph" w:styleId="ListNumber">
    <w:name w:val="List Number"/>
    <w:basedOn w:val="Normal"/>
    <w:uiPriority w:val="99"/>
    <w:semiHidden/>
    <w:unhideWhenUsed/>
    <w:rsid w:val="00063DFD"/>
    <w:pPr>
      <w:numPr>
        <w:numId w:val="8"/>
      </w:numPr>
      <w:contextualSpacing/>
    </w:pPr>
  </w:style>
  <w:style w:type="paragraph" w:styleId="ListNumber2">
    <w:name w:val="List Number 2"/>
    <w:basedOn w:val="Normal"/>
    <w:uiPriority w:val="99"/>
    <w:semiHidden/>
    <w:unhideWhenUsed/>
    <w:rsid w:val="00063DFD"/>
    <w:pPr>
      <w:numPr>
        <w:numId w:val="9"/>
      </w:numPr>
      <w:contextualSpacing/>
    </w:pPr>
  </w:style>
  <w:style w:type="paragraph" w:styleId="ListNumber3">
    <w:name w:val="List Number 3"/>
    <w:basedOn w:val="Normal"/>
    <w:uiPriority w:val="99"/>
    <w:semiHidden/>
    <w:unhideWhenUsed/>
    <w:rsid w:val="00063DFD"/>
    <w:pPr>
      <w:numPr>
        <w:numId w:val="10"/>
      </w:numPr>
      <w:contextualSpacing/>
    </w:pPr>
  </w:style>
  <w:style w:type="paragraph" w:styleId="ListNumber4">
    <w:name w:val="List Number 4"/>
    <w:basedOn w:val="Normal"/>
    <w:uiPriority w:val="99"/>
    <w:semiHidden/>
    <w:unhideWhenUsed/>
    <w:rsid w:val="00063DFD"/>
    <w:pPr>
      <w:numPr>
        <w:numId w:val="11"/>
      </w:numPr>
      <w:contextualSpacing/>
    </w:pPr>
  </w:style>
  <w:style w:type="paragraph" w:styleId="BalloonText">
    <w:name w:val="Balloon Text"/>
    <w:basedOn w:val="Normal"/>
    <w:link w:val="BalloonTextChar"/>
    <w:uiPriority w:val="99"/>
    <w:semiHidden/>
    <w:unhideWhenUsed/>
    <w:rsid w:val="009D2D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76"/>
    <w:rPr>
      <w:rFonts w:ascii="Segoe UI" w:hAnsi="Segoe UI" w:cs="Segoe UI"/>
      <w:sz w:val="18"/>
      <w:szCs w:val="18"/>
      <w:lang w:val="el-GR"/>
    </w:rPr>
  </w:style>
  <w:style w:type="character" w:styleId="CommentReference">
    <w:name w:val="annotation reference"/>
    <w:basedOn w:val="DefaultParagraphFont"/>
    <w:uiPriority w:val="99"/>
    <w:semiHidden/>
    <w:unhideWhenUsed/>
    <w:rsid w:val="003311DC"/>
    <w:rPr>
      <w:sz w:val="16"/>
      <w:szCs w:val="16"/>
    </w:rPr>
  </w:style>
  <w:style w:type="paragraph" w:styleId="CommentText">
    <w:name w:val="annotation text"/>
    <w:basedOn w:val="Normal"/>
    <w:link w:val="CommentTextChar"/>
    <w:uiPriority w:val="99"/>
    <w:semiHidden/>
    <w:unhideWhenUsed/>
    <w:rsid w:val="003311DC"/>
    <w:rPr>
      <w:sz w:val="20"/>
      <w:szCs w:val="20"/>
    </w:rPr>
  </w:style>
  <w:style w:type="character" w:customStyle="1" w:styleId="CommentTextChar">
    <w:name w:val="Comment Text Char"/>
    <w:basedOn w:val="DefaultParagraphFont"/>
    <w:link w:val="CommentText"/>
    <w:uiPriority w:val="99"/>
    <w:semiHidden/>
    <w:rsid w:val="003311DC"/>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311DC"/>
    <w:rPr>
      <w:b/>
      <w:bCs/>
    </w:rPr>
  </w:style>
  <w:style w:type="character" w:customStyle="1" w:styleId="CommentSubjectChar">
    <w:name w:val="Comment Subject Char"/>
    <w:basedOn w:val="CommentTextChar"/>
    <w:link w:val="CommentSubject"/>
    <w:uiPriority w:val="99"/>
    <w:semiHidden/>
    <w:rsid w:val="003311DC"/>
    <w:rPr>
      <w:rFonts w:ascii="Times New Roman" w:hAnsi="Times New Roman" w:cs="Times New Roman"/>
      <w:b/>
      <w:bCs/>
      <w:sz w:val="20"/>
      <w:szCs w:val="20"/>
      <w:lang w:val="el-GR"/>
    </w:rPr>
  </w:style>
  <w:style w:type="paragraph" w:styleId="Revision">
    <w:name w:val="Revision"/>
    <w:hidden/>
    <w:uiPriority w:val="99"/>
    <w:semiHidden/>
    <w:rsid w:val="003311DC"/>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C570C1"/>
    <w:rPr>
      <w:color w:val="0000FF" w:themeColor="hyperlink"/>
      <w:u w:val="single"/>
    </w:rPr>
  </w:style>
  <w:style w:type="paragraph" w:customStyle="1" w:styleId="Default">
    <w:name w:val="Default"/>
    <w:rsid w:val="0049356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5262"/>
    <w:pPr>
      <w:tabs>
        <w:tab w:val="center" w:pos="4535"/>
        <w:tab w:val="right" w:pos="9071"/>
      </w:tabs>
      <w:spacing w:before="0"/>
    </w:pPr>
  </w:style>
  <w:style w:type="character" w:customStyle="1" w:styleId="HeaderChar">
    <w:name w:val="Header Char"/>
    <w:basedOn w:val="DefaultParagraphFont"/>
    <w:link w:val="Header"/>
    <w:uiPriority w:val="99"/>
    <w:rsid w:val="00A75262"/>
    <w:rPr>
      <w:rFonts w:ascii="Times New Roman" w:hAnsi="Times New Roman" w:cs="Times New Roman"/>
      <w:sz w:val="24"/>
      <w:lang w:val="el-GR"/>
    </w:rPr>
  </w:style>
  <w:style w:type="paragraph" w:styleId="Footer">
    <w:name w:val="footer"/>
    <w:basedOn w:val="Normal"/>
    <w:link w:val="FooterChar"/>
    <w:uiPriority w:val="99"/>
    <w:unhideWhenUsed/>
    <w:rsid w:val="00A7526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75262"/>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75262"/>
    <w:pPr>
      <w:tabs>
        <w:tab w:val="center" w:pos="7285"/>
        <w:tab w:val="right" w:pos="14003"/>
      </w:tabs>
      <w:spacing w:before="0"/>
    </w:pPr>
  </w:style>
  <w:style w:type="paragraph" w:customStyle="1" w:styleId="FooterLandscape">
    <w:name w:val="FooterLandscape"/>
    <w:basedOn w:val="Normal"/>
    <w:rsid w:val="00A7526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752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75262"/>
    <w:pPr>
      <w:spacing w:before="0"/>
      <w:jc w:val="right"/>
    </w:pPr>
    <w:rPr>
      <w:sz w:val="28"/>
    </w:rPr>
  </w:style>
  <w:style w:type="paragraph" w:customStyle="1" w:styleId="FooterSensitivity">
    <w:name w:val="Footer Sensitivity"/>
    <w:basedOn w:val="Normal"/>
    <w:rsid w:val="00A752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6"/>
      </w:numPr>
    </w:pPr>
  </w:style>
  <w:style w:type="paragraph" w:customStyle="1" w:styleId="Tiret1">
    <w:name w:val="Tiret 1"/>
    <w:basedOn w:val="Point1"/>
    <w:rsid w:val="009B7138"/>
    <w:pPr>
      <w:numPr>
        <w:numId w:val="17"/>
      </w:numPr>
    </w:pPr>
  </w:style>
  <w:style w:type="paragraph" w:customStyle="1" w:styleId="Tiret2">
    <w:name w:val="Tiret 2"/>
    <w:basedOn w:val="Point2"/>
    <w:rsid w:val="009B7138"/>
    <w:pPr>
      <w:numPr>
        <w:numId w:val="18"/>
      </w:numPr>
    </w:pPr>
  </w:style>
  <w:style w:type="paragraph" w:customStyle="1" w:styleId="Tiret3">
    <w:name w:val="Tiret 3"/>
    <w:basedOn w:val="Point3"/>
    <w:rsid w:val="009B7138"/>
    <w:pPr>
      <w:numPr>
        <w:numId w:val="19"/>
      </w:numPr>
    </w:pPr>
  </w:style>
  <w:style w:type="paragraph" w:customStyle="1" w:styleId="Tiret4">
    <w:name w:val="Tiret 4"/>
    <w:basedOn w:val="Point4"/>
    <w:rsid w:val="009B7138"/>
    <w:pPr>
      <w:numPr>
        <w:numId w:val="2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6"/>
      </w:numPr>
    </w:pPr>
  </w:style>
  <w:style w:type="paragraph" w:customStyle="1" w:styleId="NumPar2">
    <w:name w:val="NumPar 2"/>
    <w:basedOn w:val="Normal"/>
    <w:next w:val="Text1"/>
    <w:rsid w:val="009B7138"/>
    <w:pPr>
      <w:numPr>
        <w:ilvl w:val="1"/>
        <w:numId w:val="36"/>
      </w:numPr>
    </w:pPr>
  </w:style>
  <w:style w:type="paragraph" w:customStyle="1" w:styleId="NumPar3">
    <w:name w:val="NumPar 3"/>
    <w:basedOn w:val="Normal"/>
    <w:next w:val="Text1"/>
    <w:rsid w:val="009B7138"/>
    <w:pPr>
      <w:numPr>
        <w:ilvl w:val="2"/>
        <w:numId w:val="36"/>
      </w:numPr>
    </w:pPr>
  </w:style>
  <w:style w:type="paragraph" w:customStyle="1" w:styleId="NumPar4">
    <w:name w:val="NumPar 4"/>
    <w:basedOn w:val="Normal"/>
    <w:next w:val="Text1"/>
    <w:rsid w:val="009B7138"/>
    <w:pPr>
      <w:numPr>
        <w:ilvl w:val="3"/>
        <w:numId w:val="3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3"/>
      </w:numPr>
    </w:pPr>
  </w:style>
  <w:style w:type="paragraph" w:customStyle="1" w:styleId="Point1number">
    <w:name w:val="Point 1 (number)"/>
    <w:basedOn w:val="Normal"/>
    <w:rsid w:val="009B7138"/>
    <w:pPr>
      <w:numPr>
        <w:ilvl w:val="2"/>
        <w:numId w:val="23"/>
      </w:numPr>
    </w:pPr>
  </w:style>
  <w:style w:type="paragraph" w:customStyle="1" w:styleId="Point2number">
    <w:name w:val="Point 2 (number)"/>
    <w:basedOn w:val="Normal"/>
    <w:rsid w:val="009B7138"/>
    <w:pPr>
      <w:numPr>
        <w:ilvl w:val="4"/>
        <w:numId w:val="23"/>
      </w:numPr>
    </w:pPr>
  </w:style>
  <w:style w:type="paragraph" w:customStyle="1" w:styleId="Point3number">
    <w:name w:val="Point 3 (number)"/>
    <w:basedOn w:val="Normal"/>
    <w:rsid w:val="009B7138"/>
    <w:pPr>
      <w:numPr>
        <w:ilvl w:val="6"/>
        <w:numId w:val="23"/>
      </w:numPr>
    </w:pPr>
  </w:style>
  <w:style w:type="paragraph" w:customStyle="1" w:styleId="Point0letter">
    <w:name w:val="Point 0 (letter)"/>
    <w:basedOn w:val="Normal"/>
    <w:rsid w:val="009B7138"/>
    <w:pPr>
      <w:numPr>
        <w:ilvl w:val="1"/>
        <w:numId w:val="23"/>
      </w:numPr>
    </w:pPr>
  </w:style>
  <w:style w:type="paragraph" w:customStyle="1" w:styleId="Point1letter">
    <w:name w:val="Point 1 (letter)"/>
    <w:basedOn w:val="Normal"/>
    <w:rsid w:val="009B7138"/>
    <w:pPr>
      <w:numPr>
        <w:ilvl w:val="3"/>
        <w:numId w:val="23"/>
      </w:numPr>
    </w:pPr>
  </w:style>
  <w:style w:type="paragraph" w:customStyle="1" w:styleId="Point2letter">
    <w:name w:val="Point 2 (letter)"/>
    <w:basedOn w:val="Normal"/>
    <w:rsid w:val="009B7138"/>
    <w:pPr>
      <w:numPr>
        <w:ilvl w:val="5"/>
        <w:numId w:val="23"/>
      </w:numPr>
    </w:pPr>
  </w:style>
  <w:style w:type="paragraph" w:customStyle="1" w:styleId="Point3letter">
    <w:name w:val="Point 3 (letter)"/>
    <w:basedOn w:val="Normal"/>
    <w:rsid w:val="009B7138"/>
    <w:pPr>
      <w:numPr>
        <w:ilvl w:val="7"/>
        <w:numId w:val="23"/>
      </w:numPr>
    </w:pPr>
  </w:style>
  <w:style w:type="paragraph" w:customStyle="1" w:styleId="Point4letter">
    <w:name w:val="Point 4 (letter)"/>
    <w:basedOn w:val="Normal"/>
    <w:rsid w:val="009B7138"/>
    <w:pPr>
      <w:numPr>
        <w:ilvl w:val="8"/>
        <w:numId w:val="23"/>
      </w:numPr>
    </w:pPr>
  </w:style>
  <w:style w:type="paragraph" w:customStyle="1" w:styleId="Bullet0">
    <w:name w:val="Bullet 0"/>
    <w:basedOn w:val="Normal"/>
    <w:rsid w:val="009B7138"/>
    <w:pPr>
      <w:numPr>
        <w:numId w:val="24"/>
      </w:numPr>
    </w:pPr>
  </w:style>
  <w:style w:type="paragraph" w:customStyle="1" w:styleId="Bullet1">
    <w:name w:val="Bullet 1"/>
    <w:basedOn w:val="Normal"/>
    <w:rsid w:val="009B7138"/>
    <w:pPr>
      <w:numPr>
        <w:numId w:val="25"/>
      </w:numPr>
    </w:pPr>
  </w:style>
  <w:style w:type="paragraph" w:customStyle="1" w:styleId="Bullet2">
    <w:name w:val="Bullet 2"/>
    <w:basedOn w:val="Normal"/>
    <w:rsid w:val="009B7138"/>
    <w:pPr>
      <w:numPr>
        <w:numId w:val="26"/>
      </w:numPr>
    </w:pPr>
  </w:style>
  <w:style w:type="paragraph" w:customStyle="1" w:styleId="Bullet3">
    <w:name w:val="Bullet 3"/>
    <w:basedOn w:val="Normal"/>
    <w:rsid w:val="009B7138"/>
    <w:pPr>
      <w:numPr>
        <w:numId w:val="27"/>
      </w:numPr>
    </w:pPr>
  </w:style>
  <w:style w:type="paragraph" w:customStyle="1" w:styleId="Bullet4">
    <w:name w:val="Bullet 4"/>
    <w:basedOn w:val="Normal"/>
    <w:rsid w:val="009B7138"/>
    <w:pPr>
      <w:numPr>
        <w:numId w:val="2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83BFB"/>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183BFB"/>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183BFB"/>
    <w:rPr>
      <w:rFonts w:ascii="Times New Roman" w:eastAsiaTheme="majorEastAsia" w:hAnsi="Times New Roman" w:cs="Times New Roman"/>
      <w:iCs/>
      <w:sz w:val="24"/>
      <w:lang w:val="el-GR"/>
    </w:rPr>
  </w:style>
  <w:style w:type="paragraph" w:customStyle="1" w:styleId="ManualHeading5">
    <w:name w:val="Manual Heading 5"/>
    <w:basedOn w:val="Normal"/>
    <w:next w:val="Text2"/>
    <w:rsid w:val="00183BFB"/>
    <w:pPr>
      <w:keepNext/>
      <w:tabs>
        <w:tab w:val="left" w:pos="1417"/>
      </w:tabs>
      <w:ind w:left="1417" w:hanging="1417"/>
      <w:outlineLvl w:val="4"/>
    </w:pPr>
  </w:style>
  <w:style w:type="paragraph" w:customStyle="1" w:styleId="ManualHeading6">
    <w:name w:val="Manual Heading 6"/>
    <w:basedOn w:val="Normal"/>
    <w:next w:val="Text2"/>
    <w:rsid w:val="00183BFB"/>
    <w:pPr>
      <w:keepNext/>
      <w:tabs>
        <w:tab w:val="left" w:pos="1417"/>
      </w:tabs>
      <w:ind w:left="1417" w:hanging="1417"/>
      <w:outlineLvl w:val="5"/>
    </w:pPr>
  </w:style>
  <w:style w:type="paragraph" w:customStyle="1" w:styleId="ManualHeading7">
    <w:name w:val="Manual Heading 7"/>
    <w:basedOn w:val="Normal"/>
    <w:next w:val="Text2"/>
    <w:rsid w:val="00183BFB"/>
    <w:pPr>
      <w:keepNext/>
      <w:tabs>
        <w:tab w:val="left" w:pos="1417"/>
      </w:tabs>
      <w:ind w:left="1417" w:hanging="1417"/>
      <w:outlineLvl w:val="6"/>
    </w:pPr>
  </w:style>
  <w:style w:type="paragraph" w:customStyle="1" w:styleId="Text5">
    <w:name w:val="Text 5"/>
    <w:basedOn w:val="Normal"/>
    <w:rsid w:val="00183BFB"/>
    <w:pPr>
      <w:ind w:left="3118"/>
    </w:pPr>
  </w:style>
  <w:style w:type="paragraph" w:customStyle="1" w:styleId="Text6">
    <w:name w:val="Text 6"/>
    <w:basedOn w:val="Normal"/>
    <w:rsid w:val="00183BFB"/>
    <w:pPr>
      <w:ind w:left="3685"/>
    </w:pPr>
  </w:style>
  <w:style w:type="paragraph" w:customStyle="1" w:styleId="Point5">
    <w:name w:val="Point 5"/>
    <w:basedOn w:val="Normal"/>
    <w:rsid w:val="00183BFB"/>
    <w:pPr>
      <w:ind w:left="3685" w:hanging="567"/>
    </w:pPr>
  </w:style>
  <w:style w:type="paragraph" w:customStyle="1" w:styleId="Tiret5">
    <w:name w:val="Tiret 5"/>
    <w:basedOn w:val="Point5"/>
    <w:rsid w:val="00183BFB"/>
    <w:pPr>
      <w:numPr>
        <w:numId w:val="33"/>
      </w:numPr>
    </w:pPr>
  </w:style>
  <w:style w:type="paragraph" w:customStyle="1" w:styleId="NumPar5">
    <w:name w:val="NumPar 5"/>
    <w:basedOn w:val="Normal"/>
    <w:next w:val="Text2"/>
    <w:rsid w:val="00183BFB"/>
    <w:pPr>
      <w:numPr>
        <w:ilvl w:val="4"/>
        <w:numId w:val="36"/>
      </w:numPr>
    </w:pPr>
  </w:style>
  <w:style w:type="paragraph" w:customStyle="1" w:styleId="NumPar6">
    <w:name w:val="NumPar 6"/>
    <w:basedOn w:val="Normal"/>
    <w:next w:val="Text2"/>
    <w:rsid w:val="00183BFB"/>
    <w:pPr>
      <w:numPr>
        <w:ilvl w:val="5"/>
        <w:numId w:val="36"/>
      </w:numPr>
    </w:pPr>
  </w:style>
  <w:style w:type="paragraph" w:customStyle="1" w:styleId="NumPar7">
    <w:name w:val="NumPar 7"/>
    <w:basedOn w:val="Normal"/>
    <w:next w:val="Text2"/>
    <w:rsid w:val="00183BFB"/>
    <w:pPr>
      <w:numPr>
        <w:ilvl w:val="6"/>
        <w:numId w:val="36"/>
      </w:numPr>
    </w:pPr>
  </w:style>
  <w:style w:type="paragraph" w:customStyle="1" w:styleId="ManualNumPar5">
    <w:name w:val="Manual NumPar 5"/>
    <w:basedOn w:val="Normal"/>
    <w:next w:val="Text2"/>
    <w:rsid w:val="00183BFB"/>
    <w:pPr>
      <w:ind w:left="1417" w:hanging="1417"/>
    </w:pPr>
  </w:style>
  <w:style w:type="paragraph" w:customStyle="1" w:styleId="ManualNumPar6">
    <w:name w:val="Manual NumPar 6"/>
    <w:basedOn w:val="Normal"/>
    <w:next w:val="Text2"/>
    <w:rsid w:val="00183BFB"/>
    <w:pPr>
      <w:ind w:left="1417" w:hanging="1417"/>
    </w:pPr>
  </w:style>
  <w:style w:type="paragraph" w:customStyle="1" w:styleId="ManualNumPar7">
    <w:name w:val="Manual NumPar 7"/>
    <w:basedOn w:val="Normal"/>
    <w:next w:val="Text2"/>
    <w:rsid w:val="00183BFB"/>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E2C1-888A-494D-B5C0-C5893A78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4003</Words>
  <Characters>23900</Characters>
  <Application>Microsoft Office Word</Application>
  <DocSecurity>0</DocSecurity>
  <Lines>426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2021-10-08T13:18:00Z</dcterms:created>
  <dcterms:modified xsi:type="dcterms:W3CDTF">2021-11-19T15:23:00Z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SJ-012</vt:lpwstr>
  </property>
  <property fmtid="{D5CDD505-2E9C-101B-9397-08002B2CF9AE}" pid="10" name="DQCStatus">
    <vt:lpwstr>Green (DQC version 03)</vt:lpwstr>
  </property>
  <property name="OP_sanitized" fmtid="{D5CDD505-2E9C-101B-9397-08002B2CF9AE}" pid="11">
    <vt:lpwstr>True</vt:lpwstr>
  </property>
</Properties>
</file>