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6.2.0.0 -->
  <w:body>
    <w:p w:rsidR="00E72EF2" w:rsidRPr="00347966">
      <w:pPr>
        <w:rPr>
          <w:rFonts w:ascii="Arial" w:hAnsi="Arial" w:cs="Arial"/>
          <w:b/>
          <w:sz w:val="20"/>
          <w:szCs w:val="20"/>
        </w:rPr>
      </w:pPr>
      <w:r>
        <w:tab/>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7"/>
        <w:gridCol w:w="7381"/>
      </w:tblGrid>
      <w:tr w:rsidTr="008607B9">
        <w:tblPrEx>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0188" w:type="dxa"/>
            <w:gridSpan w:val="2"/>
            <w:tcBorders>
              <w:bottom w:val="single" w:sz="4" w:space="0" w:color="auto"/>
            </w:tcBorders>
            <w:shd w:val="clear" w:color="auto" w:fill="0000FF"/>
          </w:tcPr>
          <w:p w:rsidR="007D6F93" w:rsidRPr="00347966" w:rsidP="00824525">
            <w:pPr>
              <w:spacing w:before="60" w:after="60"/>
              <w:jc w:val="center"/>
              <w:rPr>
                <w:rFonts w:ascii="Arial" w:hAnsi="Arial" w:cs="Arial"/>
                <w:b/>
                <w:sz w:val="28"/>
                <w:szCs w:val="28"/>
              </w:rPr>
            </w:pPr>
            <w:r>
              <w:rPr>
                <w:rFonts w:ascii="Arial" w:hAnsi="Arial"/>
                <w:b/>
                <w:sz w:val="28"/>
              </w:rPr>
              <w:t>ΠΡΟΣΚΛΗΣΗ ΥΠΟΒΟΛΗΣ ΣΤΟΙΧΕΙΩΝ</w:t>
            </w:r>
          </w:p>
          <w:p w:rsidR="009E6661" w:rsidRPr="00347966" w:rsidP="00B312B7">
            <w:pPr>
              <w:spacing w:before="60" w:after="60"/>
              <w:jc w:val="center"/>
              <w:rPr>
                <w:rFonts w:ascii="Arial" w:hAnsi="Arial" w:cs="Arial"/>
                <w:b/>
                <w:i/>
                <w:sz w:val="20"/>
                <w:szCs w:val="20"/>
              </w:rPr>
            </w:pPr>
            <w:r>
              <w:rPr>
                <w:rFonts w:ascii="Arial" w:hAnsi="Arial"/>
                <w:b/>
                <w:sz w:val="28"/>
              </w:rPr>
              <w:t xml:space="preserve">ΓΙΑ ΠΡΩΤΟΒΟΥΛΙΑ </w:t>
            </w:r>
            <w:r>
              <w:rPr>
                <w:rFonts w:ascii="Arial" w:hAnsi="Arial"/>
                <w:b/>
                <w:color w:val="FFFFFF" w:themeColor="background1"/>
                <w:sz w:val="28"/>
              </w:rPr>
              <w:t>(χωρίς εκτίμηση επιπτώσεων)</w:t>
            </w:r>
          </w:p>
        </w:tc>
      </w:tr>
      <w:tr w:rsidTr="00035A3D">
        <w:tblPrEx>
          <w:tblW w:w="10188" w:type="dxa"/>
          <w:tblLayout w:type="fixed"/>
          <w:tblLook w:val="01E0"/>
        </w:tblPrEx>
        <w:tc>
          <w:tcPr>
            <w:tcW w:w="10188" w:type="dxa"/>
            <w:gridSpan w:val="2"/>
            <w:tcBorders>
              <w:bottom w:val="single" w:sz="4" w:space="0" w:color="auto"/>
            </w:tcBorders>
            <w:shd w:val="clear" w:color="auto" w:fill="E6E6E6"/>
          </w:tcPr>
          <w:p w:rsidR="00B96B28" w:rsidRPr="00D97496" w:rsidP="00D97496">
            <w:pPr>
              <w:spacing w:before="120" w:after="120"/>
              <w:jc w:val="both"/>
              <w:rPr>
                <w:rFonts w:ascii="Arial" w:hAnsi="Arial" w:cs="Arial"/>
                <w:color w:val="000080"/>
                <w:sz w:val="18"/>
                <w:szCs w:val="18"/>
              </w:rPr>
            </w:pPr>
            <w:r>
              <w:rPr>
                <w:rFonts w:ascii="Arial" w:hAnsi="Arial"/>
                <w:color w:val="000080"/>
                <w:sz w:val="18"/>
              </w:rPr>
              <w:t>Στόχος του παρόντος εγγράφου είναι να ενημερώσει το κοινό και τα ενδιαφερόμενα μέρη σχετικά με το έργο της Επιτροπής, ώστε να μπορούν να υποβάλουν παρατηρήσεις και να συμμετάσχουν αποτελεσματικά στις δραστηριότητες διαβούλευσης.</w:t>
            </w:r>
          </w:p>
        </w:tc>
      </w:tr>
      <w:tr w:rsidTr="008607B9">
        <w:tblPrEx>
          <w:tblW w:w="10188" w:type="dxa"/>
          <w:tblLayout w:type="fixed"/>
          <w:tblLook w:val="01E0"/>
        </w:tblPrEx>
        <w:tc>
          <w:tcPr>
            <w:tcW w:w="2807" w:type="dxa"/>
            <w:tcBorders>
              <w:bottom w:val="single" w:sz="4" w:space="0" w:color="auto"/>
            </w:tcBorders>
            <w:shd w:val="clear" w:color="auto" w:fill="E6E6E6"/>
          </w:tcPr>
          <w:p w:rsidR="009E6661" w:rsidRPr="00196B5E" w:rsidP="00824525">
            <w:pPr>
              <w:spacing w:before="60" w:after="60"/>
              <w:jc w:val="both"/>
              <w:rPr>
                <w:rFonts w:ascii="Arial" w:hAnsi="Arial" w:cs="Arial"/>
                <w:b/>
                <w:bCs/>
                <w:smallCaps/>
                <w:sz w:val="20"/>
                <w:szCs w:val="20"/>
              </w:rPr>
            </w:pPr>
            <w:r>
              <w:rPr>
                <w:rFonts w:ascii="Arial" w:hAnsi="Arial"/>
                <w:b/>
                <w:smallCaps/>
                <w:sz w:val="20"/>
              </w:rPr>
              <w:t>Τίτλος της πρωτοβουλίας</w:t>
            </w:r>
          </w:p>
        </w:tc>
        <w:tc>
          <w:tcPr>
            <w:tcW w:w="7381" w:type="dxa"/>
            <w:shd w:val="clear" w:color="auto" w:fill="auto"/>
          </w:tcPr>
          <w:p w:rsidR="0075560F" w:rsidRPr="00196B5E" w:rsidP="00347966">
            <w:pPr>
              <w:spacing w:before="60" w:after="120"/>
              <w:jc w:val="both"/>
              <w:rPr>
                <w:rFonts w:ascii="Arial" w:hAnsi="Arial" w:cs="Arial"/>
                <w:color w:val="000080"/>
                <w:sz w:val="20"/>
                <w:szCs w:val="20"/>
              </w:rPr>
            </w:pPr>
            <w:r>
              <w:rPr>
                <w:rFonts w:ascii="Arial" w:hAnsi="Arial"/>
                <w:color w:val="000080"/>
                <w:sz w:val="20"/>
              </w:rPr>
              <w:t>Μια στρατηγική για την Ευρωπαϊκή Ένωση Δεδομένων</w:t>
            </w:r>
          </w:p>
        </w:tc>
      </w:tr>
      <w:tr w:rsidTr="00035A3D">
        <w:tblPrEx>
          <w:tblW w:w="10188" w:type="dxa"/>
          <w:tblLayout w:type="fixed"/>
          <w:tblLook w:val="01E0"/>
        </w:tblPrEx>
        <w:tc>
          <w:tcPr>
            <w:tcW w:w="2807" w:type="dxa"/>
            <w:tcBorders>
              <w:bottom w:val="single" w:sz="4" w:space="0" w:color="auto"/>
              <w:right w:val="single" w:sz="4" w:space="0" w:color="auto"/>
            </w:tcBorders>
            <w:shd w:val="clear" w:color="auto" w:fill="E6E6E6"/>
          </w:tcPr>
          <w:p w:rsidR="00F07210" w:rsidRPr="00196B5E" w:rsidP="008B4A52">
            <w:pPr>
              <w:spacing w:before="60" w:after="60"/>
              <w:jc w:val="both"/>
              <w:rPr>
                <w:rFonts w:ascii="Arial" w:hAnsi="Arial" w:cs="Arial"/>
                <w:b/>
                <w:bCs/>
                <w:smallCaps/>
                <w:sz w:val="20"/>
                <w:szCs w:val="20"/>
              </w:rPr>
            </w:pPr>
            <w:r>
              <w:rPr>
                <w:rFonts w:ascii="Arial" w:hAnsi="Arial"/>
                <w:b/>
                <w:smallCaps/>
                <w:sz w:val="20"/>
              </w:rPr>
              <w:t xml:space="preserve">Επικεφαλής ΓΔ — Αρμόδια μονάδα </w:t>
            </w:r>
          </w:p>
        </w:tc>
        <w:tc>
          <w:tcPr>
            <w:tcW w:w="7381" w:type="dxa"/>
            <w:tcBorders>
              <w:top w:val="single" w:sz="4" w:space="0" w:color="auto"/>
              <w:left w:val="single" w:sz="4" w:space="0" w:color="auto"/>
              <w:bottom w:val="single" w:sz="4" w:space="0" w:color="auto"/>
              <w:right w:val="single" w:sz="4" w:space="0" w:color="auto"/>
            </w:tcBorders>
            <w:shd w:val="clear" w:color="auto" w:fill="auto"/>
          </w:tcPr>
          <w:p w:rsidR="00F07210" w:rsidRPr="00347966" w:rsidP="00106A9A">
            <w:pPr>
              <w:spacing w:before="60" w:after="60"/>
              <w:jc w:val="both"/>
              <w:rPr>
                <w:rFonts w:ascii="Arial" w:hAnsi="Arial" w:cs="Arial"/>
                <w:color w:val="000080"/>
                <w:sz w:val="20"/>
                <w:szCs w:val="20"/>
              </w:rPr>
            </w:pPr>
            <w:r>
              <w:rPr>
                <w:rFonts w:ascii="Arial" w:hAnsi="Arial"/>
                <w:color w:val="000080"/>
                <w:sz w:val="20"/>
              </w:rPr>
              <w:t>ΓΔ CNECT, Μονάδα G1</w:t>
            </w:r>
          </w:p>
        </w:tc>
      </w:tr>
      <w:tr w:rsidTr="008607B9">
        <w:tblPrEx>
          <w:tblW w:w="10188" w:type="dxa"/>
          <w:tblLayout w:type="fixed"/>
          <w:tblLook w:val="01E0"/>
        </w:tblPrEx>
        <w:tc>
          <w:tcPr>
            <w:tcW w:w="2807" w:type="dxa"/>
            <w:tcBorders>
              <w:bottom w:val="single" w:sz="4" w:space="0" w:color="auto"/>
              <w:right w:val="single" w:sz="4" w:space="0" w:color="auto"/>
            </w:tcBorders>
            <w:shd w:val="clear" w:color="auto" w:fill="E6E6E6"/>
          </w:tcPr>
          <w:p w:rsidR="00423AEF" w:rsidRPr="00196B5E" w:rsidP="00824525">
            <w:pPr>
              <w:spacing w:before="60" w:after="60"/>
              <w:jc w:val="both"/>
              <w:rPr>
                <w:rFonts w:ascii="Arial" w:hAnsi="Arial" w:cs="Arial"/>
                <w:b/>
                <w:bCs/>
                <w:smallCaps/>
                <w:sz w:val="20"/>
                <w:szCs w:val="20"/>
              </w:rPr>
            </w:pPr>
            <w:r>
              <w:rPr>
                <w:rFonts w:ascii="Arial" w:hAnsi="Arial"/>
                <w:b/>
                <w:smallCaps/>
                <w:sz w:val="20"/>
              </w:rPr>
              <w:t>Πιθανό είδος πρωτοβουλίας</w:t>
            </w:r>
          </w:p>
        </w:tc>
        <w:tc>
          <w:tcPr>
            <w:tcW w:w="7381" w:type="dxa"/>
            <w:tcBorders>
              <w:top w:val="single" w:sz="4" w:space="0" w:color="auto"/>
              <w:left w:val="single" w:sz="4" w:space="0" w:color="auto"/>
              <w:bottom w:val="single" w:sz="4" w:space="0" w:color="auto"/>
              <w:right w:val="single" w:sz="4" w:space="0" w:color="auto"/>
            </w:tcBorders>
            <w:shd w:val="clear" w:color="auto" w:fill="auto"/>
          </w:tcPr>
          <w:p w:rsidR="00423AEF" w:rsidRPr="00196B5E" w:rsidP="00810C61">
            <w:pPr>
              <w:spacing w:before="60" w:after="60"/>
              <w:jc w:val="both"/>
              <w:rPr>
                <w:rFonts w:ascii="Arial" w:hAnsi="Arial" w:cs="Arial"/>
                <w:color w:val="000080"/>
                <w:sz w:val="20"/>
                <w:szCs w:val="20"/>
              </w:rPr>
            </w:pPr>
            <w:r>
              <w:rPr>
                <w:rFonts w:ascii="Arial" w:hAnsi="Arial"/>
                <w:color w:val="000080"/>
                <w:sz w:val="20"/>
              </w:rPr>
              <w:t xml:space="preserve">Ανακοίνωση της Επιτροπής </w:t>
            </w:r>
          </w:p>
        </w:tc>
      </w:tr>
      <w:tr w:rsidTr="00AB5C82">
        <w:tblPrEx>
          <w:tblW w:w="10188" w:type="dxa"/>
          <w:tblLayout w:type="fixed"/>
          <w:tblLook w:val="01E0"/>
        </w:tblPrEx>
        <w:tc>
          <w:tcPr>
            <w:tcW w:w="2807" w:type="dxa"/>
            <w:tcBorders>
              <w:bottom w:val="single" w:sz="4" w:space="0" w:color="auto"/>
              <w:right w:val="single" w:sz="4" w:space="0" w:color="auto"/>
            </w:tcBorders>
            <w:shd w:val="clear" w:color="auto" w:fill="E6E6E6"/>
          </w:tcPr>
          <w:p w:rsidR="00002DFF" w:rsidRPr="00196B5E" w:rsidP="0066565B">
            <w:pPr>
              <w:spacing w:before="60" w:after="60"/>
              <w:jc w:val="both"/>
              <w:rPr>
                <w:rFonts w:ascii="Arial" w:hAnsi="Arial" w:cs="Arial"/>
                <w:b/>
                <w:bCs/>
                <w:smallCaps/>
                <w:sz w:val="20"/>
                <w:szCs w:val="20"/>
              </w:rPr>
            </w:pPr>
            <w:r>
              <w:rPr>
                <w:rFonts w:ascii="Arial" w:hAnsi="Arial"/>
                <w:b/>
                <w:smallCaps/>
                <w:sz w:val="20"/>
              </w:rPr>
              <w:t>Ενδεικτικό χρονοδιάγραμμα</w:t>
            </w:r>
          </w:p>
        </w:tc>
        <w:tc>
          <w:tcPr>
            <w:tcW w:w="7381" w:type="dxa"/>
            <w:tcBorders>
              <w:top w:val="single" w:sz="4" w:space="0" w:color="auto"/>
              <w:left w:val="single" w:sz="4" w:space="0" w:color="auto"/>
              <w:bottom w:val="single" w:sz="4" w:space="0" w:color="auto"/>
              <w:right w:val="single" w:sz="4" w:space="0" w:color="auto"/>
            </w:tcBorders>
            <w:shd w:val="clear" w:color="auto" w:fill="auto"/>
          </w:tcPr>
          <w:p w:rsidR="00002DFF" w:rsidRPr="00347966" w:rsidP="00B312B7">
            <w:pPr>
              <w:spacing w:before="120" w:after="120"/>
              <w:jc w:val="both"/>
              <w:rPr>
                <w:rFonts w:ascii="Arial" w:hAnsi="Arial" w:cs="Arial"/>
                <w:color w:val="000080"/>
                <w:sz w:val="20"/>
                <w:szCs w:val="20"/>
                <w:highlight w:val="green"/>
              </w:rPr>
            </w:pPr>
            <w:r>
              <w:rPr>
                <w:rFonts w:ascii="Arial" w:hAnsi="Arial"/>
                <w:color w:val="000080"/>
                <w:sz w:val="20"/>
              </w:rPr>
              <w:t>Τρίτο τρίμηνο του 2025</w:t>
            </w:r>
          </w:p>
        </w:tc>
      </w:tr>
      <w:tr w:rsidTr="00224B13">
        <w:tblPrEx>
          <w:tblW w:w="10188" w:type="dxa"/>
          <w:tblLayout w:type="fixed"/>
          <w:tblLook w:val="01E0"/>
        </w:tblPrEx>
        <w:tc>
          <w:tcPr>
            <w:tcW w:w="2807" w:type="dxa"/>
            <w:tcBorders>
              <w:bottom w:val="single" w:sz="4" w:space="0" w:color="auto"/>
              <w:right w:val="single" w:sz="4" w:space="0" w:color="auto"/>
            </w:tcBorders>
            <w:shd w:val="clear" w:color="auto" w:fill="E6E6E6"/>
          </w:tcPr>
          <w:p w:rsidR="008D5042" w:rsidRPr="00196B5E" w:rsidP="00224B13">
            <w:pPr>
              <w:spacing w:before="60" w:after="60"/>
              <w:jc w:val="both"/>
              <w:rPr>
                <w:rFonts w:ascii="Arial" w:hAnsi="Arial" w:cs="Arial"/>
                <w:b/>
                <w:bCs/>
                <w:smallCaps/>
                <w:sz w:val="20"/>
                <w:szCs w:val="20"/>
              </w:rPr>
            </w:pPr>
            <w:r>
              <w:rPr>
                <w:rFonts w:ascii="Arial" w:hAnsi="Arial"/>
                <w:b/>
                <w:smallCaps/>
                <w:sz w:val="20"/>
              </w:rPr>
              <w:t>Πρόσθετες πληροφορίες</w:t>
            </w:r>
          </w:p>
        </w:tc>
        <w:tc>
          <w:tcPr>
            <w:tcW w:w="7381" w:type="dxa"/>
            <w:tcBorders>
              <w:top w:val="single" w:sz="4" w:space="0" w:color="auto"/>
              <w:left w:val="single" w:sz="4" w:space="0" w:color="auto"/>
              <w:bottom w:val="single" w:sz="4" w:space="0" w:color="auto"/>
              <w:right w:val="single" w:sz="4" w:space="0" w:color="auto"/>
            </w:tcBorders>
            <w:shd w:val="clear" w:color="auto" w:fill="auto"/>
          </w:tcPr>
          <w:p w:rsidR="008D5042" w:rsidRPr="00347966" w:rsidP="00347966">
            <w:pPr>
              <w:spacing w:before="120" w:after="120"/>
              <w:jc w:val="both"/>
              <w:rPr>
                <w:rFonts w:ascii="Arial" w:hAnsi="Arial" w:cs="Arial"/>
                <w:color w:val="000080"/>
                <w:sz w:val="20"/>
                <w:szCs w:val="20"/>
              </w:rPr>
            </w:pPr>
            <w:r>
              <w:rPr>
                <w:rFonts w:ascii="Arial" w:hAnsi="Arial"/>
                <w:color w:val="000080"/>
                <w:sz w:val="20"/>
              </w:rPr>
              <w:t>-</w:t>
            </w:r>
          </w:p>
        </w:tc>
      </w:tr>
      <w:tr w:rsidTr="008607B9">
        <w:tblPrEx>
          <w:tblW w:w="10188" w:type="dxa"/>
          <w:tblLayout w:type="fixed"/>
          <w:tblLook w:val="01E0"/>
        </w:tblPrEx>
        <w:tc>
          <w:tcPr>
            <w:tcW w:w="10188" w:type="dxa"/>
            <w:gridSpan w:val="2"/>
            <w:tcBorders>
              <w:bottom w:val="single" w:sz="4" w:space="0" w:color="auto"/>
              <w:right w:val="single" w:sz="4" w:space="0" w:color="auto"/>
            </w:tcBorders>
            <w:shd w:val="clear" w:color="auto" w:fill="E6E6E6"/>
          </w:tcPr>
          <w:p w:rsidR="00CF6C0F" w:rsidRPr="00CD00B7" w:rsidP="00CD00B7">
            <w:pPr>
              <w:spacing w:before="60" w:after="60"/>
              <w:rPr>
                <w:rFonts w:ascii="Arial" w:hAnsi="Arial" w:cs="Arial"/>
                <w:i/>
                <w:color w:val="FF0000"/>
                <w:sz w:val="18"/>
                <w:szCs w:val="18"/>
              </w:rPr>
            </w:pPr>
            <w:r>
              <w:rPr>
                <w:rFonts w:ascii="Arial" w:hAnsi="Arial"/>
                <w:i/>
                <w:color w:val="FF0000"/>
                <w:sz w:val="18"/>
              </w:rPr>
              <w:t>Το παρόν έγγραφο δημοσιεύεται αποκλειστικά για ενημερωτικούς σκοπούς. Δεν προδικάζει την τελική απόφαση της Επιτροπής για τη δρομολόγηση ή μη της ανωτέρω πρωτοβουλίας ούτε το οριστικό της περιεχόμενο. Όλα τα στοιχεία της πρωτοβουλίας που περιγράφονται στο παρόν έγγραφο, συμπεριλαμβανομένου του χρονοδιαγράμματός της, ενδέχεται να αλλάξουν.</w:t>
            </w:r>
          </w:p>
        </w:tc>
      </w:tr>
    </w:tbl>
    <w:p w:rsidR="00BA33B7" w:rsidRPr="00347966">
      <w:pPr>
        <w:rPr>
          <w:sz w:val="20"/>
          <w:szCs w:val="20"/>
        </w:rPr>
        <w:sectPr w:rsidSect="00E72EF2">
          <w:headerReference w:type="even" r:id="rId9"/>
          <w:headerReference w:type="default" r:id="rId10"/>
          <w:footerReference w:type="even" r:id="rId11"/>
          <w:footerReference w:type="default" r:id="rId12"/>
          <w:headerReference w:type="first" r:id="rId13"/>
          <w:footerReference w:type="first" r:id="rId14"/>
          <w:pgSz w:w="11906" w:h="16838" w:code="9"/>
          <w:pgMar w:top="851" w:right="567" w:bottom="851" w:left="1134" w:header="709" w:footer="709" w:gutter="0"/>
          <w:cols w:space="708"/>
          <w:titlePg/>
          <w:docGrid w:linePitch="360"/>
        </w:sectPr>
      </w:pPr>
    </w:p>
    <w:p w:rsidR="00BA33B7" w:rsidRPr="00347966">
      <w:pPr>
        <w:rPr>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Tr="3CF29B80">
        <w:tblPrEx>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188" w:type="dxa"/>
            <w:tcBorders>
              <w:bottom w:val="single" w:sz="4" w:space="0" w:color="auto"/>
            </w:tcBorders>
            <w:shd w:val="clear" w:color="auto" w:fill="0000FF"/>
          </w:tcPr>
          <w:p w:rsidR="009E6661" w:rsidRPr="00347966" w:rsidP="00AB4B4B">
            <w:pPr>
              <w:spacing w:before="60" w:after="60"/>
              <w:jc w:val="center"/>
              <w:rPr>
                <w:rFonts w:ascii="Arial" w:hAnsi="Arial" w:cs="Arial"/>
                <w:b/>
              </w:rPr>
            </w:pPr>
            <w:r>
              <w:rPr>
                <w:rFonts w:ascii="Arial" w:hAnsi="Arial"/>
                <w:b/>
              </w:rPr>
              <w:t>Α. Πολιτικό πλαίσιο, ορισμός του προβλήματος και έλεγχος επικουρικότητας</w:t>
            </w:r>
          </w:p>
        </w:tc>
      </w:tr>
      <w:tr w:rsidTr="3CF29B80">
        <w:tblPrEx>
          <w:tblW w:w="10188" w:type="dxa"/>
          <w:tblLook w:val="01E0"/>
        </w:tblPrEx>
        <w:tc>
          <w:tcPr>
            <w:tcW w:w="10188" w:type="dxa"/>
            <w:tcBorders>
              <w:bottom w:val="single" w:sz="4" w:space="0" w:color="auto"/>
            </w:tcBorders>
            <w:shd w:val="clear" w:color="auto" w:fill="E6E6E6"/>
          </w:tcPr>
          <w:p w:rsidR="009E6661" w:rsidRPr="00347966" w:rsidP="37555BFF">
            <w:pPr>
              <w:spacing w:before="120" w:after="120"/>
              <w:jc w:val="both"/>
              <w:rPr>
                <w:rFonts w:ascii="Arial" w:hAnsi="Arial" w:cs="Arial"/>
                <w:b/>
                <w:bCs/>
              </w:rPr>
            </w:pPr>
            <w:r>
              <w:rPr>
                <w:rFonts w:ascii="Arial" w:hAnsi="Arial"/>
                <w:b/>
              </w:rPr>
              <w:t xml:space="preserve">Πολιτικό πλαίσιο </w:t>
            </w:r>
          </w:p>
        </w:tc>
      </w:tr>
      <w:tr w:rsidTr="3CF29B80">
        <w:tblPrEx>
          <w:tblW w:w="10188" w:type="dxa"/>
          <w:tblLook w:val="01E0"/>
        </w:tblPrEx>
        <w:tc>
          <w:tcPr>
            <w:tcW w:w="10188" w:type="dxa"/>
            <w:tcBorders>
              <w:bottom w:val="single" w:sz="4" w:space="0" w:color="auto"/>
            </w:tcBorders>
            <w:shd w:val="clear" w:color="auto" w:fill="auto"/>
          </w:tcPr>
          <w:p w:rsidR="00FF3679" w:rsidRPr="00A461FC" w:rsidP="00B11BAA">
            <w:pPr>
              <w:spacing w:before="60" w:after="120"/>
              <w:jc w:val="both"/>
              <w:rPr>
                <w:rFonts w:ascii="Arial" w:hAnsi="Arial" w:cs="Arial"/>
                <w:sz w:val="20"/>
                <w:szCs w:val="20"/>
              </w:rPr>
            </w:pPr>
            <w:r>
              <w:rPr>
                <w:rFonts w:ascii="Arial" w:hAnsi="Arial"/>
                <w:sz w:val="20"/>
              </w:rPr>
              <w:t xml:space="preserve">Η παρούσα πρωτοβουλία αποτελεί συνέχεια των δράσεων που προβλέπονται στη </w:t>
            </w:r>
            <w:r>
              <w:fldChar w:fldCharType="begin"/>
            </w:r>
            <w:r>
              <w:instrText xml:space="preserve"> HYPERLINK "https://commission.europa.eu/strategy-and-policy/priorities-2019-2024/europe-fit-digital-age/european-data-strategy_el" </w:instrText>
            </w:r>
            <w:r>
              <w:fldChar w:fldCharType="separate"/>
            </w:r>
            <w:r>
              <w:rPr>
                <w:rStyle w:val="Hyperlink"/>
                <w:rFonts w:ascii="Arial" w:hAnsi="Arial"/>
                <w:sz w:val="20"/>
              </w:rPr>
              <w:t>στρατηγική για την Ένωση Δεδομένων του 2020</w:t>
            </w:r>
            <w:r>
              <w:fldChar w:fldCharType="end"/>
            </w:r>
            <w:r>
              <w:rPr>
                <w:rFonts w:ascii="Arial" w:hAnsi="Arial"/>
                <w:sz w:val="20"/>
              </w:rPr>
              <w:t xml:space="preserve">, η οποία αποσκοπεί στη δημιουργία μιας εσωτερικής αγοράς όπου τα δεδομένα μπορούν να κυκλοφορούν ελεύθερα. Έκτοτε, οι τεχνολογικές και γεωπολιτικές εξελίξεις απαιτούν </w:t>
            </w:r>
            <w:r>
              <w:rPr>
                <w:rFonts w:ascii="Arial" w:hAnsi="Arial"/>
                <w:sz w:val="20"/>
              </w:rPr>
              <w:t>επικαιροποίηση</w:t>
            </w:r>
            <w:r>
              <w:rPr>
                <w:rFonts w:ascii="Arial" w:hAnsi="Arial"/>
                <w:sz w:val="20"/>
              </w:rPr>
              <w:t xml:space="preserve"> προσέγγισης. Στην </w:t>
            </w:r>
            <w:r>
              <w:fldChar w:fldCharType="begin"/>
            </w:r>
            <w:r>
              <w:instrText xml:space="preserve"> HYPERLINK "https://commission.europa.eu/topics/eu-competitiveness/draghi-report_en?prefLang=el" </w:instrText>
            </w:r>
            <w:r>
              <w:fldChar w:fldCharType="separate"/>
            </w:r>
            <w:r>
              <w:rPr>
                <w:rStyle w:val="Hyperlink"/>
                <w:rFonts w:ascii="Arial" w:hAnsi="Arial"/>
                <w:sz w:val="20"/>
              </w:rPr>
              <w:t xml:space="preserve">έκθεση </w:t>
            </w:r>
            <w:r>
              <w:rPr>
                <w:rStyle w:val="Hyperlink"/>
                <w:rFonts w:ascii="Arial" w:hAnsi="Arial"/>
                <w:sz w:val="20"/>
              </w:rPr>
              <w:t>Draghi</w:t>
            </w:r>
            <w:r>
              <w:fldChar w:fldCharType="end"/>
            </w:r>
            <w:r>
              <w:rPr>
                <w:rFonts w:ascii="Arial" w:hAnsi="Arial"/>
                <w:sz w:val="20"/>
              </w:rPr>
              <w:t xml:space="preserve"> αναφέρεται ότι η ΕΕ δεν διαθέτει μεγάλα σύνολα δεδομένων και πρέπει να προωθήσει τον διακλαδικό συντονισμό και την </w:t>
            </w:r>
            <w:r>
              <w:rPr>
                <w:rFonts w:ascii="Arial" w:hAnsi="Arial"/>
                <w:sz w:val="20"/>
              </w:rPr>
              <w:t>κοινοχρησία</w:t>
            </w:r>
            <w:r>
              <w:rPr>
                <w:rFonts w:ascii="Arial" w:hAnsi="Arial"/>
                <w:sz w:val="20"/>
              </w:rPr>
              <w:t xml:space="preserve"> δεδομένων, ώστε να επιταχυνθεί η ενσωμάτωση της ΤΝ, ιδίως της παραγωγικής ΤΝ, στην ευρωπαϊκή βιομηχανία. Στην</w:t>
            </w:r>
            <w:r>
              <w:t xml:space="preserve"> </w:t>
            </w:r>
            <w:r>
              <w:fldChar w:fldCharType="begin"/>
            </w:r>
            <w:r>
              <w:instrText xml:space="preserve"> HYPERLINK "https://www.consilium.europa.eu/media/ny3j24sm/much-more-than-a-market-report-by-enrico-letta.pdf" </w:instrText>
            </w:r>
            <w:r>
              <w:fldChar w:fldCharType="separate"/>
            </w:r>
            <w:r>
              <w:rPr>
                <w:rStyle w:val="Hyperlink"/>
                <w:rFonts w:ascii="Arial" w:hAnsi="Arial"/>
                <w:sz w:val="20"/>
              </w:rPr>
              <w:t xml:space="preserve">έκθεση </w:t>
            </w:r>
            <w:r>
              <w:rPr>
                <w:rStyle w:val="Hyperlink"/>
                <w:rFonts w:ascii="Arial" w:hAnsi="Arial"/>
                <w:sz w:val="20"/>
              </w:rPr>
              <w:t>Letta</w:t>
            </w:r>
            <w:r>
              <w:fldChar w:fldCharType="end"/>
            </w:r>
            <w:r>
              <w:rPr>
                <w:rFonts w:ascii="Arial" w:hAnsi="Arial"/>
                <w:sz w:val="20"/>
              </w:rPr>
              <w:t xml:space="preserve">, που κυκλοφόρησε τον Απρίλιο του 2024, τονίστηκε ότι πρέπει να γίνουν περισσότερα για την επίτευξη μιας πραγματικής εσωτερικής αγοράς δεδομένων. Το </w:t>
            </w:r>
            <w:r>
              <w:fldChar w:fldCharType="begin"/>
            </w:r>
            <w:r>
              <w:instrText xml:space="preserve"> HYPERLINK "https://commission.europa.eu/topics/eu-competitiveness/ai-continent_en?prefLang=el" \l ":~:text=The%20AI%20continent%20action%20plan%20explains%20how%20to,areas%20such%20as%20healthcare%2C%20cars%2C%20science%20and%20more." </w:instrText>
            </w:r>
            <w:r>
              <w:fldChar w:fldCharType="separate"/>
            </w:r>
            <w:r>
              <w:rPr>
                <w:rStyle w:val="Hyperlink"/>
                <w:rFonts w:ascii="Arial" w:hAnsi="Arial"/>
                <w:sz w:val="20"/>
              </w:rPr>
              <w:t>σχέδιο δράσης για την ήπειρο της ΤΝ</w:t>
            </w:r>
            <w:r>
              <w:fldChar w:fldCharType="end"/>
            </w:r>
            <w:r>
              <w:rPr>
                <w:rFonts w:ascii="Arial" w:hAnsi="Arial"/>
                <w:sz w:val="20"/>
              </w:rPr>
              <w:t xml:space="preserve"> αναδεικνύει τη στρατηγική για την Ένωση Δεδομένων ως βασική δράση για την αξιοποίηση του δυναμικού της ΤΝ. </w:t>
            </w:r>
          </w:p>
          <w:p w:rsidR="006139D1" w:rsidRPr="00672E7B" w:rsidP="002D45F1">
            <w:pPr>
              <w:spacing w:before="60" w:after="120"/>
              <w:jc w:val="both"/>
              <w:rPr>
                <w:rFonts w:ascii="Arial" w:hAnsi="Arial" w:cs="Arial"/>
                <w:sz w:val="20"/>
                <w:szCs w:val="20"/>
              </w:rPr>
            </w:pPr>
            <w:r>
              <w:rPr>
                <w:rFonts w:ascii="Arial" w:hAnsi="Arial"/>
                <w:sz w:val="20"/>
              </w:rPr>
              <w:t xml:space="preserve">Στις </w:t>
            </w:r>
            <w:r>
              <w:fldChar w:fldCharType="begin"/>
            </w:r>
            <w:r>
              <w:instrText xml:space="preserve"> HYPERLINK "https://commission.europa.eu/about/commission-2024-2029_el" </w:instrText>
            </w:r>
            <w:r>
              <w:fldChar w:fldCharType="separate"/>
            </w:r>
            <w:r>
              <w:rPr>
                <w:rStyle w:val="Hyperlink"/>
                <w:rFonts w:ascii="Arial" w:hAnsi="Arial"/>
                <w:sz w:val="20"/>
              </w:rPr>
              <w:t>πολιτικές κατευθύνσεις για την εντολή 2024-2029</w:t>
            </w:r>
            <w:r>
              <w:fldChar w:fldCharType="end"/>
            </w:r>
            <w:r>
              <w:rPr>
                <w:rFonts w:ascii="Arial" w:hAnsi="Arial"/>
                <w:sz w:val="20"/>
              </w:rPr>
              <w:t xml:space="preserve"> της Ευρωπαϊκής Επιτροπής τονίζεται περαιτέρω η έντονη ανάγκη «εκμετάλλευσης των αναξιοποίητων δυνατοτήτων που προσφέρουν τα δεδομένα». Τέλος, η ανακοίνωση της Επιτροπής για την «Πυξίδα ανταγωνιστικότητας για την ΕΕ» η οποία δημοσιεύτηκε τον Ιανουάριο του 2025 αναφέρει ότι θα προταθεί στρατηγική για την Ένωση Δεδομένων με σκοπό τη βελτίωση και τη διευκόλυνση της ασφαλούς ανταλλαγής ιδιωτικών και δημόσιων δεδομένων, την απλούστευση του κανονιστικού καθεστώτος και της εφαρμογής του, καθώς και την επιτάχυνση της ανάπτυξης νέων συστημάτων ή εφαρμογών, με τήρηση, παράλληλα, των θεμελιωδών δικαιωμάτων.</w:t>
            </w:r>
          </w:p>
        </w:tc>
      </w:tr>
      <w:tr w:rsidTr="3CF29B80">
        <w:tblPrEx>
          <w:tblW w:w="10188" w:type="dxa"/>
          <w:tblLook w:val="01E0"/>
        </w:tblPrEx>
        <w:tc>
          <w:tcPr>
            <w:tcW w:w="10188" w:type="dxa"/>
            <w:tcBorders>
              <w:bottom w:val="single" w:sz="4" w:space="0" w:color="auto"/>
            </w:tcBorders>
            <w:shd w:val="clear" w:color="auto" w:fill="E6E6E6"/>
          </w:tcPr>
          <w:p w:rsidR="0071651E" w:rsidRPr="00347966" w:rsidP="37555BFF">
            <w:pPr>
              <w:spacing w:before="120" w:after="120"/>
              <w:jc w:val="both"/>
              <w:rPr>
                <w:rFonts w:ascii="Arial" w:hAnsi="Arial" w:cs="Arial"/>
                <w:b/>
                <w:bCs/>
              </w:rPr>
            </w:pPr>
            <w:r>
              <w:rPr>
                <w:rFonts w:ascii="Arial" w:hAnsi="Arial"/>
                <w:b/>
              </w:rPr>
              <w:t>Πρόβλημα που επιδιώκει να αντιμετωπίσει η πρωτοβουλία</w:t>
            </w:r>
          </w:p>
        </w:tc>
      </w:tr>
      <w:tr w:rsidTr="3CF29B80">
        <w:tblPrEx>
          <w:tblW w:w="10188" w:type="dxa"/>
          <w:tblLook w:val="01E0"/>
        </w:tblPrEx>
        <w:tc>
          <w:tcPr>
            <w:tcW w:w="10188" w:type="dxa"/>
            <w:tcBorders>
              <w:bottom w:val="single" w:sz="4" w:space="0" w:color="auto"/>
            </w:tcBorders>
            <w:shd w:val="clear" w:color="auto" w:fill="auto"/>
          </w:tcPr>
          <w:p w:rsidR="004E4CC5" w:rsidP="004E4CC5">
            <w:pPr>
              <w:jc w:val="both"/>
              <w:rPr>
                <w:rFonts w:ascii="Arial" w:hAnsi="Arial" w:cs="Arial"/>
                <w:sz w:val="20"/>
                <w:szCs w:val="20"/>
              </w:rPr>
            </w:pPr>
            <w:r>
              <w:rPr>
                <w:rFonts w:ascii="Arial" w:hAnsi="Arial"/>
                <w:sz w:val="20"/>
              </w:rPr>
              <w:t xml:space="preserve">Η στρατηγική της ΕΕ για τα δεδομένα 2020 έχει αποφέρει κάποια αποτελέσματα:  τη δημιουργία κοινών ευρωπαϊκών χώρων δεδομένων ως αποκεντρωμένων πλαισίων για την κυρίαρχη </w:t>
            </w:r>
            <w:r>
              <w:rPr>
                <w:rFonts w:ascii="Arial" w:hAnsi="Arial"/>
                <w:sz w:val="20"/>
              </w:rPr>
              <w:t>κοινοχρησία</w:t>
            </w:r>
            <w:r>
              <w:rPr>
                <w:rFonts w:ascii="Arial" w:hAnsi="Arial"/>
                <w:sz w:val="20"/>
              </w:rPr>
              <w:t xml:space="preserve"> και τη συγκέντρωση δεδομένων από εταιρείες, π.χ. με τη βοήθεια υπηρεσιών διαμεσολάβησης δεδομένων, που ρυθμίζονται από την πράξη για τη διακυβέρνηση δεδομένων· νέα δικαιώματα πρόσβασης και </w:t>
            </w:r>
            <w:r>
              <w:rPr>
                <w:rFonts w:ascii="Arial" w:hAnsi="Arial"/>
                <w:sz w:val="20"/>
              </w:rPr>
              <w:t>κοινοχρησίας</w:t>
            </w:r>
            <w:r>
              <w:rPr>
                <w:rFonts w:ascii="Arial" w:hAnsi="Arial"/>
                <w:sz w:val="20"/>
              </w:rPr>
              <w:t xml:space="preserve"> βιομηχανικών δεδομένων βάσει του κανονισμού για τα δεδομένα· και δεδομένα υγείας στο πλαίσιο του κανονισμού για τον ευρωπαϊκό χώρο δεδομένων για την υγεία. Ωστόσο, με την επιτάχυνση της επανάστασης της ΤΝ, θα πρέπει να καταβληθούν περισσότερες προσπάθειες για την απελευθέρωση βιομηχανικών δεδομένων, καθώς και δεδομένων από </w:t>
            </w:r>
            <w:r>
              <w:rPr>
                <w:rFonts w:ascii="Arial" w:hAnsi="Arial"/>
                <w:sz w:val="20"/>
              </w:rPr>
              <w:t>υποεκπροσωπούμενες</w:t>
            </w:r>
            <w:r>
              <w:rPr>
                <w:rFonts w:ascii="Arial" w:hAnsi="Arial"/>
                <w:sz w:val="20"/>
              </w:rPr>
              <w:t xml:space="preserve"> γλώσσες.</w:t>
            </w:r>
          </w:p>
          <w:p w:rsidR="00F02A81" w:rsidRPr="00036816" w:rsidP="004E4CC5">
            <w:pPr>
              <w:jc w:val="both"/>
              <w:rPr>
                <w:rFonts w:ascii="Arial" w:hAnsi="Arial" w:cs="Arial"/>
                <w:sz w:val="20"/>
                <w:szCs w:val="20"/>
              </w:rPr>
            </w:pPr>
          </w:p>
          <w:p w:rsidR="004E4CC5" w:rsidP="004E4CC5">
            <w:pPr>
              <w:jc w:val="both"/>
              <w:rPr>
                <w:rFonts w:ascii="Arial" w:hAnsi="Arial" w:cs="Arial"/>
                <w:sz w:val="20"/>
                <w:szCs w:val="20"/>
              </w:rPr>
            </w:pPr>
            <w:r>
              <w:rPr>
                <w:rFonts w:ascii="Arial" w:hAnsi="Arial"/>
                <w:sz w:val="20"/>
              </w:rPr>
              <w:t xml:space="preserve">Η οικονομία της ΕΕ, η οποία χαρακτηρίζεται από ισχυρές εταιρείες σε παραδοσιακούς τομείς, αλλά ολιγάριθμους μείζονες παράγοντες στον τομέα της τεχνολογίας, αντιμετωπίζει προκλήσεις κατά τη διαδικασία </w:t>
            </w:r>
            <w:r>
              <w:rPr>
                <w:rFonts w:ascii="Arial" w:hAnsi="Arial"/>
                <w:sz w:val="20"/>
              </w:rPr>
              <w:t>ψηφιοποίησης</w:t>
            </w:r>
            <w:r>
              <w:rPr>
                <w:rFonts w:ascii="Arial" w:hAnsi="Arial"/>
                <w:sz w:val="20"/>
              </w:rPr>
              <w:t xml:space="preserve">. Ταυτόχρονα, μείζονες τεχνολογικοί παράγοντες τρίτων χωρών επιδιώκουν να εισέλθουν σε παραδοσιακούς βιομηχανικούς τομείς και παρουσιάζονται ως εταίροι </w:t>
            </w:r>
            <w:r>
              <w:rPr>
                <w:rFonts w:ascii="Arial" w:hAnsi="Arial"/>
                <w:sz w:val="20"/>
              </w:rPr>
              <w:t>ψηφιοποίησης</w:t>
            </w:r>
            <w:r>
              <w:rPr>
                <w:rFonts w:ascii="Arial" w:hAnsi="Arial"/>
                <w:sz w:val="20"/>
              </w:rPr>
              <w:t xml:space="preserve">. Στην ευρωπαϊκή βιομηχανία απουσιάζουν οι </w:t>
            </w:r>
            <w:r>
              <w:rPr>
                <w:rFonts w:ascii="Arial" w:hAnsi="Arial"/>
                <w:sz w:val="20"/>
              </w:rPr>
              <w:t xml:space="preserve">εναλλακτικές λύσεις για τα έργα </w:t>
            </w:r>
            <w:r>
              <w:rPr>
                <w:rFonts w:ascii="Arial" w:hAnsi="Arial"/>
                <w:sz w:val="20"/>
              </w:rPr>
              <w:t>ψηφιοποίησης</w:t>
            </w:r>
            <w:r>
              <w:rPr>
                <w:rFonts w:ascii="Arial" w:hAnsi="Arial"/>
                <w:sz w:val="20"/>
              </w:rPr>
              <w:t xml:space="preserve">, συμπεριλαμβανομένης, μεταξύ άλλων, της ανάπτυξης και της εφαρμογής της ΤΝ. </w:t>
            </w:r>
          </w:p>
          <w:p w:rsidR="00F02A81" w:rsidRPr="00036816" w:rsidP="004E4CC5">
            <w:pPr>
              <w:jc w:val="both"/>
              <w:rPr>
                <w:rFonts w:ascii="Arial" w:hAnsi="Arial" w:cs="Arial"/>
                <w:sz w:val="20"/>
                <w:szCs w:val="20"/>
              </w:rPr>
            </w:pPr>
          </w:p>
          <w:p w:rsidR="004E4CC5" w:rsidP="004E4CC5">
            <w:pPr>
              <w:jc w:val="both"/>
              <w:rPr>
                <w:rFonts w:ascii="Arial" w:hAnsi="Arial" w:cs="Arial"/>
                <w:sz w:val="20"/>
                <w:szCs w:val="20"/>
              </w:rPr>
            </w:pPr>
            <w:r>
              <w:rPr>
                <w:rFonts w:ascii="Arial" w:hAnsi="Arial"/>
                <w:sz w:val="20"/>
              </w:rPr>
              <w:t xml:space="preserve">Τα βιομηχανικά δεδομένα, τα οποία διαφέρουν από την οικονομία των δεδομένων προσωπικού χαρακτήρα, είναι ειδικά ανά τομέα και βρίσκονται στην κατοχή πολλών διαφορετικών παραγόντων οι οποίοι αντιμετωπίζουν κανονιστικές προκλήσεις όσον αφορά την </w:t>
            </w:r>
            <w:r>
              <w:rPr>
                <w:rFonts w:ascii="Arial" w:hAnsi="Arial"/>
                <w:sz w:val="20"/>
              </w:rPr>
              <w:t>κοινοχρησία</w:t>
            </w:r>
            <w:r>
              <w:rPr>
                <w:rFonts w:ascii="Arial" w:hAnsi="Arial"/>
                <w:sz w:val="20"/>
              </w:rPr>
              <w:t xml:space="preserve"> και τη συγκέντρωση δεδομένων. Κάποια δεδομένα αφορούν συγκεκριμένες γλώσσες και μπορεί να υπάρχουν μόνο σε μικρό αριθμό. Κατά συνέπεια, οι καινοτόμες εταιρείες δεν είναι σε θέση να εκπαιδεύουν ή να βελτιώνουν συνεχώς βασικά μοντέλα για διάφορους βιομηχανικούς τομείς ή ευρωπαϊκές γλώσσες. </w:t>
            </w:r>
          </w:p>
          <w:p w:rsidR="00F02A81" w:rsidRPr="00036816" w:rsidP="004E4CC5">
            <w:pPr>
              <w:jc w:val="both"/>
              <w:rPr>
                <w:rFonts w:ascii="Arial" w:hAnsi="Arial" w:cs="Arial"/>
                <w:sz w:val="20"/>
                <w:szCs w:val="20"/>
              </w:rPr>
            </w:pPr>
          </w:p>
          <w:p w:rsidR="004E4CC5" w:rsidP="004E4CC5">
            <w:pPr>
              <w:jc w:val="both"/>
              <w:rPr>
                <w:rFonts w:ascii="Arial" w:hAnsi="Arial" w:cs="Arial"/>
                <w:sz w:val="20"/>
                <w:szCs w:val="20"/>
              </w:rPr>
            </w:pPr>
            <w:r>
              <w:rPr>
                <w:rFonts w:ascii="Arial" w:hAnsi="Arial"/>
                <w:sz w:val="20"/>
              </w:rPr>
              <w:t xml:space="preserve">Εκτός από την πρόσβαση σε δεδομένα, η πρόσβαση σε ταλέντα, υπολογιστικές εγκαταστάσεις και κεφάλαια εξακολουθεί να αποτελεί πρόκληση. Το κανονιστικό τοπίο όσον αφορά τη χρήση δεδομένων στην ΕΕ χαρακτηρίζεται από έναν πολύπλοκο συνδυασμό γενικής νομοθεσίας και ειδικών ανά τομέα νόμων, που </w:t>
            </w:r>
            <w:r>
              <w:rPr>
                <w:rFonts w:ascii="Arial" w:hAnsi="Arial"/>
                <w:sz w:val="20"/>
              </w:rPr>
              <w:t>αλληλεπιδρούν</w:t>
            </w:r>
            <w:r>
              <w:rPr>
                <w:rFonts w:ascii="Arial" w:hAnsi="Arial"/>
                <w:sz w:val="20"/>
              </w:rPr>
              <w:t xml:space="preserve"> συχνά με δυσνόητο τρόπο για τις επιχειρήσεις και οι οποίοι επιβάλλονται από διάφορους φορείς ή αρχές, δημιουργώντας ανεπάρκειες και αβεβαιότητες για τις επιχειρήσεις και τις δημόσιες διοικήσεις. Παρά τις προσπάθειες να εναρμονιστούν οι κανόνες για την επεξεργασία δεδομένων προσωπικού χαρακτήρα, τα κράτη μέλη μπορούν να παρεκκλίνουν βάσει ρητρών ανοίγματος ή δικαιώματος σε συγκεκριμένες ρήτρες εξαίρεσης. Ο αυξανόμενος αριθμός απαιτήσεων υποβολής εκθέσεων και γνωστοποίησης σε όλα τα είδη νομοθεσιών επηρεάζει την ανταγωνιστικότητα.</w:t>
            </w:r>
          </w:p>
          <w:p w:rsidR="00F02A81" w:rsidRPr="00471EA8" w:rsidP="004E4CC5">
            <w:pPr>
              <w:jc w:val="both"/>
              <w:rPr>
                <w:rFonts w:ascii="Arial" w:hAnsi="Arial" w:cs="Arial"/>
                <w:sz w:val="20"/>
                <w:szCs w:val="20"/>
              </w:rPr>
            </w:pPr>
          </w:p>
          <w:p w:rsidR="004E3C19" w:rsidRPr="00EA7AF1" w:rsidP="00471EA8">
            <w:pPr>
              <w:jc w:val="both"/>
              <w:rPr>
                <w:rFonts w:ascii="Arial" w:hAnsi="Arial" w:cs="Arial"/>
                <w:sz w:val="20"/>
                <w:szCs w:val="20"/>
              </w:rPr>
            </w:pPr>
            <w:r>
              <w:rPr>
                <w:rFonts w:ascii="Arial" w:hAnsi="Arial"/>
                <w:sz w:val="20"/>
              </w:rPr>
              <w:t xml:space="preserve">Μολονότι οι διεθνείς ροές δεδομένων αποκτούν όλο και μεγαλύτερη σημασία σε ολόκληρη την οικονομία, απαντώνται και προκλήσεις. Συχνά, οι ευρωπαϊκές εταιρείες αντιμετωπίζουν αβεβαιότητες όσον αφορά τις διαβιβάσεις δεδομένων από τρίτες χώρες προς την ΕΕ. Ορισμένες κατηγορίες </w:t>
            </w:r>
            <w:r>
              <w:rPr>
                <w:rFonts w:ascii="Arial" w:hAnsi="Arial"/>
                <w:sz w:val="20"/>
              </w:rPr>
              <w:t>ενωσιακών</w:t>
            </w:r>
            <w:r>
              <w:rPr>
                <w:rFonts w:ascii="Arial" w:hAnsi="Arial"/>
                <w:sz w:val="20"/>
              </w:rPr>
              <w:t xml:space="preserve"> δεδομένων δεν προστατεύονται επαρκώς από κακόβουλους παράγοντες. Οι πρόσφατες γεωπολιτικές εντάσεις εγείρουν ερωτήματα για την οικονομική ασφάλεια της ΕΕ σε περίπτωση υπερβολικών εξαρτήσεων από άλλες χώρες, λ.χ. εξάρτηση από τα σχετικά δεδομένα για ορισμένους τομείς παραγωγικής ΤΝ, που εμποδίζει την ικανότητα της ΕΕ να διασφαλίσει τη μακροπρόθεσμη ανταγωνιστικότητά της.</w:t>
            </w:r>
          </w:p>
        </w:tc>
      </w:tr>
      <w:tr w:rsidTr="3CF29B80">
        <w:tblPrEx>
          <w:tblW w:w="10188" w:type="dxa"/>
          <w:tblLook w:val="01E0"/>
        </w:tblPrEx>
        <w:tc>
          <w:tcPr>
            <w:tcW w:w="10188" w:type="dxa"/>
            <w:tcBorders>
              <w:bottom w:val="single" w:sz="4" w:space="0" w:color="auto"/>
            </w:tcBorders>
            <w:shd w:val="clear" w:color="auto" w:fill="E6E6E6"/>
          </w:tcPr>
          <w:p w:rsidR="009E6661" w:rsidRPr="00347966" w:rsidP="00347966">
            <w:pPr>
              <w:spacing w:before="120" w:after="120"/>
              <w:jc w:val="both"/>
              <w:rPr>
                <w:rFonts w:ascii="Arial" w:hAnsi="Arial" w:cs="Arial"/>
              </w:rPr>
            </w:pPr>
            <w:r>
              <w:rPr>
                <w:rFonts w:ascii="Arial" w:hAnsi="Arial"/>
                <w:b/>
              </w:rPr>
              <w:t xml:space="preserve">Βάση για τη δράση της ΕΕ (νομική βάση και έλεγχος επικουρικότητας) </w:t>
            </w:r>
          </w:p>
        </w:tc>
      </w:tr>
      <w:tr w:rsidTr="3CF29B80">
        <w:tblPrEx>
          <w:tblW w:w="10188" w:type="dxa"/>
          <w:tblLook w:val="01E0"/>
        </w:tblPrEx>
        <w:tc>
          <w:tcPr>
            <w:tcW w:w="10188" w:type="dxa"/>
            <w:shd w:val="clear" w:color="auto" w:fill="auto"/>
          </w:tcPr>
          <w:p w:rsidR="003A46A1" w:rsidRPr="00FB3820" w:rsidP="3A86C726">
            <w:pPr>
              <w:spacing w:after="120" w:line="259" w:lineRule="auto"/>
              <w:jc w:val="both"/>
              <w:rPr>
                <w:rFonts w:ascii="Arial" w:eastAsia="Arial" w:hAnsi="Arial" w:cs="Arial"/>
                <w:sz w:val="20"/>
                <w:szCs w:val="20"/>
              </w:rPr>
            </w:pPr>
            <w:r>
              <w:rPr>
                <w:rFonts w:ascii="Arial" w:hAnsi="Arial"/>
                <w:sz w:val="20"/>
              </w:rPr>
              <w:t>Η Ευρώπη έχει τη δυνατότητα να βρίσκεται στην πρώτη γραμμή της οικονομίας των δεδομένων, χρησιμοποιώντας τα δεδομένα με ασφαλή τρόπο προκειμένου να ενδυναμωθεί αξιόπιστη ΤΝ που δεν εισάγει διακρίσεις και να ενισχυθεί η ανταγωνιστικότητα στην παγκόσμια αγορά, υπό την προϋπόθεση ότι θα εξεταστούν περαιτέρω δράσεις. Μια στρατηγική μπορεί να βοηθήσει τις ευρωπαϊκές επιχειρήσεις και τους Ευρωπαίους πολίτες να επωφεληθούν αποτελεσματικότερα από τα δεδομένα που παράγονται σε ολόκληρη την ήπειρο, ελαχιστοποιώντας παράλληλα τις νομικές αβεβαιότητες.</w:t>
            </w:r>
          </w:p>
        </w:tc>
      </w:tr>
      <w:tr w:rsidTr="3CF29B80">
        <w:tblPrEx>
          <w:tblW w:w="10188" w:type="dxa"/>
          <w:tblLook w:val="01E0"/>
        </w:tblPrEx>
        <w:tc>
          <w:tcPr>
            <w:tcW w:w="10188" w:type="dxa"/>
            <w:shd w:val="clear" w:color="auto" w:fill="D9D9D9" w:themeFill="background1" w:themeFillShade="D9"/>
          </w:tcPr>
          <w:p w:rsidR="002B1AA3" w:rsidRPr="00347966" w:rsidP="001533F9">
            <w:pPr>
              <w:spacing w:before="120" w:after="120"/>
              <w:jc w:val="both"/>
              <w:rPr>
                <w:rFonts w:ascii="Arial" w:hAnsi="Arial" w:cs="Arial"/>
                <w:b/>
                <w:color w:val="1036A0"/>
              </w:rPr>
            </w:pPr>
            <w:r>
              <w:rPr>
                <w:rFonts w:ascii="Arial" w:hAnsi="Arial"/>
                <w:b/>
                <w:color w:val="000000" w:themeColor="text1"/>
              </w:rPr>
              <w:t>Νομική</w:t>
            </w:r>
            <w:r>
              <w:rPr>
                <w:rFonts w:ascii="Arial" w:hAnsi="Arial"/>
                <w:b/>
                <w:color w:val="1036A0"/>
              </w:rPr>
              <w:t xml:space="preserve"> </w:t>
            </w:r>
            <w:r>
              <w:rPr>
                <w:rFonts w:ascii="Arial" w:hAnsi="Arial"/>
                <w:b/>
                <w:color w:val="000000" w:themeColor="text1"/>
              </w:rPr>
              <w:t>βάση</w:t>
            </w:r>
          </w:p>
        </w:tc>
      </w:tr>
      <w:tr w:rsidTr="3CF29B80">
        <w:tblPrEx>
          <w:tblW w:w="10188" w:type="dxa"/>
          <w:tblLook w:val="01E0"/>
        </w:tblPrEx>
        <w:tc>
          <w:tcPr>
            <w:tcW w:w="10188" w:type="dxa"/>
            <w:shd w:val="clear" w:color="auto" w:fill="auto"/>
          </w:tcPr>
          <w:p w:rsidR="001A39E5" w:rsidRPr="001E380A" w:rsidP="001E380A">
            <w:pPr>
              <w:spacing w:before="120" w:after="120"/>
              <w:jc w:val="both"/>
              <w:rPr>
                <w:rFonts w:ascii="Arial" w:eastAsia="Arial" w:hAnsi="Arial" w:cs="Arial"/>
                <w:sz w:val="20"/>
                <w:szCs w:val="20"/>
              </w:rPr>
            </w:pPr>
            <w:r>
              <w:rPr>
                <w:rFonts w:ascii="Arial" w:hAnsi="Arial"/>
                <w:sz w:val="20"/>
              </w:rPr>
              <w:t>Όσον αφορά την ανακοίνωση, βασίζεται στο άρθρο 114 της Συνθήκης για την Ευρωπαϊκή Ένωση (ΣΕΕ). Με την ανακοίνωση αναμένεται η παρουσίαση μιας σειράς πρωτοβουλιών και δράσεων με διαφορετικές νομικές βάσεις. Ανάλογα με το περιεχόμενο και το πεδίο εφαρμογής των πιθανών νομοθετικών και μη νομοθετικών μέσων που ανακοινώνονται, οι νομικές βάσεις που είναι κατάλληλες για τις εν λόγω νομικές πράξεις θα απαριθμούνται κατά περίπτωση κατά την κατάρτισή τους.</w:t>
            </w:r>
          </w:p>
        </w:tc>
      </w:tr>
      <w:tr w:rsidTr="3CF29B80">
        <w:tblPrEx>
          <w:tblW w:w="10188" w:type="dxa"/>
          <w:tblLook w:val="01E0"/>
        </w:tblPrEx>
        <w:tc>
          <w:tcPr>
            <w:tcW w:w="10188" w:type="dxa"/>
            <w:shd w:val="clear" w:color="auto" w:fill="D9D9D9" w:themeFill="background1" w:themeFillShade="D9"/>
          </w:tcPr>
          <w:p w:rsidR="002B1AA3" w:rsidRPr="00347966" w:rsidP="37555BFF">
            <w:pPr>
              <w:spacing w:before="120" w:after="120"/>
              <w:jc w:val="both"/>
              <w:rPr>
                <w:rFonts w:ascii="Arial" w:hAnsi="Arial" w:cs="Arial"/>
                <w:b/>
                <w:bCs/>
                <w:color w:val="000000" w:themeColor="text1"/>
              </w:rPr>
            </w:pPr>
            <w:r>
              <w:rPr>
                <w:rFonts w:ascii="Arial" w:hAnsi="Arial"/>
                <w:b/>
                <w:color w:val="000000" w:themeColor="text1"/>
              </w:rPr>
              <w:t xml:space="preserve">Πρακτική ανάγκη για δράση της ΕΕ </w:t>
            </w:r>
          </w:p>
        </w:tc>
      </w:tr>
      <w:tr w:rsidTr="3CF29B80">
        <w:tblPrEx>
          <w:tblW w:w="10188" w:type="dxa"/>
          <w:tblLook w:val="01E0"/>
        </w:tblPrEx>
        <w:tc>
          <w:tcPr>
            <w:tcW w:w="10188" w:type="dxa"/>
            <w:shd w:val="clear" w:color="auto" w:fill="auto"/>
          </w:tcPr>
          <w:p w:rsidR="002B1AA3" w:rsidRPr="00196B5E" w:rsidP="3CF29B80">
            <w:pPr>
              <w:spacing w:after="120" w:line="259" w:lineRule="auto"/>
              <w:jc w:val="both"/>
              <w:rPr>
                <w:rFonts w:ascii="Arial" w:hAnsi="Arial" w:cs="Arial"/>
                <w:b/>
                <w:bCs/>
                <w:i/>
                <w:iCs/>
                <w:color w:val="1036A0"/>
                <w:sz w:val="20"/>
                <w:szCs w:val="20"/>
              </w:rPr>
            </w:pPr>
            <w:r>
              <w:rPr>
                <w:rFonts w:ascii="Arial" w:hAnsi="Arial"/>
                <w:sz w:val="20"/>
              </w:rPr>
              <w:t xml:space="preserve">Ο διασυνοριακός χαρακτήρας των αγορών δεδομένων δημιουργεί προκλήσεις για τα επιμέρους κράτη μέλη, καθώς οι ανεξάρτητες δράσεις ενέχουν τον κίνδυνο να δημιουργήσουν κανονιστικό κατακερματισμό και κατακερματισμό της αγοράς. Για να το αποφύγουμε, υπάρχει αυξανόμενη ανάγκη για μια συντονισμένη προσέγγιση η οποία θα λαμβάνει υπόψη ολόκληρη την εσωτερική αγορά της ΕΕ. Μια τέτοια προσέγγιση θα καταστήσει δυνατή την επίτευξη οικονομιών κλίμακας, θα δημιουργήσει ένα οικοσύστημα αξιόπιστων </w:t>
            </w:r>
            <w:r>
              <w:rPr>
                <w:rFonts w:ascii="Arial" w:hAnsi="Arial"/>
                <w:sz w:val="20"/>
              </w:rPr>
              <w:t>ενωσιακών</w:t>
            </w:r>
            <w:r>
              <w:rPr>
                <w:rFonts w:ascii="Arial" w:hAnsi="Arial"/>
                <w:sz w:val="20"/>
              </w:rPr>
              <w:t xml:space="preserve"> εργαλείων, θα ενδυναμώσει τις ευρωπαϊκές εταιρείες και θα προωθήσει μια πιο συνεκτική, ανταγωνιστική, χωρίς διακρίσεις και αξιόπιστη ευρωπαϊκή αγορά δεδομένων και ΤΝ. Οι διεθνείς ροές δεδομένων αποτελούν μια σημαντική πτυχή της ανταγωνιστικότητας των εταιρειών της ΕΕ και αντιμετωπίζονται αποτελεσματικά σε επίπεδο ΕΕ, όπου η ενιαία προσέγγιση ενισχύει τη διαπραγματευτική ισχύ της Ευρώπης, διασφαλίζει κανονιστική συνέπεια στις παγκόσμιες δεσμεύσεις και αποτρέπει τον κατακερματισμό μεταξύ των κρατών μελών. Μολονότι η διοικητική επιβάρυνση συνιστά επίσης αποτέλεσμα της εθνικής νομοθεσίας, το νομοθετικό πλαίσιο της ΕΕ αποτελεί και αυτό, συχνά, πηγή της εν λόγω επιβάρυνσης. Η μείωση αυτής της επιβάρυνσης θα στηρίξει τους ευρύτερους στόχους ανταγωνιστικότητας της Ευρώπης.</w:t>
            </w:r>
          </w:p>
        </w:tc>
      </w:tr>
      <w:tr w:rsidTr="3CF29B80">
        <w:tblPrEx>
          <w:tblW w:w="10188" w:type="dxa"/>
          <w:tblLook w:val="01E0"/>
        </w:tblPrEx>
        <w:tc>
          <w:tcPr>
            <w:tcW w:w="10188" w:type="dxa"/>
            <w:tcBorders>
              <w:bottom w:val="single" w:sz="4" w:space="0" w:color="auto"/>
            </w:tcBorders>
            <w:shd w:val="clear" w:color="auto" w:fill="0000FF"/>
          </w:tcPr>
          <w:p w:rsidR="00423AEF" w:rsidRPr="00347966" w:rsidP="2E70CD7E">
            <w:pPr>
              <w:spacing w:before="60" w:after="60"/>
              <w:jc w:val="both"/>
              <w:rPr>
                <w:rFonts w:ascii="Arial" w:hAnsi="Arial" w:cs="Arial"/>
                <w:b/>
                <w:bCs/>
              </w:rPr>
            </w:pPr>
            <w:r>
              <w:rPr>
                <w:rFonts w:ascii="Arial" w:hAnsi="Arial"/>
                <w:b/>
              </w:rPr>
              <w:t xml:space="preserve">Β. Τι επιδιώκει να επιτύχει η πρωτοβουλία και πώς  </w:t>
            </w:r>
          </w:p>
        </w:tc>
      </w:tr>
      <w:tr w:rsidTr="3CF29B80">
        <w:tblPrEx>
          <w:tblW w:w="10188" w:type="dxa"/>
          <w:tblLook w:val="01E0"/>
        </w:tblPrEx>
        <w:tc>
          <w:tcPr>
            <w:tcW w:w="10188" w:type="dxa"/>
            <w:tcBorders>
              <w:bottom w:val="single" w:sz="4" w:space="0" w:color="auto"/>
            </w:tcBorders>
            <w:shd w:val="clear" w:color="auto" w:fill="auto"/>
          </w:tcPr>
          <w:p w:rsidR="00B70E02" w:rsidRPr="001E380A" w:rsidP="2E126EF2">
            <w:pPr>
              <w:spacing w:before="120" w:after="120"/>
              <w:jc w:val="both"/>
              <w:rPr>
                <w:rFonts w:ascii="Arial" w:eastAsia="Arial" w:hAnsi="Arial" w:cs="Arial"/>
                <w:sz w:val="20"/>
                <w:szCs w:val="20"/>
              </w:rPr>
            </w:pPr>
            <w:r>
              <w:rPr>
                <w:rFonts w:ascii="Arial" w:hAnsi="Arial"/>
                <w:sz w:val="20"/>
              </w:rPr>
              <w:t xml:space="preserve">Ο πρώτος στόχος είναι η τόνωση των επενδύσεων σε τεχνολογίες δεδομένων και η διάθεση ορισμένων στοιχείων δεδομένων μέσω εθελοντικών μέτρων ή χρηματοδότησης, προκειμένου να καταστεί δυνατή η κλιμάκωση της χρήσης και της διαθεσιμότητας δεδομένων, δηλαδή για την ανάπτυξη παραγωγικής ΤΝ . Αυτό θα μπορούσε να περιλαμβάνει μέτρα για τη βελτίωση της πρόσβασης των νεοφυών επιχειρήσεων σε δεδομένα, όπως μια υπηρεσία μίας στάσης για την κατά παραγγελία πρόσβαση σε πρόσθετες πηγές δεδομένων, καθώς και περαιτέρω μέτρα για τη διευκόλυνση της οικειοθελούς </w:t>
            </w:r>
            <w:r>
              <w:rPr>
                <w:rFonts w:ascii="Arial" w:hAnsi="Arial"/>
                <w:sz w:val="20"/>
              </w:rPr>
              <w:t>κοινοχρησίας</w:t>
            </w:r>
            <w:r>
              <w:rPr>
                <w:rFonts w:ascii="Arial" w:hAnsi="Arial"/>
                <w:sz w:val="20"/>
              </w:rPr>
              <w:t xml:space="preserve"> δεδομένων.</w:t>
            </w:r>
          </w:p>
          <w:p w:rsidR="00EB485B" w:rsidRPr="00F251CC" w:rsidP="00471EA8">
            <w:pPr>
              <w:spacing w:before="120" w:after="120"/>
              <w:jc w:val="both"/>
              <w:rPr>
                <w:rFonts w:ascii="Arial" w:hAnsi="Arial" w:cs="Arial"/>
                <w:sz w:val="20"/>
                <w:szCs w:val="20"/>
              </w:rPr>
            </w:pPr>
            <w:r>
              <w:rPr>
                <w:rFonts w:ascii="Arial" w:hAnsi="Arial"/>
                <w:sz w:val="20"/>
              </w:rPr>
              <w:t xml:space="preserve">Ο δεύτερος στόχος είναι η απλούστευση. Αυτό θα πρέπει να επιτευχθεί με (1) τον </w:t>
            </w:r>
            <w:r>
              <w:rPr>
                <w:rFonts w:ascii="Arial" w:hAnsi="Arial"/>
                <w:sz w:val="20"/>
              </w:rPr>
              <w:t>εξορθολογισμό</w:t>
            </w:r>
            <w:r>
              <w:rPr>
                <w:rFonts w:ascii="Arial" w:hAnsi="Arial"/>
                <w:sz w:val="20"/>
              </w:rPr>
              <w:t xml:space="preserve"> των υφιστάμενων κανόνων και (2) την ανάπτυξη εργαλείων δεδομένων για τη μείωση της διοικητικής επιβάρυνσης. Προκειμένου να ενοποιηθεί το υφιστάμενο πλαίσιο, θα γίνει αξιολόγησή του και θα προταθούν </w:t>
            </w:r>
            <w:r>
              <w:rPr>
                <w:rFonts w:ascii="Arial" w:hAnsi="Arial"/>
                <w:sz w:val="20"/>
              </w:rPr>
              <w:t>στοχευμένες</w:t>
            </w:r>
            <w:r>
              <w:rPr>
                <w:rFonts w:ascii="Arial" w:hAnsi="Arial"/>
                <w:sz w:val="20"/>
              </w:rPr>
              <w:t xml:space="preserve"> προσαρμογές, όπου χρειάζεται, ώστε τα μέσα να λειτουργήσουν από κοινού με τον καλύτερο δυνατό τρόπο για μια αποτελεσματική οικονομία δεδομένων, συμπεριλαμβανομένων των αποτελεσματικών μηχανισμών διακυβέρνησης. Θα πρέπει να αναπτυχθούν και να εγκατασταθούν ψηφιακές υποδομές ώστε να καταστεί δυνατή η αυτόματη συμμόρφωση με τις υποχρεώσεις υποβολής εκθέσεων. Κάτι τέτοιο θα μπορούσε να επεκταθεί και ως προς την εξέταση υλοποίησης της υποχρέωσης ψηφιακής υποβολής εκθέσεων σε μελλοντικές νομοθετικές πρωτοβουλίες και διευκόλυνσης της ψηφιακής υποβολής εκθέσεων σε ισχύουσα νομοθεσία.</w:t>
            </w:r>
            <w:r>
              <w:rPr>
                <w:rFonts w:ascii="Arial" w:hAnsi="Arial"/>
                <w:color w:val="1036A0"/>
                <w:sz w:val="20"/>
              </w:rPr>
              <w:t xml:space="preserve"> </w:t>
            </w:r>
          </w:p>
          <w:p w:rsidR="006F51F6" w:rsidRPr="00471EA8" w:rsidP="7A7ACD67">
            <w:pPr>
              <w:spacing w:before="120" w:after="120"/>
              <w:jc w:val="both"/>
              <w:rPr>
                <w:rFonts w:ascii="Arial" w:eastAsia="Arial" w:hAnsi="Arial" w:cs="Arial"/>
                <w:sz w:val="20"/>
                <w:szCs w:val="20"/>
              </w:rPr>
            </w:pPr>
            <w:r>
              <w:rPr>
                <w:rFonts w:ascii="Arial" w:hAnsi="Arial"/>
                <w:sz w:val="20"/>
              </w:rPr>
              <w:t xml:space="preserve">Ο τρίτος στόχος είναι η ανάπτυξη μιας «διεθνούς στρατηγικής για τα δεδομένα», η οποία θα πρέπει να περιλαμβάνει δράσεις οι οποίες να παρέχουν εγγυήσεις για την εξαγωγή δεδομένων εκτός της ΕΕ, καθώς και δράσεις για την τόνωση της εισαγωγής δεδομένων εντός της ΕΕ. Κάτι τέτοιο απαιτεί μια ολοκληρωμένη προσέγγιση που να συνυπολογίζει, μεταξύ άλλων, το εσωτερικό κεκτημένο της ΕΕ για τα δεδομένα, καθώς και την πολιτική της ΕΕ για το εξωτερικό ψηφιακό εμπόριο. Επιπλέον, η διεθνής στρατηγική για τα δεδομένα θα πρέπει επίσης να εξετάζει την πρόσβαση σε κοινούς ευρωπαϊκούς χώρους δεδομένων και να προσδιορίζει δράσεις για την κατά προτεραιότητα δέσμευση σε διμερές και πολυμερές επίπεδο, καθώς και την ανάπτυξη διεθνών κανόνων οι οποίοι να ευνοούν την </w:t>
            </w:r>
            <w:r>
              <w:rPr>
                <w:rFonts w:ascii="Arial" w:hAnsi="Arial"/>
                <w:sz w:val="20"/>
              </w:rPr>
              <w:t>κοινοχρησία</w:t>
            </w:r>
            <w:r>
              <w:rPr>
                <w:rFonts w:ascii="Arial" w:hAnsi="Arial"/>
                <w:sz w:val="20"/>
              </w:rPr>
              <w:t xml:space="preserve"> δεδομένων σε συμβατική βάση.</w:t>
            </w:r>
          </w:p>
        </w:tc>
      </w:tr>
      <w:tr w:rsidTr="3CF29B80">
        <w:tblPrEx>
          <w:tblW w:w="10188" w:type="dxa"/>
          <w:tblLook w:val="01E0"/>
        </w:tblPrEx>
        <w:tc>
          <w:tcPr>
            <w:tcW w:w="10188" w:type="dxa"/>
            <w:tcBorders>
              <w:bottom w:val="single" w:sz="4" w:space="0" w:color="auto"/>
            </w:tcBorders>
            <w:shd w:val="clear" w:color="auto" w:fill="D9D9D9" w:themeFill="background1" w:themeFillShade="D9"/>
          </w:tcPr>
          <w:p w:rsidR="00990974" w:rsidRPr="006C75CC" w:rsidP="37555BFF">
            <w:pPr>
              <w:spacing w:before="60" w:after="60"/>
              <w:jc w:val="both"/>
              <w:rPr>
                <w:rFonts w:ascii="Arial" w:hAnsi="Arial" w:cs="Arial"/>
                <w:b/>
                <w:bCs/>
                <w:sz w:val="20"/>
                <w:szCs w:val="20"/>
              </w:rPr>
            </w:pPr>
            <w:r>
              <w:rPr>
                <w:rFonts w:ascii="Arial" w:hAnsi="Arial"/>
                <w:b/>
                <w:sz w:val="20"/>
              </w:rPr>
              <w:t xml:space="preserve">Πιθανές επιπτώσεις </w:t>
            </w:r>
          </w:p>
        </w:tc>
      </w:tr>
      <w:tr w:rsidTr="3CF29B80">
        <w:tblPrEx>
          <w:tblW w:w="10188" w:type="dxa"/>
          <w:tblLook w:val="01E0"/>
        </w:tblPrEx>
        <w:tc>
          <w:tcPr>
            <w:tcW w:w="10188" w:type="dxa"/>
            <w:tcBorders>
              <w:bottom w:val="single" w:sz="4" w:space="0" w:color="auto"/>
            </w:tcBorders>
            <w:shd w:val="clear" w:color="auto" w:fill="auto"/>
          </w:tcPr>
          <w:p w:rsidR="23E9138F" w:rsidRPr="00DD61D2" w:rsidP="5CD8CB6D">
            <w:pPr>
              <w:spacing w:after="120"/>
              <w:jc w:val="both"/>
              <w:rPr>
                <w:rFonts w:ascii="Arial" w:eastAsia="Arial" w:hAnsi="Arial" w:cs="Arial"/>
                <w:color w:val="000000" w:themeColor="text1"/>
                <w:sz w:val="20"/>
                <w:szCs w:val="20"/>
              </w:rPr>
            </w:pPr>
            <w:r>
              <w:rPr>
                <w:rFonts w:ascii="Arial" w:hAnsi="Arial"/>
                <w:sz w:val="20"/>
              </w:rPr>
              <w:t xml:space="preserve">Ο οικονομικός αντίκτυπος του μέτρου αναμένεται να υλοποιηθεί με τη χρήση υπηρεσιών και προϊόντων περισσότερο βασιζόμενα στα δεδομένα και, ως επί το </w:t>
            </w:r>
            <w:r>
              <w:rPr>
                <w:rFonts w:ascii="Arial" w:hAnsi="Arial"/>
                <w:sz w:val="20"/>
              </w:rPr>
              <w:t>πλείστον</w:t>
            </w:r>
            <w:r>
              <w:rPr>
                <w:rFonts w:ascii="Arial" w:hAnsi="Arial"/>
                <w:sz w:val="20"/>
              </w:rPr>
              <w:t xml:space="preserve">, στην ΤΝ, τα οποία θα σχεδιαστούν σύμφωνα με τις ανάγκες των χρηστών. Η στρατηγική θα έχει ως αποτέλεσμα την περαιτέρω </w:t>
            </w:r>
            <w:r>
              <w:rPr>
                <w:rFonts w:ascii="Arial" w:hAnsi="Arial"/>
                <w:color w:val="000000" w:themeColor="text1"/>
                <w:sz w:val="20"/>
              </w:rPr>
              <w:t xml:space="preserve">ανάπτυξη μιας αξιόπιστης και ακμάζουσας οικονομίας δεδομένων, γεγονός που πιθανότατα θα αυξήσει την αξία των δεδομένων, με τήρηση των προτύπων προστασίας τους και των προτύπων </w:t>
            </w:r>
            <w:r>
              <w:rPr>
                <w:rFonts w:ascii="Arial" w:hAnsi="Arial"/>
                <w:color w:val="000000" w:themeColor="text1"/>
                <w:sz w:val="20"/>
              </w:rPr>
              <w:t>κυβερνοασφάλειας</w:t>
            </w:r>
            <w:r>
              <w:rPr>
                <w:rFonts w:ascii="Arial" w:hAnsi="Arial"/>
                <w:color w:val="000000" w:themeColor="text1"/>
                <w:sz w:val="20"/>
              </w:rPr>
              <w:t>.</w:t>
            </w:r>
            <w:r>
              <w:rPr>
                <w:rFonts w:ascii="Arial" w:hAnsi="Arial"/>
                <w:sz w:val="20"/>
              </w:rPr>
              <w:t xml:space="preserve"> Μια ολοκληρωμένη και ψηφιακά ενδυναμωμένη ενιαία αγορά θα επιτρέψει στις επιχειρήσεις της ΕΕ, συμπεριλαμβανομένων των ΜΜΕ, να επεκταθούν και να αξιοποιήσουν στο έπακρο την αγορά, αλλά και τις δημόσιες υπηρεσίες για την </w:t>
            </w:r>
            <w:r>
              <w:rPr>
                <w:rFonts w:ascii="Arial" w:hAnsi="Arial"/>
                <w:color w:val="000000" w:themeColor="text1"/>
                <w:sz w:val="20"/>
              </w:rPr>
              <w:t>αντιμετώπιση επίκαιρων κοινωνικών προκλήσεων σε όλους τους τομείς</w:t>
            </w:r>
            <w:r>
              <w:rPr>
                <w:rFonts w:ascii="Arial" w:hAnsi="Arial"/>
                <w:sz w:val="20"/>
              </w:rPr>
              <w:t>.</w:t>
            </w:r>
            <w:r>
              <w:rPr>
                <w:rFonts w:ascii="Arial" w:hAnsi="Arial"/>
                <w:color w:val="000000" w:themeColor="text1"/>
                <w:sz w:val="20"/>
              </w:rPr>
              <w:t xml:space="preserve"> </w:t>
            </w:r>
          </w:p>
          <w:p w:rsidR="00F42E4A" w:rsidRPr="00F42E4A" w:rsidP="00F42E4A">
            <w:pPr>
              <w:spacing w:after="120"/>
              <w:jc w:val="both"/>
              <w:rPr>
                <w:rFonts w:ascii="Arial" w:hAnsi="Arial" w:cs="Arial"/>
                <w:sz w:val="20"/>
                <w:szCs w:val="20"/>
              </w:rPr>
            </w:pPr>
            <w:r>
              <w:rPr>
                <w:rFonts w:ascii="Arial" w:hAnsi="Arial"/>
                <w:sz w:val="20"/>
              </w:rPr>
              <w:t>Η απλούστευση του νομοθετικού πλαισίου θα μειώσει την κανονιστική επιβάρυνση των επιχειρήσεων. Η μείωση της διοικητικής επιβάρυνσης θα επηρεάσει θετικά το σύνολο της οικονομίας, αλλά ιδίως τις μικρές και μεσαίες επιχειρήσεις που διαθέτουν λιγότερες ικανότητες όσον αφορά τα καθήκοντα συμμόρφωσης και όπου η διοικητική επιβάρυνση είναι συχνά η μεγαλύτερη πρόκληση για τις επενδύσεις.</w:t>
            </w:r>
          </w:p>
          <w:p w:rsidR="0046489F" w:rsidRPr="00DD61D2" w:rsidP="00F42E4A">
            <w:pPr>
              <w:spacing w:after="120"/>
              <w:jc w:val="both"/>
              <w:rPr>
                <w:rFonts w:ascii="Arial" w:hAnsi="Arial" w:cs="Arial"/>
                <w:sz w:val="20"/>
                <w:szCs w:val="20"/>
              </w:rPr>
            </w:pPr>
            <w:r>
              <w:rPr>
                <w:rFonts w:ascii="Arial" w:hAnsi="Arial"/>
                <w:sz w:val="20"/>
              </w:rPr>
              <w:t>Η αντιμετώπιση των διεθνών ροών δεδομένων μη προσωπικού χαρακτήρα σε επίπεδο ΕΕ, θα ενισχύσει τον ηγετικό ρόλο της Ευρώπης στον ψηφιακό κόσμο, θα ενισχύσει την κανονιστική συνοχή, θα προσελκύσει ροές δεδομένων στην ΕΕ και θα εγγυηθεί ισχυρότερες διασφαλίσεις για την ασφαλή και ανταγωνιστική ανταλλαγή δεδομένων της ΕΕ με τρίτες χώρες.</w:t>
            </w:r>
          </w:p>
        </w:tc>
      </w:tr>
      <w:tr w:rsidTr="3CF29B80">
        <w:tblPrEx>
          <w:tblW w:w="10188" w:type="dxa"/>
          <w:tblLook w:val="01E0"/>
        </w:tblPrEx>
        <w:tc>
          <w:tcPr>
            <w:tcW w:w="10188" w:type="dxa"/>
            <w:tcBorders>
              <w:bottom w:val="single" w:sz="4" w:space="0" w:color="auto"/>
            </w:tcBorders>
            <w:shd w:val="clear" w:color="auto" w:fill="D9D9D9" w:themeFill="background1" w:themeFillShade="D9"/>
          </w:tcPr>
          <w:p w:rsidR="006C75CC" w:rsidP="00A22CFB">
            <w:pPr>
              <w:spacing w:before="60" w:after="60"/>
              <w:jc w:val="both"/>
              <w:rPr>
                <w:rFonts w:ascii="Arial" w:hAnsi="Arial" w:cs="Arial"/>
                <w:color w:val="00B050"/>
                <w:sz w:val="20"/>
                <w:szCs w:val="20"/>
              </w:rPr>
            </w:pPr>
            <w:r>
              <w:rPr>
                <w:rFonts w:ascii="Arial" w:hAnsi="Arial"/>
                <w:b/>
                <w:sz w:val="20"/>
              </w:rPr>
              <w:t>Μελλοντική παρακολούθηση</w:t>
            </w:r>
          </w:p>
        </w:tc>
      </w:tr>
      <w:tr w:rsidTr="3CF29B80">
        <w:tblPrEx>
          <w:tblW w:w="10188" w:type="dxa"/>
          <w:tblLook w:val="01E0"/>
        </w:tblPrEx>
        <w:tc>
          <w:tcPr>
            <w:tcW w:w="10188" w:type="dxa"/>
            <w:tcBorders>
              <w:bottom w:val="single" w:sz="4" w:space="0" w:color="auto"/>
            </w:tcBorders>
            <w:shd w:val="clear" w:color="auto" w:fill="auto"/>
          </w:tcPr>
          <w:p w:rsidR="00CF3EF5" w:rsidRPr="008C57CF" w:rsidP="00471EA8">
            <w:pPr>
              <w:spacing w:after="120"/>
              <w:jc w:val="both"/>
              <w:rPr>
                <w:rFonts w:ascii="Arial" w:hAnsi="Arial" w:cs="Arial"/>
                <w:sz w:val="20"/>
                <w:szCs w:val="20"/>
              </w:rPr>
            </w:pPr>
            <w:r>
              <w:t xml:space="preserve">Δεδομένης της φύσης της πρωτοβουλίας, δηλαδή μιας ευρείας ανακοίνωσης πολιτικών, η παρακολούθησή της θα πραγματοποιηθεί σε μεταγενέστερο στάδιο κατά την υλοποίηση των διαφόρων δράσεων. </w:t>
            </w:r>
            <w:r>
              <w:rPr>
                <w:rFonts w:ascii="Arial" w:hAnsi="Arial"/>
                <w:sz w:val="20"/>
              </w:rPr>
              <w:t xml:space="preserve">Η Επιτροπή θα αξιολογήσει τη στρατηγική χωρίς χρονοτριβή, καταρχάς μέσω του ευρωπαϊκού συμβουλίου καινοτομίας δεδομένων, της ομάδας εμπειρογνωμόνων για ζητήματα δεδομένων και της πολυσυλλεκτικής ομάδας </w:t>
            </w:r>
            <w:r>
              <w:rPr>
                <w:rFonts w:ascii="Arial" w:hAnsi="Arial"/>
                <w:sz w:val="20"/>
              </w:rPr>
              <w:t>συμφεροντούχων</w:t>
            </w:r>
            <w:r>
              <w:rPr>
                <w:rFonts w:ascii="Arial" w:hAnsi="Arial"/>
                <w:sz w:val="20"/>
              </w:rPr>
              <w:t>, ως μηχανισμού παρακολούθησης, καθώς και θα υποβάλλει τακτικά εκθέσεις στην αρμόδια ομάδα εργασίας του Συμβουλίου και στις κοινοβουλευτικές επιτροπές. Η Επιτροπή θα αξιολογήσει επίσης την εφαρμογή της στρατηγικής μέσω των διαφόρων δράσεων που θα προκύψουν από αυτήν. Τυχόν νομοθετικά μέτρα θα συνοδεύονται από ενδελεχή αξιολόγηση και κατάλληλους μηχανισμούς αξιολόγησης.</w:t>
            </w:r>
          </w:p>
        </w:tc>
      </w:tr>
      <w:tr w:rsidTr="3CF29B80">
        <w:tblPrEx>
          <w:tblW w:w="10188" w:type="dxa"/>
          <w:tblLook w:val="01E0"/>
        </w:tblPrEx>
        <w:tc>
          <w:tcPr>
            <w:tcW w:w="10188" w:type="dxa"/>
            <w:tcBorders>
              <w:bottom w:val="single" w:sz="4" w:space="0" w:color="auto"/>
            </w:tcBorders>
            <w:shd w:val="clear" w:color="auto" w:fill="0000FF"/>
          </w:tcPr>
          <w:p w:rsidR="0009231D" w:rsidRPr="00347966" w:rsidP="00353BFB">
            <w:pPr>
              <w:spacing w:before="60" w:after="60"/>
              <w:jc w:val="both"/>
              <w:rPr>
                <w:rFonts w:ascii="Arial" w:hAnsi="Arial" w:cs="Arial"/>
                <w:b/>
              </w:rPr>
            </w:pPr>
            <w:r>
              <w:rPr>
                <w:rFonts w:ascii="Arial" w:hAnsi="Arial"/>
                <w:b/>
                <w:highlight w:val="blue"/>
              </w:rPr>
              <w:t>Γ. Βελτίωση της νομοθεσίας</w:t>
            </w:r>
          </w:p>
        </w:tc>
      </w:tr>
      <w:tr w:rsidTr="3CF29B80">
        <w:tblPrEx>
          <w:tblW w:w="10188" w:type="dxa"/>
          <w:tblLook w:val="01E0"/>
        </w:tblPrEx>
        <w:tc>
          <w:tcPr>
            <w:tcW w:w="10188" w:type="dxa"/>
            <w:tcBorders>
              <w:bottom w:val="single" w:sz="4" w:space="0" w:color="auto"/>
            </w:tcBorders>
            <w:shd w:val="clear" w:color="auto" w:fill="E6E6E6"/>
          </w:tcPr>
          <w:p w:rsidR="00B312B7" w:rsidRPr="009D0542">
            <w:pPr>
              <w:spacing w:before="120" w:after="120"/>
              <w:jc w:val="both"/>
              <w:rPr>
                <w:rFonts w:ascii="Arial" w:hAnsi="Arial" w:cs="Arial"/>
                <w:sz w:val="20"/>
                <w:szCs w:val="20"/>
              </w:rPr>
            </w:pPr>
            <w:r>
              <w:rPr>
                <w:rFonts w:ascii="Arial" w:hAnsi="Arial"/>
                <w:b/>
                <w:sz w:val="20"/>
              </w:rPr>
              <w:t xml:space="preserve">Εκτίμηση επιπτώσεων </w:t>
            </w:r>
          </w:p>
        </w:tc>
      </w:tr>
      <w:tr w:rsidTr="3CF29B80">
        <w:tblPrEx>
          <w:tblW w:w="10188" w:type="dxa"/>
          <w:tblLook w:val="01E0"/>
        </w:tblPrEx>
        <w:tc>
          <w:tcPr>
            <w:tcW w:w="10188" w:type="dxa"/>
            <w:tcBorders>
              <w:bottom w:val="single" w:sz="4" w:space="0" w:color="auto"/>
            </w:tcBorders>
            <w:shd w:val="clear" w:color="auto" w:fill="auto"/>
          </w:tcPr>
          <w:p w:rsidR="00BA7DB5" w:rsidRPr="00AA4A01" w:rsidP="00AA4A01">
            <w:pPr>
              <w:spacing w:before="60" w:after="240"/>
              <w:jc w:val="both"/>
              <w:rPr>
                <w:rFonts w:ascii="Arial" w:hAnsi="Arial" w:cs="Arial"/>
                <w:color w:val="1036A0"/>
                <w:sz w:val="20"/>
                <w:szCs w:val="20"/>
              </w:rPr>
            </w:pPr>
            <w:r>
              <w:rPr>
                <w:rFonts w:ascii="Arial" w:hAnsi="Arial"/>
                <w:sz w:val="20"/>
              </w:rPr>
              <w:t xml:space="preserve">Δεδομένου ότι η ανακοίνωση καθορίζει μια στρατηγική και μια επισκόπηση, για το συγκεκριμένο είδος δράσης, δεν απαιτούνται εκ των προτέρων εκτιμήσεις επιπτώσεων. Οι νομοθετικές προτάσεις, οι δυνητικές δράσεις ή άλλες προτάσεις και πρωτοβουλίες που ενδέχεται να έχουν σημαντικό αντίκτυπο, καθώς και οι επιλογές πολιτικής που ανακοινώνονται στη στρατηγική θα πρέπει να συνοδεύονται, κατά περίπτωση, από εκτιμήσεις επιπτώσεων.  </w:t>
            </w:r>
            <w:r>
              <w:rPr>
                <w:rFonts w:ascii="Arial" w:hAnsi="Arial"/>
                <w:sz w:val="20"/>
              </w:rPr>
              <w:t xml:space="preserve">Στόχος της στρατηγικής για την Ένωση Δεδομένων είναι να καθοριστεί μια γενική προσέγγιση, για την οποία απουσιάζουν </w:t>
            </w:r>
            <w:r>
              <w:rPr>
                <w:rFonts w:ascii="Arial" w:hAnsi="Arial"/>
                <w:sz w:val="20"/>
              </w:rPr>
              <w:t>προσδιορίσιμες</w:t>
            </w:r>
            <w:r>
              <w:rPr>
                <w:rFonts w:ascii="Arial" w:hAnsi="Arial"/>
                <w:sz w:val="20"/>
              </w:rPr>
              <w:t xml:space="preserve"> επιπτώσεις. </w:t>
            </w:r>
          </w:p>
        </w:tc>
      </w:tr>
      <w:tr w:rsidTr="3CF29B80">
        <w:tblPrEx>
          <w:tblW w:w="10188" w:type="dxa"/>
          <w:tblLook w:val="01E0"/>
        </w:tblPrEx>
        <w:tc>
          <w:tcPr>
            <w:tcW w:w="10188" w:type="dxa"/>
            <w:tcBorders>
              <w:bottom w:val="single" w:sz="4" w:space="0" w:color="auto"/>
            </w:tcBorders>
            <w:shd w:val="clear" w:color="auto" w:fill="E6E6E6"/>
          </w:tcPr>
          <w:p w:rsidR="00B312B7" w:rsidRPr="00347966" w:rsidP="37555BFF">
            <w:pPr>
              <w:spacing w:before="60" w:after="60"/>
              <w:jc w:val="both"/>
              <w:rPr>
                <w:rFonts w:ascii="Arial" w:hAnsi="Arial" w:cs="Arial"/>
                <w:b/>
                <w:bCs/>
              </w:rPr>
            </w:pPr>
            <w:r>
              <w:rPr>
                <w:rFonts w:ascii="Arial" w:hAnsi="Arial"/>
                <w:b/>
              </w:rPr>
              <w:t xml:space="preserve">Στρατηγική διαβούλευσης </w:t>
            </w:r>
          </w:p>
        </w:tc>
      </w:tr>
      <w:tr w:rsidTr="3CF29B80">
        <w:tblPrEx>
          <w:tblW w:w="10188" w:type="dxa"/>
          <w:tblLook w:val="01E0"/>
        </w:tblPrEx>
        <w:tc>
          <w:tcPr>
            <w:tcW w:w="10188" w:type="dxa"/>
            <w:tcBorders>
              <w:bottom w:val="single" w:sz="4" w:space="0" w:color="auto"/>
            </w:tcBorders>
            <w:shd w:val="clear" w:color="auto" w:fill="auto"/>
          </w:tcPr>
          <w:p w:rsidR="009F7708" w:rsidP="00D97496">
            <w:pPr>
              <w:spacing w:before="60" w:after="60"/>
              <w:jc w:val="both"/>
              <w:rPr>
                <w:rFonts w:ascii="Arial" w:eastAsia="Arial" w:hAnsi="Arial" w:cs="Arial"/>
                <w:sz w:val="20"/>
                <w:szCs w:val="20"/>
              </w:rPr>
            </w:pPr>
            <w:r>
              <w:rPr>
                <w:rFonts w:ascii="Arial" w:hAnsi="Arial"/>
                <w:sz w:val="20"/>
              </w:rPr>
              <w:t>Οι δραστηριότητες διαβούλευσης θα περιλαμβάνουν:</w:t>
            </w:r>
          </w:p>
          <w:p w:rsidR="10F7F2EB" w:rsidRPr="00471EA8" w:rsidP="00D97496">
            <w:pPr>
              <w:spacing w:before="60" w:after="60"/>
              <w:jc w:val="both"/>
              <w:rPr>
                <w:rFonts w:ascii="Arial" w:eastAsia="Arial" w:hAnsi="Arial" w:cs="Arial"/>
                <w:sz w:val="20"/>
                <w:szCs w:val="20"/>
              </w:rPr>
            </w:pPr>
            <w:r>
              <w:rPr>
                <w:rFonts w:ascii="Arial" w:hAnsi="Arial"/>
                <w:sz w:val="20"/>
              </w:rPr>
              <w:t xml:space="preserve">Δημόσια διαβούλευση (βλ. πληροφορίες κατωτέρω· </w:t>
            </w:r>
            <w:r>
              <w:rPr>
                <w:rFonts w:ascii="Arial" w:hAnsi="Arial"/>
                <w:sz w:val="20"/>
              </w:rPr>
              <w:t>στοχευμένα</w:t>
            </w:r>
            <w:r>
              <w:rPr>
                <w:rFonts w:ascii="Arial" w:hAnsi="Arial"/>
                <w:sz w:val="20"/>
              </w:rPr>
              <w:t xml:space="preserve"> ερωτηματολόγια προς τα κράτη μέλη και επιλεγμένους εμπειρογνώμονες· </w:t>
            </w:r>
            <w:r>
              <w:rPr>
                <w:rFonts w:ascii="Arial" w:hAnsi="Arial"/>
                <w:sz w:val="20"/>
              </w:rPr>
              <w:t>στοχευμένες</w:t>
            </w:r>
            <w:r>
              <w:rPr>
                <w:rFonts w:ascii="Arial" w:hAnsi="Arial"/>
                <w:sz w:val="20"/>
              </w:rPr>
              <w:t xml:space="preserve"> διαβουλεύσεις, μεταξύ άλλων για τις ΜΜΕ· τομεακά εργαστήρια· συνεντεύξεις με εμπειρογνώμονες· εκδηλώσεις υψηλού επιπέδου και επισκέψεις σε χώρες.</w:t>
            </w:r>
          </w:p>
          <w:p w:rsidR="00EB7901" w:rsidRPr="009F7708" w:rsidP="00D97496">
            <w:pPr>
              <w:spacing w:before="60" w:after="120"/>
              <w:jc w:val="both"/>
              <w:rPr>
                <w:rFonts w:ascii="Arial" w:hAnsi="Arial" w:cs="Arial"/>
                <w:sz w:val="20"/>
                <w:szCs w:val="20"/>
              </w:rPr>
            </w:pPr>
            <w:r>
              <w:rPr>
                <w:rFonts w:ascii="Arial" w:hAnsi="Arial"/>
                <w:sz w:val="20"/>
              </w:rPr>
              <w:t xml:space="preserve">Θα </w:t>
            </w:r>
            <w:r>
              <w:rPr>
                <w:rFonts w:ascii="Arial" w:hAnsi="Arial"/>
                <w:sz w:val="20"/>
              </w:rPr>
              <w:t>στοχευτεί</w:t>
            </w:r>
            <w:r>
              <w:rPr>
                <w:rFonts w:ascii="Arial" w:hAnsi="Arial"/>
                <w:sz w:val="20"/>
              </w:rPr>
              <w:t xml:space="preserve"> άμεσα η κοινότητα των ΜΜΕ, πρώτον, μέσα από το ευρωπαϊκό συμβούλιο καινοτομίας δεδομένων και τους εκπροσώπους του για τις ΜΜΕ, καθώς και μέσα από το Ευρωπαϊκό Δίκτυο Επιχειρήσεων. </w:t>
            </w:r>
          </w:p>
          <w:p w:rsidR="009F7708" w:rsidRPr="009F7708" w:rsidP="00D97496">
            <w:pPr>
              <w:spacing w:after="120"/>
              <w:jc w:val="both"/>
              <w:rPr>
                <w:rFonts w:ascii="Arial" w:hAnsi="Arial" w:cs="Arial"/>
                <w:color w:val="1036A0"/>
                <w:sz w:val="20"/>
                <w:szCs w:val="20"/>
              </w:rPr>
            </w:pPr>
            <w:r>
              <w:rPr>
                <w:rFonts w:ascii="Arial" w:hAnsi="Arial"/>
                <w:sz w:val="20"/>
              </w:rPr>
              <w:t xml:space="preserve">Στο πλαίσιο της πολιτικής της Ευρωπαϊκής Επιτροπής για τη βελτίωση της νομοθεσίας, που αποσκοπεί στην ανάπτυξη πρωτοβουλιών με βάση τις βέλτιστες διαθέσιμες γνώσεις, καλούμε επίσης επιστημονικούς ερευνητές, πανεπιστημιακούς φορείς, επιστημονικές εταιρείες και επιστημονικές ενώσεις με </w:t>
            </w:r>
            <w:r>
              <w:rPr>
                <w:rFonts w:ascii="Arial" w:hAnsi="Arial"/>
                <w:sz w:val="20"/>
              </w:rPr>
              <w:t>εμπειρογνωσία</w:t>
            </w:r>
            <w:r>
              <w:rPr>
                <w:rFonts w:ascii="Arial" w:hAnsi="Arial"/>
                <w:sz w:val="20"/>
              </w:rPr>
              <w:t xml:space="preserve"> στους τεχνικούς τομείς και στην πολιτική δεδομένων, την τεχνητή νοημοσύνη, ή/και τη μείωση του διοικητικού φόρτου, για να υποβάλουν σχετικές επιστημονικές έρευνες, αναλύσεις και δεδομένα που έχουν δημοσιευθεί ή βρίσκονται στο στάδιο πριν από την τελική δημοσίευση.  </w:t>
            </w:r>
          </w:p>
        </w:tc>
      </w:tr>
      <w:tr w:rsidTr="3CF29B80">
        <w:tblPrEx>
          <w:tblW w:w="10188" w:type="dxa"/>
          <w:tblLook w:val="01E0"/>
        </w:tblPrEx>
        <w:tc>
          <w:tcPr>
            <w:tcW w:w="10188" w:type="dxa"/>
            <w:tcBorders>
              <w:bottom w:val="single" w:sz="4" w:space="0" w:color="auto"/>
            </w:tcBorders>
            <w:shd w:val="clear" w:color="auto" w:fill="auto"/>
          </w:tcPr>
          <w:p w:rsidR="00B312B7" w:rsidRPr="00196B5E" w:rsidP="00D97496">
            <w:pPr>
              <w:spacing w:before="60" w:after="60"/>
              <w:jc w:val="both"/>
              <w:rPr>
                <w:rFonts w:ascii="Arial" w:hAnsi="Arial" w:cs="Arial"/>
                <w:b/>
                <w:sz w:val="20"/>
                <w:szCs w:val="20"/>
              </w:rPr>
            </w:pPr>
            <w:r>
              <w:rPr>
                <w:rFonts w:ascii="Arial" w:hAnsi="Arial"/>
                <w:sz w:val="20"/>
              </w:rPr>
              <w:t>Στο πλαίσιο της παρούσας πρόσκλησης υποβολής στοιχείων, δρομολογούμε δημόσια διαβούλευση στον σύνδεσμο</w:t>
            </w:r>
            <w:r>
              <w:t xml:space="preserve"> </w:t>
            </w:r>
            <w:r>
              <w:fldChar w:fldCharType="begin"/>
            </w:r>
            <w:r>
              <w:instrText xml:space="preserve"> HYPERLINK "https://europa.eu/european-union/law/have-your-say_el" </w:instrText>
            </w:r>
            <w:r>
              <w:fldChar w:fldCharType="separate"/>
            </w:r>
            <w:r>
              <w:rPr>
                <w:rStyle w:val="Hyperlink"/>
                <w:rFonts w:ascii="Arial" w:hAnsi="Arial"/>
                <w:sz w:val="20"/>
              </w:rPr>
              <w:t>«Πείτε την άποψή σας»</w:t>
            </w:r>
            <w:r>
              <w:fldChar w:fldCharType="end"/>
            </w:r>
            <w:r>
              <w:rPr>
                <w:rFonts w:ascii="Arial" w:hAnsi="Arial"/>
                <w:sz w:val="20"/>
              </w:rPr>
              <w:t xml:space="preserve">, η οποία είναι ανοικτή σε όλους για να απαντήσουν. Διατίθεται στη διεύθυνση: </w:t>
            </w:r>
            <w:r>
              <w:fldChar w:fldCharType="begin"/>
            </w:r>
            <w:r>
              <w:instrText xml:space="preserve"> HYPERLINK "https://ec.europa.eu/info/law/better-regulation/have-your-say_el" </w:instrText>
            </w:r>
            <w:r>
              <w:fldChar w:fldCharType="separate"/>
            </w:r>
            <w:r>
              <w:rPr>
                <w:rStyle w:val="Hyperlink"/>
                <w:rFonts w:ascii="Arial" w:hAnsi="Arial"/>
                <w:sz w:val="20"/>
              </w:rPr>
              <w:t>σελίδα σχετικά με τις Δημόσιες διαβουλεύσεις</w:t>
            </w:r>
            <w:r>
              <w:fldChar w:fldCharType="end"/>
            </w:r>
            <w:r>
              <w:t xml:space="preserve">. </w:t>
            </w:r>
            <w:r>
              <w:rPr>
                <w:rFonts w:ascii="Arial" w:hAnsi="Arial"/>
                <w:sz w:val="20"/>
              </w:rPr>
              <w:t xml:space="preserve">Τα ερωτηματολόγια δημοσιεύονται στα αγγλικά, τα γαλλικά και τα γερμανικά, αλλά οι απαντήσεις μπορούν να δοθούν σε οποιαδήποτε από τις 24 επίσημες γλώσσες της ΕΕ. Η δημόσια διαβούλευση αποτελείται από ερωτηματολόγιο και υπάρχει επίσης τη δυνατότητα να επισυναφθεί χωριστό έγγραφο. Η δημόσια διαβούλευση θα διαρκέσει 8 εβδομάδες. Συνοπτική πραγματολογική έκθεση θα δημοσιευθεί στη σελίδα της διαβούλευσης 8 εβδομάδες μετά την ολοκλήρωση της διαβούλευσης. Η Επιτροπή θα εκπονήσει επίσης, σε εύθετο χρόνο μετά την ολοκλήρωση της διαβούλευσης, συνοπτική έκθεση στην οποία θα συνοψίζονται όλες οι δραστηριότητες διαβούλευσης. </w:t>
            </w:r>
          </w:p>
        </w:tc>
      </w:tr>
      <w:tr w:rsidTr="3CF29B80">
        <w:tblPrEx>
          <w:tblW w:w="10188" w:type="dxa"/>
          <w:tblLook w:val="01E0"/>
        </w:tblPrEx>
        <w:tc>
          <w:tcPr>
            <w:tcW w:w="10188" w:type="dxa"/>
            <w:tcBorders>
              <w:bottom w:val="single" w:sz="4" w:space="0" w:color="auto"/>
            </w:tcBorders>
            <w:shd w:val="clear" w:color="auto" w:fill="D9D9D9" w:themeFill="background1" w:themeFillShade="D9"/>
          </w:tcPr>
          <w:p w:rsidR="00B312B7" w:rsidRPr="00347966" w:rsidP="00B312B7">
            <w:pPr>
              <w:spacing w:before="60" w:after="60"/>
              <w:jc w:val="both"/>
              <w:rPr>
                <w:rFonts w:ascii="Arial" w:hAnsi="Arial" w:cs="Arial"/>
                <w:b/>
              </w:rPr>
            </w:pPr>
            <w:r>
              <w:rPr>
                <w:rFonts w:ascii="Arial" w:hAnsi="Arial"/>
                <w:b/>
              </w:rPr>
              <w:t>Γιατί διεξάγουμε διαβούλευση;</w:t>
            </w:r>
          </w:p>
        </w:tc>
      </w:tr>
      <w:tr w:rsidTr="3CF29B80">
        <w:tblPrEx>
          <w:tblW w:w="10188" w:type="dxa"/>
          <w:tblLook w:val="01E0"/>
        </w:tblPrEx>
        <w:tc>
          <w:tcPr>
            <w:tcW w:w="10188" w:type="dxa"/>
            <w:tcBorders>
              <w:bottom w:val="single" w:sz="4" w:space="0" w:color="auto"/>
            </w:tcBorders>
            <w:shd w:val="clear" w:color="auto" w:fill="auto"/>
          </w:tcPr>
          <w:p w:rsidR="00503C7E" w:rsidRPr="00196B5E" w:rsidP="000A15F0">
            <w:pPr>
              <w:spacing w:before="60" w:after="60"/>
              <w:jc w:val="both"/>
              <w:rPr>
                <w:rFonts w:ascii="Arial" w:eastAsia="Arial" w:hAnsi="Arial" w:cs="Arial"/>
                <w:sz w:val="20"/>
                <w:szCs w:val="20"/>
              </w:rPr>
            </w:pPr>
            <w:r>
              <w:rPr>
                <w:rFonts w:ascii="Arial" w:hAnsi="Arial"/>
                <w:sz w:val="20"/>
              </w:rPr>
              <w:t xml:space="preserve">Στόχος της διαδικασίας διαβούλευσης είναι να δοθεί στους </w:t>
            </w:r>
            <w:r>
              <w:rPr>
                <w:rFonts w:ascii="Arial" w:hAnsi="Arial"/>
                <w:sz w:val="20"/>
              </w:rPr>
              <w:t>συμφεροντούχους</w:t>
            </w:r>
            <w:r>
              <w:rPr>
                <w:rFonts w:ascii="Arial" w:hAnsi="Arial"/>
                <w:sz w:val="20"/>
              </w:rPr>
              <w:t xml:space="preserve"> η ευκαιρία να διατυπώσουν τις απόψεις τους και να συμβάλουν στη διαμόρφωση του μελλοντικού θεματολογίου πολιτικής για την οικονομία των δεδομένων της ΕΕ. Θα τροφοδοτήσει επίσης πιθανές μελλοντικές πρωτοβουλίες της Επιτροπής στον εν λόγω τομέα πολιτικής, ενώ παράλληλα θα εισπράξει τη συμβολή όλων των ενδιαφερόμενων μερών με συνεργατικό και συμπεριληπτικό τρόπο.</w:t>
            </w:r>
          </w:p>
        </w:tc>
      </w:tr>
      <w:tr w:rsidTr="3CF29B80">
        <w:tblPrEx>
          <w:tblW w:w="10188" w:type="dxa"/>
          <w:tblLook w:val="01E0"/>
        </w:tblPrEx>
        <w:tc>
          <w:tcPr>
            <w:tcW w:w="10188" w:type="dxa"/>
            <w:tcBorders>
              <w:bottom w:val="single" w:sz="4" w:space="0" w:color="auto"/>
            </w:tcBorders>
            <w:shd w:val="clear" w:color="auto" w:fill="D9D9D9" w:themeFill="background1" w:themeFillShade="D9"/>
          </w:tcPr>
          <w:p w:rsidR="00B312B7" w:rsidRPr="00347966" w:rsidP="00B312B7">
            <w:pPr>
              <w:spacing w:before="60" w:after="60"/>
              <w:jc w:val="both"/>
              <w:rPr>
                <w:rFonts w:ascii="Arial" w:hAnsi="Arial" w:cs="Arial"/>
                <w:b/>
              </w:rPr>
            </w:pPr>
            <w:r>
              <w:rPr>
                <w:rFonts w:ascii="Arial" w:hAnsi="Arial"/>
                <w:b/>
              </w:rPr>
              <w:t>Κοινό-στόχος</w:t>
            </w:r>
          </w:p>
        </w:tc>
      </w:tr>
      <w:tr w:rsidTr="3CF29B80">
        <w:tblPrEx>
          <w:tblW w:w="10188" w:type="dxa"/>
          <w:tblLook w:val="01E0"/>
        </w:tblPrEx>
        <w:tc>
          <w:tcPr>
            <w:tcW w:w="10188" w:type="dxa"/>
            <w:tcBorders>
              <w:bottom w:val="single" w:sz="4" w:space="0" w:color="auto"/>
            </w:tcBorders>
            <w:shd w:val="clear" w:color="auto" w:fill="auto"/>
          </w:tcPr>
          <w:p w:rsidR="00B312B7" w:rsidRPr="00196B5E" w:rsidP="3736778A">
            <w:pPr>
              <w:spacing w:before="60" w:after="60"/>
              <w:rPr>
                <w:rFonts w:ascii="Arial" w:eastAsia="Arial" w:hAnsi="Arial" w:cs="Arial"/>
                <w:sz w:val="20"/>
                <w:szCs w:val="20"/>
              </w:rPr>
            </w:pPr>
            <w:r>
              <w:rPr>
                <w:rFonts w:ascii="Arial" w:hAnsi="Arial"/>
                <w:sz w:val="20"/>
              </w:rPr>
              <w:t xml:space="preserve">Οι </w:t>
            </w:r>
            <w:r>
              <w:rPr>
                <w:rFonts w:ascii="Arial" w:hAnsi="Arial"/>
                <w:sz w:val="20"/>
              </w:rPr>
              <w:t>συμφεροντούχοι</w:t>
            </w:r>
            <w:r>
              <w:rPr>
                <w:rFonts w:ascii="Arial" w:hAnsi="Arial"/>
                <w:sz w:val="20"/>
              </w:rPr>
              <w:t xml:space="preserve"> θα ομαδοποιηθούν ως εξής:</w:t>
            </w:r>
          </w:p>
          <w:p w:rsidR="00B312B7" w:rsidRPr="00196B5E" w:rsidP="60C88817">
            <w:pPr>
              <w:pStyle w:val="ListParagraph"/>
              <w:numPr>
                <w:ilvl w:val="0"/>
                <w:numId w:val="12"/>
              </w:numPr>
              <w:spacing w:before="60" w:after="60"/>
              <w:rPr>
                <w:rFonts w:ascii="Arial" w:eastAsia="Arial" w:hAnsi="Arial" w:cs="Arial"/>
                <w:sz w:val="20"/>
                <w:szCs w:val="20"/>
              </w:rPr>
            </w:pPr>
            <w:r>
              <w:rPr>
                <w:rFonts w:ascii="Arial" w:hAnsi="Arial"/>
                <w:sz w:val="20"/>
              </w:rPr>
              <w:t xml:space="preserve">πολίτες / ευρύ κοινό </w:t>
            </w:r>
          </w:p>
          <w:p w:rsidR="463860C7" w:rsidP="6BFECD4D">
            <w:pPr>
              <w:pStyle w:val="ListParagraph"/>
              <w:numPr>
                <w:ilvl w:val="0"/>
                <w:numId w:val="12"/>
              </w:numPr>
              <w:spacing w:before="60" w:after="60"/>
              <w:rPr>
                <w:rFonts w:ascii="Arial" w:eastAsia="Arial" w:hAnsi="Arial" w:cs="Arial"/>
                <w:sz w:val="20"/>
                <w:szCs w:val="20"/>
              </w:rPr>
            </w:pPr>
            <w:r>
              <w:rPr>
                <w:rFonts w:ascii="Arial" w:hAnsi="Arial"/>
                <w:sz w:val="20"/>
              </w:rPr>
              <w:t>πάροχοι</w:t>
            </w:r>
            <w:r>
              <w:rPr>
                <w:rFonts w:ascii="Arial" w:hAnsi="Arial"/>
                <w:sz w:val="20"/>
              </w:rPr>
              <w:t xml:space="preserve"> δεδομένων του δημόσιου τομέα</w:t>
            </w:r>
          </w:p>
          <w:p w:rsidR="1D46F0A2" w:rsidP="6BFECD4D">
            <w:pPr>
              <w:pStyle w:val="ListParagraph"/>
              <w:numPr>
                <w:ilvl w:val="0"/>
                <w:numId w:val="12"/>
              </w:numPr>
              <w:spacing w:before="60" w:after="60"/>
              <w:rPr>
                <w:rFonts w:ascii="Arial" w:eastAsia="Arial" w:hAnsi="Arial" w:cs="Arial"/>
                <w:sz w:val="20"/>
                <w:szCs w:val="20"/>
              </w:rPr>
            </w:pPr>
            <w:r>
              <w:rPr>
                <w:rFonts w:ascii="Arial" w:hAnsi="Arial"/>
                <w:sz w:val="20"/>
              </w:rPr>
              <w:t>πάροχοι</w:t>
            </w:r>
            <w:r>
              <w:rPr>
                <w:rFonts w:ascii="Arial" w:hAnsi="Arial"/>
                <w:sz w:val="20"/>
              </w:rPr>
              <w:t xml:space="preserve"> τεχνολογίας και επιχειρηματικοί χρήστες</w:t>
            </w:r>
          </w:p>
          <w:p w:rsidR="1D46F0A2" w:rsidP="6BFECD4D">
            <w:pPr>
              <w:pStyle w:val="ListParagraph"/>
              <w:numPr>
                <w:ilvl w:val="0"/>
                <w:numId w:val="12"/>
              </w:numPr>
              <w:spacing w:before="60" w:after="60"/>
              <w:rPr>
                <w:rFonts w:ascii="Arial" w:eastAsia="Arial" w:hAnsi="Arial" w:cs="Arial"/>
                <w:sz w:val="20"/>
                <w:szCs w:val="20"/>
              </w:rPr>
            </w:pPr>
            <w:r>
              <w:rPr>
                <w:rFonts w:ascii="Arial" w:hAnsi="Arial"/>
                <w:sz w:val="20"/>
              </w:rPr>
              <w:t>αρμόδιες εθνικές αρχές</w:t>
            </w:r>
          </w:p>
          <w:p w:rsidR="1D46F0A2" w:rsidP="6BFECD4D">
            <w:pPr>
              <w:pStyle w:val="ListParagraph"/>
              <w:numPr>
                <w:ilvl w:val="0"/>
                <w:numId w:val="12"/>
              </w:numPr>
              <w:spacing w:before="60" w:after="60"/>
              <w:rPr>
                <w:rFonts w:ascii="Arial" w:eastAsia="Arial" w:hAnsi="Arial" w:cs="Arial"/>
                <w:sz w:val="20"/>
                <w:szCs w:val="20"/>
              </w:rPr>
            </w:pPr>
            <w:r>
              <w:rPr>
                <w:rFonts w:ascii="Arial" w:hAnsi="Arial"/>
                <w:sz w:val="20"/>
              </w:rPr>
              <w:t>πάροχοι</w:t>
            </w:r>
            <w:r>
              <w:rPr>
                <w:rFonts w:ascii="Arial" w:hAnsi="Arial"/>
                <w:sz w:val="20"/>
              </w:rPr>
              <w:t xml:space="preserve"> επεξεργασίας δεδομένων</w:t>
            </w:r>
          </w:p>
          <w:p w:rsidR="1D46F0A2" w:rsidP="6BFECD4D">
            <w:pPr>
              <w:pStyle w:val="ListParagraph"/>
              <w:numPr>
                <w:ilvl w:val="0"/>
                <w:numId w:val="12"/>
              </w:numPr>
              <w:spacing w:before="60" w:after="60"/>
              <w:rPr>
                <w:rFonts w:ascii="Arial" w:eastAsia="Arial" w:hAnsi="Arial" w:cs="Arial"/>
                <w:sz w:val="20"/>
                <w:szCs w:val="20"/>
              </w:rPr>
            </w:pPr>
            <w:r>
              <w:rPr>
                <w:rFonts w:ascii="Arial" w:hAnsi="Arial"/>
                <w:sz w:val="20"/>
              </w:rPr>
              <w:t>πάροχοι</w:t>
            </w:r>
            <w:r>
              <w:rPr>
                <w:rFonts w:ascii="Arial" w:hAnsi="Arial"/>
                <w:sz w:val="20"/>
              </w:rPr>
              <w:t xml:space="preserve"> διαμεσολάβησης δεδομένων</w:t>
            </w:r>
          </w:p>
          <w:p w:rsidR="006D784C" w:rsidP="6BFECD4D">
            <w:pPr>
              <w:pStyle w:val="ListParagraph"/>
              <w:numPr>
                <w:ilvl w:val="0"/>
                <w:numId w:val="12"/>
              </w:numPr>
              <w:spacing w:before="60" w:after="60"/>
              <w:rPr>
                <w:rFonts w:ascii="Arial" w:eastAsia="Arial" w:hAnsi="Arial" w:cs="Arial"/>
                <w:sz w:val="20"/>
                <w:szCs w:val="20"/>
              </w:rPr>
            </w:pPr>
            <w:r>
              <w:rPr>
                <w:rFonts w:ascii="Arial" w:hAnsi="Arial"/>
                <w:sz w:val="20"/>
              </w:rPr>
              <w:t>πάροχοι</w:t>
            </w:r>
            <w:r>
              <w:rPr>
                <w:rFonts w:ascii="Arial" w:hAnsi="Arial"/>
                <w:sz w:val="20"/>
              </w:rPr>
              <w:t xml:space="preserve"> δεδομένων</w:t>
            </w:r>
          </w:p>
          <w:p w:rsidR="00B312B7" w:rsidP="00D2193F">
            <w:pPr>
              <w:pStyle w:val="ListParagraph"/>
              <w:numPr>
                <w:ilvl w:val="0"/>
                <w:numId w:val="12"/>
              </w:numPr>
              <w:spacing w:before="60" w:after="60" w:line="259" w:lineRule="auto"/>
              <w:rPr>
                <w:rFonts w:ascii="Arial" w:eastAsia="Arial" w:hAnsi="Arial" w:cs="Arial"/>
                <w:sz w:val="20"/>
                <w:szCs w:val="20"/>
              </w:rPr>
            </w:pPr>
            <w:r>
              <w:rPr>
                <w:rFonts w:ascii="Arial" w:hAnsi="Arial"/>
                <w:sz w:val="20"/>
              </w:rPr>
              <w:t>βιομηχανία, ΜΜΕ και επιχειρήσεις που σχετίζονται με την παροχή, τη χρήση και τον χειρισμό δεδομένων· περιλαμβάνονται επίσης κλαδικές ενώσεις, διεθνείς οργανισμοί που δραστηριοποιούνται στον τομέα ενδιαφέροντος, εταιρείες παροχής παραγωγικής ΤΝ και πωλητές λύσεων σύνθεσης·</w:t>
            </w:r>
          </w:p>
          <w:p w:rsidR="00326665" w:rsidRPr="00196B5E" w:rsidP="00D2193F">
            <w:pPr>
              <w:pStyle w:val="ListParagraph"/>
              <w:numPr>
                <w:ilvl w:val="0"/>
                <w:numId w:val="12"/>
              </w:numPr>
              <w:spacing w:before="60" w:after="60" w:line="259" w:lineRule="auto"/>
              <w:rPr>
                <w:rFonts w:ascii="Arial" w:eastAsia="Arial" w:hAnsi="Arial" w:cs="Arial"/>
                <w:sz w:val="20"/>
                <w:szCs w:val="20"/>
              </w:rPr>
            </w:pPr>
            <w:r>
              <w:rPr>
                <w:rFonts w:ascii="Arial" w:hAnsi="Arial"/>
                <w:sz w:val="20"/>
              </w:rPr>
              <w:t>εμπορικές ενώσεις</w:t>
            </w:r>
          </w:p>
          <w:p w:rsidR="38495CAC" w:rsidP="13EF4425">
            <w:pPr>
              <w:pStyle w:val="ListParagraph"/>
              <w:numPr>
                <w:ilvl w:val="0"/>
                <w:numId w:val="12"/>
              </w:numPr>
              <w:spacing w:before="60" w:after="60" w:line="259" w:lineRule="auto"/>
              <w:rPr>
                <w:rFonts w:ascii="Arial" w:eastAsia="Arial" w:hAnsi="Arial" w:cs="Arial"/>
                <w:sz w:val="20"/>
                <w:szCs w:val="20"/>
              </w:rPr>
            </w:pPr>
            <w:r>
              <w:rPr>
                <w:rFonts w:ascii="Arial" w:hAnsi="Arial"/>
                <w:sz w:val="20"/>
              </w:rPr>
              <w:t>ερευνητές και ακαδημαϊκή κοινότητα</w:t>
            </w:r>
          </w:p>
          <w:p w:rsidR="00B312B7" w:rsidRPr="00196B5E" w:rsidP="00D2193F">
            <w:pPr>
              <w:pStyle w:val="ListParagraph"/>
              <w:numPr>
                <w:ilvl w:val="0"/>
                <w:numId w:val="12"/>
              </w:numPr>
              <w:spacing w:before="60" w:after="60" w:line="259" w:lineRule="auto"/>
              <w:rPr>
                <w:rFonts w:ascii="Arial" w:eastAsia="Arial" w:hAnsi="Arial" w:cs="Arial"/>
                <w:sz w:val="20"/>
                <w:szCs w:val="20"/>
              </w:rPr>
            </w:pPr>
            <w:r>
              <w:rPr>
                <w:rFonts w:ascii="Arial" w:hAnsi="Arial"/>
                <w:sz w:val="20"/>
              </w:rPr>
              <w:t xml:space="preserve">εκπρόσωποι </w:t>
            </w:r>
            <w:r>
              <w:rPr>
                <w:rFonts w:ascii="Arial" w:hAnsi="Arial"/>
                <w:sz w:val="20"/>
              </w:rPr>
              <w:t>πλατφορμών</w:t>
            </w:r>
          </w:p>
          <w:p w:rsidR="2340E9D4" w:rsidP="6AC3ABB4">
            <w:pPr>
              <w:pStyle w:val="ListParagraph"/>
              <w:numPr>
                <w:ilvl w:val="0"/>
                <w:numId w:val="12"/>
              </w:numPr>
              <w:spacing w:before="60" w:after="60" w:line="259" w:lineRule="auto"/>
              <w:rPr>
                <w:rFonts w:ascii="Arial" w:eastAsia="Arial" w:hAnsi="Arial" w:cs="Arial"/>
              </w:rPr>
            </w:pPr>
            <w:r>
              <w:rPr>
                <w:rFonts w:ascii="Arial" w:hAnsi="Arial"/>
                <w:sz w:val="20"/>
              </w:rPr>
              <w:t>οργανώσεις της κοινωνίας των πολιτών και ενώσεις καταναλωτών και</w:t>
            </w:r>
          </w:p>
          <w:p w:rsidR="00B312B7" w:rsidRPr="00196B5E" w:rsidP="00D2193F">
            <w:pPr>
              <w:pStyle w:val="ListParagraph"/>
              <w:numPr>
                <w:ilvl w:val="0"/>
                <w:numId w:val="12"/>
              </w:numPr>
              <w:spacing w:before="60" w:after="60" w:line="259" w:lineRule="auto"/>
            </w:pPr>
            <w:r>
              <w:rPr>
                <w:rFonts w:ascii="Arial" w:hAnsi="Arial"/>
                <w:sz w:val="20"/>
              </w:rPr>
              <w:t>εμπειρογνώμονες και ομάδες προβληματισμού: αυτό περιλαμβάνει ερευνητές και ειδικούς που ασχολούνται με διάφορα θέματα ενδιαφέροντος, καθώς και ερευνητικά ιδρύματα.</w:t>
            </w:r>
          </w:p>
        </w:tc>
      </w:tr>
    </w:tbl>
    <w:p w:rsidR="009E6661" w:rsidRPr="00347966" w:rsidP="004B7E6F">
      <w:pPr>
        <w:rPr>
          <w:rFonts w:ascii="Arial" w:hAnsi="Arial" w:cs="Arial"/>
          <w:sz w:val="20"/>
          <w:szCs w:val="20"/>
        </w:rPr>
      </w:pPr>
    </w:p>
    <w:sectPr w:rsidSect="00C9010B">
      <w:footerReference w:type="even" r:id="rId15"/>
      <w:footerReference w:type="default" r:id="rId16"/>
      <w:headerReference w:type="first" r:id="rId17"/>
      <w:type w:val="continuous"/>
      <w:pgSz w:w="11906" w:h="16838" w:code="9"/>
      <w:pgMar w:top="851" w:right="567"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A3D" w:rsidP="00D92C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035A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A3D" w:rsidP="002B4E61">
    <w:pPr>
      <w:pStyle w:val="Footer"/>
      <w:framePr w:wrap="around" w:vAnchor="text" w:hAnchor="margin" w:xAlign="center" w:y="1"/>
      <w:rPr>
        <w:rStyle w:val="PageNumber"/>
        <w:rFonts w:ascii="Arial" w:hAnsi="Arial"/>
        <w:sz w:val="16"/>
      </w:rPr>
    </w:pPr>
    <w:r>
      <w:tab/>
    </w:r>
    <w:r>
      <w:tab/>
    </w:r>
  </w:p>
  <w:p w:rsidR="00035A3D" w:rsidRPr="002B4E61" w:rsidP="002B4E61">
    <w:pPr>
      <w:pStyle w:val="Footer"/>
      <w:framePr w:wrap="around" w:vAnchor="text" w:hAnchor="margin" w:xAlign="center" w:y="1"/>
      <w:rPr>
        <w:rStyle w:val="PageNumber"/>
        <w:rFonts w:ascii="Arial" w:hAnsi="Arial"/>
        <w:sz w:val="16"/>
      </w:rPr>
    </w:pPr>
    <w:r>
      <w:tab/>
    </w:r>
    <w:r>
      <w:tab/>
    </w:r>
    <w:r>
      <w:tab/>
    </w:r>
    <w:r>
      <w:rPr>
        <w:rStyle w:val="PageNumber"/>
        <w:rFonts w:ascii="Arial" w:hAnsi="Arial"/>
        <w:sz w:val="16"/>
      </w:rPr>
      <w:t xml:space="preserve"> </w:t>
    </w: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Pr>
        <w:rStyle w:val="PageNumber"/>
        <w:rFonts w:ascii="Arial" w:hAnsi="Arial"/>
        <w:sz w:val="16"/>
      </w:rPr>
      <w:t>3</w:t>
    </w:r>
    <w:r>
      <w:rPr>
        <w:rStyle w:val="PageNumber"/>
        <w:rFonts w:ascii="Arial" w:hAnsi="Arial"/>
        <w:sz w:val="16"/>
      </w:rPr>
      <w:fldChar w:fldCharType="end"/>
    </w:r>
  </w:p>
  <w:p w:rsidR="00035A3D" w:rsidRPr="002B4E61">
    <w:pPr>
      <w:pStyle w:val="Footer"/>
      <w:rPr>
        <w:rFonts w:ascii="Arial" w:hAnsi="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5A3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A3D" w:rsidP="00D92C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035A3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A3D" w:rsidP="002B4E61">
    <w:pPr>
      <w:pStyle w:val="Footer"/>
      <w:framePr w:wrap="around" w:vAnchor="text" w:hAnchor="margin" w:xAlign="center" w:y="1"/>
      <w:rPr>
        <w:rStyle w:val="PageNumber"/>
        <w:rFonts w:ascii="Arial" w:hAnsi="Arial"/>
        <w:sz w:val="16"/>
      </w:rPr>
    </w:pPr>
    <w:r>
      <w:tab/>
    </w:r>
    <w:r>
      <w:tab/>
    </w:r>
  </w:p>
  <w:p w:rsidR="00035A3D" w:rsidRPr="002B4E61" w:rsidP="002B4E61">
    <w:pPr>
      <w:pStyle w:val="Footer"/>
      <w:framePr w:wrap="around" w:vAnchor="text" w:hAnchor="margin" w:xAlign="center" w:y="1"/>
      <w:rPr>
        <w:rStyle w:val="PageNumber"/>
        <w:rFonts w:ascii="Arial" w:hAnsi="Arial"/>
        <w:sz w:val="16"/>
      </w:rPr>
    </w:pPr>
    <w:r>
      <w:tab/>
    </w:r>
    <w:r>
      <w:tab/>
    </w:r>
    <w:r>
      <w:tab/>
    </w:r>
    <w:r>
      <w:rPr>
        <w:rStyle w:val="PageNumber"/>
        <w:rFonts w:ascii="Arial" w:hAnsi="Arial"/>
        <w:sz w:val="16"/>
      </w:rPr>
      <w:t xml:space="preserve"> </w:t>
    </w: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Pr>
        <w:rStyle w:val="PageNumber"/>
        <w:rFonts w:ascii="Arial" w:hAnsi="Arial"/>
        <w:sz w:val="16"/>
      </w:rPr>
      <w:t>2</w:t>
    </w:r>
    <w:r>
      <w:rPr>
        <w:rStyle w:val="PageNumber"/>
        <w:rFonts w:ascii="Arial" w:hAnsi="Arial"/>
        <w:sz w:val="16"/>
      </w:rPr>
      <w:fldChar w:fldCharType="end"/>
    </w:r>
  </w:p>
  <w:p w:rsidR="00035A3D" w:rsidRPr="002B4E61">
    <w:pPr>
      <w:pStyle w:val="Footer"/>
      <w:rPr>
        <w:rFonts w:ascii="Arial" w:hAnsi="Arial"/>
        <w:sz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5A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5A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A3D" w:rsidP="00E72EF2">
    <w:pPr>
      <w:pStyle w:val="Header"/>
      <w:jc w:val="center"/>
    </w:pPr>
    <w:r>
      <w:rPr>
        <w:noProof/>
      </w:rPr>
      <w:drawing>
        <wp:inline distT="0" distB="0" distL="0" distR="0">
          <wp:extent cx="2120791" cy="500297"/>
          <wp:effectExtent l="0" t="0" r="0" b="0"/>
          <wp:docPr id="1688294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3834" cy="51281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A3D" w:rsidP="00E72EF2">
    <w:pPr>
      <w:pStyle w:val="Header"/>
      <w:jc w:val="center"/>
    </w:pPr>
    <w:r>
      <w:rPr>
        <w:rFonts w:ascii="Arial" w:hAnsi="Arial"/>
        <w:noProof/>
      </w:rPr>
      <w:drawing>
        <wp:inline distT="0" distB="0" distL="0" distR="0">
          <wp:extent cx="1908175" cy="508635"/>
          <wp:effectExtent l="0" t="0" r="0" b="5715"/>
          <wp:docPr id="2" name="Picture 2" descr="logo-ce-horizontal-el-quadri-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e-horizontal-en-quadri-l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8175" cy="5086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B"/>
    <w:multiLevelType w:val="multilevel"/>
    <w:tmpl w:val="0000000B"/>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BC5E11"/>
    <w:multiLevelType w:val="hybridMultilevel"/>
    <w:tmpl w:val="AA700F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4851DC"/>
    <w:multiLevelType w:val="hybridMultilevel"/>
    <w:tmpl w:val="FFFFFFF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4C765A"/>
    <w:multiLevelType w:val="multilevel"/>
    <w:tmpl w:val="53DE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A65856"/>
    <w:multiLevelType w:val="hybridMultilevel"/>
    <w:tmpl w:val="2B4A3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C3A699E"/>
    <w:multiLevelType w:val="hybridMultilevel"/>
    <w:tmpl w:val="5E2AC9F8"/>
    <w:lvl w:ilvl="0">
      <w:start w:val="3"/>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A3C3D2A"/>
    <w:multiLevelType w:val="hybridMultilevel"/>
    <w:tmpl w:val="54EA010A"/>
    <w:lvl w:ilvl="0">
      <w:start w:val="1"/>
      <w:numFmt w:val="bullet"/>
      <w:lvlText w:val=""/>
      <w:lvlJc w:val="left"/>
      <w:pPr>
        <w:ind w:left="360" w:hanging="360"/>
      </w:pPr>
      <w:rPr>
        <w:rFonts w:ascii="Symbol" w:hAnsi="Symbol" w:hint="default"/>
        <w:color w:val="002060"/>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58A7918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F7553A2"/>
    <w:multiLevelType w:val="hybridMultilevel"/>
    <w:tmpl w:val="E5B6FA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616E7588"/>
    <w:multiLevelType w:val="hybridMultilevel"/>
    <w:tmpl w:val="AA700F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6901C1"/>
    <w:multiLevelType w:val="singleLevel"/>
    <w:tmpl w:val="208841AE"/>
    <w:lvl w:ilvl="0">
      <w:start w:val="1"/>
      <w:numFmt w:val="bullet"/>
      <w:pStyle w:val="ListBullet1"/>
      <w:lvlText w:val=""/>
      <w:lvlJc w:val="left"/>
      <w:pPr>
        <w:tabs>
          <w:tab w:val="num" w:pos="1134"/>
        </w:tabs>
        <w:ind w:left="1134" w:hanging="283"/>
      </w:pPr>
      <w:rPr>
        <w:rFonts w:ascii="Symbol" w:hAnsi="Symbol" w:hint="default"/>
      </w:rPr>
    </w:lvl>
  </w:abstractNum>
  <w:abstractNum w:abstractNumId="12">
    <w:nsid w:val="6C41534E"/>
    <w:multiLevelType w:val="hybridMultilevel"/>
    <w:tmpl w:val="F82652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D2B5511"/>
    <w:multiLevelType w:val="singleLevel"/>
    <w:tmpl w:val="74A09970"/>
    <w:name w:val="List Bullet 1"/>
    <w:lvl w:ilvl="0">
      <w:start w:val="1"/>
      <w:numFmt w:val="bullet"/>
      <w:pStyle w:val="ListBullet"/>
      <w:lvlText w:val=""/>
      <w:lvlJc w:val="left"/>
      <w:pPr>
        <w:tabs>
          <w:tab w:val="num" w:pos="283"/>
        </w:tabs>
        <w:ind w:left="283" w:hanging="283"/>
      </w:pPr>
      <w:rPr>
        <w:rFonts w:ascii="Symbol" w:hAnsi="Symbol" w:hint="default"/>
      </w:rPr>
    </w:lvl>
  </w:abstractNum>
  <w:abstractNum w:abstractNumId="14">
    <w:nsid w:val="6D7B58CE"/>
    <w:multiLevelType w:val="hybridMultilevel"/>
    <w:tmpl w:val="55143764"/>
    <w:lvl w:ilvl="0">
      <w:start w:val="1"/>
      <w:numFmt w:val="bullet"/>
      <w:pStyle w:val="ListDash4"/>
      <w:lvlText w:val="–"/>
      <w:lvlJc w:val="left"/>
      <w:pPr>
        <w:tabs>
          <w:tab w:val="num" w:pos="1287"/>
        </w:tabs>
        <w:ind w:left="1287" w:hanging="283"/>
      </w:pPr>
      <w:rPr>
        <w:rFonts w:ascii="Times New Roman" w:hAnsi="Times New Roman" w:cs="Times New Roman" w:hint="default"/>
      </w:rPr>
    </w:lvl>
    <w:lvl w:ilvl="1">
      <w:start w:val="0"/>
      <w:numFmt w:val="bullet"/>
      <w:lvlText w:val="-"/>
      <w:lvlJc w:val="left"/>
      <w:pPr>
        <w:ind w:left="1593" w:hanging="360"/>
      </w:pPr>
      <w:rPr>
        <w:rFonts w:ascii="Times" w:eastAsia="Times New Roman" w:hAnsi="Times" w:cs="Times New Roman" w:hint="default"/>
      </w:rPr>
    </w:lvl>
    <w:lvl w:ilvl="2" w:tentative="1">
      <w:start w:val="1"/>
      <w:numFmt w:val="bullet"/>
      <w:lvlText w:val=""/>
      <w:lvlJc w:val="left"/>
      <w:pPr>
        <w:tabs>
          <w:tab w:val="num" w:pos="2313"/>
        </w:tabs>
        <w:ind w:left="2313" w:hanging="360"/>
      </w:pPr>
      <w:rPr>
        <w:rFonts w:ascii="Wingdings" w:hAnsi="Wingdings" w:hint="default"/>
      </w:rPr>
    </w:lvl>
    <w:lvl w:ilvl="3" w:tentative="1">
      <w:start w:val="1"/>
      <w:numFmt w:val="bullet"/>
      <w:lvlText w:val=""/>
      <w:lvlJc w:val="left"/>
      <w:pPr>
        <w:tabs>
          <w:tab w:val="num" w:pos="3033"/>
        </w:tabs>
        <w:ind w:left="3033" w:hanging="360"/>
      </w:pPr>
      <w:rPr>
        <w:rFonts w:ascii="Symbol" w:hAnsi="Symbol" w:hint="default"/>
      </w:rPr>
    </w:lvl>
    <w:lvl w:ilvl="4" w:tentative="1">
      <w:start w:val="1"/>
      <w:numFmt w:val="bullet"/>
      <w:lvlText w:val="o"/>
      <w:lvlJc w:val="left"/>
      <w:pPr>
        <w:tabs>
          <w:tab w:val="num" w:pos="3753"/>
        </w:tabs>
        <w:ind w:left="3753" w:hanging="360"/>
      </w:pPr>
      <w:rPr>
        <w:rFonts w:ascii="Courier New" w:hAnsi="Courier New" w:cs="Wingdings" w:hint="default"/>
      </w:rPr>
    </w:lvl>
    <w:lvl w:ilvl="5" w:tentative="1">
      <w:start w:val="1"/>
      <w:numFmt w:val="bullet"/>
      <w:lvlText w:val=""/>
      <w:lvlJc w:val="left"/>
      <w:pPr>
        <w:tabs>
          <w:tab w:val="num" w:pos="4473"/>
        </w:tabs>
        <w:ind w:left="4473" w:hanging="360"/>
      </w:pPr>
      <w:rPr>
        <w:rFonts w:ascii="Wingdings" w:hAnsi="Wingdings" w:hint="default"/>
      </w:rPr>
    </w:lvl>
    <w:lvl w:ilvl="6" w:tentative="1">
      <w:start w:val="1"/>
      <w:numFmt w:val="bullet"/>
      <w:lvlText w:val=""/>
      <w:lvlJc w:val="left"/>
      <w:pPr>
        <w:tabs>
          <w:tab w:val="num" w:pos="5193"/>
        </w:tabs>
        <w:ind w:left="5193" w:hanging="360"/>
      </w:pPr>
      <w:rPr>
        <w:rFonts w:ascii="Symbol" w:hAnsi="Symbol" w:hint="default"/>
      </w:rPr>
    </w:lvl>
    <w:lvl w:ilvl="7" w:tentative="1">
      <w:start w:val="1"/>
      <w:numFmt w:val="bullet"/>
      <w:lvlText w:val="o"/>
      <w:lvlJc w:val="left"/>
      <w:pPr>
        <w:tabs>
          <w:tab w:val="num" w:pos="5913"/>
        </w:tabs>
        <w:ind w:left="5913" w:hanging="360"/>
      </w:pPr>
      <w:rPr>
        <w:rFonts w:ascii="Courier New" w:hAnsi="Courier New" w:cs="Wingdings" w:hint="default"/>
      </w:rPr>
    </w:lvl>
    <w:lvl w:ilvl="8" w:tentative="1">
      <w:start w:val="1"/>
      <w:numFmt w:val="bullet"/>
      <w:lvlText w:val=""/>
      <w:lvlJc w:val="left"/>
      <w:pPr>
        <w:tabs>
          <w:tab w:val="num" w:pos="6633"/>
        </w:tabs>
        <w:ind w:left="6633" w:hanging="360"/>
      </w:pPr>
      <w:rPr>
        <w:rFonts w:ascii="Wingdings" w:hAnsi="Wingdings" w:hint="default"/>
      </w:rPr>
    </w:lvl>
  </w:abstractNum>
  <w:abstractNum w:abstractNumId="15">
    <w:nsid w:val="754645CE"/>
    <w:multiLevelType w:val="multilevel"/>
    <w:tmpl w:val="4C3C27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3"/>
  </w:num>
  <w:num w:numId="2">
    <w:abstractNumId w:val="11"/>
  </w:num>
  <w:num w:numId="3">
    <w:abstractNumId w:val="14"/>
  </w:num>
  <w:num w:numId="4">
    <w:abstractNumId w:val="7"/>
  </w:num>
  <w:num w:numId="5">
    <w:abstractNumId w:val="12"/>
  </w:num>
  <w:num w:numId="6">
    <w:abstractNumId w:val="9"/>
  </w:num>
  <w:num w:numId="7">
    <w:abstractNumId w:val="4"/>
  </w:num>
  <w:num w:numId="8">
    <w:abstractNumId w:val="15"/>
  </w:num>
  <w:num w:numId="9">
    <w:abstractNumId w:val="2"/>
  </w:num>
  <w:num w:numId="10">
    <w:abstractNumId w:val="5"/>
  </w:num>
  <w:num w:numId="11">
    <w:abstractNumId w:val="3"/>
  </w:num>
  <w:num w:numId="12">
    <w:abstractNumId w:val="8"/>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07B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6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E6661"/>
    <w:pPr>
      <w:tabs>
        <w:tab w:val="center" w:pos="4153"/>
        <w:tab w:val="right" w:pos="8306"/>
      </w:tabs>
    </w:pPr>
  </w:style>
  <w:style w:type="paragraph" w:styleId="FootnoteText">
    <w:name w:val="footnote text"/>
    <w:basedOn w:val="Normal"/>
    <w:link w:val="FootnoteTextChar"/>
    <w:semiHidden/>
    <w:rsid w:val="009E6661"/>
    <w:pPr>
      <w:spacing w:after="240"/>
      <w:ind w:left="357" w:hanging="357"/>
      <w:jc w:val="both"/>
    </w:pPr>
    <w:rPr>
      <w:sz w:val="20"/>
      <w:szCs w:val="20"/>
    </w:rPr>
  </w:style>
  <w:style w:type="character" w:styleId="FootnoteReference">
    <w:name w:val="footnote reference"/>
    <w:aliases w:val=" BVI fnr,BVI fnr,Footnote Reference Superscript,Footnote symbol"/>
    <w:semiHidden/>
    <w:rsid w:val="009E6661"/>
    <w:rPr>
      <w:vertAlign w:val="superscript"/>
    </w:rPr>
  </w:style>
  <w:style w:type="character" w:customStyle="1" w:styleId="FootnoteTextChar">
    <w:name w:val="Footnote Text Char"/>
    <w:link w:val="FootnoteText"/>
    <w:rsid w:val="009E6661"/>
    <w:rPr>
      <w:lang w:val="el-GR" w:eastAsia="en-GB" w:bidi="ar-SA"/>
    </w:rPr>
  </w:style>
  <w:style w:type="paragraph" w:styleId="ListBullet">
    <w:name w:val="List Bullet"/>
    <w:basedOn w:val="Normal"/>
    <w:rsid w:val="009E6661"/>
    <w:pPr>
      <w:numPr>
        <w:numId w:val="1"/>
      </w:numPr>
      <w:spacing w:before="120" w:after="120"/>
      <w:jc w:val="both"/>
    </w:pPr>
    <w:rPr>
      <w:lang w:eastAsia="de-DE"/>
    </w:rPr>
  </w:style>
  <w:style w:type="paragraph" w:customStyle="1" w:styleId="Text1">
    <w:name w:val="Text 1"/>
    <w:basedOn w:val="Normal"/>
    <w:rsid w:val="009E6661"/>
    <w:pPr>
      <w:spacing w:before="120" w:after="120"/>
      <w:ind w:left="850"/>
      <w:jc w:val="both"/>
    </w:pPr>
    <w:rPr>
      <w:lang w:eastAsia="en-US"/>
    </w:rPr>
  </w:style>
  <w:style w:type="character" w:styleId="Emphasis">
    <w:name w:val="Emphasis"/>
    <w:qFormat/>
    <w:rsid w:val="009E6661"/>
    <w:rPr>
      <w:b/>
      <w:bCs/>
      <w:i w:val="0"/>
      <w:iCs w:val="0"/>
    </w:rPr>
  </w:style>
  <w:style w:type="paragraph" w:customStyle="1" w:styleId="ListBullet1">
    <w:name w:val="List Bullet 1"/>
    <w:basedOn w:val="Normal"/>
    <w:rsid w:val="009E6661"/>
    <w:pPr>
      <w:numPr>
        <w:numId w:val="2"/>
      </w:numPr>
      <w:spacing w:before="120" w:after="120"/>
      <w:jc w:val="both"/>
    </w:pPr>
    <w:rPr>
      <w:lang w:eastAsia="de-DE"/>
    </w:rPr>
  </w:style>
  <w:style w:type="character" w:customStyle="1" w:styleId="at31">
    <w:name w:val="a__t31"/>
    <w:rsid w:val="009E6661"/>
    <w:rPr>
      <w:b/>
      <w:bCs/>
    </w:rPr>
  </w:style>
  <w:style w:type="paragraph" w:styleId="NormalWeb">
    <w:name w:val="Normal (Web)"/>
    <w:basedOn w:val="Normal"/>
    <w:link w:val="NormalWebChar"/>
    <w:rsid w:val="00D03063"/>
    <w:pPr>
      <w:spacing w:before="100" w:beforeAutospacing="1" w:after="100" w:afterAutospacing="1"/>
    </w:pPr>
  </w:style>
  <w:style w:type="character" w:customStyle="1" w:styleId="NormalWebChar">
    <w:name w:val="Normal (Web) Char"/>
    <w:link w:val="NormalWeb"/>
    <w:rsid w:val="00D03063"/>
    <w:rPr>
      <w:sz w:val="24"/>
      <w:szCs w:val="24"/>
      <w:lang w:val="el-GR" w:eastAsia="en-GB" w:bidi="ar-SA"/>
    </w:rPr>
  </w:style>
  <w:style w:type="paragraph" w:customStyle="1" w:styleId="ListDash4">
    <w:name w:val="List Dash 4"/>
    <w:basedOn w:val="Normal"/>
    <w:rsid w:val="00D03063"/>
    <w:pPr>
      <w:numPr>
        <w:numId w:val="3"/>
      </w:numPr>
    </w:pPr>
  </w:style>
  <w:style w:type="paragraph" w:styleId="Footer">
    <w:name w:val="footer"/>
    <w:basedOn w:val="Normal"/>
    <w:rsid w:val="00B07956"/>
    <w:pPr>
      <w:tabs>
        <w:tab w:val="center" w:pos="4536"/>
        <w:tab w:val="right" w:pos="9072"/>
      </w:tabs>
    </w:pPr>
  </w:style>
  <w:style w:type="character" w:styleId="PageNumber">
    <w:name w:val="page number"/>
    <w:basedOn w:val="DefaultParagraphFont"/>
    <w:rsid w:val="00B07956"/>
  </w:style>
  <w:style w:type="paragraph" w:styleId="BalloonText">
    <w:name w:val="Balloon Text"/>
    <w:basedOn w:val="Normal"/>
    <w:semiHidden/>
    <w:rsid w:val="00991122"/>
    <w:rPr>
      <w:rFonts w:ascii="Tahoma" w:hAnsi="Tahoma" w:cs="Tahoma"/>
      <w:sz w:val="16"/>
      <w:szCs w:val="16"/>
    </w:rPr>
  </w:style>
  <w:style w:type="character" w:styleId="Hyperlink">
    <w:name w:val="Hyperlink"/>
    <w:uiPriority w:val="99"/>
    <w:unhideWhenUsed/>
    <w:rsid w:val="003154F3"/>
    <w:rPr>
      <w:color w:val="0000FF"/>
      <w:u w:val="single"/>
    </w:rPr>
  </w:style>
  <w:style w:type="character" w:styleId="CommentReference">
    <w:name w:val="annotation reference"/>
    <w:uiPriority w:val="99"/>
    <w:rsid w:val="000E132C"/>
    <w:rPr>
      <w:sz w:val="16"/>
      <w:szCs w:val="16"/>
    </w:rPr>
  </w:style>
  <w:style w:type="paragraph" w:styleId="CommentText">
    <w:name w:val="annotation text"/>
    <w:basedOn w:val="Normal"/>
    <w:link w:val="CommentTextChar"/>
    <w:uiPriority w:val="99"/>
    <w:rsid w:val="000E132C"/>
    <w:rPr>
      <w:sz w:val="20"/>
      <w:szCs w:val="20"/>
    </w:rPr>
  </w:style>
  <w:style w:type="character" w:customStyle="1" w:styleId="CommentTextChar">
    <w:name w:val="Comment Text Char"/>
    <w:basedOn w:val="DefaultParagraphFont"/>
    <w:link w:val="CommentText"/>
    <w:uiPriority w:val="99"/>
    <w:rsid w:val="000E132C"/>
  </w:style>
  <w:style w:type="paragraph" w:styleId="CommentSubject">
    <w:name w:val="annotation subject"/>
    <w:basedOn w:val="CommentText"/>
    <w:next w:val="CommentText"/>
    <w:link w:val="CommentSubjectChar"/>
    <w:rsid w:val="000E132C"/>
    <w:rPr>
      <w:b/>
      <w:bCs/>
    </w:rPr>
  </w:style>
  <w:style w:type="character" w:customStyle="1" w:styleId="CommentSubjectChar">
    <w:name w:val="Comment Subject Char"/>
    <w:link w:val="CommentSubject"/>
    <w:rsid w:val="000E132C"/>
    <w:rPr>
      <w:b/>
      <w:bCs/>
    </w:rPr>
  </w:style>
  <w:style w:type="paragraph" w:customStyle="1" w:styleId="ListDash1">
    <w:name w:val="List Dash 1"/>
    <w:basedOn w:val="Normal"/>
    <w:qFormat/>
    <w:rsid w:val="00FA069C"/>
    <w:pPr>
      <w:tabs>
        <w:tab w:val="num" w:pos="567"/>
      </w:tabs>
      <w:ind w:left="568" w:hanging="284"/>
    </w:pPr>
  </w:style>
  <w:style w:type="paragraph" w:styleId="ListParagraph">
    <w:name w:val="List Paragraph"/>
    <w:basedOn w:val="Normal"/>
    <w:uiPriority w:val="34"/>
    <w:qFormat/>
    <w:rsid w:val="001C7D0F"/>
    <w:pPr>
      <w:ind w:left="720"/>
      <w:contextualSpacing/>
    </w:pPr>
  </w:style>
  <w:style w:type="character" w:styleId="FollowedHyperlink">
    <w:name w:val="FollowedHyperlink"/>
    <w:basedOn w:val="DefaultParagraphFont"/>
    <w:rsid w:val="00454F27"/>
    <w:rPr>
      <w:color w:val="800080" w:themeColor="followedHyperlink"/>
      <w:u w:val="single"/>
    </w:rPr>
  </w:style>
  <w:style w:type="paragraph" w:styleId="Revision">
    <w:name w:val="Revision"/>
    <w:hidden/>
    <w:uiPriority w:val="99"/>
    <w:semiHidden/>
    <w:rsid w:val="00810C61"/>
    <w:rPr>
      <w:sz w:val="24"/>
      <w:szCs w:val="24"/>
    </w:rPr>
  </w:style>
  <w:style w:type="character" w:customStyle="1" w:styleId="Mention">
    <w:name w:val="Mention"/>
    <w:basedOn w:val="DefaultParagraphFont"/>
    <w:uiPriority w:val="99"/>
    <w:unhideWhenUsed/>
    <w:rsid w:val="00E74246"/>
    <w:rPr>
      <w:color w:val="2B579A"/>
      <w:shd w:val="clear" w:color="auto" w:fill="E1DFDD"/>
    </w:rPr>
  </w:style>
  <w:style w:type="character" w:customStyle="1" w:styleId="UnresolvedMention">
    <w:name w:val="Unresolved Mention"/>
    <w:basedOn w:val="DefaultParagraphFont"/>
    <w:uiPriority w:val="99"/>
    <w:semiHidden/>
    <w:unhideWhenUsed/>
    <w:rsid w:val="00EB2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_rels/header4.xml.rels>&#65279;<?xml version="1.0" encoding="utf-8" standalone="yes"?><Relationships xmlns="http://schemas.openxmlformats.org/package/2006/relationships"><Relationship Id="rId1" Type="http://schemas.openxmlformats.org/officeDocument/2006/relationships/image" Target="media/image2.jpe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Documents%20and%20Settings\brusspa\Desktop\ROADMAP%20template%20new%2010%20January%202012.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1f908d-c5dc-4814-904e-fbf079a020f4">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B4C07AB1A237418653774AD1E459F2" ma:contentTypeVersion="12" ma:contentTypeDescription="Create a new document." ma:contentTypeScope="" ma:versionID="4ff4c1311fb69b0100523591c0c94a57">
  <xsd:schema xmlns:xsd="http://www.w3.org/2001/XMLSchema" xmlns:xs="http://www.w3.org/2001/XMLSchema" xmlns:p="http://schemas.microsoft.com/office/2006/metadata/properties" xmlns:ns2="e01f908d-c5dc-4814-904e-fbf079a020f4" targetNamespace="http://schemas.microsoft.com/office/2006/metadata/properties" ma:root="true" ma:fieldsID="4adef9bb25f28119738e7ca9e94f860c" ns2:_="">
    <xsd:import namespace="e01f908d-c5dc-4814-904e-fbf079a020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f908d-c5dc-4814-904e-fbf079a02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AD5CF-E8B4-447F-AE82-B85FCBFC32F4}">
  <ds:schemaRefs>
    <ds:schemaRef ds:uri="http://schemas.microsoft.com/office/2006/metadata/properties"/>
    <ds:schemaRef ds:uri="http://schemas.microsoft.com/office/infopath/2007/PartnerControls"/>
    <ds:schemaRef ds:uri="e01f908d-c5dc-4814-904e-fbf079a020f4"/>
  </ds:schemaRefs>
</ds:datastoreItem>
</file>

<file path=customXml/itemProps2.xml><?xml version="1.0" encoding="utf-8"?>
<ds:datastoreItem xmlns:ds="http://schemas.openxmlformats.org/officeDocument/2006/customXml" ds:itemID="{7F350A6E-B8D4-4C8B-954A-05735EA56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f908d-c5dc-4814-904e-fbf079a02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DF71C-59A8-4C6F-A3C1-8CF867750A43}">
  <ds:schemaRefs>
    <ds:schemaRef ds:uri="http://schemas.microsoft.com/office/2006/metadata/longProperties"/>
  </ds:schemaRefs>
</ds:datastoreItem>
</file>

<file path=customXml/itemProps4.xml><?xml version="1.0" encoding="utf-8"?>
<ds:datastoreItem xmlns:ds="http://schemas.openxmlformats.org/officeDocument/2006/customXml" ds:itemID="{C019C7C2-FFD0-42A3-8379-592EFD88BF9E}">
  <ds:schemaRefs>
    <ds:schemaRef ds:uri="http://schemas.openxmlformats.org/officeDocument/2006/bibliography"/>
  </ds:schemaRefs>
</ds:datastoreItem>
</file>

<file path=customXml/itemProps5.xml><?xml version="1.0" encoding="utf-8"?>
<ds:datastoreItem xmlns:ds="http://schemas.openxmlformats.org/officeDocument/2006/customXml" ds:itemID="{05DDC3C4-2292-4C4E-BF8F-969950C98C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