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71DE" w14:textId="6EA2EF03" w:rsidR="008E6595" w:rsidRPr="00FF7B2A" w:rsidRDefault="00711EA6" w:rsidP="00711EA6">
      <w:pPr>
        <w:pStyle w:val="Pagedecouverture"/>
        <w:rPr>
          <w:noProof/>
        </w:rPr>
      </w:pPr>
      <w:r>
        <w:rPr>
          <w:noProof/>
        </w:rPr>
        <w:pict w14:anchorId="33C86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DD6289F-946D-4D32-849A-A068A47FBAB1" style="width:455.4pt;height:369.6pt">
            <v:imagedata r:id="rId11" o:title=""/>
          </v:shape>
        </w:pict>
      </w:r>
    </w:p>
    <w:p w14:paraId="254AE5DC" w14:textId="15F5CC81" w:rsidR="00D4411B" w:rsidRPr="00FF7B2A" w:rsidRDefault="00D4411B" w:rsidP="00D4411B">
      <w:pPr>
        <w:rPr>
          <w:noProof/>
        </w:rPr>
        <w:sectPr w:rsidR="00D4411B" w:rsidRPr="00FF7B2A" w:rsidSect="00711EA6">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4560EFCE" w14:textId="77777777" w:rsidR="00B35235" w:rsidRPr="00FF7B2A" w:rsidRDefault="00B35235" w:rsidP="00B35235">
      <w:pPr>
        <w:pStyle w:val="Exposdesmotifstitre"/>
        <w:rPr>
          <w:noProof/>
        </w:rPr>
      </w:pPr>
      <w:r w:rsidRPr="00FF7B2A">
        <w:rPr>
          <w:noProof/>
        </w:rPr>
        <w:lastRenderedPageBreak/>
        <w:t>ΑΙΤΙΟΛΟΓΙΚΗ ΕΚΘΕΣΗ</w:t>
      </w:r>
    </w:p>
    <w:p w14:paraId="32DC853B" w14:textId="77777777" w:rsidR="00B35235" w:rsidRPr="00FF7B2A" w:rsidRDefault="006B1DE0" w:rsidP="006B1DE0">
      <w:pPr>
        <w:pStyle w:val="ManualHeading1"/>
        <w:rPr>
          <w:noProof/>
        </w:rPr>
      </w:pPr>
      <w:bookmarkStart w:id="0" w:name="DQPStarAt1DQPStarAt0F4D73E20FBC44DA84C53"/>
      <w:bookmarkEnd w:id="0"/>
      <w:r w:rsidRPr="00FF7B2A">
        <w:rPr>
          <w:noProof/>
        </w:rPr>
        <w:t>1.</w:t>
      </w:r>
      <w:r w:rsidRPr="00FF7B2A">
        <w:rPr>
          <w:noProof/>
        </w:rPr>
        <w:tab/>
        <w:t>ΠΛΑΙΣΙΟ ΤΗΣ ΠΡΟΤΑΣΗΣ</w:t>
      </w:r>
    </w:p>
    <w:p w14:paraId="50F008A4" w14:textId="77777777" w:rsidR="00B35235" w:rsidRPr="00FF7B2A" w:rsidRDefault="30BAC377" w:rsidP="00B35235">
      <w:pPr>
        <w:pStyle w:val="Text1"/>
        <w:rPr>
          <w:noProof/>
        </w:rPr>
      </w:pPr>
      <w:r w:rsidRPr="00FF7B2A">
        <w:rPr>
          <w:noProof/>
        </w:rPr>
        <w:t>Στις 4 Ιουνίου 2025, η Επιτροπή παρουσίασε πρόταση απόφασης του Συμβουλίου σύμφωνα με το άρθρο 140 παράγραφος 2 της Συνθήκης για τη λειτουργία της Ευρωπαϊκής Ένωσης (ΣΛΕΕ). Η πρόταση αναφέρει ότι η Βουλγαρία πληροί τις αναγκαίες προϋποθέσεις για την υιοθέτηση του ευρώ και ότι η παρέκκλιση της Βουλγαρίας καταργείται με ισχύ από την 1η Ιανουαρίου 2026.</w:t>
      </w:r>
    </w:p>
    <w:p w14:paraId="23885E1C" w14:textId="77777777" w:rsidR="00B35235" w:rsidRPr="00FF7B2A" w:rsidRDefault="30BAC377" w:rsidP="00B35235">
      <w:pPr>
        <w:pStyle w:val="Text1"/>
        <w:rPr>
          <w:noProof/>
        </w:rPr>
      </w:pPr>
      <w:r w:rsidRPr="00FF7B2A">
        <w:rPr>
          <w:noProof/>
        </w:rPr>
        <w:t>Σε περίπτωση θετικής απόφασης, το Συμβούλιο θα πρέπει στη συνέχεια να λάβει τα λοιπά μέτρα που είναι αναγκαία για την εισαγωγή του ευρώ στη Βουλγαρία.</w:t>
      </w:r>
    </w:p>
    <w:p w14:paraId="418F2C8B" w14:textId="77777777" w:rsidR="00B35235" w:rsidRPr="00FF7B2A" w:rsidRDefault="00B35235" w:rsidP="00B35235">
      <w:pPr>
        <w:pStyle w:val="Text1"/>
        <w:rPr>
          <w:noProof/>
        </w:rPr>
      </w:pPr>
      <w:r w:rsidRPr="00FF7B2A">
        <w:rPr>
          <w:noProof/>
        </w:rPr>
        <w:t>Ο κανονισμός (ΕΚ) αριθ. 974/98 του Συμβουλίου για την εισαγωγή του ευρώ(</w:t>
      </w:r>
      <w:r w:rsidRPr="00FF7B2A">
        <w:rPr>
          <w:rStyle w:val="FootnoteReference"/>
          <w:noProof/>
        </w:rPr>
        <w:footnoteReference w:id="2"/>
      </w:r>
      <w:r w:rsidRPr="00FF7B2A">
        <w:rPr>
          <w:noProof/>
        </w:rPr>
        <w:t>)</w:t>
      </w:r>
      <w:r w:rsidRPr="00FF7B2A">
        <w:rPr>
          <w:rStyle w:val="FootnoteReference"/>
          <w:noProof/>
        </w:rPr>
        <w:t xml:space="preserve"> </w:t>
      </w:r>
      <w:r w:rsidRPr="00FF7B2A">
        <w:rPr>
          <w:noProof/>
        </w:rPr>
        <w:t>διέπει την αρχική εισαγωγή του ευρώ στο πρώτο κύμα κρατών μελών που συμμετείχαν στη ζώνη του ευρώ, καθώς και στην Ελλάδα (</w:t>
      </w:r>
      <w:r w:rsidRPr="00FF7B2A">
        <w:rPr>
          <w:rStyle w:val="FootnoteReference"/>
          <w:noProof/>
        </w:rPr>
        <w:footnoteReference w:id="3"/>
      </w:r>
      <w:r w:rsidRPr="00FF7B2A">
        <w:rPr>
          <w:noProof/>
        </w:rPr>
        <w:t>) . Ο κανονισμός αυτός τροποποιήθηκε με:</w:t>
      </w:r>
    </w:p>
    <w:p w14:paraId="2CAC9834" w14:textId="77777777" w:rsidR="00B35235" w:rsidRPr="00FF7B2A" w:rsidRDefault="009D499C" w:rsidP="00B35235">
      <w:pPr>
        <w:pStyle w:val="Text1"/>
        <w:rPr>
          <w:noProof/>
        </w:rPr>
      </w:pPr>
      <w:r w:rsidRPr="00FF7B2A">
        <w:rPr>
          <w:noProof/>
        </w:rPr>
        <w:t>– τον κανονισμό (ΕΚ) αριθ. 2169/2005, στο πλαίσιο της προετοιμασίας για μελλοντικές διευρύνσεις της ζώνης του ευρώ·</w:t>
      </w:r>
    </w:p>
    <w:p w14:paraId="7457D635" w14:textId="77777777" w:rsidR="00B35235" w:rsidRPr="00FF7B2A" w:rsidRDefault="009D499C" w:rsidP="00B35235">
      <w:pPr>
        <w:pStyle w:val="Text1"/>
        <w:rPr>
          <w:noProof/>
        </w:rPr>
      </w:pPr>
      <w:r w:rsidRPr="00FF7B2A">
        <w:rPr>
          <w:noProof/>
        </w:rPr>
        <w:t>– τον κανονισμό (ΕΚ) αριθ. 1647/2006, για να καλυφθεί η περίπτωση της Σλοβενίας (η οποία υιοθέτησε το ευρώ την 1η Ιανουαρίου 2007)·</w:t>
      </w:r>
    </w:p>
    <w:p w14:paraId="68C1AEDB" w14:textId="77777777" w:rsidR="00B35235" w:rsidRPr="00FF7B2A" w:rsidRDefault="009D499C" w:rsidP="00B35235">
      <w:pPr>
        <w:pStyle w:val="Text1"/>
        <w:rPr>
          <w:noProof/>
        </w:rPr>
      </w:pPr>
      <w:r w:rsidRPr="00FF7B2A">
        <w:rPr>
          <w:noProof/>
        </w:rPr>
        <w:t>– τον κανονισμό (ΕΚ) αριθ. 835/2007, για να καλυφθεί η περίπτωση της Κύπρου (η οποία υιοθέτησε το ευρώ την 1η Ιανουαρίου 2008)·</w:t>
      </w:r>
    </w:p>
    <w:p w14:paraId="695DEE48" w14:textId="77777777" w:rsidR="00B35235" w:rsidRPr="00FF7B2A" w:rsidRDefault="009D499C" w:rsidP="00B35235">
      <w:pPr>
        <w:pStyle w:val="Text1"/>
        <w:rPr>
          <w:noProof/>
        </w:rPr>
      </w:pPr>
      <w:r w:rsidRPr="00FF7B2A">
        <w:rPr>
          <w:noProof/>
        </w:rPr>
        <w:t>– τον κανονισμό (ΕΚ) αριθ. 836/2007, για να καλυφθεί η περίπτωση της Μάλτας (η οποία υιοθέτησε το ευρώ την 1η Ιανουαρίου 2008)·</w:t>
      </w:r>
    </w:p>
    <w:p w14:paraId="538B417B" w14:textId="77777777" w:rsidR="00B35235" w:rsidRPr="00FF7B2A" w:rsidRDefault="009D499C" w:rsidP="00B35235">
      <w:pPr>
        <w:pStyle w:val="Text1"/>
        <w:rPr>
          <w:noProof/>
        </w:rPr>
      </w:pPr>
      <w:r w:rsidRPr="00FF7B2A">
        <w:rPr>
          <w:noProof/>
        </w:rPr>
        <w:t>– τον κανονισμό (ΕΚ) αριθ. 693/2008, για να καλυφθεί η περίπτωση της Σλοβακίας (η οποία υιοθέτησε το ευρώ τον Ιανουάριο του 2009)·</w:t>
      </w:r>
    </w:p>
    <w:p w14:paraId="205BF928" w14:textId="77777777" w:rsidR="00B35235" w:rsidRPr="00FF7B2A" w:rsidRDefault="009D499C" w:rsidP="00B35235">
      <w:pPr>
        <w:pStyle w:val="Text1"/>
        <w:rPr>
          <w:noProof/>
        </w:rPr>
      </w:pPr>
      <w:r w:rsidRPr="00FF7B2A">
        <w:rPr>
          <w:noProof/>
        </w:rPr>
        <w:t>– τον κανονισμό (ΕΕ) αριθ. 670/2010, για να καλυφθεί η περίπτωση της Εσθονίας (η οποία υιοθέτησε το ευρώ τον Ιανουάριο του 2011)·</w:t>
      </w:r>
    </w:p>
    <w:p w14:paraId="03723579" w14:textId="77777777" w:rsidR="00B35235" w:rsidRPr="00FF7B2A" w:rsidRDefault="009D499C" w:rsidP="00B35235">
      <w:pPr>
        <w:pStyle w:val="Text1"/>
        <w:rPr>
          <w:noProof/>
        </w:rPr>
      </w:pPr>
      <w:r w:rsidRPr="00FF7B2A">
        <w:rPr>
          <w:noProof/>
        </w:rPr>
        <w:t>– τον κανονισμό (ΕΕ) αριθ. 678/2013, για να καλυφθεί η περίπτωση της Λετονίας (η οποία υιοθέτησε το ευρώ τον Ιανουάριο του 2014)·</w:t>
      </w:r>
    </w:p>
    <w:p w14:paraId="4F7A1070" w14:textId="77777777" w:rsidR="00B35235" w:rsidRPr="00FF7B2A" w:rsidRDefault="009D499C" w:rsidP="2B01EE09">
      <w:pPr>
        <w:pStyle w:val="Text1"/>
        <w:rPr>
          <w:noProof/>
        </w:rPr>
      </w:pPr>
      <w:r w:rsidRPr="00FF7B2A">
        <w:rPr>
          <w:noProof/>
        </w:rPr>
        <w:t>– τον κανονισμό (ΕΕ) αριθ. 827/2014, για να καλυφθεί η περίπτωση της Λιθουανίας (η οποία υιοθέτησε το ευρώ τον Ιανουάριο του 2015).</w:t>
      </w:r>
    </w:p>
    <w:p w14:paraId="18D57C58" w14:textId="77777777" w:rsidR="00EF3F1C" w:rsidRPr="00FF7B2A" w:rsidRDefault="009D499C" w:rsidP="00B35235">
      <w:pPr>
        <w:pStyle w:val="Text1"/>
        <w:rPr>
          <w:noProof/>
        </w:rPr>
      </w:pPr>
      <w:r w:rsidRPr="00FF7B2A">
        <w:rPr>
          <w:noProof/>
        </w:rPr>
        <w:t>– τον κανονισμό (ΕΕ) αριθ. 2022/1207, για να καλυφθεί η περίπτωση της Κροατίας (η οποία υιοθέτησε το ευρώ τον Ιανουάριο του 2023).</w:t>
      </w:r>
    </w:p>
    <w:p w14:paraId="511005C6" w14:textId="77777777" w:rsidR="00B35235" w:rsidRPr="00FF7B2A" w:rsidRDefault="36734E36" w:rsidP="00B35235">
      <w:pPr>
        <w:pStyle w:val="Text1"/>
        <w:rPr>
          <w:noProof/>
        </w:rPr>
      </w:pPr>
      <w:r w:rsidRPr="00FF7B2A">
        <w:rPr>
          <w:noProof/>
        </w:rPr>
        <w:t>Ωστόσο, για να επεκταθεί το πεδίο εφαρμογής του κανονισμού (EΚ) αριθ. 974/98 στη Βουλγαρία, πρέπει να προστεθεί σε αυτόν αναφορά στο εν λόγω κράτος μέλος. Η παρούσα πρόταση περιλαμβάνει τις αναγκαίες τροποποιήσεις του εν λόγω κανονισμού.</w:t>
      </w:r>
    </w:p>
    <w:p w14:paraId="6EBA538B" w14:textId="77777777" w:rsidR="00B35235" w:rsidRPr="00FF7B2A" w:rsidRDefault="07E85C85" w:rsidP="00B35235">
      <w:pPr>
        <w:pStyle w:val="Text1"/>
        <w:rPr>
          <w:noProof/>
        </w:rPr>
      </w:pPr>
      <w:r w:rsidRPr="00FF7B2A">
        <w:rPr>
          <w:noProof/>
        </w:rPr>
        <w:t xml:space="preserve">Στο εθνικό σχέδιο μετάβασης της Βουλγαρίας στο ευρώ σε φυσική μορφή διευκρινίζεται ότι η υιοθέτηση του ευρώ ως νομίσματος της Βουλγαρίας θα πρέπει </w:t>
      </w:r>
      <w:r w:rsidRPr="00FF7B2A">
        <w:rPr>
          <w:noProof/>
        </w:rPr>
        <w:lastRenderedPageBreak/>
        <w:t>να συμπέσει με την εισαγωγή των τραπεζογραμματίων και κερμάτων ευρώ στη Βουλγαρία.</w:t>
      </w:r>
    </w:p>
    <w:p w14:paraId="7D23FACC" w14:textId="77777777" w:rsidR="00B35235" w:rsidRPr="00FF7B2A" w:rsidRDefault="006B1DE0" w:rsidP="006B1DE0">
      <w:pPr>
        <w:pStyle w:val="ManualHeading1"/>
        <w:rPr>
          <w:noProof/>
        </w:rPr>
      </w:pPr>
      <w:r w:rsidRPr="00FF7B2A">
        <w:rPr>
          <w:noProof/>
        </w:rPr>
        <w:t>2.</w:t>
      </w:r>
      <w:r w:rsidRPr="00FF7B2A">
        <w:rPr>
          <w:noProof/>
        </w:rPr>
        <w:tab/>
        <w:t>ΑΠΟΤΕΛΕΣΜΑΤΑ ΤΩΝ ΔΙΑΒΟΥΛΕΥΣΕΩΝ ΜΕ ΤΑ ΕΝΔΙΑΦΕΡΟΜΕΝΑ ΜΕΡΗ ΚΑΙ ΕΚΤΙΜΗΣΗ ΑΝΤΙΚΤΥΠΟΥ</w:t>
      </w:r>
    </w:p>
    <w:p w14:paraId="68595553" w14:textId="77777777" w:rsidR="00B35235" w:rsidRPr="00FF7B2A" w:rsidRDefault="0C4E6C78" w:rsidP="00B35235">
      <w:pPr>
        <w:pStyle w:val="Text1"/>
        <w:rPr>
          <w:noProof/>
        </w:rPr>
      </w:pPr>
      <w:r w:rsidRPr="00FF7B2A">
        <w:rPr>
          <w:noProof/>
        </w:rPr>
        <w:t>Οι συζητήσεις με τα κράτη μέλη σχετικά με τις προκλήσεις της οικονομικής πολιτικής σε αυτά διεξάγονται τακτικά στο πλαίσιο διάφορων θεμάτων που εξετάζονται στην Οικονομική και Δημοσιονομική Επιτροπή (ΟΔΕ) και στο Συμβούλιο ECOFIN/στην Ευρωομάδα. Σε αυτές περιλαμβάνονται οι άτυπες συζητήσεις για θέματα που αφορούν ειδικά την προετοιμασία της επακόλουθης εισόδου στη ζώνη του ευρώ (περιλαμβανομένων των πολιτικών των συναλλαγματικών ισοτιμιών).</w:t>
      </w:r>
    </w:p>
    <w:p w14:paraId="462B3CAD" w14:textId="77777777" w:rsidR="00B35235" w:rsidRPr="00FF7B2A" w:rsidRDefault="00B35235" w:rsidP="00B35235">
      <w:pPr>
        <w:pStyle w:val="Text1"/>
        <w:rPr>
          <w:noProof/>
        </w:rPr>
      </w:pPr>
      <w:r w:rsidRPr="00FF7B2A">
        <w:rPr>
          <w:noProof/>
        </w:rPr>
        <w:t>Οι οικονομικές εξελίξεις στη ζώνη του ευρώ και στα κράτη μέλη αξιολογούνται μέσω των διάφορων διαδικασιών του συντονισμού και της εποπτείας των οικονομικών πολιτικών (και ειδικότερα στο πλαίσιο του άρθρου 121 της ΣΛΕΕ), καθώς και στο πλαίσιο της τακτικής παρακολούθησης και ανάλυσης εκ μέρους της Επιτροπής όσον αφορά τις ειδικές ανά χώρα εξελίξεις και τις εξελίξεις σε ολόκληρη τη ζώνη (περιλαμβανομένων των προβλέψεων, των τακτικών σειρών εκδόσεων, και της παροχής πληροφοριών προς την ΟΔΕ και το Συμβούλιο ECOFIN/την Ευρωομάδα). Σύμφωνα με την αρχή της αναλογικότητας και με την έως τώρα πρακτική, δεν απαιτείται επίσημη εκτίμηση επιπτώσεων.</w:t>
      </w:r>
    </w:p>
    <w:p w14:paraId="03C3856E" w14:textId="77777777" w:rsidR="00B35235" w:rsidRPr="00FF7B2A" w:rsidRDefault="006B1DE0" w:rsidP="006B1DE0">
      <w:pPr>
        <w:pStyle w:val="ManualHeading1"/>
        <w:rPr>
          <w:noProof/>
        </w:rPr>
      </w:pPr>
      <w:r w:rsidRPr="00FF7B2A">
        <w:rPr>
          <w:noProof/>
        </w:rPr>
        <w:t>3.</w:t>
      </w:r>
      <w:r w:rsidRPr="00FF7B2A">
        <w:rPr>
          <w:noProof/>
        </w:rPr>
        <w:tab/>
        <w:t>ΝΟΜΙΚΑ ΣΤΟΙΧΕΙΑ ΤΗΣ ΠΡΟΤΑΣΗΣ</w:t>
      </w:r>
    </w:p>
    <w:p w14:paraId="7EE2727F" w14:textId="77777777" w:rsidR="00B35235" w:rsidRPr="00FF7B2A" w:rsidRDefault="006B1DE0" w:rsidP="006B1DE0">
      <w:pPr>
        <w:pStyle w:val="ManualHeading2"/>
        <w:rPr>
          <w:noProof/>
        </w:rPr>
      </w:pPr>
      <w:bookmarkStart w:id="1" w:name="DQPStarAt1DQPStarAt449D5EE33AEC4BCD9CA1F"/>
      <w:bookmarkEnd w:id="1"/>
      <w:r w:rsidRPr="00FF7B2A">
        <w:rPr>
          <w:noProof/>
        </w:rPr>
        <w:t>3.1.</w:t>
      </w:r>
      <w:r w:rsidRPr="00FF7B2A">
        <w:rPr>
          <w:noProof/>
        </w:rPr>
        <w:tab/>
        <w:t>Νομική βάση</w:t>
      </w:r>
    </w:p>
    <w:p w14:paraId="504F726A" w14:textId="77777777" w:rsidR="00B35235" w:rsidRPr="00FF7B2A" w:rsidRDefault="00B35235" w:rsidP="00B35235">
      <w:pPr>
        <w:pStyle w:val="Text1"/>
        <w:rPr>
          <w:noProof/>
        </w:rPr>
      </w:pPr>
      <w:r w:rsidRPr="00FF7B2A">
        <w:rPr>
          <w:noProof/>
        </w:rPr>
        <w:t>Νομική βάση της παρούσας πρότασης είναι το άρθρο 140 παράγραφος 3 της ΣΛΕΕ, το οποίο προβλέπει τη θέσπιση των λοιπών μέτρων που είναι αναγκαία για την εισαγωγή του ευρώ στο κράτος μέλος για το οποίο έχει καταργηθεί η παρέκκλιση δυνάμει του άρθρου 140 παράγραφος 2 της ΣΛΕΕ.</w:t>
      </w:r>
    </w:p>
    <w:p w14:paraId="12E52527" w14:textId="77777777" w:rsidR="00B35235" w:rsidRPr="00FF7B2A" w:rsidRDefault="00B35235" w:rsidP="00B35235">
      <w:pPr>
        <w:pStyle w:val="Text1"/>
        <w:rPr>
          <w:noProof/>
        </w:rPr>
      </w:pPr>
      <w:r w:rsidRPr="00FF7B2A">
        <w:rPr>
          <w:noProof/>
        </w:rPr>
        <w:t>Το Συμβούλιο αποφασίζει με ομοφωνία των κρατών μελών με νόμισμα το ευρώ και του ενδιαφερόμενου κράτους μέλους, έπειτα από πρόταση της Επιτροπής και κατόπιν διαβουλεύσεων με την ΕΚΤ.</w:t>
      </w:r>
    </w:p>
    <w:p w14:paraId="7BCEF812" w14:textId="77777777" w:rsidR="00B35235" w:rsidRPr="00FF7B2A" w:rsidRDefault="006B1DE0" w:rsidP="006B1DE0">
      <w:pPr>
        <w:pStyle w:val="ManualHeading2"/>
        <w:rPr>
          <w:noProof/>
        </w:rPr>
      </w:pPr>
      <w:r w:rsidRPr="00FF7B2A">
        <w:rPr>
          <w:noProof/>
        </w:rPr>
        <w:t>3.2.</w:t>
      </w:r>
      <w:r w:rsidRPr="00FF7B2A">
        <w:rPr>
          <w:noProof/>
        </w:rPr>
        <w:tab/>
        <w:t>Επικουρικότητα και αναλογικότητα</w:t>
      </w:r>
    </w:p>
    <w:p w14:paraId="4E0FBF80" w14:textId="77777777" w:rsidR="00B35235" w:rsidRPr="00FF7B2A" w:rsidRDefault="00B35235" w:rsidP="00B35235">
      <w:pPr>
        <w:pStyle w:val="Text1"/>
        <w:rPr>
          <w:noProof/>
        </w:rPr>
      </w:pPr>
      <w:r w:rsidRPr="00FF7B2A">
        <w:rPr>
          <w:noProof/>
        </w:rPr>
        <w:t>Η πρόταση εμπίπτει στην αποκλειστική αρμοδιότητα της Ένωσης. Συνεπώς, δεν έχει εφαρμογή η αρχή της επικουρικότητας.</w:t>
      </w:r>
    </w:p>
    <w:p w14:paraId="4D32802B" w14:textId="77777777" w:rsidR="00B35235" w:rsidRPr="00FF7B2A" w:rsidRDefault="00B35235" w:rsidP="00B35235">
      <w:pPr>
        <w:pStyle w:val="Text1"/>
        <w:rPr>
          <w:noProof/>
        </w:rPr>
      </w:pPr>
      <w:r w:rsidRPr="00FF7B2A">
        <w:rPr>
          <w:noProof/>
        </w:rPr>
        <w:t>Η παρούσα πρωτοβουλία δεν υπερβαίνει τα αναγκαία όρια για την επίτευξη του στόχου της και είναι συνεπώς σύμφωνη με την αρχή της αναλογικότητας.</w:t>
      </w:r>
    </w:p>
    <w:p w14:paraId="256BD654" w14:textId="77777777" w:rsidR="00B35235" w:rsidRPr="00FF7B2A" w:rsidRDefault="006B1DE0" w:rsidP="006B1DE0">
      <w:pPr>
        <w:pStyle w:val="ManualHeading2"/>
        <w:rPr>
          <w:noProof/>
        </w:rPr>
      </w:pPr>
      <w:r w:rsidRPr="00FF7B2A">
        <w:rPr>
          <w:noProof/>
        </w:rPr>
        <w:t>3.3.</w:t>
      </w:r>
      <w:r w:rsidRPr="00FF7B2A">
        <w:rPr>
          <w:noProof/>
        </w:rPr>
        <w:tab/>
        <w:t>Επιλογή του νομικού μέσου</w:t>
      </w:r>
    </w:p>
    <w:p w14:paraId="350A0CCA" w14:textId="77777777" w:rsidR="00B35235" w:rsidRPr="00FF7B2A" w:rsidRDefault="004379E8" w:rsidP="00B35235">
      <w:pPr>
        <w:pStyle w:val="Text1"/>
        <w:rPr>
          <w:noProof/>
        </w:rPr>
      </w:pPr>
      <w:r w:rsidRPr="00FF7B2A">
        <w:rPr>
          <w:noProof/>
        </w:rPr>
        <w:t>Ο κανονισμός αποτελεί την ενδεδειγμένη νομική πράξη για την τροποποίηση του κανονισμού (ΕΚ) αριθ. 974/98 του Συμβουλίου για την εισαγωγή του ευρώ.</w:t>
      </w:r>
    </w:p>
    <w:p w14:paraId="5D9964AB" w14:textId="77777777" w:rsidR="00B35235" w:rsidRPr="00FF7B2A" w:rsidRDefault="006B1DE0" w:rsidP="006B1DE0">
      <w:pPr>
        <w:pStyle w:val="ManualHeading1"/>
        <w:rPr>
          <w:noProof/>
        </w:rPr>
      </w:pPr>
      <w:r w:rsidRPr="00FF7B2A">
        <w:rPr>
          <w:noProof/>
        </w:rPr>
        <w:t>4.</w:t>
      </w:r>
      <w:r w:rsidRPr="00FF7B2A">
        <w:rPr>
          <w:noProof/>
        </w:rPr>
        <w:tab/>
        <w:t>ΔΗΜΟΣΙΟΝΟΜΙΚΕΣ ΕΠΙΠΤΩΣΕΙΣ</w:t>
      </w:r>
    </w:p>
    <w:p w14:paraId="60B7D24E" w14:textId="77777777" w:rsidR="00B35235" w:rsidRPr="00FF7B2A" w:rsidRDefault="00B35235" w:rsidP="00B35235">
      <w:pPr>
        <w:pStyle w:val="Text1"/>
        <w:rPr>
          <w:noProof/>
        </w:rPr>
      </w:pPr>
      <w:r w:rsidRPr="00FF7B2A">
        <w:rPr>
          <w:noProof/>
        </w:rPr>
        <w:t>Η πρόταση δεν έχει επίπτωση στον προϋπολογισμό της Ένωσης.</w:t>
      </w:r>
    </w:p>
    <w:p w14:paraId="070BE08B" w14:textId="77777777" w:rsidR="00B35235" w:rsidRPr="00FF7B2A" w:rsidRDefault="006B1DE0" w:rsidP="006B1DE0">
      <w:pPr>
        <w:pStyle w:val="ManualHeading1"/>
        <w:rPr>
          <w:noProof/>
        </w:rPr>
      </w:pPr>
      <w:r w:rsidRPr="00FF7B2A">
        <w:rPr>
          <w:noProof/>
        </w:rPr>
        <w:t>5.</w:t>
      </w:r>
      <w:r w:rsidRPr="00FF7B2A">
        <w:rPr>
          <w:noProof/>
        </w:rPr>
        <w:tab/>
        <w:t>ΣΧΟΛΙΑΣΜΟΣ ΤΩΝ ΕΠΙΜΕΡΟΥΣ ΑΡΘΡΩΝ</w:t>
      </w:r>
    </w:p>
    <w:p w14:paraId="6DB1DEAE" w14:textId="77777777" w:rsidR="00B35235" w:rsidRPr="00FF7B2A" w:rsidRDefault="006B1DE0" w:rsidP="006B1DE0">
      <w:pPr>
        <w:pStyle w:val="ManualHeading2"/>
        <w:rPr>
          <w:noProof/>
        </w:rPr>
      </w:pPr>
      <w:bookmarkStart w:id="2" w:name="DQPStarAt1DQPStarAt55093608EF8147D681E05"/>
      <w:bookmarkEnd w:id="2"/>
      <w:r w:rsidRPr="00FF7B2A">
        <w:rPr>
          <w:noProof/>
        </w:rPr>
        <w:t>5.1.</w:t>
      </w:r>
      <w:r w:rsidRPr="00FF7B2A">
        <w:rPr>
          <w:noProof/>
        </w:rPr>
        <w:tab/>
        <w:t>Άρθρο 1</w:t>
      </w:r>
    </w:p>
    <w:p w14:paraId="5BB89D2A" w14:textId="77777777" w:rsidR="00504383" w:rsidRPr="00FF7B2A" w:rsidRDefault="00B35235" w:rsidP="00B35235">
      <w:pPr>
        <w:pStyle w:val="Text1"/>
        <w:rPr>
          <w:noProof/>
        </w:rPr>
      </w:pPr>
      <w:r w:rsidRPr="00FF7B2A">
        <w:rPr>
          <w:noProof/>
        </w:rPr>
        <w:t>Σύμφωνα με το άρθρο 1 στοιχείο α) και το άρθρο 1α του κανονισμού (ΕΚ) αριθ. 974/98, ο πίνακας του παραρτήματος του εν λόγω κανονισμού απαριθμεί τα συμμετέχοντα κράτη μέλη και ορίζει την ημερομηνία υιοθέτησης του ευρώ, την ημερομηνία μετάβασης στο ευρώ σε φυσική μορφή και την «περίοδο σταδιακής απόσυρσης», εφόσον εφαρμόζεται, για το σύνολο των εν λόγω κρατών μελών.</w:t>
      </w:r>
    </w:p>
    <w:p w14:paraId="54723A16" w14:textId="77777777" w:rsidR="00504383" w:rsidRPr="00FF7B2A" w:rsidRDefault="00B35235" w:rsidP="00B35235">
      <w:pPr>
        <w:pStyle w:val="Text1"/>
        <w:rPr>
          <w:noProof/>
        </w:rPr>
      </w:pPr>
      <w:r w:rsidRPr="00FF7B2A">
        <w:rPr>
          <w:noProof/>
        </w:rPr>
        <w:t>Κατά το άρθρο 1 στοιχείο θ) του κανονισμού (ΕΚ) αριθ. 974/98, η «περίοδος σταδιακής απόσυρσης» μπορεί να ισχύσει μόνο στα κράτη μέλη στα οποία η ημερομηνία μετάβασης στο ευρώ σε φυσική μορφή συμπίπτει με την ημερομηνία υιοθέτησης του ευρώ. Αυτό δεν συνέβη στην περίπτωση των ένδεκα κρατών μελών που υιοθέτησαν το ευρώ την 1η Ιανουαρίου 1999, ούτε της Ελλάδας, που υιοθέτησε το ευρώ την 1η Ιανουαρίου 2001.</w:t>
      </w:r>
    </w:p>
    <w:p w14:paraId="3D2B3210" w14:textId="77777777" w:rsidR="00504383" w:rsidRPr="00FF7B2A" w:rsidRDefault="000E488C" w:rsidP="00B35235">
      <w:pPr>
        <w:pStyle w:val="Text1"/>
        <w:rPr>
          <w:noProof/>
        </w:rPr>
      </w:pPr>
      <w:r w:rsidRPr="00FF7B2A">
        <w:rPr>
          <w:noProof/>
        </w:rPr>
        <w:t>Οι ημερομηνίες υιοθέτησης του ευρώ και της μετάβασης στο ευρώ σε φυσική μορφή συνέπεσαν στη Σλοβενία, την Κύπρο, τη Μάλτα, τη Σλοβακία, την Εσθονία, τη Λετονία, τη Λιθουανία και την Κροατία (1η Ιανουαρίου 2007 για τη Σλοβενία, 1η Ιανουαρίου 2008 για την Κύπρο και τη Μάλτα, 1η Ιανουαρίου 2009 για τη Σλοβακία, 1η Ιανουαρίου 2011 για την Εσθονία, 1η Ιανουαρίου 2014 για τη Λετονία, 1η Ιανουαρίου 2015 για τη Λιθουανία, 1η Ιανουαρίου 2023 για την Κροατία). Ωστόσο, οι εν λόγω χώρες επέλεξαν να μην έχουν περίοδο «σταδιακής απόσυρσης».</w:t>
      </w:r>
    </w:p>
    <w:p w14:paraId="3D2C6202" w14:textId="77777777" w:rsidR="00B35235" w:rsidRPr="00FF7B2A" w:rsidRDefault="7E6E52C5" w:rsidP="00B35235">
      <w:pPr>
        <w:pStyle w:val="Text1"/>
        <w:rPr>
          <w:noProof/>
        </w:rPr>
      </w:pPr>
      <w:r w:rsidRPr="00FF7B2A">
        <w:rPr>
          <w:noProof/>
        </w:rPr>
        <w:t>Το εθνικό σχέδιο της Βουλγαρίας για τη μετάβαση στο ευρώ σε φυσική μορφή προβλέπει επίσης την ίδια ημερομηνία για την υιοθέτηση του ευρώ από τη χώρα και τη μετάβαση στο ευρώ σε φυσική μορφή (1η Ιανουαρίου 2026), ενώ η χώρα αυτή επέλεξε να μην έχει περίοδο «σταδιακής απόσυρσης».</w:t>
      </w:r>
    </w:p>
    <w:p w14:paraId="6AB8CA87" w14:textId="77777777" w:rsidR="00B35235" w:rsidRPr="00FF7B2A" w:rsidRDefault="30BAC377" w:rsidP="00B35235">
      <w:pPr>
        <w:pStyle w:val="Text1"/>
        <w:rPr>
          <w:noProof/>
        </w:rPr>
      </w:pPr>
      <w:r w:rsidRPr="00FF7B2A">
        <w:rPr>
          <w:noProof/>
        </w:rPr>
        <w:t>Με το παρόν άρθρο προστίθενται στον πίνακα του παραρτήματος του κανονισμού (ΕΚ) αριθ. 974/98, με σειρά πρωτοκόλλου, η Βουλγαρία και τα ακόλουθα στοιχεία που αφορούν το εν λόγω κράτος μέλος.</w:t>
      </w:r>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1521"/>
        <w:gridCol w:w="1695"/>
        <w:gridCol w:w="1809"/>
      </w:tblGrid>
      <w:tr w:rsidR="00B35235" w:rsidRPr="00FF7B2A" w14:paraId="287F79CD" w14:textId="77777777" w:rsidTr="2B01EE09">
        <w:trPr>
          <w:jc w:val="center"/>
        </w:trPr>
        <w:tc>
          <w:tcPr>
            <w:tcW w:w="1521" w:type="dxa"/>
          </w:tcPr>
          <w:p w14:paraId="4E3E9B26" w14:textId="77777777" w:rsidR="00B35235" w:rsidRPr="00FF7B2A" w:rsidRDefault="00B35235" w:rsidP="00956B6B">
            <w:pPr>
              <w:jc w:val="center"/>
              <w:rPr>
                <w:rFonts w:cs="Arial"/>
                <w:noProof/>
                <w:sz w:val="16"/>
                <w:szCs w:val="16"/>
              </w:rPr>
            </w:pPr>
            <w:r w:rsidRPr="00FF7B2A">
              <w:rPr>
                <w:noProof/>
                <w:sz w:val="16"/>
              </w:rPr>
              <w:t>Κράτος μέλος</w:t>
            </w:r>
          </w:p>
        </w:tc>
        <w:tc>
          <w:tcPr>
            <w:tcW w:w="1521" w:type="dxa"/>
          </w:tcPr>
          <w:p w14:paraId="52D2CF2E" w14:textId="77777777" w:rsidR="00B35235" w:rsidRPr="00FF7B2A" w:rsidRDefault="00B35235" w:rsidP="00956B6B">
            <w:pPr>
              <w:jc w:val="center"/>
              <w:rPr>
                <w:rFonts w:cs="Arial"/>
                <w:noProof/>
                <w:sz w:val="16"/>
                <w:szCs w:val="16"/>
              </w:rPr>
            </w:pPr>
            <w:r w:rsidRPr="00FF7B2A">
              <w:rPr>
                <w:noProof/>
                <w:sz w:val="16"/>
              </w:rPr>
              <w:t>Ημερομηνία υιοθέτησης του ευρώ</w:t>
            </w:r>
          </w:p>
        </w:tc>
        <w:tc>
          <w:tcPr>
            <w:tcW w:w="1695" w:type="dxa"/>
          </w:tcPr>
          <w:p w14:paraId="7C62F166" w14:textId="77777777" w:rsidR="00B35235" w:rsidRPr="00FF7B2A" w:rsidRDefault="00B35235" w:rsidP="00956B6B">
            <w:pPr>
              <w:jc w:val="center"/>
              <w:rPr>
                <w:rFonts w:cs="Arial"/>
                <w:noProof/>
                <w:sz w:val="16"/>
                <w:szCs w:val="16"/>
              </w:rPr>
            </w:pPr>
            <w:r w:rsidRPr="00FF7B2A">
              <w:rPr>
                <w:noProof/>
                <w:sz w:val="16"/>
              </w:rPr>
              <w:t>Ημερομηνία μετάβασης στο ευρώ σε φυσική μορφή</w:t>
            </w:r>
          </w:p>
        </w:tc>
        <w:tc>
          <w:tcPr>
            <w:tcW w:w="1809" w:type="dxa"/>
          </w:tcPr>
          <w:p w14:paraId="7AD3C026" w14:textId="77777777" w:rsidR="00B35235" w:rsidRPr="00FF7B2A" w:rsidRDefault="00B35235" w:rsidP="00956B6B">
            <w:pPr>
              <w:jc w:val="center"/>
              <w:rPr>
                <w:rFonts w:cs="Arial"/>
                <w:noProof/>
                <w:sz w:val="16"/>
                <w:szCs w:val="16"/>
              </w:rPr>
            </w:pPr>
            <w:r w:rsidRPr="00FF7B2A">
              <w:rPr>
                <w:noProof/>
                <w:sz w:val="16"/>
              </w:rPr>
              <w:t>Κράτος μέλος με περίοδο «σταδιακής απόσυρσης»</w:t>
            </w:r>
          </w:p>
        </w:tc>
      </w:tr>
      <w:tr w:rsidR="00B35235" w:rsidRPr="00FF7B2A" w14:paraId="6299FE7E" w14:textId="77777777" w:rsidTr="2B01EE09">
        <w:trPr>
          <w:jc w:val="center"/>
        </w:trPr>
        <w:tc>
          <w:tcPr>
            <w:tcW w:w="1521" w:type="dxa"/>
          </w:tcPr>
          <w:p w14:paraId="3D707B06" w14:textId="77777777" w:rsidR="00B35235" w:rsidRPr="00FF7B2A" w:rsidRDefault="30BAC377" w:rsidP="00956B6B">
            <w:pPr>
              <w:jc w:val="center"/>
              <w:rPr>
                <w:rFonts w:cs="Arial"/>
                <w:noProof/>
                <w:sz w:val="16"/>
                <w:szCs w:val="16"/>
              </w:rPr>
            </w:pPr>
            <w:r w:rsidRPr="00FF7B2A">
              <w:rPr>
                <w:noProof/>
                <w:sz w:val="16"/>
              </w:rPr>
              <w:t>«Βουλγαρία</w:t>
            </w:r>
          </w:p>
        </w:tc>
        <w:tc>
          <w:tcPr>
            <w:tcW w:w="1521" w:type="dxa"/>
          </w:tcPr>
          <w:p w14:paraId="1F2C6EF2" w14:textId="77777777" w:rsidR="00B35235" w:rsidRPr="00FF7B2A" w:rsidRDefault="30BAC377" w:rsidP="00956B6B">
            <w:pPr>
              <w:jc w:val="center"/>
              <w:rPr>
                <w:rFonts w:cs="Arial"/>
                <w:noProof/>
                <w:sz w:val="16"/>
                <w:szCs w:val="16"/>
              </w:rPr>
            </w:pPr>
            <w:r w:rsidRPr="00FF7B2A">
              <w:rPr>
                <w:noProof/>
                <w:sz w:val="16"/>
              </w:rPr>
              <w:t>1η Ιανουαρίου 2026</w:t>
            </w:r>
          </w:p>
        </w:tc>
        <w:tc>
          <w:tcPr>
            <w:tcW w:w="1695" w:type="dxa"/>
          </w:tcPr>
          <w:p w14:paraId="06A9049F" w14:textId="77777777" w:rsidR="00B35235" w:rsidRPr="00FF7B2A" w:rsidRDefault="30BAC377" w:rsidP="00956B6B">
            <w:pPr>
              <w:jc w:val="center"/>
              <w:rPr>
                <w:rFonts w:cs="Arial"/>
                <w:noProof/>
                <w:sz w:val="16"/>
                <w:szCs w:val="16"/>
              </w:rPr>
            </w:pPr>
            <w:r w:rsidRPr="00FF7B2A">
              <w:rPr>
                <w:noProof/>
                <w:sz w:val="16"/>
              </w:rPr>
              <w:t>1η Ιανουαρίου 2026</w:t>
            </w:r>
          </w:p>
        </w:tc>
        <w:tc>
          <w:tcPr>
            <w:tcW w:w="1809" w:type="dxa"/>
          </w:tcPr>
          <w:p w14:paraId="1D22FEE9" w14:textId="77777777" w:rsidR="00B35235" w:rsidRPr="00FF7B2A" w:rsidRDefault="00B35235" w:rsidP="00956B6B">
            <w:pPr>
              <w:jc w:val="center"/>
              <w:rPr>
                <w:rFonts w:cs="Arial"/>
                <w:noProof/>
                <w:sz w:val="16"/>
                <w:szCs w:val="16"/>
              </w:rPr>
            </w:pPr>
            <w:r w:rsidRPr="00FF7B2A">
              <w:rPr>
                <w:noProof/>
                <w:sz w:val="16"/>
              </w:rPr>
              <w:t>Όχι»</w:t>
            </w:r>
          </w:p>
        </w:tc>
      </w:tr>
    </w:tbl>
    <w:p w14:paraId="48C51D69" w14:textId="77777777" w:rsidR="00B35235" w:rsidRPr="00FF7B2A" w:rsidRDefault="00B35235" w:rsidP="00B35235">
      <w:pPr>
        <w:pStyle w:val="Text1"/>
        <w:rPr>
          <w:noProof/>
        </w:rPr>
      </w:pPr>
    </w:p>
    <w:p w14:paraId="4D0625BA" w14:textId="77777777" w:rsidR="00B35235" w:rsidRPr="00FF7B2A" w:rsidRDefault="006B1DE0" w:rsidP="006B1DE0">
      <w:pPr>
        <w:pStyle w:val="ManualHeading2"/>
        <w:rPr>
          <w:noProof/>
        </w:rPr>
      </w:pPr>
      <w:r w:rsidRPr="00FF7B2A">
        <w:rPr>
          <w:noProof/>
        </w:rPr>
        <w:t>5.2.</w:t>
      </w:r>
      <w:r w:rsidRPr="00FF7B2A">
        <w:rPr>
          <w:noProof/>
        </w:rPr>
        <w:tab/>
        <w:t>Άρθρο 2</w:t>
      </w:r>
    </w:p>
    <w:p w14:paraId="7FE22F93" w14:textId="77777777" w:rsidR="0067565A" w:rsidRPr="00FF7B2A" w:rsidRDefault="30BAC377" w:rsidP="00B35235">
      <w:pPr>
        <w:rPr>
          <w:noProof/>
        </w:rPr>
      </w:pPr>
      <w:r w:rsidRPr="00FF7B2A">
        <w:rPr>
          <w:noProof/>
        </w:rPr>
        <w:t>Το παρόν άρθρο ορίζει την 1η Ιανουαρίου 2026 ως ημερομηνία έναρξης ισχύος του κανονισμού, εξασφαλίζοντας έτσι ότι η εφαρμογή του είναι συμβατή με το χρονοδιάγραμμα των λοιπών πράξεων του Συμβουλίου για την υιοθέτηση του ευρώ από τη Βουλγαρία, δηλαδή με την ημερομηνία κατάργησης της παρέκκλισης και την ημερομηνία έναρξης ισχύος της τιμής μετατροπής του βουλγαρικού λεβ.</w:t>
      </w:r>
    </w:p>
    <w:p w14:paraId="234826E5" w14:textId="77777777" w:rsidR="00414613" w:rsidRPr="00FF7B2A" w:rsidRDefault="00414613" w:rsidP="00414613">
      <w:pPr>
        <w:rPr>
          <w:noProof/>
        </w:rPr>
        <w:sectPr w:rsidR="00414613" w:rsidRPr="00FF7B2A" w:rsidSect="00711EA6">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pgNumType w:start="1"/>
          <w:cols w:space="720"/>
          <w:docGrid w:linePitch="360"/>
        </w:sectPr>
      </w:pPr>
    </w:p>
    <w:p w14:paraId="2208E8D9" w14:textId="2455D054" w:rsidR="005622A3" w:rsidRPr="00FF7B2A" w:rsidRDefault="00711EA6" w:rsidP="00711EA6">
      <w:pPr>
        <w:pStyle w:val="Rfrenceinterinstitutionnelle"/>
        <w:rPr>
          <w:noProof/>
        </w:rPr>
      </w:pPr>
      <w:r w:rsidRPr="00711EA6">
        <w:t>2025/0159 (NLE)</w:t>
      </w:r>
    </w:p>
    <w:p w14:paraId="4AD99583" w14:textId="65F8EA93" w:rsidR="00414613" w:rsidRPr="00FF7B2A" w:rsidRDefault="000320D8" w:rsidP="000320D8">
      <w:pPr>
        <w:pStyle w:val="Statut"/>
        <w:rPr>
          <w:noProof/>
        </w:rPr>
      </w:pPr>
      <w:r w:rsidRPr="000320D8">
        <w:rPr>
          <w:noProof/>
        </w:rPr>
        <w:t>Πρόταση</w:t>
      </w:r>
    </w:p>
    <w:p w14:paraId="1849A3C6" w14:textId="0FC3EE6A" w:rsidR="00414613" w:rsidRPr="00FF7B2A" w:rsidRDefault="000320D8" w:rsidP="000320D8">
      <w:pPr>
        <w:pStyle w:val="Typedudocument"/>
        <w:rPr>
          <w:noProof/>
        </w:rPr>
      </w:pPr>
      <w:r w:rsidRPr="000320D8">
        <w:rPr>
          <w:noProof/>
        </w:rPr>
        <w:t>ΚΑΝΟΝΙΣΜΟΣ ΤΟΥ ΣΥΜΒΟΥΛΙΟΥ</w:t>
      </w:r>
    </w:p>
    <w:p w14:paraId="5C1CACF5" w14:textId="4C52B350" w:rsidR="00414613" w:rsidRPr="00FF7B2A" w:rsidRDefault="000320D8" w:rsidP="000320D8">
      <w:pPr>
        <w:pStyle w:val="Titreobjet"/>
        <w:rPr>
          <w:noProof/>
        </w:rPr>
      </w:pPr>
      <w:r w:rsidRPr="000320D8">
        <w:rPr>
          <w:noProof/>
        </w:rPr>
        <w:t>για την τροποποίηση του κανονισμού (ΕΚ) αριθ. 974/98 αναφορικά με την εισαγωγή του ευρώ στη Βουλγαρία</w:t>
      </w:r>
    </w:p>
    <w:p w14:paraId="53241E86" w14:textId="77777777" w:rsidR="00414613" w:rsidRPr="00FF7B2A" w:rsidRDefault="00414613">
      <w:pPr>
        <w:pStyle w:val="Institutionquiagit"/>
        <w:rPr>
          <w:noProof/>
        </w:rPr>
      </w:pPr>
      <w:r w:rsidRPr="00FF7B2A">
        <w:rPr>
          <w:noProof/>
        </w:rPr>
        <w:t>ΤΟ ΣΥΜΒΟΥΛΙΟ ΤΗΣ ΕΥΡΩΠΑΪΚΗΣ ΕΝΩΣΗΣ,</w:t>
      </w:r>
    </w:p>
    <w:p w14:paraId="2BB3ED9F" w14:textId="77777777" w:rsidR="00414613" w:rsidRPr="00FF7B2A" w:rsidRDefault="00414613">
      <w:pPr>
        <w:rPr>
          <w:noProof/>
        </w:rPr>
      </w:pPr>
      <w:r w:rsidRPr="00FF7B2A">
        <w:rPr>
          <w:noProof/>
        </w:rPr>
        <w:t>Έχοντας υπόψη τη Συνθήκη για τη λειτουργία της Ευρωπαϊκής Ένωσης, και ιδίως το άρθρο 140 παράγραφος 3,</w:t>
      </w:r>
    </w:p>
    <w:p w14:paraId="30AFB8AA" w14:textId="77777777" w:rsidR="00414613" w:rsidRPr="00FF7B2A" w:rsidRDefault="00414613">
      <w:pPr>
        <w:rPr>
          <w:noProof/>
        </w:rPr>
      </w:pPr>
      <w:r w:rsidRPr="00FF7B2A">
        <w:rPr>
          <w:noProof/>
        </w:rPr>
        <w:t>Έχοντας υπόψη την πρόταση της Ευρωπαϊκής Επιτροπής,</w:t>
      </w:r>
    </w:p>
    <w:p w14:paraId="604C2BAC" w14:textId="77777777" w:rsidR="00414613" w:rsidRPr="00FF7B2A" w:rsidRDefault="7E087140">
      <w:pPr>
        <w:rPr>
          <w:noProof/>
        </w:rPr>
      </w:pPr>
      <w:r w:rsidRPr="00FF7B2A">
        <w:rPr>
          <w:noProof/>
        </w:rPr>
        <w:t>Έχοντας υπόψη τη γνώμη της Ευρωπαϊκής Κεντρικής Τράπεζας(</w:t>
      </w:r>
      <w:r w:rsidRPr="00FF7B2A">
        <w:rPr>
          <w:rStyle w:val="FootnoteReference"/>
          <w:noProof/>
        </w:rPr>
        <w:footnoteReference w:id="4"/>
      </w:r>
      <w:r w:rsidRPr="00FF7B2A">
        <w:rPr>
          <w:noProof/>
        </w:rPr>
        <w:t>),</w:t>
      </w:r>
    </w:p>
    <w:p w14:paraId="65343E1F" w14:textId="77777777" w:rsidR="00414613" w:rsidRPr="00FF7B2A" w:rsidRDefault="00414613">
      <w:pPr>
        <w:rPr>
          <w:noProof/>
        </w:rPr>
      </w:pPr>
      <w:r w:rsidRPr="00FF7B2A">
        <w:rPr>
          <w:noProof/>
        </w:rPr>
        <w:t>Εκτιμώντας τα ακόλουθα:</w:t>
      </w:r>
    </w:p>
    <w:p w14:paraId="204026E5" w14:textId="77777777" w:rsidR="00414613" w:rsidRPr="00FF7B2A" w:rsidRDefault="383E4E3C" w:rsidP="006B1DE0">
      <w:pPr>
        <w:pStyle w:val="ManualConsidrant"/>
        <w:rPr>
          <w:noProof/>
        </w:rPr>
      </w:pPr>
      <w:r w:rsidRPr="00FF7B2A">
        <w:rPr>
          <w:noProof/>
        </w:rPr>
        <w:t>(1)</w:t>
      </w:r>
      <w:r w:rsidRPr="00FF7B2A">
        <w:rPr>
          <w:noProof/>
        </w:rPr>
        <w:tab/>
        <w:t>Ο κανονισμός (ΕΚ) αριθ. 974/98 του Συμβουλίου (</w:t>
      </w:r>
      <w:r w:rsidRPr="00FF7B2A">
        <w:rPr>
          <w:rStyle w:val="FootnoteReference"/>
          <w:noProof/>
        </w:rPr>
        <w:footnoteReference w:id="5"/>
      </w:r>
      <w:r w:rsidRPr="00FF7B2A">
        <w:rPr>
          <w:noProof/>
        </w:rPr>
        <w:t>) προβλέπει ότι το ευρώ θα αντικαταστήσει τα νομίσματα των κρατών μελών που πληρούσαν τις αναγκαίες προϋποθέσεις για την υιοθέτηση του ευρώ κατά τον χρόνο της εισόδου της Κοινότητας στο τρίτο στάδιο της οικονομικής και νομισματικής ένωσης.</w:t>
      </w:r>
    </w:p>
    <w:p w14:paraId="5820EDCA" w14:textId="77777777" w:rsidR="00414613" w:rsidRPr="00FF7B2A" w:rsidRDefault="383E4E3C" w:rsidP="006B1DE0">
      <w:pPr>
        <w:pStyle w:val="ManualConsidrant"/>
        <w:rPr>
          <w:noProof/>
        </w:rPr>
      </w:pPr>
      <w:r w:rsidRPr="00FF7B2A">
        <w:rPr>
          <w:noProof/>
        </w:rPr>
        <w:t>(2)</w:t>
      </w:r>
      <w:r w:rsidRPr="00FF7B2A">
        <w:rPr>
          <w:noProof/>
        </w:rPr>
        <w:tab/>
        <w:t>Σύμφωνα με το άρθρο 5 της πράξης προσχώρησης του 2005 (</w:t>
      </w:r>
      <w:r w:rsidRPr="00FF7B2A">
        <w:rPr>
          <w:rStyle w:val="FootnoteReference"/>
          <w:noProof/>
        </w:rPr>
        <w:footnoteReference w:id="6"/>
      </w:r>
      <w:r w:rsidRPr="00FF7B2A">
        <w:rPr>
          <w:noProof/>
        </w:rPr>
        <w:t>), η Βουλγαρία συμμετέχει στην Οικονομική και Νομισματική Ένωση από την ημερομηνία προσχώρησης ως κράτος μέλος με παρέκκλιση, κατά την έννοια του άρθρου 139 παράγραφος 1 της Συνθήκης.</w:t>
      </w:r>
    </w:p>
    <w:p w14:paraId="024F4CFB" w14:textId="77777777" w:rsidR="00414613" w:rsidRPr="00FF7B2A" w:rsidRDefault="6FB03243" w:rsidP="006B1DE0">
      <w:pPr>
        <w:pStyle w:val="ManualConsidrant"/>
        <w:rPr>
          <w:noProof/>
        </w:rPr>
      </w:pPr>
      <w:r w:rsidRPr="00FF7B2A">
        <w:rPr>
          <w:noProof/>
        </w:rPr>
        <w:t>(3)</w:t>
      </w:r>
      <w:r w:rsidRPr="00FF7B2A">
        <w:rPr>
          <w:noProof/>
        </w:rPr>
        <w:tab/>
        <w:t>Σύμφωνα με την απόφαση (ΕΕ) 2025/.... του Συμβουλίου (</w:t>
      </w:r>
      <w:r w:rsidRPr="00FF7B2A">
        <w:rPr>
          <w:rStyle w:val="FootnoteReference"/>
          <w:noProof/>
        </w:rPr>
        <w:footnoteReference w:id="7"/>
      </w:r>
      <w:r w:rsidRPr="00FF7B2A">
        <w:rPr>
          <w:noProof/>
        </w:rPr>
        <w:t>), η Βουλγαρία πληροί τις αναγκαίες προϋποθέσεις για την υιοθέτηση του ευρώ και η παρέκκλιση για τη Βουλγαρία καταργείται από την 1η Ιανουαρίου 2026.</w:t>
      </w:r>
    </w:p>
    <w:p w14:paraId="3748F08E" w14:textId="77777777" w:rsidR="00414613" w:rsidRPr="00FF7B2A" w:rsidRDefault="383E4E3C" w:rsidP="006B1DE0">
      <w:pPr>
        <w:pStyle w:val="ManualConsidrant"/>
        <w:rPr>
          <w:noProof/>
        </w:rPr>
      </w:pPr>
      <w:r w:rsidRPr="00FF7B2A">
        <w:rPr>
          <w:noProof/>
        </w:rPr>
        <w:t>(4)</w:t>
      </w:r>
      <w:r w:rsidRPr="00FF7B2A">
        <w:rPr>
          <w:noProof/>
        </w:rPr>
        <w:tab/>
        <w:t>Για την εισαγωγή του ευρώ στη Βουλγαρία απαιτείται να υπαχθεί η χώρα αυτή στις υφιστάμενες διατάξεις του κανονισμού (ΕΚ) αριθ. 974/98 για την εισαγωγή του ευρώ.</w:t>
      </w:r>
    </w:p>
    <w:p w14:paraId="04415A59" w14:textId="77777777" w:rsidR="00414613" w:rsidRPr="00FF7B2A" w:rsidRDefault="383E4E3C" w:rsidP="006B1DE0">
      <w:pPr>
        <w:pStyle w:val="ManualConsidrant"/>
        <w:rPr>
          <w:noProof/>
        </w:rPr>
      </w:pPr>
      <w:r w:rsidRPr="00FF7B2A">
        <w:rPr>
          <w:noProof/>
        </w:rPr>
        <w:t>(5)</w:t>
      </w:r>
      <w:r w:rsidRPr="00FF7B2A">
        <w:rPr>
          <w:noProof/>
        </w:rPr>
        <w:tab/>
        <w:t>Στο εθνικό σχέδιο της Βουλγαρίας για τη μετάβαση στο ευρώ σε φυσική μορφή, διευκρινίζεται ότι τα τραπεζογραμμάτια και κέρματα ευρώ θα πρέπει να καταστούν νόμιμο χρήμα στο εν λόγω κράτος μέλος κατά την ημερομηνία υιοθέτησης του ευρώ ως νομίσματος. Κατά συνέπεια, ως ημερομηνία υιοθέτησης του ευρώ και μετάβασης στο ευρώ σε φυσική μορφή θα πρέπει να οριστεί η 1η Ιανουαρίου 2026. Δεν θα εφαρμοστεί περίοδος «σταδιακής απόσυρσης».</w:t>
      </w:r>
    </w:p>
    <w:p w14:paraId="5A33BBE2" w14:textId="77777777" w:rsidR="00414613" w:rsidRPr="00FF7B2A" w:rsidRDefault="006B1DE0" w:rsidP="006B1DE0">
      <w:pPr>
        <w:pStyle w:val="ManualConsidrant"/>
        <w:rPr>
          <w:noProof/>
        </w:rPr>
      </w:pPr>
      <w:r w:rsidRPr="00FF7B2A">
        <w:rPr>
          <w:noProof/>
        </w:rPr>
        <w:t>(6)</w:t>
      </w:r>
      <w:r w:rsidRPr="00FF7B2A">
        <w:rPr>
          <w:noProof/>
        </w:rPr>
        <w:tab/>
        <w:t>Ο κανονισμός (ΕΚ) αριθ. 974/98 θα πρέπει, συνεπώς, να τροποποιηθεί αναλόγως,</w:t>
      </w:r>
    </w:p>
    <w:p w14:paraId="0DBBA5BF" w14:textId="77777777" w:rsidR="00414613" w:rsidRPr="00FF7B2A" w:rsidRDefault="00414613">
      <w:pPr>
        <w:pStyle w:val="Formuledadoption"/>
        <w:rPr>
          <w:noProof/>
        </w:rPr>
      </w:pPr>
      <w:r w:rsidRPr="00FF7B2A">
        <w:rPr>
          <w:noProof/>
        </w:rPr>
        <w:t>ΕΞΕΔΩΣΕ ΤΟΝ ΠΑΡΟΝΤΑ ΚΑΝΟΝΙΣΜΟ:</w:t>
      </w:r>
    </w:p>
    <w:p w14:paraId="72D23F4A" w14:textId="77777777" w:rsidR="00414613" w:rsidRPr="00FF7B2A" w:rsidRDefault="00414613">
      <w:pPr>
        <w:pStyle w:val="Titrearticle"/>
        <w:rPr>
          <w:noProof/>
        </w:rPr>
      </w:pPr>
      <w:r w:rsidRPr="00FF7B2A">
        <w:rPr>
          <w:noProof/>
        </w:rPr>
        <w:t>Άρθρο 1</w:t>
      </w:r>
    </w:p>
    <w:p w14:paraId="06D2EEDA" w14:textId="77777777" w:rsidR="00414613" w:rsidRPr="00FF7B2A" w:rsidRDefault="56BE6612" w:rsidP="00B91EB1">
      <w:pPr>
        <w:spacing w:after="240"/>
        <w:rPr>
          <w:noProof/>
        </w:rPr>
      </w:pPr>
      <w:bookmarkStart w:id="3" w:name="texte"/>
      <w:r w:rsidRPr="00FF7B2A">
        <w:rPr>
          <w:noProof/>
        </w:rPr>
        <w:t>Στο παράρτημα του κανονισμού (ΕΚ) αριθ. 974/98 παρεμβάλλεται η ακόλουθη καταχώριση μεταξύ της καταχώρισης για το Βέλγιο και της καταχώρισης για τη Γερμανία:</w:t>
      </w:r>
    </w:p>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1520"/>
        <w:gridCol w:w="1696"/>
        <w:gridCol w:w="1808"/>
      </w:tblGrid>
      <w:tr w:rsidR="00D13AC3" w:rsidRPr="00FF7B2A" w14:paraId="49FF46ED" w14:textId="77777777" w:rsidTr="2B01EE09">
        <w:tc>
          <w:tcPr>
            <w:tcW w:w="1519" w:type="dxa"/>
          </w:tcPr>
          <w:p w14:paraId="6521C323" w14:textId="77777777" w:rsidR="00805A9B" w:rsidRPr="00FF7B2A" w:rsidRDefault="16DF2206" w:rsidP="00DC3ED2">
            <w:pPr>
              <w:rPr>
                <w:rFonts w:cs="Arial"/>
                <w:noProof/>
                <w:sz w:val="18"/>
                <w:szCs w:val="18"/>
              </w:rPr>
            </w:pPr>
            <w:r w:rsidRPr="00FF7B2A">
              <w:rPr>
                <w:noProof/>
                <w:sz w:val="18"/>
              </w:rPr>
              <w:t>«Βουλγαρία</w:t>
            </w:r>
          </w:p>
        </w:tc>
        <w:tc>
          <w:tcPr>
            <w:tcW w:w="1520" w:type="dxa"/>
          </w:tcPr>
          <w:p w14:paraId="5B47FA6B" w14:textId="77777777" w:rsidR="00805A9B" w:rsidRPr="00FF7B2A" w:rsidRDefault="16DF2206" w:rsidP="00DC3ED2">
            <w:pPr>
              <w:rPr>
                <w:rFonts w:cs="Arial"/>
                <w:noProof/>
                <w:sz w:val="18"/>
                <w:szCs w:val="18"/>
              </w:rPr>
            </w:pPr>
            <w:r w:rsidRPr="00FF7B2A">
              <w:rPr>
                <w:noProof/>
                <w:sz w:val="18"/>
              </w:rPr>
              <w:t>1η Ιανουαρίου 2026</w:t>
            </w:r>
          </w:p>
        </w:tc>
        <w:tc>
          <w:tcPr>
            <w:tcW w:w="1696" w:type="dxa"/>
          </w:tcPr>
          <w:p w14:paraId="735EB981" w14:textId="77777777" w:rsidR="00805A9B" w:rsidRPr="00FF7B2A" w:rsidRDefault="16DF2206" w:rsidP="00DC3ED2">
            <w:pPr>
              <w:rPr>
                <w:rFonts w:cs="Arial"/>
                <w:noProof/>
                <w:sz w:val="18"/>
                <w:szCs w:val="18"/>
              </w:rPr>
            </w:pPr>
            <w:r w:rsidRPr="00FF7B2A">
              <w:rPr>
                <w:noProof/>
                <w:sz w:val="18"/>
              </w:rPr>
              <w:t>1η Ιανουαρίου 2026</w:t>
            </w:r>
          </w:p>
        </w:tc>
        <w:tc>
          <w:tcPr>
            <w:tcW w:w="1808" w:type="dxa"/>
          </w:tcPr>
          <w:p w14:paraId="13FF7384" w14:textId="77777777" w:rsidR="00805A9B" w:rsidRPr="00FF7B2A" w:rsidRDefault="00805A9B" w:rsidP="00DC3ED2">
            <w:pPr>
              <w:rPr>
                <w:rFonts w:cs="Arial"/>
                <w:noProof/>
                <w:sz w:val="18"/>
                <w:szCs w:val="18"/>
              </w:rPr>
            </w:pPr>
            <w:r w:rsidRPr="00FF7B2A">
              <w:rPr>
                <w:noProof/>
                <w:sz w:val="18"/>
              </w:rPr>
              <w:t>Όχι»</w:t>
            </w:r>
          </w:p>
        </w:tc>
      </w:tr>
    </w:tbl>
    <w:bookmarkEnd w:id="3"/>
    <w:p w14:paraId="6150BFDF" w14:textId="77777777" w:rsidR="00414613" w:rsidRPr="00FF7B2A" w:rsidRDefault="00414613">
      <w:pPr>
        <w:pStyle w:val="Titrearticle"/>
        <w:rPr>
          <w:noProof/>
        </w:rPr>
      </w:pPr>
      <w:r w:rsidRPr="00FF7B2A">
        <w:rPr>
          <w:noProof/>
        </w:rPr>
        <w:t>Άρθρο 2</w:t>
      </w:r>
    </w:p>
    <w:p w14:paraId="71DDBCAE" w14:textId="77777777" w:rsidR="008E6595" w:rsidRPr="00FF7B2A" w:rsidRDefault="7E087140" w:rsidP="008E6595">
      <w:pPr>
        <w:rPr>
          <w:noProof/>
        </w:rPr>
      </w:pPr>
      <w:r w:rsidRPr="00FF7B2A">
        <w:rPr>
          <w:noProof/>
        </w:rPr>
        <w:t>Ο παρών κανονισμός αρχίζει να ισχύει την 1η Ιανουαρίου 2026.</w:t>
      </w:r>
    </w:p>
    <w:p w14:paraId="629C43EA" w14:textId="77777777" w:rsidR="00414613" w:rsidRPr="00FF7B2A" w:rsidRDefault="00414613" w:rsidP="008E6595">
      <w:pPr>
        <w:pStyle w:val="Applicationdirecte"/>
        <w:rPr>
          <w:noProof/>
        </w:rPr>
      </w:pPr>
      <w:r w:rsidRPr="00FF7B2A">
        <w:rPr>
          <w:noProof/>
        </w:rPr>
        <w:t>Ο παρών κανονισμός είναι δεσμευτικός ως προς όλα τα μέρη του και ισχύει άμεσα σε κάθε κράτος μέλος.</w:t>
      </w:r>
    </w:p>
    <w:p w14:paraId="1FE646A5" w14:textId="09D20779" w:rsidR="00414613" w:rsidRPr="00FF7B2A" w:rsidRDefault="00711EA6" w:rsidP="00711EA6">
      <w:pPr>
        <w:pStyle w:val="Fait"/>
        <w:rPr>
          <w:noProof/>
        </w:rPr>
      </w:pPr>
      <w:r w:rsidRPr="00711EA6">
        <w:t>Βρυξέλλες,</w:t>
      </w:r>
    </w:p>
    <w:p w14:paraId="6030EB3A" w14:textId="77777777" w:rsidR="00414613" w:rsidRPr="00FF7B2A" w:rsidRDefault="00414613" w:rsidP="0066573D">
      <w:pPr>
        <w:pStyle w:val="Institutionquisigne"/>
        <w:rPr>
          <w:noProof/>
        </w:rPr>
      </w:pPr>
      <w:r w:rsidRPr="00FF7B2A">
        <w:rPr>
          <w:noProof/>
        </w:rPr>
        <w:tab/>
        <w:t>Για το Συμβούλιο</w:t>
      </w:r>
    </w:p>
    <w:p w14:paraId="4FBCEE41" w14:textId="77777777" w:rsidR="0048086E" w:rsidRPr="00FF7B2A" w:rsidRDefault="00414613" w:rsidP="0066573D">
      <w:pPr>
        <w:pStyle w:val="Personnequisigne"/>
        <w:keepNext/>
        <w:rPr>
          <w:noProof/>
        </w:rPr>
      </w:pPr>
      <w:r w:rsidRPr="00FF7B2A">
        <w:rPr>
          <w:noProof/>
        </w:rPr>
        <w:tab/>
        <w:t>Ο/Η Πρόεδρος</w:t>
      </w:r>
    </w:p>
    <w:p w14:paraId="1E0D19D1" w14:textId="77777777" w:rsidR="0048086E" w:rsidRPr="00FF7B2A" w:rsidRDefault="0048086E" w:rsidP="0048086E">
      <w:pPr>
        <w:pStyle w:val="Personnequisigne"/>
        <w:rPr>
          <w:noProof/>
        </w:rPr>
      </w:pPr>
    </w:p>
    <w:sectPr w:rsidR="0048086E" w:rsidRPr="00FF7B2A" w:rsidSect="00711EA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6AA1" w14:textId="77777777" w:rsidR="00625D57" w:rsidRPr="00E12037" w:rsidRDefault="00625D57" w:rsidP="00414613">
      <w:pPr>
        <w:spacing w:before="0" w:after="0"/>
      </w:pPr>
      <w:r>
        <w:separator/>
      </w:r>
    </w:p>
  </w:endnote>
  <w:endnote w:type="continuationSeparator" w:id="0">
    <w:p w14:paraId="3322CC90" w14:textId="77777777" w:rsidR="00625D57" w:rsidRPr="00E12037" w:rsidRDefault="00625D57" w:rsidP="00414613">
      <w:pPr>
        <w:spacing w:before="0" w:after="0"/>
      </w:pPr>
      <w:r>
        <w:continuationSeparator/>
      </w:r>
    </w:p>
  </w:endnote>
  <w:endnote w:type="continuationNotice" w:id="1">
    <w:p w14:paraId="1C4FDD6E" w14:textId="77777777" w:rsidR="00625D57" w:rsidRPr="00E12037" w:rsidRDefault="00625D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1254" w14:textId="7FCC4F6A" w:rsidR="00711EA6" w:rsidRPr="00711EA6" w:rsidRDefault="00711EA6" w:rsidP="00711EA6">
    <w:pPr>
      <w:pStyle w:val="Footer"/>
      <w:rPr>
        <w:rFonts w:ascii="Arial" w:hAnsi="Arial" w:cs="Arial"/>
        <w:b/>
        <w:sz w:val="48"/>
      </w:rPr>
    </w:pPr>
    <w:r w:rsidRPr="00711EA6">
      <w:rPr>
        <w:rFonts w:ascii="Arial" w:hAnsi="Arial" w:cs="Arial"/>
        <w:b/>
        <w:sz w:val="48"/>
      </w:rPr>
      <w:t>EL</w:t>
    </w:r>
    <w:r w:rsidRPr="00711EA6">
      <w:rPr>
        <w:rFonts w:ascii="Arial" w:hAnsi="Arial" w:cs="Arial"/>
        <w:b/>
        <w:sz w:val="48"/>
      </w:rPr>
      <w:tab/>
    </w:r>
    <w:r w:rsidRPr="00711EA6">
      <w:rPr>
        <w:rFonts w:ascii="Arial" w:hAnsi="Arial" w:cs="Arial"/>
        <w:b/>
        <w:sz w:val="48"/>
      </w:rPr>
      <w:tab/>
    </w:r>
    <w:r w:rsidRPr="00711EA6">
      <w:tab/>
    </w:r>
    <w:proofErr w:type="spellStart"/>
    <w:r w:rsidRPr="00711EA6">
      <w:rPr>
        <w:rFonts w:ascii="Arial" w:hAnsi="Arial" w:cs="Arial"/>
        <w:b/>
        <w:sz w:val="48"/>
      </w:rPr>
      <w:t>EL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427B" w14:textId="626BBA52" w:rsidR="00711EA6" w:rsidRPr="00711EA6" w:rsidRDefault="00711EA6" w:rsidP="00711EA6">
    <w:pPr>
      <w:pStyle w:val="Footer"/>
      <w:rPr>
        <w:rFonts w:ascii="Arial" w:hAnsi="Arial" w:cs="Arial"/>
        <w:b/>
        <w:sz w:val="48"/>
      </w:rPr>
    </w:pPr>
    <w:r w:rsidRPr="00711EA6">
      <w:rPr>
        <w:rFonts w:ascii="Arial" w:hAnsi="Arial" w:cs="Arial"/>
        <w:b/>
        <w:sz w:val="48"/>
      </w:rPr>
      <w:t>EL</w:t>
    </w:r>
    <w:r w:rsidRPr="00711EA6">
      <w:rPr>
        <w:rFonts w:ascii="Arial" w:hAnsi="Arial" w:cs="Arial"/>
        <w:b/>
        <w:sz w:val="48"/>
      </w:rPr>
      <w:tab/>
    </w:r>
    <w:r w:rsidRPr="00711EA6">
      <w:rPr>
        <w:rFonts w:ascii="Arial" w:hAnsi="Arial" w:cs="Arial"/>
        <w:b/>
        <w:sz w:val="48"/>
      </w:rPr>
      <w:tab/>
    </w:r>
    <w:r w:rsidRPr="00711EA6">
      <w:tab/>
    </w:r>
    <w:proofErr w:type="spellStart"/>
    <w:r w:rsidRPr="00711EA6">
      <w:rPr>
        <w:rFonts w:ascii="Arial" w:hAnsi="Arial" w:cs="Arial"/>
        <w:b/>
        <w:sz w:val="48"/>
      </w:rPr>
      <w:t>EL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D079" w14:textId="77777777" w:rsidR="00711EA6" w:rsidRPr="00711EA6" w:rsidRDefault="00711EA6" w:rsidP="00711E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47A7" w14:textId="77777777" w:rsidR="00E30FE0" w:rsidRDefault="00E30F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BF6C" w14:textId="25337D4A" w:rsidR="00711EA6" w:rsidRPr="00711EA6" w:rsidRDefault="00711EA6" w:rsidP="00711EA6">
    <w:pPr>
      <w:pStyle w:val="Footer"/>
      <w:rPr>
        <w:rFonts w:ascii="Arial" w:hAnsi="Arial" w:cs="Arial"/>
        <w:b/>
        <w:sz w:val="48"/>
      </w:rPr>
    </w:pPr>
    <w:r w:rsidRPr="00711EA6">
      <w:rPr>
        <w:rFonts w:ascii="Arial" w:hAnsi="Arial" w:cs="Arial"/>
        <w:b/>
        <w:sz w:val="48"/>
      </w:rPr>
      <w:t>EL</w:t>
    </w:r>
    <w:r w:rsidRPr="00711EA6">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711EA6">
      <w:tab/>
    </w:r>
    <w:r w:rsidRPr="00711EA6">
      <w:rPr>
        <w:rFonts w:ascii="Arial" w:hAnsi="Arial" w:cs="Arial"/>
        <w:b/>
        <w:sz w:val="48"/>
      </w:rPr>
      <w:t>EL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E0E0" w14:textId="77777777" w:rsidR="00E30FE0" w:rsidRDefault="00E30FE0" w:rsidP="00711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1E90" w14:textId="77777777" w:rsidR="00625D57" w:rsidRPr="00E12037" w:rsidRDefault="00625D57" w:rsidP="00414613">
      <w:pPr>
        <w:spacing w:before="0" w:after="0"/>
      </w:pPr>
      <w:r>
        <w:separator/>
      </w:r>
    </w:p>
  </w:footnote>
  <w:footnote w:type="continuationSeparator" w:id="0">
    <w:p w14:paraId="3AF85104" w14:textId="77777777" w:rsidR="00625D57" w:rsidRPr="00E12037" w:rsidRDefault="00625D57" w:rsidP="00414613">
      <w:pPr>
        <w:spacing w:before="0" w:after="0"/>
      </w:pPr>
      <w:r>
        <w:continuationSeparator/>
      </w:r>
    </w:p>
  </w:footnote>
  <w:footnote w:type="continuationNotice" w:id="1">
    <w:p w14:paraId="7F022135" w14:textId="77777777" w:rsidR="00625D57" w:rsidRPr="00E12037" w:rsidRDefault="00625D57">
      <w:pPr>
        <w:spacing w:before="0" w:after="0"/>
      </w:pPr>
    </w:p>
  </w:footnote>
  <w:footnote w:id="2">
    <w:p w14:paraId="76A84485" w14:textId="77777777" w:rsidR="00B35235" w:rsidRPr="00FF7B2A" w:rsidRDefault="00EF3F1C" w:rsidP="00B35235">
      <w:pPr>
        <w:pStyle w:val="FootnoteText"/>
      </w:pPr>
      <w:r w:rsidRPr="00FF7B2A">
        <w:t>(</w:t>
      </w:r>
      <w:r>
        <w:rPr>
          <w:rStyle w:val="FootnoteReference"/>
        </w:rPr>
        <w:footnoteRef/>
      </w:r>
      <w:r w:rsidRPr="00FF7B2A">
        <w:t>)</w:t>
      </w:r>
      <w:r w:rsidRPr="00FF7B2A">
        <w:tab/>
        <w:t xml:space="preserve">ΕΕ </w:t>
      </w:r>
      <w:r>
        <w:t>L</w:t>
      </w:r>
      <w:r w:rsidRPr="00FF7B2A">
        <w:t xml:space="preserve"> 139 της 11.5.1998, σ. 1.</w:t>
      </w:r>
    </w:p>
  </w:footnote>
  <w:footnote w:id="3">
    <w:p w14:paraId="3059A884" w14:textId="77777777" w:rsidR="00B35235" w:rsidRPr="00FF7B2A" w:rsidRDefault="00EF3F1C" w:rsidP="00B35235">
      <w:pPr>
        <w:pStyle w:val="FootnoteText"/>
      </w:pPr>
      <w:r w:rsidRPr="00FF7B2A">
        <w:t>(</w:t>
      </w:r>
      <w:r>
        <w:rPr>
          <w:rStyle w:val="FootnoteReference"/>
        </w:rPr>
        <w:footnoteRef/>
      </w:r>
      <w:r w:rsidRPr="00FF7B2A">
        <w:t>)</w:t>
      </w:r>
      <w:r w:rsidRPr="00FF7B2A">
        <w:tab/>
        <w:t xml:space="preserve"> Κανονισμός (</w:t>
      </w:r>
      <w:r>
        <w:t>E</w:t>
      </w:r>
      <w:r w:rsidRPr="00FF7B2A">
        <w:t>Κ) αριθ. 2596/2000 του Συμβουλίου, της 27ης Νοεμβρίου 2000, για την τροποποίηση του κανονισμού (</w:t>
      </w:r>
      <w:r>
        <w:t>E</w:t>
      </w:r>
      <w:r w:rsidRPr="00FF7B2A">
        <w:t xml:space="preserve">Κ) αριθ. 974/98 του Συμβουλίου για την εισαγωγή του ευρώ (ΕΕ </w:t>
      </w:r>
      <w:r>
        <w:t>L</w:t>
      </w:r>
      <w:r w:rsidRPr="00FF7B2A">
        <w:t xml:space="preserve"> 300 της 29.11.2000, σ. 2).</w:t>
      </w:r>
    </w:p>
  </w:footnote>
  <w:footnote w:id="4">
    <w:p w14:paraId="7AA28FB7" w14:textId="0547F35B" w:rsidR="3211560E" w:rsidRPr="00FF7B2A" w:rsidRDefault="00EF3F1C" w:rsidP="00F42E7E">
      <w:pPr>
        <w:pStyle w:val="FootnoteText"/>
      </w:pPr>
      <w:r w:rsidRPr="00FF7B2A">
        <w:rPr>
          <w:rStyle w:val="FootnoteReference"/>
        </w:rPr>
        <w:t>(</w:t>
      </w:r>
      <w:r>
        <w:rPr>
          <w:rStyle w:val="FootnoteReference"/>
        </w:rPr>
        <w:footnoteRef/>
      </w:r>
      <w:r w:rsidRPr="00FF7B2A">
        <w:rPr>
          <w:rStyle w:val="FootnoteReference"/>
        </w:rPr>
        <w:t>)</w:t>
      </w:r>
      <w:r w:rsidRPr="00FF7B2A">
        <w:tab/>
      </w:r>
      <w:r w:rsidRPr="00FF7B2A">
        <w:t>Γνώμη της [...] [...] [...].</w:t>
      </w:r>
    </w:p>
  </w:footnote>
  <w:footnote w:id="5">
    <w:p w14:paraId="49704F6C" w14:textId="77777777" w:rsidR="00414613" w:rsidRPr="00FF7B2A" w:rsidRDefault="00EF3F1C" w:rsidP="00B91EB1">
      <w:pPr>
        <w:pStyle w:val="FootnoteText"/>
      </w:pPr>
      <w:r w:rsidRPr="00FF7B2A">
        <w:t>(</w:t>
      </w:r>
      <w:r>
        <w:rPr>
          <w:rStyle w:val="FootnoteReference"/>
        </w:rPr>
        <w:footnoteRef/>
      </w:r>
      <w:r w:rsidRPr="00FF7B2A">
        <w:t>)</w:t>
      </w:r>
      <w:r w:rsidRPr="00FF7B2A">
        <w:tab/>
        <w:t>Κανονισμός (ΕΚ) αριθ.</w:t>
      </w:r>
      <w:r>
        <w:t> </w:t>
      </w:r>
      <w:r w:rsidRPr="00FF7B2A">
        <w:t>974/98 του Συμβουλίου, της 3ης</w:t>
      </w:r>
      <w:r>
        <w:t> </w:t>
      </w:r>
      <w:r w:rsidRPr="00FF7B2A">
        <w:t>Μαΐου 1998, για την εισαγωγή του ευρώ (ΕΕ</w:t>
      </w:r>
      <w:r>
        <w:t> L </w:t>
      </w:r>
      <w:r w:rsidRPr="00FF7B2A">
        <w:t>139 της 11.5.1998, σ.</w:t>
      </w:r>
      <w:r>
        <w:t> </w:t>
      </w:r>
      <w:r w:rsidRPr="00FF7B2A">
        <w:t>1).</w:t>
      </w:r>
    </w:p>
  </w:footnote>
  <w:footnote w:id="6">
    <w:p w14:paraId="74A3CA75" w14:textId="492954FB" w:rsidR="00883AF9" w:rsidRPr="00FF7B2A" w:rsidRDefault="4D4D0E6B" w:rsidP="00883AF9">
      <w:pPr>
        <w:pStyle w:val="FootnoteText"/>
      </w:pPr>
      <w:r w:rsidRPr="00FF7B2A">
        <w:rPr>
          <w:rStyle w:val="FootnoteReference"/>
        </w:rPr>
        <w:t>(</w:t>
      </w:r>
      <w:r>
        <w:rPr>
          <w:rStyle w:val="FootnoteReference"/>
        </w:rPr>
        <w:footnoteRef/>
      </w:r>
      <w:r w:rsidRPr="00FF7B2A">
        <w:rPr>
          <w:rStyle w:val="FootnoteReference"/>
        </w:rPr>
        <w:t>)</w:t>
      </w:r>
      <w:r w:rsidRPr="00FF7B2A">
        <w:tab/>
      </w:r>
      <w:r w:rsidRPr="00FF7B2A">
        <w:t>Πράξη περί των όρων προσχωρήσεως της Δημοκρατίας της Βουλγαρίας και της Ρουμανίας και των προσαρμογών των συνθηκών επί των οποίων βασίζεται η Ευρωπαϊκή Ένωση (ΕΕ</w:t>
      </w:r>
      <w:r>
        <w:t> L </w:t>
      </w:r>
      <w:r w:rsidRPr="00FF7B2A">
        <w:t>157 της 21.6.2005, σ.</w:t>
      </w:r>
      <w:r>
        <w:t> </w:t>
      </w:r>
      <w:r w:rsidRPr="00FF7B2A">
        <w:t>203).</w:t>
      </w:r>
    </w:p>
  </w:footnote>
  <w:footnote w:id="7">
    <w:p w14:paraId="4A9ADDBE" w14:textId="77777777" w:rsidR="00414613" w:rsidRPr="00FF7B2A" w:rsidRDefault="00EF3F1C" w:rsidP="00B91EB1">
      <w:pPr>
        <w:pStyle w:val="FootnoteText"/>
        <w:rPr>
          <w:rFonts w:ascii="Arial" w:eastAsia="Arial" w:hAnsi="Arial" w:cs="Arial"/>
        </w:rPr>
      </w:pPr>
      <w:r w:rsidRPr="00FF7B2A">
        <w:t>(</w:t>
      </w:r>
      <w:r>
        <w:rPr>
          <w:rStyle w:val="FootnoteReference"/>
          <w:rFonts w:ascii="Arial" w:eastAsia="Arial" w:hAnsi="Arial" w:cs="Arial"/>
        </w:rPr>
        <w:footnoteRef/>
      </w:r>
      <w:r w:rsidRPr="00FF7B2A">
        <w:t>)</w:t>
      </w:r>
      <w:r w:rsidRPr="00FF7B2A">
        <w:tab/>
      </w:r>
      <w:r w:rsidRPr="00FF7B2A">
        <w:rPr>
          <w:color w:val="333333"/>
        </w:rPr>
        <w:t>Απόφαση (ΕΕ) 2025/ ... του Συμβουλίου</w:t>
      </w:r>
      <w:r w:rsidRPr="00FF7B2A">
        <w:t xml:space="preserve"> </w:t>
      </w:r>
      <w:r w:rsidRPr="00FF7B2A">
        <w:rPr>
          <w:color w:val="333333"/>
        </w:rPr>
        <w:t>σχετικά με την υιοθέτηση του ευρώ από τη Βουλγαρία την 1η Ιανουαρίου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1764" w14:textId="77777777" w:rsidR="00711EA6" w:rsidRPr="00711EA6" w:rsidRDefault="00711EA6" w:rsidP="00711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5F09" w14:textId="77777777" w:rsidR="00711EA6" w:rsidRPr="00711EA6" w:rsidRDefault="00711EA6" w:rsidP="00711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79B3" w14:textId="77777777" w:rsidR="00711EA6" w:rsidRPr="00711EA6" w:rsidRDefault="00711EA6" w:rsidP="00711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BDA9" w14:textId="77777777" w:rsidR="00E30FE0" w:rsidRDefault="00E30F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4AD0" w14:textId="77777777" w:rsidR="00E30FE0" w:rsidRDefault="00E30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DD24D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7F4CFE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94C8EB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0767D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B68E8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E0E65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FD0CA9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4F6249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35579946">
    <w:abstractNumId w:val="6"/>
  </w:num>
  <w:num w:numId="2" w16cid:durableId="1976329816">
    <w:abstractNumId w:val="2"/>
  </w:num>
  <w:num w:numId="3" w16cid:durableId="1887133267">
    <w:abstractNumId w:val="1"/>
  </w:num>
  <w:num w:numId="4" w16cid:durableId="513105736">
    <w:abstractNumId w:val="0"/>
  </w:num>
  <w:num w:numId="5" w16cid:durableId="1809929306">
    <w:abstractNumId w:val="7"/>
  </w:num>
  <w:num w:numId="6" w16cid:durableId="242689171">
    <w:abstractNumId w:val="5"/>
  </w:num>
  <w:num w:numId="7" w16cid:durableId="344409379">
    <w:abstractNumId w:val="4"/>
  </w:num>
  <w:num w:numId="8" w16cid:durableId="715351456">
    <w:abstractNumId w:val="3"/>
  </w:num>
  <w:num w:numId="9" w16cid:durableId="248732217">
    <w:abstractNumId w:val="19"/>
  </w:num>
  <w:num w:numId="10" w16cid:durableId="2117022624">
    <w:abstractNumId w:val="12"/>
  </w:num>
  <w:num w:numId="11" w16cid:durableId="896865277">
    <w:abstractNumId w:val="21"/>
  </w:num>
  <w:num w:numId="12" w16cid:durableId="1425416139">
    <w:abstractNumId w:val="11"/>
  </w:num>
  <w:num w:numId="13" w16cid:durableId="1984892865">
    <w:abstractNumId w:val="13"/>
  </w:num>
  <w:num w:numId="14" w16cid:durableId="49160782">
    <w:abstractNumId w:val="14"/>
  </w:num>
  <w:num w:numId="15" w16cid:durableId="2039040793">
    <w:abstractNumId w:val="9"/>
  </w:num>
  <w:num w:numId="16" w16cid:durableId="1619099193">
    <w:abstractNumId w:val="20"/>
  </w:num>
  <w:num w:numId="17" w16cid:durableId="252128376">
    <w:abstractNumId w:val="8"/>
  </w:num>
  <w:num w:numId="18" w16cid:durableId="738096705">
    <w:abstractNumId w:val="15"/>
  </w:num>
  <w:num w:numId="19" w16cid:durableId="881093067">
    <w:abstractNumId w:val="17"/>
  </w:num>
  <w:num w:numId="20" w16cid:durableId="661390708">
    <w:abstractNumId w:val="18"/>
  </w:num>
  <w:num w:numId="21" w16cid:durableId="785543000">
    <w:abstractNumId w:val="10"/>
  </w:num>
  <w:num w:numId="22" w16cid:durableId="1989629953">
    <w:abstractNumId w:val="16"/>
  </w:num>
  <w:num w:numId="23" w16cid:durableId="171114998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57"/>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QCDateTime" w:val="2025-06-03 18:03: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BDD6289F-946D-4D32-849A-A068A47FBAB1"/>
    <w:docVar w:name="LW_COVERPAGE_TYPE" w:val="1"/>
    <w:docVar w:name="LW_CROSSREFERENCE" w:val="&lt;UNUSED&gt;"/>
    <w:docVar w:name="LW_DocType" w:val="COM"/>
    <w:docVar w:name="LW_EMISSION" w:val="4.6.2025"/>
    <w:docVar w:name="LW_EMISSION_ISODATE" w:val="2025-06-04"/>
    <w:docVar w:name="LW_EMISSION_LOCATION" w:val="BRX"/>
    <w:docVar w:name="LW_EMISSION_PREFIX" w:val="\u914?\u961?\u965?\u958?\u941?\u955?\u955?\u949?\u962?, "/>
    <w:docVar w:name="LW_EMISSION_SUFFIX" w:val=" "/>
    <w:docVar w:name="LW_FAITA" w:val="Done at Brussels,"/>
    <w:docVar w:name="LW_ID_DOCMODEL" w:val="SJ-016"/>
    <w:docVar w:name="LW_ID_DOCSIGNATURE" w:val="SJ-016"/>
    <w:docVar w:name="LW_ID_DOCSTRUCTURE" w:val="COM/PL/ORG"/>
    <w:docVar w:name="LW_ID_DOCTYPE" w:val="SJ-016"/>
    <w:docVar w:name="LW_ID_STATUT" w:val="SJ-016"/>
    <w:docVar w:name="LW_INST.SIGNE" w:val="_x0009_For the Council"/>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PERS.SIGNE" w:val="_x0009_The President"/>
    <w:docVar w:name="LW_REF.II.NEW.CP" w:val="NLE"/>
    <w:docVar w:name="LW_REF.II.NEW.CP_NUMBER" w:val="0159"/>
    <w:docVar w:name="LW_REF.II.NEW.CP_YEAR" w:val="2025"/>
    <w:docVar w:name="LW_REF.INST.NEW" w:val="COM"/>
    <w:docVar w:name="LW_REF.INST.NEW_ADOPTED" w:val="final/2     DOWNGRADED ON 4.6.2025"/>
    <w:docVar w:name="LW_REF.INST.NEW_TEXT" w:val="(2025) 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59?\u965? \u954?\u945?\u957?\u959?\u957?\u953?\u963?\u956?\u959?\u973? (\u917?\u922?) \u945?\u961?\u953?\u952?. 974/98 \u945?\u957?\u945?\u966?\u959?\u961?\u953?\u954?\u940? \u956?\u949? \u964?\u951?\u957? \u949?\u953?\u963?\u945?\u947?\u969?\u947?\u942? \u964?\u959?\u965? \u949?\u965?\u961?\u974? \u963?\u964?\u951? \u914?\u959?\u965?\u955?\u947?\u945?\u961?\u943?\u945?"/>
    <w:docVar w:name="LW_TYPE.DOC.CP" w:val="\u922?\u913?\u925?\u927?\u925?\u921?\u931?\u924?\u927?\u931? \u932?\u927?\u933? \u931?\u933?\u924?\u914?\u927?\u933?\u923?\u921?\u927?\u933?"/>
    <w:docVar w:name="LwApiVersions" w:val="LW4CoDe 1.24.5.0; LW 9.0, Build 20240221"/>
  </w:docVars>
  <w:rsids>
    <w:rsidRoot w:val="00414613"/>
    <w:rsid w:val="00015150"/>
    <w:rsid w:val="00031F00"/>
    <w:rsid w:val="000320D8"/>
    <w:rsid w:val="000322CC"/>
    <w:rsid w:val="000479AC"/>
    <w:rsid w:val="0005353E"/>
    <w:rsid w:val="00063DFF"/>
    <w:rsid w:val="00072404"/>
    <w:rsid w:val="000724B9"/>
    <w:rsid w:val="000735F1"/>
    <w:rsid w:val="000769C5"/>
    <w:rsid w:val="0008208F"/>
    <w:rsid w:val="00087BA4"/>
    <w:rsid w:val="00094F85"/>
    <w:rsid w:val="000A450C"/>
    <w:rsid w:val="000A59D6"/>
    <w:rsid w:val="000A6618"/>
    <w:rsid w:val="000A81F8"/>
    <w:rsid w:val="000B6E0F"/>
    <w:rsid w:val="000C0955"/>
    <w:rsid w:val="000C27F8"/>
    <w:rsid w:val="000C4834"/>
    <w:rsid w:val="000C5D6E"/>
    <w:rsid w:val="000D0F11"/>
    <w:rsid w:val="000D4AF7"/>
    <w:rsid w:val="000D7B2F"/>
    <w:rsid w:val="000E2184"/>
    <w:rsid w:val="000E488C"/>
    <w:rsid w:val="000F03FA"/>
    <w:rsid w:val="000F05B0"/>
    <w:rsid w:val="000F1CFA"/>
    <w:rsid w:val="000F2033"/>
    <w:rsid w:val="000F3FA7"/>
    <w:rsid w:val="001023F5"/>
    <w:rsid w:val="001117C7"/>
    <w:rsid w:val="00116792"/>
    <w:rsid w:val="00127B7F"/>
    <w:rsid w:val="00133418"/>
    <w:rsid w:val="00141895"/>
    <w:rsid w:val="0014478C"/>
    <w:rsid w:val="00145A76"/>
    <w:rsid w:val="00153A1D"/>
    <w:rsid w:val="001670FE"/>
    <w:rsid w:val="00170B47"/>
    <w:rsid w:val="001A5BE0"/>
    <w:rsid w:val="001B329E"/>
    <w:rsid w:val="001B3488"/>
    <w:rsid w:val="001B3A94"/>
    <w:rsid w:val="001B4B4E"/>
    <w:rsid w:val="001B6E63"/>
    <w:rsid w:val="001C43D5"/>
    <w:rsid w:val="001C4B0A"/>
    <w:rsid w:val="001C4B70"/>
    <w:rsid w:val="001C5FC8"/>
    <w:rsid w:val="001C6F47"/>
    <w:rsid w:val="001D2E78"/>
    <w:rsid w:val="001D4495"/>
    <w:rsid w:val="001D5676"/>
    <w:rsid w:val="001E4D1A"/>
    <w:rsid w:val="001E5484"/>
    <w:rsid w:val="001F089F"/>
    <w:rsid w:val="001F5225"/>
    <w:rsid w:val="00201328"/>
    <w:rsid w:val="0020283C"/>
    <w:rsid w:val="00204562"/>
    <w:rsid w:val="00210B66"/>
    <w:rsid w:val="00212814"/>
    <w:rsid w:val="00220178"/>
    <w:rsid w:val="002215D3"/>
    <w:rsid w:val="00230483"/>
    <w:rsid w:val="00233646"/>
    <w:rsid w:val="00246156"/>
    <w:rsid w:val="002468DA"/>
    <w:rsid w:val="0025317B"/>
    <w:rsid w:val="002536BC"/>
    <w:rsid w:val="00262F01"/>
    <w:rsid w:val="002665C5"/>
    <w:rsid w:val="00266C2A"/>
    <w:rsid w:val="00270125"/>
    <w:rsid w:val="00274434"/>
    <w:rsid w:val="00274732"/>
    <w:rsid w:val="002776D7"/>
    <w:rsid w:val="00283180"/>
    <w:rsid w:val="002911D8"/>
    <w:rsid w:val="0029613D"/>
    <w:rsid w:val="00297140"/>
    <w:rsid w:val="002971F9"/>
    <w:rsid w:val="002A0709"/>
    <w:rsid w:val="002A1BF7"/>
    <w:rsid w:val="002B1B57"/>
    <w:rsid w:val="002B373A"/>
    <w:rsid w:val="002B4191"/>
    <w:rsid w:val="002B7EF2"/>
    <w:rsid w:val="002C0139"/>
    <w:rsid w:val="002C3AD3"/>
    <w:rsid w:val="002D059C"/>
    <w:rsid w:val="002D4558"/>
    <w:rsid w:val="002D47D2"/>
    <w:rsid w:val="002D5723"/>
    <w:rsid w:val="002D5C5A"/>
    <w:rsid w:val="002E1A5B"/>
    <w:rsid w:val="002E7FED"/>
    <w:rsid w:val="002F0603"/>
    <w:rsid w:val="002F1708"/>
    <w:rsid w:val="002F3D2A"/>
    <w:rsid w:val="002F541C"/>
    <w:rsid w:val="002F7E47"/>
    <w:rsid w:val="00300DF9"/>
    <w:rsid w:val="00314FE0"/>
    <w:rsid w:val="00324168"/>
    <w:rsid w:val="00326F17"/>
    <w:rsid w:val="00327EA9"/>
    <w:rsid w:val="003360C3"/>
    <w:rsid w:val="00336DA5"/>
    <w:rsid w:val="00340DAE"/>
    <w:rsid w:val="00346971"/>
    <w:rsid w:val="00346E15"/>
    <w:rsid w:val="00351177"/>
    <w:rsid w:val="0035185F"/>
    <w:rsid w:val="003528E6"/>
    <w:rsid w:val="0035332F"/>
    <w:rsid w:val="00354564"/>
    <w:rsid w:val="00357418"/>
    <w:rsid w:val="00366762"/>
    <w:rsid w:val="003828BA"/>
    <w:rsid w:val="0038661C"/>
    <w:rsid w:val="003867A1"/>
    <w:rsid w:val="00387178"/>
    <w:rsid w:val="00393C3E"/>
    <w:rsid w:val="003942EC"/>
    <w:rsid w:val="003A3F89"/>
    <w:rsid w:val="003A5DEF"/>
    <w:rsid w:val="003B1407"/>
    <w:rsid w:val="003C70AA"/>
    <w:rsid w:val="003C72D4"/>
    <w:rsid w:val="003C734A"/>
    <w:rsid w:val="003D0A12"/>
    <w:rsid w:val="003D247D"/>
    <w:rsid w:val="003E4922"/>
    <w:rsid w:val="003E6161"/>
    <w:rsid w:val="003E626D"/>
    <w:rsid w:val="003F3D65"/>
    <w:rsid w:val="003F474D"/>
    <w:rsid w:val="00400F45"/>
    <w:rsid w:val="00411D37"/>
    <w:rsid w:val="00414613"/>
    <w:rsid w:val="0041529B"/>
    <w:rsid w:val="00416F74"/>
    <w:rsid w:val="00424642"/>
    <w:rsid w:val="004317EF"/>
    <w:rsid w:val="00431D7B"/>
    <w:rsid w:val="0043404A"/>
    <w:rsid w:val="00435732"/>
    <w:rsid w:val="00436D75"/>
    <w:rsid w:val="004379E8"/>
    <w:rsid w:val="00440765"/>
    <w:rsid w:val="004413D3"/>
    <w:rsid w:val="00444191"/>
    <w:rsid w:val="00451D7F"/>
    <w:rsid w:val="00452242"/>
    <w:rsid w:val="00454EFE"/>
    <w:rsid w:val="00460941"/>
    <w:rsid w:val="0046173E"/>
    <w:rsid w:val="00462F55"/>
    <w:rsid w:val="00466E5B"/>
    <w:rsid w:val="00472F51"/>
    <w:rsid w:val="004758A6"/>
    <w:rsid w:val="0048086E"/>
    <w:rsid w:val="00494896"/>
    <w:rsid w:val="00494E0A"/>
    <w:rsid w:val="004951B1"/>
    <w:rsid w:val="0049586F"/>
    <w:rsid w:val="00497A79"/>
    <w:rsid w:val="004A0EE2"/>
    <w:rsid w:val="004A5F4C"/>
    <w:rsid w:val="004A5FCD"/>
    <w:rsid w:val="004B60A0"/>
    <w:rsid w:val="004C1FA8"/>
    <w:rsid w:val="004C37B9"/>
    <w:rsid w:val="004C4FE1"/>
    <w:rsid w:val="004D1664"/>
    <w:rsid w:val="004D1A88"/>
    <w:rsid w:val="004E02D3"/>
    <w:rsid w:val="004F348F"/>
    <w:rsid w:val="005003EC"/>
    <w:rsid w:val="00500D22"/>
    <w:rsid w:val="005026AA"/>
    <w:rsid w:val="005038A9"/>
    <w:rsid w:val="00504383"/>
    <w:rsid w:val="00504564"/>
    <w:rsid w:val="00506CB3"/>
    <w:rsid w:val="00507223"/>
    <w:rsid w:val="00510482"/>
    <w:rsid w:val="00514257"/>
    <w:rsid w:val="00515735"/>
    <w:rsid w:val="00517FFC"/>
    <w:rsid w:val="00520341"/>
    <w:rsid w:val="00520C23"/>
    <w:rsid w:val="005231DA"/>
    <w:rsid w:val="0052550B"/>
    <w:rsid w:val="0052555D"/>
    <w:rsid w:val="0053037C"/>
    <w:rsid w:val="00541D79"/>
    <w:rsid w:val="0054273D"/>
    <w:rsid w:val="0054777B"/>
    <w:rsid w:val="005501B8"/>
    <w:rsid w:val="00553F6C"/>
    <w:rsid w:val="005563A8"/>
    <w:rsid w:val="005603A1"/>
    <w:rsid w:val="005622A3"/>
    <w:rsid w:val="005778E4"/>
    <w:rsid w:val="00585DF5"/>
    <w:rsid w:val="0059199E"/>
    <w:rsid w:val="005940AD"/>
    <w:rsid w:val="00596315"/>
    <w:rsid w:val="00597919"/>
    <w:rsid w:val="005A34C5"/>
    <w:rsid w:val="005A656D"/>
    <w:rsid w:val="005B1504"/>
    <w:rsid w:val="005B456C"/>
    <w:rsid w:val="005B4BA0"/>
    <w:rsid w:val="005B5679"/>
    <w:rsid w:val="005B7805"/>
    <w:rsid w:val="005D2998"/>
    <w:rsid w:val="005D3FE2"/>
    <w:rsid w:val="005D46E3"/>
    <w:rsid w:val="005D76C3"/>
    <w:rsid w:val="005E48DF"/>
    <w:rsid w:val="005F0BC6"/>
    <w:rsid w:val="005F1A87"/>
    <w:rsid w:val="005F57F1"/>
    <w:rsid w:val="005F5E2D"/>
    <w:rsid w:val="00610465"/>
    <w:rsid w:val="00611698"/>
    <w:rsid w:val="00615488"/>
    <w:rsid w:val="00620A9E"/>
    <w:rsid w:val="00621667"/>
    <w:rsid w:val="006229E4"/>
    <w:rsid w:val="006230CA"/>
    <w:rsid w:val="00623613"/>
    <w:rsid w:val="00624FC9"/>
    <w:rsid w:val="006255E8"/>
    <w:rsid w:val="00625D57"/>
    <w:rsid w:val="00627999"/>
    <w:rsid w:val="00627BD1"/>
    <w:rsid w:val="00627E49"/>
    <w:rsid w:val="00654B86"/>
    <w:rsid w:val="00656964"/>
    <w:rsid w:val="00660ECD"/>
    <w:rsid w:val="00661E6C"/>
    <w:rsid w:val="0066551C"/>
    <w:rsid w:val="0066573D"/>
    <w:rsid w:val="00673F9E"/>
    <w:rsid w:val="0067565A"/>
    <w:rsid w:val="00675CE5"/>
    <w:rsid w:val="00681391"/>
    <w:rsid w:val="0068205C"/>
    <w:rsid w:val="00692466"/>
    <w:rsid w:val="00692703"/>
    <w:rsid w:val="00693B27"/>
    <w:rsid w:val="006945BE"/>
    <w:rsid w:val="00697315"/>
    <w:rsid w:val="00697DA2"/>
    <w:rsid w:val="006A7612"/>
    <w:rsid w:val="006B070A"/>
    <w:rsid w:val="006B13BC"/>
    <w:rsid w:val="006B1DE0"/>
    <w:rsid w:val="006C1681"/>
    <w:rsid w:val="006C59AA"/>
    <w:rsid w:val="006C7D6B"/>
    <w:rsid w:val="006E0215"/>
    <w:rsid w:val="006E2598"/>
    <w:rsid w:val="006F0223"/>
    <w:rsid w:val="006F4E1F"/>
    <w:rsid w:val="00702923"/>
    <w:rsid w:val="00711EA6"/>
    <w:rsid w:val="007167FF"/>
    <w:rsid w:val="00724CB1"/>
    <w:rsid w:val="0072553B"/>
    <w:rsid w:val="0072588C"/>
    <w:rsid w:val="00754F4C"/>
    <w:rsid w:val="00757695"/>
    <w:rsid w:val="0076163B"/>
    <w:rsid w:val="007659B6"/>
    <w:rsid w:val="007674EE"/>
    <w:rsid w:val="00774D8D"/>
    <w:rsid w:val="00774E48"/>
    <w:rsid w:val="0077684D"/>
    <w:rsid w:val="007810BF"/>
    <w:rsid w:val="007847B0"/>
    <w:rsid w:val="00790E27"/>
    <w:rsid w:val="00795BCE"/>
    <w:rsid w:val="007A74C6"/>
    <w:rsid w:val="007B1574"/>
    <w:rsid w:val="007B481A"/>
    <w:rsid w:val="007C181E"/>
    <w:rsid w:val="007C699B"/>
    <w:rsid w:val="007D4101"/>
    <w:rsid w:val="007D5E84"/>
    <w:rsid w:val="007E64C3"/>
    <w:rsid w:val="007F5699"/>
    <w:rsid w:val="0080583E"/>
    <w:rsid w:val="00805A9B"/>
    <w:rsid w:val="0082294E"/>
    <w:rsid w:val="0084189E"/>
    <w:rsid w:val="00843978"/>
    <w:rsid w:val="00853DDB"/>
    <w:rsid w:val="00864642"/>
    <w:rsid w:val="00876B67"/>
    <w:rsid w:val="00877092"/>
    <w:rsid w:val="00877E78"/>
    <w:rsid w:val="00883AF9"/>
    <w:rsid w:val="008915E2"/>
    <w:rsid w:val="008A19BB"/>
    <w:rsid w:val="008B3DA9"/>
    <w:rsid w:val="008C260B"/>
    <w:rsid w:val="008D37D8"/>
    <w:rsid w:val="008D4C58"/>
    <w:rsid w:val="008D6804"/>
    <w:rsid w:val="008D6C03"/>
    <w:rsid w:val="008E2727"/>
    <w:rsid w:val="008E5BF0"/>
    <w:rsid w:val="008E6595"/>
    <w:rsid w:val="008F5BD4"/>
    <w:rsid w:val="008F609D"/>
    <w:rsid w:val="00900939"/>
    <w:rsid w:val="0091553B"/>
    <w:rsid w:val="00915EF7"/>
    <w:rsid w:val="009251B1"/>
    <w:rsid w:val="009313DF"/>
    <w:rsid w:val="0093653C"/>
    <w:rsid w:val="00937E78"/>
    <w:rsid w:val="00941F1D"/>
    <w:rsid w:val="009446F7"/>
    <w:rsid w:val="00956B6B"/>
    <w:rsid w:val="00957ED7"/>
    <w:rsid w:val="0096015A"/>
    <w:rsid w:val="00967D95"/>
    <w:rsid w:val="00972E2E"/>
    <w:rsid w:val="00981342"/>
    <w:rsid w:val="009A7080"/>
    <w:rsid w:val="009B57A5"/>
    <w:rsid w:val="009D0040"/>
    <w:rsid w:val="009D499C"/>
    <w:rsid w:val="009D5032"/>
    <w:rsid w:val="009D7964"/>
    <w:rsid w:val="009E19A1"/>
    <w:rsid w:val="009F0665"/>
    <w:rsid w:val="009F2412"/>
    <w:rsid w:val="009F3EBC"/>
    <w:rsid w:val="009F45ED"/>
    <w:rsid w:val="00A06A7D"/>
    <w:rsid w:val="00A21985"/>
    <w:rsid w:val="00A245A9"/>
    <w:rsid w:val="00A30D56"/>
    <w:rsid w:val="00A35572"/>
    <w:rsid w:val="00A44FCE"/>
    <w:rsid w:val="00A47B5E"/>
    <w:rsid w:val="00A5270F"/>
    <w:rsid w:val="00A60413"/>
    <w:rsid w:val="00A60DA3"/>
    <w:rsid w:val="00A6282F"/>
    <w:rsid w:val="00A71DD4"/>
    <w:rsid w:val="00A72FA3"/>
    <w:rsid w:val="00A74EE4"/>
    <w:rsid w:val="00A75D30"/>
    <w:rsid w:val="00A76D4A"/>
    <w:rsid w:val="00A84680"/>
    <w:rsid w:val="00A84D9D"/>
    <w:rsid w:val="00A85C59"/>
    <w:rsid w:val="00A96CA6"/>
    <w:rsid w:val="00AA5D6D"/>
    <w:rsid w:val="00AB1211"/>
    <w:rsid w:val="00AB1AF4"/>
    <w:rsid w:val="00AB1C62"/>
    <w:rsid w:val="00AB1D97"/>
    <w:rsid w:val="00AB3736"/>
    <w:rsid w:val="00AB3EF6"/>
    <w:rsid w:val="00AB527A"/>
    <w:rsid w:val="00AC2F9B"/>
    <w:rsid w:val="00AC43ED"/>
    <w:rsid w:val="00AC6EC2"/>
    <w:rsid w:val="00AC7CCC"/>
    <w:rsid w:val="00AD144F"/>
    <w:rsid w:val="00AD5D8F"/>
    <w:rsid w:val="00B03CDA"/>
    <w:rsid w:val="00B0508B"/>
    <w:rsid w:val="00B0781D"/>
    <w:rsid w:val="00B125CD"/>
    <w:rsid w:val="00B177EC"/>
    <w:rsid w:val="00B24F94"/>
    <w:rsid w:val="00B30548"/>
    <w:rsid w:val="00B35235"/>
    <w:rsid w:val="00B41CDA"/>
    <w:rsid w:val="00B421AF"/>
    <w:rsid w:val="00B5141C"/>
    <w:rsid w:val="00B570E4"/>
    <w:rsid w:val="00B65195"/>
    <w:rsid w:val="00B673E5"/>
    <w:rsid w:val="00B70AF6"/>
    <w:rsid w:val="00B72D8F"/>
    <w:rsid w:val="00B73B9F"/>
    <w:rsid w:val="00B74E84"/>
    <w:rsid w:val="00B91A86"/>
    <w:rsid w:val="00B91EB1"/>
    <w:rsid w:val="00BA32BD"/>
    <w:rsid w:val="00BA500B"/>
    <w:rsid w:val="00BA5C44"/>
    <w:rsid w:val="00BA76C1"/>
    <w:rsid w:val="00BB0B40"/>
    <w:rsid w:val="00BB18F3"/>
    <w:rsid w:val="00BC34BE"/>
    <w:rsid w:val="00BC43C3"/>
    <w:rsid w:val="00BC49B1"/>
    <w:rsid w:val="00BC4D0B"/>
    <w:rsid w:val="00BD1607"/>
    <w:rsid w:val="00BE0B08"/>
    <w:rsid w:val="00BE2217"/>
    <w:rsid w:val="00BE3FD0"/>
    <w:rsid w:val="00BF0193"/>
    <w:rsid w:val="00BF2F92"/>
    <w:rsid w:val="00C013C4"/>
    <w:rsid w:val="00C0333A"/>
    <w:rsid w:val="00C0466B"/>
    <w:rsid w:val="00C10A76"/>
    <w:rsid w:val="00C20C1D"/>
    <w:rsid w:val="00C20CA0"/>
    <w:rsid w:val="00C21810"/>
    <w:rsid w:val="00C241A2"/>
    <w:rsid w:val="00C243E7"/>
    <w:rsid w:val="00C25EBF"/>
    <w:rsid w:val="00C267AD"/>
    <w:rsid w:val="00C27AE0"/>
    <w:rsid w:val="00C34CA4"/>
    <w:rsid w:val="00C370C4"/>
    <w:rsid w:val="00C449AF"/>
    <w:rsid w:val="00C44E0E"/>
    <w:rsid w:val="00C52F4D"/>
    <w:rsid w:val="00C626FC"/>
    <w:rsid w:val="00C62BF6"/>
    <w:rsid w:val="00C63BF0"/>
    <w:rsid w:val="00C81FE1"/>
    <w:rsid w:val="00C87F12"/>
    <w:rsid w:val="00C93DB9"/>
    <w:rsid w:val="00CA001F"/>
    <w:rsid w:val="00CA6678"/>
    <w:rsid w:val="00CA7C8D"/>
    <w:rsid w:val="00CB33C0"/>
    <w:rsid w:val="00CC00B6"/>
    <w:rsid w:val="00CC48F0"/>
    <w:rsid w:val="00CD5D08"/>
    <w:rsid w:val="00CD6948"/>
    <w:rsid w:val="00CE5E90"/>
    <w:rsid w:val="00CF1A22"/>
    <w:rsid w:val="00CF1B78"/>
    <w:rsid w:val="00CF421A"/>
    <w:rsid w:val="00CF73B5"/>
    <w:rsid w:val="00D01D44"/>
    <w:rsid w:val="00D04E99"/>
    <w:rsid w:val="00D0651A"/>
    <w:rsid w:val="00D13AC3"/>
    <w:rsid w:val="00D20AE9"/>
    <w:rsid w:val="00D216E1"/>
    <w:rsid w:val="00D21EFE"/>
    <w:rsid w:val="00D2499B"/>
    <w:rsid w:val="00D24FF6"/>
    <w:rsid w:val="00D314CD"/>
    <w:rsid w:val="00D319FB"/>
    <w:rsid w:val="00D32D34"/>
    <w:rsid w:val="00D4293B"/>
    <w:rsid w:val="00D4411B"/>
    <w:rsid w:val="00D46981"/>
    <w:rsid w:val="00D46DA6"/>
    <w:rsid w:val="00D57E1D"/>
    <w:rsid w:val="00D6488F"/>
    <w:rsid w:val="00D64998"/>
    <w:rsid w:val="00D65572"/>
    <w:rsid w:val="00D7073F"/>
    <w:rsid w:val="00D753CE"/>
    <w:rsid w:val="00D83023"/>
    <w:rsid w:val="00D8303D"/>
    <w:rsid w:val="00D84050"/>
    <w:rsid w:val="00D862B8"/>
    <w:rsid w:val="00D90162"/>
    <w:rsid w:val="00D90716"/>
    <w:rsid w:val="00D91FE7"/>
    <w:rsid w:val="00D94ECD"/>
    <w:rsid w:val="00D9658C"/>
    <w:rsid w:val="00DA03A8"/>
    <w:rsid w:val="00DA4CC5"/>
    <w:rsid w:val="00DA5BC3"/>
    <w:rsid w:val="00DB7B65"/>
    <w:rsid w:val="00DC01E5"/>
    <w:rsid w:val="00DC1457"/>
    <w:rsid w:val="00DC3ED2"/>
    <w:rsid w:val="00DC5F27"/>
    <w:rsid w:val="00DD6DE8"/>
    <w:rsid w:val="00DE7148"/>
    <w:rsid w:val="00DE7DF5"/>
    <w:rsid w:val="00DF0FB0"/>
    <w:rsid w:val="00E00D45"/>
    <w:rsid w:val="00E00D66"/>
    <w:rsid w:val="00E017D4"/>
    <w:rsid w:val="00E042A2"/>
    <w:rsid w:val="00E06612"/>
    <w:rsid w:val="00E10A92"/>
    <w:rsid w:val="00E11CE6"/>
    <w:rsid w:val="00E12037"/>
    <w:rsid w:val="00E1460B"/>
    <w:rsid w:val="00E15509"/>
    <w:rsid w:val="00E30FE0"/>
    <w:rsid w:val="00E40EA9"/>
    <w:rsid w:val="00E47845"/>
    <w:rsid w:val="00E47947"/>
    <w:rsid w:val="00E61539"/>
    <w:rsid w:val="00E74031"/>
    <w:rsid w:val="00E85246"/>
    <w:rsid w:val="00E8652D"/>
    <w:rsid w:val="00E95543"/>
    <w:rsid w:val="00E9776D"/>
    <w:rsid w:val="00E978FD"/>
    <w:rsid w:val="00EB58D6"/>
    <w:rsid w:val="00EC4277"/>
    <w:rsid w:val="00EC5743"/>
    <w:rsid w:val="00ED19B8"/>
    <w:rsid w:val="00ED22D1"/>
    <w:rsid w:val="00ED3897"/>
    <w:rsid w:val="00ED7E79"/>
    <w:rsid w:val="00EE094C"/>
    <w:rsid w:val="00EE62E0"/>
    <w:rsid w:val="00EE662F"/>
    <w:rsid w:val="00EF0525"/>
    <w:rsid w:val="00EF3489"/>
    <w:rsid w:val="00EF3DAB"/>
    <w:rsid w:val="00EF3F1C"/>
    <w:rsid w:val="00EF612F"/>
    <w:rsid w:val="00F0751C"/>
    <w:rsid w:val="00F07ED1"/>
    <w:rsid w:val="00F1661F"/>
    <w:rsid w:val="00F32C55"/>
    <w:rsid w:val="00F42E7E"/>
    <w:rsid w:val="00F43D97"/>
    <w:rsid w:val="00F53D9F"/>
    <w:rsid w:val="00F54769"/>
    <w:rsid w:val="00F62F4D"/>
    <w:rsid w:val="00F637C1"/>
    <w:rsid w:val="00F67301"/>
    <w:rsid w:val="00F83709"/>
    <w:rsid w:val="00F86A3A"/>
    <w:rsid w:val="00F92AC3"/>
    <w:rsid w:val="00FA1376"/>
    <w:rsid w:val="00FA14C1"/>
    <w:rsid w:val="00FB4F7B"/>
    <w:rsid w:val="00FC6508"/>
    <w:rsid w:val="00FC6559"/>
    <w:rsid w:val="00FD1B54"/>
    <w:rsid w:val="00FD5B59"/>
    <w:rsid w:val="00FD6215"/>
    <w:rsid w:val="00FE09BA"/>
    <w:rsid w:val="00FE0DBA"/>
    <w:rsid w:val="00FE1F8E"/>
    <w:rsid w:val="00FE27CE"/>
    <w:rsid w:val="00FE3449"/>
    <w:rsid w:val="00FE4218"/>
    <w:rsid w:val="00FE74EB"/>
    <w:rsid w:val="00FF284A"/>
    <w:rsid w:val="00FF4B4A"/>
    <w:rsid w:val="00FF7B2A"/>
    <w:rsid w:val="01F6F810"/>
    <w:rsid w:val="04108180"/>
    <w:rsid w:val="047DA65C"/>
    <w:rsid w:val="05821E51"/>
    <w:rsid w:val="059F197D"/>
    <w:rsid w:val="06D08C30"/>
    <w:rsid w:val="07E85C85"/>
    <w:rsid w:val="08FFD9FB"/>
    <w:rsid w:val="09DE39B6"/>
    <w:rsid w:val="0A12FB08"/>
    <w:rsid w:val="0BEE72F7"/>
    <w:rsid w:val="0C4E6C78"/>
    <w:rsid w:val="0E095E8C"/>
    <w:rsid w:val="0F6C2199"/>
    <w:rsid w:val="102F3040"/>
    <w:rsid w:val="1052B144"/>
    <w:rsid w:val="105E361A"/>
    <w:rsid w:val="111FCF52"/>
    <w:rsid w:val="115F7B20"/>
    <w:rsid w:val="12D38F0B"/>
    <w:rsid w:val="130EFC04"/>
    <w:rsid w:val="1332EA5C"/>
    <w:rsid w:val="133691AB"/>
    <w:rsid w:val="139E5448"/>
    <w:rsid w:val="14E5F932"/>
    <w:rsid w:val="15F747BE"/>
    <w:rsid w:val="16DF2206"/>
    <w:rsid w:val="175487FB"/>
    <w:rsid w:val="17B94D5C"/>
    <w:rsid w:val="1828C22E"/>
    <w:rsid w:val="18CE57C6"/>
    <w:rsid w:val="191BC230"/>
    <w:rsid w:val="1A6EAC25"/>
    <w:rsid w:val="1AA5B339"/>
    <w:rsid w:val="1B4ECC49"/>
    <w:rsid w:val="1B99FF5D"/>
    <w:rsid w:val="1C93D9FD"/>
    <w:rsid w:val="1CD36796"/>
    <w:rsid w:val="1D7D5A2F"/>
    <w:rsid w:val="1D856D3E"/>
    <w:rsid w:val="1DA8735A"/>
    <w:rsid w:val="1E4F42E0"/>
    <w:rsid w:val="1E778DB4"/>
    <w:rsid w:val="1F0F5A2C"/>
    <w:rsid w:val="1F807819"/>
    <w:rsid w:val="1FA9BA76"/>
    <w:rsid w:val="1FC9B356"/>
    <w:rsid w:val="1FFBF4F9"/>
    <w:rsid w:val="214619D9"/>
    <w:rsid w:val="21CEB72D"/>
    <w:rsid w:val="23069C42"/>
    <w:rsid w:val="23547E23"/>
    <w:rsid w:val="23916C1B"/>
    <w:rsid w:val="24D5B613"/>
    <w:rsid w:val="251A4680"/>
    <w:rsid w:val="25CF5065"/>
    <w:rsid w:val="260BF921"/>
    <w:rsid w:val="262C6C35"/>
    <w:rsid w:val="279AE6EE"/>
    <w:rsid w:val="27B628EE"/>
    <w:rsid w:val="2818805B"/>
    <w:rsid w:val="2B01EE09"/>
    <w:rsid w:val="2B5456A4"/>
    <w:rsid w:val="2B776B46"/>
    <w:rsid w:val="2B8888F2"/>
    <w:rsid w:val="2BFF265F"/>
    <w:rsid w:val="2E35DE00"/>
    <w:rsid w:val="2E5DB8C8"/>
    <w:rsid w:val="2EC24744"/>
    <w:rsid w:val="2F05E92E"/>
    <w:rsid w:val="3024BB73"/>
    <w:rsid w:val="30590C91"/>
    <w:rsid w:val="30BAC377"/>
    <w:rsid w:val="313D3E66"/>
    <w:rsid w:val="3211560E"/>
    <w:rsid w:val="3401EA41"/>
    <w:rsid w:val="35FF2142"/>
    <w:rsid w:val="360454FB"/>
    <w:rsid w:val="36106ADE"/>
    <w:rsid w:val="36734E36"/>
    <w:rsid w:val="37729546"/>
    <w:rsid w:val="37871A14"/>
    <w:rsid w:val="37BB2F23"/>
    <w:rsid w:val="381717A5"/>
    <w:rsid w:val="383E4E3C"/>
    <w:rsid w:val="38C7EAA6"/>
    <w:rsid w:val="3ADC39D7"/>
    <w:rsid w:val="3AE97763"/>
    <w:rsid w:val="3AF36E54"/>
    <w:rsid w:val="3B1D5EF8"/>
    <w:rsid w:val="3BB8AB46"/>
    <w:rsid w:val="3CF9DF5C"/>
    <w:rsid w:val="3EF5099E"/>
    <w:rsid w:val="3FF27720"/>
    <w:rsid w:val="414F161C"/>
    <w:rsid w:val="439EB34F"/>
    <w:rsid w:val="44A19C7B"/>
    <w:rsid w:val="44E9FFFE"/>
    <w:rsid w:val="45D3E4C8"/>
    <w:rsid w:val="4668468F"/>
    <w:rsid w:val="4776BA5A"/>
    <w:rsid w:val="47AD3749"/>
    <w:rsid w:val="48185EEE"/>
    <w:rsid w:val="4823C773"/>
    <w:rsid w:val="482A77B1"/>
    <w:rsid w:val="48488DC2"/>
    <w:rsid w:val="495C699B"/>
    <w:rsid w:val="4A7542B9"/>
    <w:rsid w:val="4B618296"/>
    <w:rsid w:val="4B8F8D08"/>
    <w:rsid w:val="4BF2B2FE"/>
    <w:rsid w:val="4C946F15"/>
    <w:rsid w:val="4D4D0E6B"/>
    <w:rsid w:val="4EAF3245"/>
    <w:rsid w:val="4EBE6D42"/>
    <w:rsid w:val="4F53BEB4"/>
    <w:rsid w:val="50FD7E52"/>
    <w:rsid w:val="525FF67C"/>
    <w:rsid w:val="5395E386"/>
    <w:rsid w:val="53F168C0"/>
    <w:rsid w:val="54DB7DA6"/>
    <w:rsid w:val="5526C83A"/>
    <w:rsid w:val="5624A50F"/>
    <w:rsid w:val="56BE6612"/>
    <w:rsid w:val="57470430"/>
    <w:rsid w:val="587448F1"/>
    <w:rsid w:val="5896687F"/>
    <w:rsid w:val="59DDC970"/>
    <w:rsid w:val="5AF49A0C"/>
    <w:rsid w:val="5BC5E3AA"/>
    <w:rsid w:val="5CB9206D"/>
    <w:rsid w:val="5CEF1AED"/>
    <w:rsid w:val="5D1C4F91"/>
    <w:rsid w:val="5D490BB0"/>
    <w:rsid w:val="5ECF69A4"/>
    <w:rsid w:val="5EF203AC"/>
    <w:rsid w:val="5F6413BF"/>
    <w:rsid w:val="613B526A"/>
    <w:rsid w:val="62C90B80"/>
    <w:rsid w:val="63C78056"/>
    <w:rsid w:val="6408E5E6"/>
    <w:rsid w:val="6743DCCD"/>
    <w:rsid w:val="6788C66D"/>
    <w:rsid w:val="67AB9F1C"/>
    <w:rsid w:val="67D39140"/>
    <w:rsid w:val="67D5149B"/>
    <w:rsid w:val="6AEF29A0"/>
    <w:rsid w:val="6BCB3DA8"/>
    <w:rsid w:val="6D25D97D"/>
    <w:rsid w:val="6E64D417"/>
    <w:rsid w:val="6E6963D1"/>
    <w:rsid w:val="6FB03243"/>
    <w:rsid w:val="71F72E58"/>
    <w:rsid w:val="72AE1A5B"/>
    <w:rsid w:val="72D95452"/>
    <w:rsid w:val="7336EE51"/>
    <w:rsid w:val="73A6F5C9"/>
    <w:rsid w:val="75B845C8"/>
    <w:rsid w:val="765409D4"/>
    <w:rsid w:val="77ABA008"/>
    <w:rsid w:val="796BA963"/>
    <w:rsid w:val="798B4571"/>
    <w:rsid w:val="7B8A9939"/>
    <w:rsid w:val="7BB15089"/>
    <w:rsid w:val="7C0FA759"/>
    <w:rsid w:val="7CF3D942"/>
    <w:rsid w:val="7DFC5750"/>
    <w:rsid w:val="7E087140"/>
    <w:rsid w:val="7E6E52C5"/>
    <w:rsid w:val="7EACD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50A27F"/>
  <w15:chartTrackingRefBased/>
  <w15:docId w15:val="{71168A51-722E-4A29-8523-CE50BC3C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5A34C5"/>
    <w:rPr>
      <w:b/>
      <w:bCs/>
      <w:sz w:val="20"/>
    </w:rPr>
  </w:style>
  <w:style w:type="paragraph" w:styleId="TableofFigures">
    <w:name w:val="table of figures"/>
    <w:basedOn w:val="Normal"/>
    <w:next w:val="Normal"/>
    <w:rsid w:val="005A34C5"/>
  </w:style>
  <w:style w:type="paragraph" w:styleId="ListNumber">
    <w:name w:val="List Number"/>
    <w:basedOn w:val="Normal"/>
    <w:rsid w:val="00414613"/>
    <w:pPr>
      <w:numPr>
        <w:numId w:val="1"/>
      </w:numPr>
      <w:contextualSpacing/>
    </w:pPr>
  </w:style>
  <w:style w:type="paragraph" w:styleId="ListNumber2">
    <w:name w:val="List Number 2"/>
    <w:basedOn w:val="Normal"/>
    <w:rsid w:val="00414613"/>
    <w:pPr>
      <w:numPr>
        <w:numId w:val="2"/>
      </w:numPr>
      <w:contextualSpacing/>
    </w:pPr>
  </w:style>
  <w:style w:type="paragraph" w:styleId="ListNumber3">
    <w:name w:val="List Number 3"/>
    <w:basedOn w:val="Normal"/>
    <w:rsid w:val="00414613"/>
    <w:pPr>
      <w:numPr>
        <w:numId w:val="3"/>
      </w:numPr>
      <w:contextualSpacing/>
    </w:pPr>
  </w:style>
  <w:style w:type="paragraph" w:styleId="ListNumber4">
    <w:name w:val="List Number 4"/>
    <w:basedOn w:val="Normal"/>
    <w:rsid w:val="00414613"/>
    <w:pPr>
      <w:numPr>
        <w:numId w:val="4"/>
      </w:numPr>
      <w:contextualSpacing/>
    </w:pPr>
  </w:style>
  <w:style w:type="paragraph" w:styleId="ListBullet">
    <w:name w:val="List Bullet"/>
    <w:basedOn w:val="Normal"/>
    <w:rsid w:val="00414613"/>
    <w:pPr>
      <w:numPr>
        <w:numId w:val="5"/>
      </w:numPr>
      <w:contextualSpacing/>
    </w:pPr>
  </w:style>
  <w:style w:type="paragraph" w:styleId="ListBullet2">
    <w:name w:val="List Bullet 2"/>
    <w:basedOn w:val="Normal"/>
    <w:rsid w:val="00414613"/>
    <w:pPr>
      <w:numPr>
        <w:numId w:val="6"/>
      </w:numPr>
      <w:contextualSpacing/>
    </w:pPr>
  </w:style>
  <w:style w:type="paragraph" w:styleId="ListBullet3">
    <w:name w:val="List Bullet 3"/>
    <w:basedOn w:val="Normal"/>
    <w:rsid w:val="00414613"/>
    <w:pPr>
      <w:numPr>
        <w:numId w:val="7"/>
      </w:numPr>
      <w:contextualSpacing/>
    </w:pPr>
  </w:style>
  <w:style w:type="paragraph" w:styleId="ListBullet4">
    <w:name w:val="List Bullet 4"/>
    <w:basedOn w:val="Normal"/>
    <w:rsid w:val="00414613"/>
    <w:pPr>
      <w:numPr>
        <w:numId w:val="8"/>
      </w:numPr>
      <w:contextualSpacing/>
    </w:pPr>
  </w:style>
  <w:style w:type="paragraph" w:styleId="BalloonText">
    <w:name w:val="Balloon Text"/>
    <w:basedOn w:val="Normal"/>
    <w:link w:val="BalloonTextChar"/>
    <w:rsid w:val="009D7964"/>
    <w:pPr>
      <w:spacing w:before="0" w:after="0"/>
    </w:pPr>
    <w:rPr>
      <w:rFonts w:ascii="Tahoma" w:hAnsi="Tahoma" w:cs="Tahoma"/>
      <w:sz w:val="16"/>
      <w:szCs w:val="16"/>
    </w:rPr>
  </w:style>
  <w:style w:type="character" w:customStyle="1" w:styleId="BalloonTextChar">
    <w:name w:val="Balloon Text Char"/>
    <w:link w:val="BalloonText"/>
    <w:rsid w:val="009D7964"/>
    <w:rPr>
      <w:rFonts w:ascii="Tahoma" w:hAnsi="Tahoma" w:cs="Tahoma"/>
      <w:sz w:val="16"/>
      <w:szCs w:val="16"/>
      <w:lang w:eastAsia="en-US"/>
    </w:rPr>
  </w:style>
  <w:style w:type="character" w:styleId="CommentReference">
    <w:name w:val="annotation reference"/>
    <w:rsid w:val="00F637C1"/>
    <w:rPr>
      <w:sz w:val="16"/>
      <w:szCs w:val="16"/>
    </w:rPr>
  </w:style>
  <w:style w:type="paragraph" w:styleId="CommentText">
    <w:name w:val="annotation text"/>
    <w:basedOn w:val="Normal"/>
    <w:link w:val="CommentTextChar"/>
    <w:rsid w:val="00F637C1"/>
    <w:rPr>
      <w:sz w:val="20"/>
      <w:szCs w:val="20"/>
    </w:rPr>
  </w:style>
  <w:style w:type="character" w:customStyle="1" w:styleId="CommentTextChar">
    <w:name w:val="Comment Text Char"/>
    <w:basedOn w:val="DefaultParagraphFont"/>
    <w:link w:val="CommentText"/>
    <w:rsid w:val="00F637C1"/>
  </w:style>
  <w:style w:type="paragraph" w:styleId="CommentSubject">
    <w:name w:val="annotation subject"/>
    <w:basedOn w:val="CommentText"/>
    <w:next w:val="CommentText"/>
    <w:link w:val="CommentSubjectChar"/>
    <w:rsid w:val="00F637C1"/>
    <w:rPr>
      <w:b/>
      <w:bCs/>
    </w:rPr>
  </w:style>
  <w:style w:type="character" w:customStyle="1" w:styleId="CommentSubjectChar">
    <w:name w:val="Comment Subject Char"/>
    <w:link w:val="CommentSubject"/>
    <w:rsid w:val="00F637C1"/>
    <w:rPr>
      <w:b/>
      <w:bCs/>
    </w:rPr>
  </w:style>
  <w:style w:type="character" w:styleId="Hyperlink">
    <w:name w:val="Hyperlink"/>
    <w:rsid w:val="00F637C1"/>
    <w:rPr>
      <w:color w:val="0000FF"/>
      <w:u w:val="single"/>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styleId="Revision">
    <w:name w:val="Revision"/>
    <w:hidden/>
    <w:uiPriority w:val="99"/>
    <w:semiHidden/>
    <w:rsid w:val="00541D79"/>
    <w:rPr>
      <w:rFonts w:ascii="Times New Roman" w:hAnsi="Times New Roman"/>
      <w:sz w:val="24"/>
    </w:rPr>
  </w:style>
  <w:style w:type="character" w:customStyle="1" w:styleId="HeaderChar">
    <w:name w:val="Header Char"/>
    <w:link w:val="Header"/>
    <w:uiPriority w:val="99"/>
    <w:rsid w:val="00711EA6"/>
    <w:rPr>
      <w:rFonts w:ascii="Times New Roman" w:hAnsi="Times New Roman" w:cs="Times New Roman"/>
      <w:sz w:val="24"/>
      <w:lang w:val="el-GR"/>
    </w:rPr>
  </w:style>
  <w:style w:type="character" w:customStyle="1" w:styleId="FooterChar">
    <w:name w:val="Footer Char"/>
    <w:link w:val="Footer"/>
    <w:uiPriority w:val="99"/>
    <w:rsid w:val="00711EA6"/>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11EA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11EA6"/>
    <w:pPr>
      <w:spacing w:before="0"/>
      <w:jc w:val="right"/>
    </w:pPr>
    <w:rPr>
      <w:sz w:val="28"/>
    </w:rPr>
  </w:style>
  <w:style w:type="paragraph" w:customStyle="1" w:styleId="FooterSensitivity">
    <w:name w:val="Footer Sensitivity"/>
    <w:basedOn w:val="Normal"/>
    <w:rsid w:val="00711EA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11EA6"/>
    <w:pPr>
      <w:tabs>
        <w:tab w:val="center" w:pos="4535"/>
        <w:tab w:val="right" w:pos="9071"/>
      </w:tabs>
      <w:spacing w:before="0"/>
    </w:pPr>
  </w:style>
  <w:style w:type="paragraph" w:customStyle="1" w:styleId="HeaderLandscape">
    <w:name w:val="HeaderLandscape"/>
    <w:basedOn w:val="Normal"/>
    <w:rsid w:val="00711EA6"/>
    <w:pPr>
      <w:tabs>
        <w:tab w:val="center" w:pos="7285"/>
        <w:tab w:val="right" w:pos="14003"/>
      </w:tabs>
      <w:spacing w:before="0"/>
    </w:pPr>
  </w:style>
  <w:style w:type="paragraph" w:styleId="Footer">
    <w:name w:val="footer"/>
    <w:basedOn w:val="Normal"/>
    <w:link w:val="FooterChar"/>
    <w:uiPriority w:val="99"/>
    <w:unhideWhenUsed/>
    <w:rsid w:val="00711EA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11EA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ECFINStandard.xsl" StyleName="ECFIN - Standard" Version="2021.02"/>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3c966-cb45-4885-93fc-2ce78a94204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c131f03-315b-4cd8-8e3a-6189969fd4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3" ma:contentTypeDescription="Create a new document." ma:contentTypeScope="" ma:versionID="c1fe114fd752ad9ccc310c1b1b03b0e4">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4a49f1ae8b27401b4ba562f83e91bdf2"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0c5cd3-642e-4cca-8698-4a581b2b2d57}" ma:internalName="TaxCatchAll" ma:showField="CatchAllData" ma:web="ac131f03-315b-4cd8-8e3a-6189969fd4f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801EC-DD98-47E4-8E94-B41EE47E111A}">
  <ds:schemaRefs>
    <ds:schemaRef ds:uri="http://schemas.openxmlformats.org/officeDocument/2006/bibliography"/>
  </ds:schemaRefs>
</ds:datastoreItem>
</file>

<file path=customXml/itemProps2.xml><?xml version="1.0" encoding="utf-8"?>
<ds:datastoreItem xmlns:ds="http://schemas.openxmlformats.org/officeDocument/2006/customXml" ds:itemID="{0A6755DF-4ACE-4E95-939C-86530C19F84C}">
  <ds:schemaRefs>
    <ds:schemaRef ds:uri="http://schemas.microsoft.com/office/2006/metadata/properties"/>
    <ds:schemaRef ds:uri="http://schemas.microsoft.com/office/infopath/2007/PartnerControls"/>
    <ds:schemaRef ds:uri="5843c966-cb45-4885-93fc-2ce78a94204b"/>
    <ds:schemaRef ds:uri="ac131f03-315b-4cd8-8e3a-6189969fd4f0"/>
  </ds:schemaRefs>
</ds:datastoreItem>
</file>

<file path=customXml/itemProps3.xml><?xml version="1.0" encoding="utf-8"?>
<ds:datastoreItem xmlns:ds="http://schemas.openxmlformats.org/officeDocument/2006/customXml" ds:itemID="{CBA21B03-9DAE-40E7-A92F-DD0CDF9783AD}">
  <ds:schemaRefs>
    <ds:schemaRef ds:uri="http://schemas.microsoft.com/sharepoint/v3/contenttype/forms"/>
  </ds:schemaRefs>
</ds:datastoreItem>
</file>

<file path=customXml/itemProps4.xml><?xml version="1.0" encoding="utf-8"?>
<ds:datastoreItem xmlns:ds="http://schemas.openxmlformats.org/officeDocument/2006/customXml" ds:itemID="{1A51C30F-824B-4B24-A081-D54E77FE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Template>
  <TotalTime>12</TotalTime>
  <Pages>6</Pages>
  <Words>1386</Words>
  <Characters>7987</Characters>
  <Application>Microsoft Office Word</Application>
  <DocSecurity>0</DocSecurity>
  <Lines>177</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48</cp:revision>
  <cp:lastPrinted>2013-04-25T18:19:00Z</cp:lastPrinted>
  <dcterms:created xsi:type="dcterms:W3CDTF">2025-05-26T08:37:00Z</dcterms:created>
  <dcterms:modified xsi:type="dcterms:W3CDTF">2025-06-04T08:43:00Z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5.8.64.0</vt:lpwstr>
  </property>
  <property fmtid="{D5CDD505-2E9C-101B-9397-08002B2CF9AE}" pid="4" name="Last edited using">
    <vt:lpwstr>LW 9.1, Build 20240808</vt:lpwstr>
  </property>
  <property fmtid="{D5CDD505-2E9C-101B-9397-08002B2CF9AE}" pid="5" name="Created using">
    <vt:lpwstr>LW 5.8.2, Build 20120919</vt:lpwstr>
  </property>
  <property fmtid="{D5CDD505-2E9C-101B-9397-08002B2CF9AE}" pid="6" name="_NewReviewCycle">
    <vt:lpwstr/>
  </property>
  <property fmtid="{D5CDD505-2E9C-101B-9397-08002B2CF9AE}" pid="7" name="LWTemplateID">
    <vt:lpwstr>SJ-016</vt:lpwstr>
  </property>
  <property fmtid="{D5CDD505-2E9C-101B-9397-08002B2CF9AE}" pid="8" name="Part">
    <vt:lpwstr>1</vt:lpwstr>
  </property>
  <property fmtid="{D5CDD505-2E9C-101B-9397-08002B2CF9AE}" pid="9" name="Total parts">
    <vt:lpwstr>1</vt:lpwstr>
  </property>
  <property fmtid="{D5CDD505-2E9C-101B-9397-08002B2CF9AE}" pid="10" name="Level of sensitivity">
    <vt:lpwstr>Standard treatment</vt:lpwstr>
  </property>
  <property fmtid="{D5CDD505-2E9C-101B-9397-08002B2CF9AE}" pid="11" name="MSIP_Label_6bd9ddd1-4d20-43f6-abfa-fc3c07406f94_Enabled">
    <vt:lpwstr>true</vt:lpwstr>
  </property>
  <property fmtid="{D5CDD505-2E9C-101B-9397-08002B2CF9AE}" pid="12" name="MSIP_Label_6bd9ddd1-4d20-43f6-abfa-fc3c07406f94_SetDate">
    <vt:lpwstr>2025-03-11T13:53:40Z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ae1bf1ba-f335-4abf-8164-6bc6de051467</vt:lpwstr>
  </property>
  <property fmtid="{D5CDD505-2E9C-101B-9397-08002B2CF9AE}" pid="17" name="MSIP_Label_6bd9ddd1-4d20-43f6-abfa-fc3c07406f94_ContentBits">
    <vt:lpwstr>0</vt:lpwstr>
  </property>
  <property fmtid="{D5CDD505-2E9C-101B-9397-08002B2CF9AE}" pid="18" name="ContentTypeId">
    <vt:lpwstr>0x010100199782AF6692CB4E8097BF428225D135</vt:lpwstr>
  </property>
  <property fmtid="{D5CDD505-2E9C-101B-9397-08002B2CF9AE}" pid="19" name="MediaServiceImageTags">
    <vt:lpwstr/>
  </property>
  <property fmtid="{D5CDD505-2E9C-101B-9397-08002B2CF9AE}" pid="20" name="DQCStatus">
    <vt:lpwstr>Yellow (DQC version 03)</vt:lpwstr>
  </property>
</Properties>
</file>