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046" w:rsidRPr="00857AA1" w:rsidRDefault="00F34FDB" w:rsidP="00F34FD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9B6564-24C7-49B8-B536-3D07C2BFF7AD" style="width:455.25pt;height:438.75pt">
            <v:imagedata r:id="rId11" o:title=""/>
          </v:shape>
        </w:pict>
      </w:r>
    </w:p>
    <w:p w:rsidR="00CA0046" w:rsidRPr="00857AA1" w:rsidRDefault="00CA0046" w:rsidP="00CA0046">
      <w:pPr>
        <w:rPr>
          <w:noProof/>
        </w:rPr>
        <w:sectPr w:rsidR="00CA0046" w:rsidRPr="00857AA1" w:rsidSect="00F34FDB">
          <w:footerReference w:type="even" r:id="rId12"/>
          <w:footerReference w:type="default" r:id="rId13"/>
          <w:pgSz w:w="11907" w:h="16839"/>
          <w:pgMar w:top="1134" w:right="1417" w:bottom="1134" w:left="1417" w:header="709" w:footer="709" w:gutter="0"/>
          <w:pgNumType w:start="0"/>
          <w:cols w:space="720"/>
          <w:docGrid w:linePitch="360"/>
        </w:sectPr>
      </w:pPr>
    </w:p>
    <w:p w:rsidR="00CA0046" w:rsidRPr="00857AA1" w:rsidRDefault="00CA0046" w:rsidP="009B37BC">
      <w:pPr>
        <w:pStyle w:val="Exposdesmotifstitre"/>
        <w:rPr>
          <w:noProof/>
        </w:rPr>
      </w:pPr>
      <w:bookmarkStart w:id="0" w:name="_GoBack"/>
      <w:bookmarkEnd w:id="0"/>
      <w:r w:rsidRPr="00857AA1">
        <w:rPr>
          <w:noProof/>
        </w:rPr>
        <w:lastRenderedPageBreak/>
        <w:t>ΑΙΤΙΟΛΟΓΙΚΗ ΕΚΘΕΣΗ</w:t>
      </w:r>
    </w:p>
    <w:p w:rsidR="00CA0046" w:rsidRPr="00857AA1" w:rsidRDefault="00430A09" w:rsidP="00430A09">
      <w:pPr>
        <w:pStyle w:val="ManualHeading1"/>
        <w:rPr>
          <w:rFonts w:eastAsia="Arial Unicode MS"/>
          <w:noProof/>
        </w:rPr>
      </w:pPr>
      <w:r w:rsidRPr="00430A09">
        <w:rPr>
          <w:noProof/>
        </w:rPr>
        <w:t>1.</w:t>
      </w:r>
      <w:r w:rsidRPr="00430A09">
        <w:rPr>
          <w:noProof/>
        </w:rPr>
        <w:tab/>
      </w:r>
      <w:r w:rsidR="00CA0046" w:rsidRPr="00857AA1">
        <w:rPr>
          <w:noProof/>
        </w:rPr>
        <w:t>Αντικείμενο της πρότασης</w:t>
      </w:r>
    </w:p>
    <w:p w:rsidR="00CA0046" w:rsidRPr="00857AA1" w:rsidRDefault="00B9721A" w:rsidP="009B37BC">
      <w:pPr>
        <w:rPr>
          <w:rFonts w:eastAsia="Arial Unicode MS"/>
          <w:noProof/>
        </w:rPr>
      </w:pPr>
      <w:r w:rsidRPr="00857AA1">
        <w:rPr>
          <w:noProof/>
        </w:rPr>
        <w:t>Η παρούσα πρόταση αφορά την απόφαση για τον καθορισμό της θέσης που πρέπει να ληφθεί εξ ονόματος της Ένωσης, κατά τη 18η συνεδρίαση της επιτροπής των μερών της σύμβασης του Συμβουλίου της Ευρώπης για την πρόληψη και την καταπολέμηση της βίας κατά των γυναικών και της ενδοοικογενειακής βίας (στο εξής: «σύμβαση της Κωνσταντινούπολης» ή «σύμβαση») στις 5-6 Ιουνίου 2025, σε συνδυασμό με την προβλεπόμενη έγκριση οκτώ σχεδίων συστάσεων και δύο σχεδίων συμπερασμάτων που απευθύνονται σε 10 συμβαλλόμενα κράτη σχετικά με την εφαρμογή της σύμβασης.</w:t>
      </w:r>
    </w:p>
    <w:p w:rsidR="00CA0046" w:rsidRPr="00857AA1" w:rsidRDefault="00430A09" w:rsidP="00430A09">
      <w:pPr>
        <w:pStyle w:val="ManualHeading1"/>
        <w:rPr>
          <w:noProof/>
        </w:rPr>
      </w:pPr>
      <w:r w:rsidRPr="00430A09">
        <w:rPr>
          <w:noProof/>
        </w:rPr>
        <w:t>2.</w:t>
      </w:r>
      <w:r w:rsidRPr="00430A09">
        <w:rPr>
          <w:noProof/>
        </w:rPr>
        <w:tab/>
      </w:r>
      <w:r w:rsidR="00CA0046" w:rsidRPr="00857AA1">
        <w:rPr>
          <w:noProof/>
        </w:rPr>
        <w:t>Πλαίσιο της πρότασης</w:t>
      </w:r>
    </w:p>
    <w:p w:rsidR="00CA0046" w:rsidRPr="00857AA1" w:rsidRDefault="00430A09" w:rsidP="00430A09">
      <w:pPr>
        <w:pStyle w:val="ManualHeading2"/>
        <w:rPr>
          <w:noProof/>
        </w:rPr>
      </w:pPr>
      <w:r w:rsidRPr="00430A09">
        <w:rPr>
          <w:noProof/>
        </w:rPr>
        <w:t>2.1.</w:t>
      </w:r>
      <w:r w:rsidRPr="00430A09">
        <w:rPr>
          <w:noProof/>
        </w:rPr>
        <w:tab/>
      </w:r>
      <w:r w:rsidR="00CA0046" w:rsidRPr="00857AA1">
        <w:rPr>
          <w:noProof/>
        </w:rPr>
        <w:t>Η σύμβαση της Κωνσταντινούπολης</w:t>
      </w:r>
    </w:p>
    <w:p w:rsidR="00B9721A" w:rsidRPr="00857AA1" w:rsidRDefault="00CA0046" w:rsidP="00B9721A">
      <w:pPr>
        <w:rPr>
          <w:rFonts w:eastAsia="Arial Unicode MS"/>
          <w:noProof/>
        </w:rPr>
      </w:pPr>
      <w:r w:rsidRPr="00857AA1">
        <w:rPr>
          <w:noProof/>
        </w:rPr>
        <w:t>Η σύμβαση της Κωνσταντινούπολης θεσπίζει ένα ολοκληρωμένο και εναρμονισμένο σύνολο κανόνων για την πρόληψη και την καταπολέμηση της βίας κατά των γυναικών και της ενδοοικογενειακής βίας στην Ευρώπη και εκτός αυτής. Η σύμβαση τέθηκε σε ισχύ την 1η Αυγούστου 2014.</w:t>
      </w:r>
    </w:p>
    <w:p w:rsidR="00B9721A" w:rsidRPr="00857AA1" w:rsidRDefault="00B9721A" w:rsidP="0038302B">
      <w:pPr>
        <w:rPr>
          <w:b/>
          <w:bCs/>
          <w:noProof/>
        </w:rPr>
      </w:pPr>
      <w:r w:rsidRPr="00857AA1">
        <w:rPr>
          <w:noProof/>
        </w:rPr>
        <w:t>Η ΕΕ υπέγραψε τη σύμβαση τον Ιούνιο του 2017 και ολοκλήρωσε τη διαδικασία προσχώρησης με την κατάθεση δύο πράξεων έγκρισης στις 28 Ιουνίου 2023, με αποτέλεσμα η σύμβαση να αρχίσει να ισχύει για την ΕΕ την 1η Οκτωβρίου 2023. Η ΕΕ έχει προσχωρήσει στη σύμβαση όσον αφορά θέματα που εμπίπτουν στην αποκλειστική της αρμοδιότητα, ιδίως όσον αφορά θέματα που σχετίζονται με τα θεσμικά όργανα και τη δημόσια διοίκηση της Ένωσης</w:t>
      </w:r>
      <w:r w:rsidRPr="00857AA1">
        <w:rPr>
          <w:rStyle w:val="FootnoteReference"/>
          <w:rFonts w:eastAsia="Arial Unicode MS"/>
          <w:noProof/>
        </w:rPr>
        <w:footnoteReference w:id="2"/>
      </w:r>
      <w:r w:rsidRPr="00857AA1">
        <w:rPr>
          <w:noProof/>
        </w:rPr>
        <w:t xml:space="preserve"> και σχετικά με θέματα που αφορούν τη δικαστική συνεργασία σε ποινικές υποθέσεις, το άσυλο και τη μη επαναπροώθηση</w:t>
      </w:r>
      <w:r w:rsidRPr="00857AA1">
        <w:rPr>
          <w:rStyle w:val="FootnoteReference"/>
          <w:rFonts w:eastAsia="Arial Unicode MS"/>
          <w:noProof/>
        </w:rPr>
        <w:footnoteReference w:id="3"/>
      </w:r>
      <w:r w:rsidRPr="00857AA1">
        <w:rPr>
          <w:noProof/>
        </w:rPr>
        <w:t>. Όλα τα κράτη μέλη της ΕΕ έχουν υπογράψει τη σύμβαση και 22 την έχουν κυρώσει</w:t>
      </w:r>
      <w:r w:rsidRPr="00857AA1">
        <w:rPr>
          <w:rStyle w:val="FootnoteReference"/>
          <w:rFonts w:eastAsia="Arial Unicode MS"/>
          <w:noProof/>
        </w:rPr>
        <w:footnoteReference w:id="4"/>
      </w:r>
      <w:r w:rsidRPr="00857AA1">
        <w:rPr>
          <w:noProof/>
        </w:rPr>
        <w:t>.</w:t>
      </w:r>
    </w:p>
    <w:p w:rsidR="00CA0046" w:rsidRPr="00857AA1" w:rsidRDefault="00430A09" w:rsidP="00430A09">
      <w:pPr>
        <w:pStyle w:val="ManualHeading2"/>
        <w:rPr>
          <w:noProof/>
        </w:rPr>
      </w:pPr>
      <w:r w:rsidRPr="00430A09">
        <w:rPr>
          <w:noProof/>
        </w:rPr>
        <w:t>2.2.</w:t>
      </w:r>
      <w:r w:rsidRPr="00430A09">
        <w:rPr>
          <w:noProof/>
        </w:rPr>
        <w:tab/>
      </w:r>
      <w:r w:rsidR="00CA0046" w:rsidRPr="00857AA1">
        <w:rPr>
          <w:noProof/>
        </w:rPr>
        <w:t>Η επιτροπή των μερών</w:t>
      </w:r>
    </w:p>
    <w:p w:rsidR="00CA0046" w:rsidRPr="00857AA1" w:rsidRDefault="00CA0046" w:rsidP="009B37BC">
      <w:pPr>
        <w:rPr>
          <w:rFonts w:eastAsia="Arial Unicode MS"/>
          <w:noProof/>
        </w:rPr>
      </w:pPr>
      <w:r w:rsidRPr="00857AA1">
        <w:rPr>
          <w:noProof/>
        </w:rPr>
        <w:t>Η επιτροπή των μερών</w:t>
      </w:r>
      <w:r w:rsidRPr="00857AA1">
        <w:rPr>
          <w:rStyle w:val="FootnoteReference"/>
          <w:rFonts w:eastAsia="Arial Unicode MS"/>
          <w:noProof/>
        </w:rPr>
        <w:footnoteReference w:id="5"/>
      </w:r>
      <w:r w:rsidRPr="00857AA1">
        <w:rPr>
          <w:noProof/>
        </w:rPr>
        <w:t xml:space="preserve"> απαρτίζεται από τους εκπροσώπους των μερών της σύμβασης. </w:t>
      </w:r>
      <w:bookmarkStart w:id="3" w:name="_Hlk165392736"/>
      <w:r w:rsidRPr="00857AA1">
        <w:rPr>
          <w:noProof/>
        </w:rPr>
        <w:t>Τα μέρη οφείλουν να επιδιώξουν να ορίσουν, ως εκπροσώπους τους,</w:t>
      </w:r>
      <w:bookmarkEnd w:id="3"/>
      <w:r w:rsidRPr="00857AA1">
        <w:rPr>
          <w:noProof/>
        </w:rPr>
        <w:t xml:space="preserve"> εμπειρογνώμονες του υψηλότερου δυνατού επιπέδου στον τομέα της πρόληψης και της καταπολέμησης της βίας κατά των γυναικών και της ενδοοικογενειακής βίας</w:t>
      </w:r>
      <w:r w:rsidRPr="00857AA1">
        <w:rPr>
          <w:rStyle w:val="FootnoteReference"/>
          <w:rFonts w:eastAsia="Arial Unicode MS"/>
          <w:noProof/>
        </w:rPr>
        <w:footnoteReference w:id="6"/>
      </w:r>
      <w:r w:rsidRPr="00857AA1">
        <w:rPr>
          <w:noProof/>
        </w:rPr>
        <w:t>. Τα καθήκοντα που έχουν ανατεθεί στην επιτροπή των μερών παρατίθενται στο άρθρο 1 του εσωτερικού κανονισμού της</w:t>
      </w:r>
      <w:r w:rsidRPr="00857AA1">
        <w:rPr>
          <w:rStyle w:val="FootnoteReference"/>
          <w:rFonts w:eastAsia="Arial Unicode MS"/>
          <w:noProof/>
        </w:rPr>
        <w:footnoteReference w:id="7"/>
      </w:r>
      <w:r w:rsidRPr="00857AA1">
        <w:rPr>
          <w:noProof/>
        </w:rPr>
        <w:t>. Την 1η Οκτωβρίου 2023 η ΕΕ κατέστη μέρος της σύμβασης της Κωνσταντινούπολης και, ως εκ τούτου, μέλος της επιτροπής των μερών (άρθρο 67 παράγραφος 1 της σύμβασης).</w:t>
      </w:r>
    </w:p>
    <w:p w:rsidR="00B9721A" w:rsidRPr="00857AA1" w:rsidRDefault="00430A09" w:rsidP="00430A09">
      <w:pPr>
        <w:pStyle w:val="ManualHeading2"/>
        <w:rPr>
          <w:noProof/>
        </w:rPr>
      </w:pPr>
      <w:r w:rsidRPr="00430A09">
        <w:rPr>
          <w:noProof/>
        </w:rPr>
        <w:t>2.3.</w:t>
      </w:r>
      <w:r w:rsidRPr="00430A09">
        <w:rPr>
          <w:noProof/>
        </w:rPr>
        <w:tab/>
      </w:r>
      <w:r w:rsidR="00B9721A" w:rsidRPr="00857AA1">
        <w:rPr>
          <w:noProof/>
        </w:rPr>
        <w:t>Ο μηχανισμός παρακολούθησης της σύμβασης της Κωνσταντινούπολης</w:t>
      </w:r>
    </w:p>
    <w:p w:rsidR="00425494" w:rsidRPr="00857AA1" w:rsidRDefault="00425494" w:rsidP="00425494">
      <w:pPr>
        <w:rPr>
          <w:noProof/>
        </w:rPr>
      </w:pPr>
      <w:r w:rsidRPr="00857AA1">
        <w:rPr>
          <w:noProof/>
        </w:rPr>
        <w:t>Η σύμβαση της Κωνσταντινούπολης θεσπίζει μηχανισμό παρακολούθησης προκειμένου να διασφαλίζεται η αποτελεσματική εφαρμογή της από τα μέρη</w:t>
      </w:r>
      <w:r w:rsidRPr="00857AA1">
        <w:rPr>
          <w:rStyle w:val="FootnoteReference"/>
          <w:noProof/>
        </w:rPr>
        <w:footnoteReference w:id="8"/>
      </w:r>
      <w:r w:rsidRPr="00857AA1">
        <w:rPr>
          <w:noProof/>
        </w:rPr>
        <w:t>. Σκοπός είναι να αξιολογείται ο τρόπος με τον οποίο εφαρμόζεται η σύμβαση και να δίνονται κατευθυντήριες γραμμές στα μέρη. Ο εν λόγω μηχανισμός αποτελείται από δύο διακριτούς αλλά αλληλεπιδρώντες φορείς: ένα ανεξάρτητο όργανο εμπειρογνωμόνων, την ομάδα ειδικών στη δράση κατά της βίας εναντίον των γυναικών και της ενδοοικογενειακής βίας (στο εξής: GREVIO), και την επιτροπή των μερών.</w:t>
      </w:r>
    </w:p>
    <w:p w:rsidR="00253AFB" w:rsidRPr="00857AA1" w:rsidRDefault="00425494" w:rsidP="002348E5">
      <w:pPr>
        <w:rPr>
          <w:noProof/>
        </w:rPr>
      </w:pPr>
      <w:r w:rsidRPr="00857AA1">
        <w:rPr>
          <w:noProof/>
        </w:rPr>
        <w:t>Η GREVIO είναι μια ανεξάρτητη ομάδα εμπειρογνωμόνων, η οποία είναι επιφορτισμένη να παρακολουθεί την εφαρμογή της σύμβασης της Κωνσταντινούπολης ανά χώρα, σύμφωνα με το άρθρο 66 παράγραφος 1 της σύμβασης. Η διαδικασία παρακολούθησης καθορίζεται στο άρθρο 68 της σύμβασης. Σύμφωνα με το άρθρο 68 παράγραφος 1 της σύμβασης, απαιτείται από τα νέα μέρη να υποβάλλουν αναφορά βάσει ερωτηματολογίου που έχει καταρτίσει η GREVIO, όπου θα αναλύουν τα νομοθετικά και άλλα μέτρα που λαμβάνουν προκειμένου να εφαρμοστεί η σύμβαση. Η GREVIO συντάσσει έκθεση σχετικά με τα μέτρα που έλαβε το οικείο μέρος για την εφαρμογή της σύμβασης και διατυπώνει υποδείξεις και προτάσεις σχετικά με τον τρόπο με τον οποίο το εν λόγω μέρος μπορεί να αντιμετωπίσει τα εντοπισθέντα προβλήματα</w:t>
      </w:r>
      <w:r w:rsidRPr="00857AA1">
        <w:rPr>
          <w:rStyle w:val="FootnoteReference"/>
          <w:rFonts w:eastAsia="Arial Unicode MS"/>
          <w:noProof/>
        </w:rPr>
        <w:footnoteReference w:id="9"/>
      </w:r>
      <w:r w:rsidRPr="00857AA1">
        <w:rPr>
          <w:noProof/>
        </w:rPr>
        <w:t>.</w:t>
      </w:r>
    </w:p>
    <w:p w:rsidR="00425494" w:rsidRPr="00857AA1" w:rsidRDefault="00933FA8" w:rsidP="00425494">
      <w:pPr>
        <w:pStyle w:val="Text1"/>
        <w:ind w:left="0"/>
        <w:rPr>
          <w:noProof/>
        </w:rPr>
      </w:pPr>
      <w:r w:rsidRPr="00857AA1">
        <w:rPr>
          <w:noProof/>
        </w:rPr>
        <w:t xml:space="preserve">Με βάση τις εκθέσεις της GREVIO, η επιτροπή των μερών, σύμφωνα με το άρθρο 68 παράγραφος 12 της σύμβασης, μπορεί να εκδώσει συστάσεις προς το οικείο μέρος σχετικά με την εφαρμογή της σύμβασης και να ορίσει προθεσμία για την υποβολή πληροφοριών από το εν λόγω μέρος σχετικά με την υλοποίηση αυτών των συστάσεων. Με βάση τη διάταξη αυτή, η επιτροπή των μερών εκδίδει συστάσεις προς τα μέρη οι οποίες κάνουν διάκριση μεταξύ των δράσεων που θα πρέπει να αναληφθούν το συντομότερο δυνατόν, με την απαίτηση υποβολής έκθεσης εντός τριών ετών, και των δράσεων που, παρότι σημαντικές, δεν έχουν εξίσου επείγοντα χαρακτήρα. Μετά τη λήξη της τριετούς περιόδου, το μέρος πρέπει να υποβάλει έκθεση στην επιτροπή των μερών σχετικά με την πρόοδο που έχει σημειωθεί όσον αφορά την υλοποίηση των συστάσεων που του είχαν απευθυνθεί.  Με βάση τα στοιχεία αυτά και τυχόν πρόσθετες πληροφορίες που λαμβάνονται, </w:t>
      </w:r>
      <w:bookmarkStart w:id="4" w:name="_Hlk197613385"/>
      <w:r w:rsidRPr="00857AA1">
        <w:rPr>
          <w:noProof/>
        </w:rPr>
        <w:t>η γραμματεία της επιτροπής</w:t>
      </w:r>
      <w:r w:rsidRPr="00857AA1">
        <w:rPr>
          <w:rStyle w:val="FootnoteReference"/>
          <w:rFonts w:eastAsia="Arial Unicode MS"/>
          <w:noProof/>
        </w:rPr>
        <w:footnoteReference w:id="10"/>
      </w:r>
      <w:r w:rsidRPr="00857AA1">
        <w:rPr>
          <w:noProof/>
        </w:rPr>
        <w:t xml:space="preserve"> καταρτίζει τα</w:t>
      </w:r>
      <w:bookmarkEnd w:id="4"/>
      <w:r w:rsidRPr="00857AA1">
        <w:rPr>
          <w:noProof/>
        </w:rPr>
        <w:t xml:space="preserve"> συμπεράσματα σχετικά με την υλοποίηση των συστάσεων από κάθε υπό εξέταση μέρος, τα οποία εγκρίνει η επιτροπή των μερών.</w:t>
      </w:r>
    </w:p>
    <w:p w:rsidR="00117AC8" w:rsidRPr="00857AA1" w:rsidRDefault="00425494" w:rsidP="00425494">
      <w:pPr>
        <w:pStyle w:val="Text1"/>
        <w:ind w:left="0"/>
        <w:rPr>
          <w:noProof/>
        </w:rPr>
      </w:pPr>
      <w:r w:rsidRPr="00857AA1">
        <w:rPr>
          <w:noProof/>
        </w:rPr>
        <w:t>Δεδομένου ότι η βασική διαδικασία αξιολόγησης είχε ολοκληρωθεί για όλα σχεδόν τα μέρη, η GREVIO αποφάσισε στα τέλη του 2022 να προχωρήσει στην επόμενη φάση της αξιολόγησής της. Σύμφωνα με το άρθρο 68 παράγραφος 3 της σύμβασης, οι διαδικασίες αξιολόγησης της GREVIO μετά τη βασική αξιολόγηση χωρίζονται σε γύρους (στο εξής: γύροι θεματικής αξιολόγησης). Ο πρώτος γύρος θεματικής αξιολόγησης φέρει τον τίτλο «Οικοδομώντας την εμπιστοσύνη με την παροχή υποστήριξης, προστασίας και δικαιοσύνης» και θα διαρκέσει από το 2023 έως το 2031. Ενώ η βασική αξιολόγηση κάλυπτε περίπου 60 άρθρα της σύμβασης της Κωνσταντινούπολης, η νέα διαδικασία θεματικής αξιολόγησης αφορά 20 άρθρα, και συγκεκριμένα τα άρθρα 3, 7, 8, 11, 12, 14, 15, 16, 18, 20, 22, 25, 31, 48, 49, 50, 51, 52, 53 και 56. Τα εν λόγω άρθρα καθορίζουν πρότυπα για τις υπηρεσίες επιβολής του νόμου, τους φορείς της ποινικής δικαιοσύνης, την παροχή γενικών και εξειδικευμένων υπηρεσιών υποστήριξης στα θύματα, καθώς και μια συνολική προσέγγιση με επίκεντρο τα θύματα. Σκοπός είναι η διενέργεια μιας διεξοδικότερης αξιολόγησης των εν λόγω τομέων, η οποία να εστιάζεται στην πρόοδο που έχει σημειωθεί στο πλαίσιο κάθε άρθρου. Η επιτροπή των μερών, στην τελευταία συνεδρίασή της τον Δεκέμβριο του 2024, εξέδωσε απόφαση σχετικά με τις συστάσεις που πρέπει να εγκριθούν από την επιτροπή των μερών υπό το πρίσμα των εκθέσεων της GREVIO που είχαν εγκριθεί στο πλαίσιο του πρώτου γύρου θεματικής αξιολόγησης [IC-CP(2024)10 rev].</w:t>
      </w:r>
    </w:p>
    <w:p w:rsidR="00425494" w:rsidRPr="00857AA1" w:rsidRDefault="00425494" w:rsidP="00425494">
      <w:pPr>
        <w:pStyle w:val="Text1"/>
        <w:ind w:left="0"/>
        <w:rPr>
          <w:rFonts w:eastAsia="Arial Unicode MS"/>
          <w:noProof/>
        </w:rPr>
      </w:pPr>
      <w:r w:rsidRPr="00857AA1">
        <w:rPr>
          <w:noProof/>
        </w:rPr>
        <w:t>Μέχρι σήμερα, η πρακτική της επιτροπής των μερών ήταν να εγκρίνει συστάσεις και συμπεράσματα βάσει συναίνεσης κατά τις συνεδριάσεις της, οι οποίες πραγματοποιούνται κατά κανόνα δύο φορές τον χρόνο, κατόπιν αιτήματος που υποβάλλεται από το ένα τρίτο των μερών, από τον πρόεδρο της επιτροπής των μερών ή από τον γενικό γραμματέα</w:t>
      </w:r>
      <w:r w:rsidRPr="00857AA1">
        <w:rPr>
          <w:rStyle w:val="FootnoteReference"/>
          <w:rFonts w:eastAsia="Arial Unicode MS"/>
          <w:noProof/>
        </w:rPr>
        <w:footnoteReference w:id="11"/>
      </w:r>
      <w:r w:rsidRPr="00857AA1">
        <w:rPr>
          <w:noProof/>
        </w:rPr>
        <w:t>.</w:t>
      </w:r>
    </w:p>
    <w:p w:rsidR="00425494" w:rsidRPr="00857AA1" w:rsidRDefault="00430A09" w:rsidP="00430A09">
      <w:pPr>
        <w:pStyle w:val="ManualHeading2"/>
        <w:rPr>
          <w:noProof/>
        </w:rPr>
      </w:pPr>
      <w:r w:rsidRPr="00430A09">
        <w:rPr>
          <w:noProof/>
        </w:rPr>
        <w:t>2.4.</w:t>
      </w:r>
      <w:r w:rsidRPr="00430A09">
        <w:rPr>
          <w:noProof/>
        </w:rPr>
        <w:tab/>
      </w:r>
      <w:r w:rsidR="00425494" w:rsidRPr="00857AA1">
        <w:rPr>
          <w:noProof/>
        </w:rPr>
        <w:t>Οι προς έκδοση πράξεις της επιτροπής των μερών</w:t>
      </w:r>
    </w:p>
    <w:p w:rsidR="00425494" w:rsidRPr="00857AA1" w:rsidRDefault="00425494" w:rsidP="00425494">
      <w:pPr>
        <w:rPr>
          <w:rFonts w:eastAsia="Arial Unicode MS"/>
          <w:noProof/>
        </w:rPr>
      </w:pPr>
      <w:r w:rsidRPr="00857AA1">
        <w:rPr>
          <w:noProof/>
        </w:rPr>
        <w:t>Στις 5-6 Ιουνίου 2025, κατά τη 18η συνεδρίασή της, προβλέπεται ότι η επιτροπή των μερών θα προβεί στην έγκριση των ακόλουθων οκτώ σχεδίων συστάσεων, που βασίζονται στον πρώτο γύρο θεματικής αξιολόγησης, και δύο συμπερασμάτων (στο εξής: «προς έκδοση πράξεις» ή «σχέδια συστάσεων και συμπερασμάτων»):</w:t>
      </w:r>
    </w:p>
    <w:p w:rsidR="717160C6" w:rsidRPr="00857AA1" w:rsidRDefault="4D29FC84" w:rsidP="00913B2C">
      <w:pPr>
        <w:pStyle w:val="Tiret1"/>
        <w:numPr>
          <w:ilvl w:val="0"/>
          <w:numId w:val="6"/>
        </w:numPr>
        <w:rPr>
          <w:noProof/>
        </w:rPr>
      </w:pPr>
      <w:r w:rsidRPr="00857AA1">
        <w:rPr>
          <w:noProof/>
        </w:rPr>
        <w:t>Συστάσεις προς την Αλβανία για βελτίωση της εμπιστοσύνης με την παροχή στήριξης, προστασίας και δικαιοσύνης βάσει της σύμβασης της Κωνσταντινούπολης [IC-CP(2025)2-prov],</w:t>
      </w:r>
    </w:p>
    <w:p w:rsidR="2C837FC0" w:rsidRPr="00857AA1" w:rsidRDefault="4CEFA8AA" w:rsidP="2C837FC0">
      <w:pPr>
        <w:pStyle w:val="Tiret1"/>
        <w:rPr>
          <w:noProof/>
        </w:rPr>
      </w:pPr>
      <w:r w:rsidRPr="00857AA1">
        <w:rPr>
          <w:noProof/>
        </w:rPr>
        <w:t>Συστάσεις προς την Αυστρία για βελτίωση της εμπιστοσύνης με την παροχή στήριξης, προστασίας και δικαιοσύνης βάσει της σύμβασης της Κωνσταντινούπολης [IC-CP(2025)3-prov],</w:t>
      </w:r>
    </w:p>
    <w:p w:rsidR="0BD53A73" w:rsidRPr="00857AA1" w:rsidRDefault="1DBEA599" w:rsidP="29BDAA74">
      <w:pPr>
        <w:pStyle w:val="Tiret1"/>
        <w:rPr>
          <w:rFonts w:eastAsia="Calibri"/>
          <w:noProof/>
        </w:rPr>
      </w:pPr>
      <w:r w:rsidRPr="00857AA1">
        <w:rPr>
          <w:noProof/>
        </w:rPr>
        <w:t>Συστάσεις προς τη Δανία για βελτίωση της εμπιστοσύνης με την παροχή στήριξης, προστασίας και δικαιοσύνης βάσει της σύμβασης της Κωνσταντινούπολης [IC-CP(2025)4-prov],</w:t>
      </w:r>
    </w:p>
    <w:p w:rsidR="0BD53A73" w:rsidRPr="00857AA1" w:rsidRDefault="3518076A" w:rsidP="4E5A937D">
      <w:pPr>
        <w:pStyle w:val="Tiret1"/>
        <w:rPr>
          <w:rFonts w:eastAsia="Calibri"/>
          <w:noProof/>
        </w:rPr>
      </w:pPr>
      <w:r w:rsidRPr="00857AA1">
        <w:rPr>
          <w:noProof/>
        </w:rPr>
        <w:t>Συστάσεις προς τη Φινλανδία για βελτίωση της εμπιστοσύνης με την παροχή στήριξης, προστασίας και δικαιοσύνης βάσει της σύμβασης της Κωνσταντινούπολης [IC-CP(2025)5-prov],</w:t>
      </w:r>
    </w:p>
    <w:p w:rsidR="0532E620" w:rsidRPr="00857AA1" w:rsidRDefault="65A0410C" w:rsidP="0532E620">
      <w:pPr>
        <w:pStyle w:val="Tiret1"/>
        <w:rPr>
          <w:noProof/>
        </w:rPr>
      </w:pPr>
      <w:r w:rsidRPr="00857AA1">
        <w:rPr>
          <w:noProof/>
        </w:rPr>
        <w:t>Συστάσεις προς το Μονακό για βελτίωση της εμπιστοσύνης με την παροχή στήριξης, προστασίας και δικαιοσύνης βάσει της σύμβασης της Κωνσταντινούπολης [IC-CP(2025)6-prov],</w:t>
      </w:r>
    </w:p>
    <w:p w:rsidR="5BF74387" w:rsidRPr="00857AA1" w:rsidRDefault="131BB49C" w:rsidP="5BF74387">
      <w:pPr>
        <w:pStyle w:val="Tiret1"/>
        <w:rPr>
          <w:noProof/>
        </w:rPr>
      </w:pPr>
      <w:r w:rsidRPr="00857AA1">
        <w:rPr>
          <w:noProof/>
        </w:rPr>
        <w:t>Συστάσεις προς το Μαυροβούνιο για βελτίωση της εμπιστοσύνης με την παροχή στήριξης, προστασίας και δικαιοσύνης βάσει της σύμβασης της Κωνσταντινούπολης [IC-CP(2025)7-prov],</w:t>
      </w:r>
    </w:p>
    <w:p w:rsidR="5BF74387" w:rsidRPr="00857AA1" w:rsidRDefault="15D2B4B1" w:rsidP="5BF74387">
      <w:pPr>
        <w:pStyle w:val="Tiret1"/>
        <w:rPr>
          <w:noProof/>
        </w:rPr>
      </w:pPr>
      <w:r w:rsidRPr="00857AA1">
        <w:rPr>
          <w:noProof/>
        </w:rPr>
        <w:t>Συστάσεις προς την Ισπανία για βελτίωση της εμπιστοσύνης με την παροχή στήριξης, προστασίας και δικαιοσύνης βάσει της σύμβασης της Κωνσταντινούπολης [IC-CP(2025)8-prov],</w:t>
      </w:r>
    </w:p>
    <w:p w:rsidR="5BF74387" w:rsidRPr="00857AA1" w:rsidRDefault="543B02FE" w:rsidP="5BF74387">
      <w:pPr>
        <w:pStyle w:val="Tiret1"/>
        <w:rPr>
          <w:noProof/>
        </w:rPr>
      </w:pPr>
      <w:r w:rsidRPr="00857AA1">
        <w:rPr>
          <w:noProof/>
        </w:rPr>
        <w:t>Συστάσεις προς τη Σουηδία για βελτίωση της εμπιστοσύνης με την παροχή στήριξης, προστασίας και δικαιοσύνης βάσει της σύμβασης της Κωνσταντινούπολης [IC-CP(2025)9-prov],</w:t>
      </w:r>
    </w:p>
    <w:p w:rsidR="00425494" w:rsidRPr="00857AA1" w:rsidRDefault="00425494" w:rsidP="00425494">
      <w:pPr>
        <w:pStyle w:val="Tiret1"/>
        <w:rPr>
          <w:noProof/>
        </w:rPr>
      </w:pPr>
      <w:r w:rsidRPr="00857AA1">
        <w:rPr>
          <w:noProof/>
        </w:rPr>
        <w:t>Συμπεράσματα σχετικά με την εφαρμογή των συστάσεων που εκδόθηκαν από την επιτροπή των μερών όσον αφορά τον Άγιο Μαρίνο [IC-CP(2025)10-prov],</w:t>
      </w:r>
    </w:p>
    <w:p w:rsidR="00425494" w:rsidRPr="00857AA1" w:rsidRDefault="2BFF0E29" w:rsidP="00425494">
      <w:pPr>
        <w:pStyle w:val="Tiret1"/>
        <w:rPr>
          <w:noProof/>
        </w:rPr>
      </w:pPr>
      <w:r w:rsidRPr="00857AA1">
        <w:rPr>
          <w:noProof/>
        </w:rPr>
        <w:t>Συμπεράσματα σχετικά με την εφαρμογή των συστάσεων που εκδόθηκαν από την επιτροπή των μερών όσον αφορά τη Σλοβενία [IC-CP (2025)11-prov].</w:t>
      </w:r>
    </w:p>
    <w:p w:rsidR="00CA0046" w:rsidRPr="00857AA1" w:rsidRDefault="00430A09" w:rsidP="00430A09">
      <w:pPr>
        <w:pStyle w:val="ManualHeading1"/>
        <w:rPr>
          <w:rFonts w:eastAsia="Arial Unicode MS"/>
          <w:noProof/>
        </w:rPr>
      </w:pPr>
      <w:r w:rsidRPr="00430A09">
        <w:rPr>
          <w:noProof/>
        </w:rPr>
        <w:t>3.</w:t>
      </w:r>
      <w:r w:rsidRPr="00430A09">
        <w:rPr>
          <w:noProof/>
        </w:rPr>
        <w:tab/>
      </w:r>
      <w:r w:rsidR="00CA0046" w:rsidRPr="00857AA1">
        <w:rPr>
          <w:noProof/>
        </w:rPr>
        <w:t>Θέση που πρέπει να ληφθεί εξ ονόματος της Ένωσης</w:t>
      </w:r>
    </w:p>
    <w:p w:rsidR="00425494" w:rsidRPr="00857AA1" w:rsidRDefault="00425494" w:rsidP="00833597">
      <w:pPr>
        <w:rPr>
          <w:noProof/>
        </w:rPr>
      </w:pPr>
      <w:bookmarkStart w:id="5" w:name="_Hlk166496389"/>
      <w:r w:rsidRPr="00857AA1">
        <w:rPr>
          <w:noProof/>
        </w:rPr>
        <w:t xml:space="preserve">Οι προς έκδοση πράξεις απευθύνονται σε 10 μέρη και περιλαμβάνουν οκτώ συστάσεις (οι οποίες βασίζονται στην πρώτη διαδικασία θεματικής αξιολόγησης) σχετικά με τα μέτρα που πρέπει να ληφθούν για την εφαρμογή της σύμβασης της Κωνσταντινούπολης, καθώς και συμπεράσματα σχετικά με την εφαρμογή προηγούμενων συστάσεων από τα μέρη. Τα σχέδια </w:t>
      </w:r>
      <w:bookmarkStart w:id="6" w:name="_Hlk166500340"/>
      <w:r w:rsidRPr="00857AA1">
        <w:rPr>
          <w:noProof/>
        </w:rPr>
        <w:t>αφορούν την εφαρμογή των διατάξεων της σύμβασης που</w:t>
      </w:r>
      <w:bookmarkEnd w:id="6"/>
      <w:r w:rsidRPr="00857AA1">
        <w:rPr>
          <w:noProof/>
        </w:rPr>
        <w:t xml:space="preserve"> σχετίζονται με τη δικαστική συνεργασία σε ποινικές υποθέσεις, για παράδειγμα θέματα σχετικά με την προστασία των θυμάτων και τη στήριξη των θυμάτων βίας κατά των γυναικών και ενδοοικογενειακής βίας, καθώς και —ως προς τα συμπεράσματα που απευθύνονται σε ένα μέρος— την εφαρμογή διατάξεων της σύμβασης που αφορούν το άσυλο και τη μη επαναπροώθηση. Τα θέματα αυτά καλύπτονται από το κεκτημένο της Ένωσης, ιδίως την οδηγία για την καταπολέμηση της βίας κατά των γυναικών και της εξ οικείων βίας</w:t>
      </w:r>
      <w:r w:rsidRPr="00857AA1">
        <w:rPr>
          <w:rStyle w:val="FootnoteReference"/>
          <w:rFonts w:eastAsia="Arial Unicode MS"/>
          <w:noProof/>
        </w:rPr>
        <w:footnoteReference w:id="12"/>
      </w:r>
      <w:r w:rsidRPr="00857AA1">
        <w:rPr>
          <w:noProof/>
        </w:rPr>
        <w:t>, την οδηγία για τα δικαιώματα των θυμάτων</w:t>
      </w:r>
      <w:r w:rsidRPr="00857AA1">
        <w:rPr>
          <w:rStyle w:val="FootnoteReference"/>
          <w:rFonts w:eastAsia="Arial Unicode MS"/>
          <w:noProof/>
        </w:rPr>
        <w:footnoteReference w:id="13"/>
      </w:r>
      <w:r w:rsidRPr="00857AA1">
        <w:rPr>
          <w:noProof/>
        </w:rPr>
        <w:t>, τον κανονισμό για τις διαδικασίες ασύλου</w:t>
      </w:r>
      <w:r w:rsidRPr="00857AA1">
        <w:rPr>
          <w:rStyle w:val="FootnoteReference"/>
          <w:rFonts w:eastAsia="Arial Unicode MS"/>
          <w:noProof/>
        </w:rPr>
        <w:footnoteReference w:id="14"/>
      </w:r>
      <w:r w:rsidRPr="00857AA1">
        <w:rPr>
          <w:noProof/>
        </w:rPr>
        <w:t xml:space="preserve">, </w:t>
      </w:r>
      <w:r w:rsidRPr="00857AA1">
        <w:rPr>
          <w:rStyle w:val="FootnoteReference"/>
          <w:rFonts w:eastAsia="Arial Unicode MS"/>
          <w:noProof/>
        </w:rPr>
        <w:footnoteReference w:id="15"/>
      </w:r>
      <w:r w:rsidRPr="00857AA1">
        <w:rPr>
          <w:noProof/>
        </w:rPr>
        <w:t>￼.και την οδηγία για την οικογενειακή επανένωση</w:t>
      </w:r>
      <w:r w:rsidRPr="00857AA1">
        <w:rPr>
          <w:rStyle w:val="FootnoteReference"/>
          <w:rFonts w:eastAsia="Arial Unicode MS"/>
          <w:noProof/>
        </w:rPr>
        <w:footnoteReference w:id="16"/>
      </w:r>
      <w:r w:rsidRPr="00857AA1">
        <w:rPr>
          <w:noProof/>
        </w:rPr>
        <w:t>.  Εμπίπτουν στην αποκλειστική αρμοδιότητα της Ένωσης, στον βαθμό που οι σχετικές διατάξεις της σύμβασης ενδέχεται να επηρεάσουν κοινούς κανόνες ή να μεταβάλουν το πεδίο εφαρμογής τους κατά την έννοια του άρθρου 3 παράγραφος 2 της Συνθήκης για τη λειτουργία της Ευρωπαϊκής Ένωσης (στο εξής: ΣΛΕΕ). Δεδομένου ότι οι προς έκδοση πράξεις μπορούν να επηρεάσουν με καθοριστικό τρόπο το περιεχόμενο του δικαίου της Ένωσης, υπό την έννοια ότι ενδέχεται να επηρεάσουν την ερμηνεία των σχετικών διατάξεων της σύμβασης στο μέλλον, είναι σκόπιμο να καθοριστεί η θέση που πρέπει να ληφθεί εξ ονόματος της Ένωσης στην επιτροπή των μερών όσον αφορά τα θέματα που σχετίζονται με τη δικαστική συνεργασία σε ποινικές υποθέσεις, το άσυλο και τη μη επαναπροώθηση.</w:t>
      </w:r>
      <w:bookmarkEnd w:id="5"/>
    </w:p>
    <w:p w:rsidR="00425494" w:rsidRPr="00857AA1" w:rsidRDefault="00425494" w:rsidP="00425494">
      <w:pPr>
        <w:rPr>
          <w:noProof/>
        </w:rPr>
      </w:pPr>
      <w:r w:rsidRPr="00857AA1">
        <w:rPr>
          <w:noProof/>
        </w:rPr>
        <w:t>Τα σχέδια συστάσεων και συμπερασμάτων για τα θέματα που εμπίπτουν στην αρμοδιότητα της Ένωσης συνάδουν με τους ενωσιακούς στόχους και πολιτικές όσον αφορά τη δικαστική συνεργασία σε ποινικές υποθέσεις, το άσυλο και τη μη επαναπροώθηση και δεν προκαλούν ανησυχίες όσον αφορά το δίκαιο της Ένωσης. Ως εκ τούτου, προτείνεται η Ένωση να μην εναντιωθεί στην έγκριση των σχεδίων συστάσεων και συμπερασμάτων κατά τη 18η συνεδρίαση της επιτροπής των μερών.</w:t>
      </w:r>
    </w:p>
    <w:p w:rsidR="00CA0046" w:rsidRPr="00857AA1" w:rsidRDefault="00430A09" w:rsidP="00430A09">
      <w:pPr>
        <w:pStyle w:val="ManualHeading1"/>
        <w:rPr>
          <w:noProof/>
        </w:rPr>
      </w:pPr>
      <w:r w:rsidRPr="00430A09">
        <w:rPr>
          <w:noProof/>
        </w:rPr>
        <w:t>4.</w:t>
      </w:r>
      <w:r w:rsidRPr="00430A09">
        <w:rPr>
          <w:noProof/>
        </w:rPr>
        <w:tab/>
      </w:r>
      <w:r w:rsidR="00CA0046" w:rsidRPr="00857AA1">
        <w:rPr>
          <w:noProof/>
        </w:rPr>
        <w:t>Νομική βάση</w:t>
      </w:r>
    </w:p>
    <w:p w:rsidR="00CA0046" w:rsidRPr="00857AA1" w:rsidRDefault="00430A09" w:rsidP="00430A09">
      <w:pPr>
        <w:pStyle w:val="ManualHeading2"/>
        <w:rPr>
          <w:noProof/>
        </w:rPr>
      </w:pPr>
      <w:r w:rsidRPr="00430A09">
        <w:rPr>
          <w:noProof/>
        </w:rPr>
        <w:t>4.1.</w:t>
      </w:r>
      <w:r w:rsidRPr="00430A09">
        <w:rPr>
          <w:noProof/>
        </w:rPr>
        <w:tab/>
      </w:r>
      <w:r w:rsidR="00CA0046" w:rsidRPr="00857AA1">
        <w:rPr>
          <w:noProof/>
        </w:rPr>
        <w:t>Διαδικαστική νομική βάση</w:t>
      </w:r>
    </w:p>
    <w:p w:rsidR="00CA0046" w:rsidRPr="00857AA1" w:rsidRDefault="00430A09" w:rsidP="00430A09">
      <w:pPr>
        <w:pStyle w:val="ManualHeading3"/>
        <w:rPr>
          <w:noProof/>
        </w:rPr>
      </w:pPr>
      <w:r w:rsidRPr="00430A09">
        <w:rPr>
          <w:noProof/>
        </w:rPr>
        <w:t>4.1.1.</w:t>
      </w:r>
      <w:r w:rsidRPr="00430A09">
        <w:rPr>
          <w:noProof/>
        </w:rPr>
        <w:tab/>
      </w:r>
      <w:r w:rsidR="00CA0046" w:rsidRPr="00857AA1">
        <w:rPr>
          <w:noProof/>
        </w:rPr>
        <w:t>Αρχές</w:t>
      </w:r>
    </w:p>
    <w:p w:rsidR="00CA0046" w:rsidRPr="00857AA1" w:rsidRDefault="00CA0046" w:rsidP="009B37BC">
      <w:pPr>
        <w:rPr>
          <w:noProof/>
        </w:rPr>
      </w:pPr>
      <w:r w:rsidRPr="00857AA1">
        <w:rPr>
          <w:noProof/>
        </w:rPr>
        <w:t>Το άρθρο 218 παράγραφος 9 της ΣΛΕΕ προβλέπει την έκδοση αποφάσεων για τον καθορισμό «των θέσεων που θα πρέπει να ληφθούν, εξ ονόματος της Ένωσης, σε όργανο που συνιστάται από δεδομένη συμφωνία, όταν το εν λόγω όργανο καλείται να θεσπίσει πράξεις που παράγουν έννομα αποτελέσματα, με εξαίρεση τις πράξεις που συμπληρώνουν ή τροποποιούν το θεσμικό πλαίσιο της συμφωνίας».</w:t>
      </w:r>
    </w:p>
    <w:p w:rsidR="00CA0046" w:rsidRPr="00857AA1" w:rsidRDefault="00CA0046" w:rsidP="009B37BC">
      <w:pPr>
        <w:rPr>
          <w:noProof/>
        </w:rPr>
      </w:pPr>
      <w:r w:rsidRPr="00857AA1">
        <w:rPr>
          <w:noProof/>
        </w:rPr>
        <w:t>Η έννοια των «πράξεων που παράγουν έννομα αποτελέσματα» περιλαμβάνει πράξεις που παράγουν έννομα αποτελέσματα δυνάμει των κανόνων του διεθνούς δικαίου που διέπουν το εκάστοτε όργανο. Περιλαμβάνει επίσης κείμενα που δεν έχουν μεν δεσμευτική ισχύ βάσει του διεθνούς δικαίου, αλλά «επηρεάζουν με καθοριστικό τρόπο το περιεχόμενο των ρυθμίσεων που θεσπίζει ο νομοθέτης της Ένωσης»</w:t>
      </w:r>
      <w:r w:rsidRPr="00857AA1">
        <w:rPr>
          <w:rStyle w:val="FootnoteReference"/>
          <w:noProof/>
        </w:rPr>
        <w:footnoteReference w:id="17"/>
      </w:r>
      <w:r w:rsidRPr="00857AA1">
        <w:rPr>
          <w:noProof/>
        </w:rPr>
        <w:t>.</w:t>
      </w:r>
    </w:p>
    <w:p w:rsidR="00CA0046" w:rsidRPr="00857AA1" w:rsidRDefault="00430A09" w:rsidP="00430A09">
      <w:pPr>
        <w:pStyle w:val="ManualHeading3"/>
        <w:rPr>
          <w:noProof/>
        </w:rPr>
      </w:pPr>
      <w:r w:rsidRPr="00430A09">
        <w:rPr>
          <w:noProof/>
        </w:rPr>
        <w:t>4.1.2.</w:t>
      </w:r>
      <w:r w:rsidRPr="00430A09">
        <w:rPr>
          <w:noProof/>
        </w:rPr>
        <w:tab/>
      </w:r>
      <w:r w:rsidR="00CA0046" w:rsidRPr="00857AA1">
        <w:rPr>
          <w:noProof/>
        </w:rPr>
        <w:t>Εφαρμογή στην προκειμένη περίπτωση</w:t>
      </w:r>
    </w:p>
    <w:p w:rsidR="004910EE" w:rsidRPr="00857AA1" w:rsidRDefault="004910EE" w:rsidP="004910EE">
      <w:pPr>
        <w:rPr>
          <w:noProof/>
        </w:rPr>
      </w:pPr>
      <w:r w:rsidRPr="00857AA1">
        <w:rPr>
          <w:noProof/>
        </w:rPr>
        <w:t>Η επιτροπή των μερών είναι όργανο που έχει συσταθεί με τη σύμβαση της Κωνσταντινούπολης. Οι προς έκδοση πράξεις τις οποίες καλείται να εκδώσει η επιτροπή των μερών είναι πράξεις που παράγουν έννομα αποτελέσματα. Οι προς έκδοση πράξεις μπορούν να επηρεάσουν με καθοριστικό τρόπο το περιεχόμενο του δικαίου της Ένωσης, γιατί ενδέχεται να επηρεάσουν την ερμηνεία των σχετικών διατάξεων της σύμβασης της Κωνσταντινούπολης στο μέλλον. Συνεπώς, η διαδικαστική νομική βάση για την προτεινόμενη απόφαση είναι το άρθρο 218 παράγραφος 9 της ΣΛΕΕ.</w:t>
      </w:r>
    </w:p>
    <w:p w:rsidR="00CA0046" w:rsidRPr="00857AA1" w:rsidRDefault="00430A09" w:rsidP="00430A09">
      <w:pPr>
        <w:pStyle w:val="ManualHeading2"/>
        <w:rPr>
          <w:noProof/>
        </w:rPr>
      </w:pPr>
      <w:r w:rsidRPr="00430A09">
        <w:rPr>
          <w:noProof/>
        </w:rPr>
        <w:t>4.2.</w:t>
      </w:r>
      <w:r w:rsidRPr="00430A09">
        <w:rPr>
          <w:noProof/>
        </w:rPr>
        <w:tab/>
      </w:r>
      <w:r w:rsidR="00CA0046" w:rsidRPr="00857AA1">
        <w:rPr>
          <w:noProof/>
        </w:rPr>
        <w:t>Ουσιαστική νομική βάση</w:t>
      </w:r>
    </w:p>
    <w:p w:rsidR="00CA0046" w:rsidRPr="00857AA1" w:rsidRDefault="00430A09" w:rsidP="00430A09">
      <w:pPr>
        <w:pStyle w:val="ManualHeading3"/>
        <w:rPr>
          <w:noProof/>
        </w:rPr>
      </w:pPr>
      <w:r w:rsidRPr="00430A09">
        <w:rPr>
          <w:noProof/>
        </w:rPr>
        <w:t>4.2.1.</w:t>
      </w:r>
      <w:r w:rsidRPr="00430A09">
        <w:rPr>
          <w:noProof/>
        </w:rPr>
        <w:tab/>
      </w:r>
      <w:r w:rsidR="00CA0046" w:rsidRPr="00857AA1">
        <w:rPr>
          <w:noProof/>
        </w:rPr>
        <w:t>Αρχές</w:t>
      </w:r>
    </w:p>
    <w:p w:rsidR="00CA0046" w:rsidRPr="00857AA1" w:rsidRDefault="00CA0046" w:rsidP="009B37BC">
      <w:pPr>
        <w:rPr>
          <w:noProof/>
        </w:rPr>
      </w:pPr>
      <w:r w:rsidRPr="00857AA1">
        <w:rPr>
          <w:noProof/>
        </w:rPr>
        <w:t>Η ουσιαστική νομική βάση για την έκδοση απόφασης δυνάμει του άρθρου 218 παράγραφος 9 της ΣΛΕΕ εξαρτάται πρωτίστως από τον στόχο και το περιεχόμενο της προς έκδοση πράξης σε σχέση με την οποία λαμβάνεται θέση εξ ονόματος της Ένωσης. Εάν η προς έκδοση πράξη επιδιώκει διττό σκοπό ή έχει δύο συνιστώσες και εάν ένας από τους σκοπούς ή μία από τις συνιστώσες μπορεί να χαρακτηριστεί κύριος/-α, ενώ ο/η άλλος/-η έχει απλώς παρεπόμενο χαρακτήρα, η απόφαση δυνάμει του άρθρου 218 παράγραφος 9 της ΣΛΕΕ πρέπει να στηρίζεται σε μία και μόνο ουσιαστική νομική βάση, ήτοι εκείνη που επιβάλλει ο κύριος ή πρωτεύων σκοπός ή συνιστώσα.</w:t>
      </w:r>
    </w:p>
    <w:p w:rsidR="00CA0046" w:rsidRPr="00857AA1" w:rsidRDefault="00CA0046" w:rsidP="009B37BC">
      <w:pPr>
        <w:rPr>
          <w:noProof/>
        </w:rPr>
      </w:pPr>
      <w:r w:rsidRPr="00857AA1">
        <w:rPr>
          <w:noProof/>
        </w:rPr>
        <w:t>Σε περίπτωση που η προς έκδοση πράξη επιδιώκει συγχρόνως πολλούς στόχους ή έχει πολλές συνιστώσες οι οποίοι/-ες συνδέονται άρρηκτα μεταξύ τους, χωρίς ο ένας / η μία να έχει παρεπόμενο χαρακτήρα σε σχέση με τον/την άλλο/-η, η ουσιαστική νομική βάση της απόφασης δυνάμει του άρθρου 218 παράγραφος 9 της ΣΛΕΕ θα πρέπει να περιλαμβάνει, κατ’ εξαίρεση, τις διάφορες αντίστοιχες νομικές βάσεις.</w:t>
      </w:r>
    </w:p>
    <w:p w:rsidR="00CA0046" w:rsidRPr="00857AA1" w:rsidRDefault="00430A09" w:rsidP="00430A09">
      <w:pPr>
        <w:pStyle w:val="ManualHeading3"/>
        <w:rPr>
          <w:noProof/>
        </w:rPr>
      </w:pPr>
      <w:r w:rsidRPr="00430A09">
        <w:rPr>
          <w:noProof/>
        </w:rPr>
        <w:t>4.2.2.</w:t>
      </w:r>
      <w:r w:rsidRPr="00430A09">
        <w:rPr>
          <w:noProof/>
        </w:rPr>
        <w:tab/>
      </w:r>
      <w:r w:rsidR="00CA0046" w:rsidRPr="00857AA1">
        <w:rPr>
          <w:noProof/>
        </w:rPr>
        <w:t>Εφαρμογή στην προκειμένη περίπτωση</w:t>
      </w:r>
    </w:p>
    <w:p w:rsidR="004910EE" w:rsidRPr="00857AA1" w:rsidRDefault="004910EE" w:rsidP="004910EE">
      <w:pPr>
        <w:rPr>
          <w:noProof/>
        </w:rPr>
      </w:pPr>
      <w:r w:rsidRPr="00857AA1">
        <w:rPr>
          <w:noProof/>
        </w:rPr>
        <w:t>Ως προς την ουσιαστική νομική βάση, η ΕΕ έχει προσχωρήσει στη σύμβαση της Κωνσταντινούπολης όσον αφορά τα θέματα που εμπίπτουν στην αποκλειστική της αρμοδιότητα, δηλαδή τα θέματα που σχετίζονται με τα θεσμικά όργανα και τη δημόσια διοίκηση της Ένωσης</w:t>
      </w:r>
      <w:r w:rsidRPr="00857AA1">
        <w:rPr>
          <w:rStyle w:val="FootnoteReference"/>
          <w:rFonts w:eastAsia="Arial Unicode MS"/>
          <w:noProof/>
        </w:rPr>
        <w:footnoteReference w:id="18"/>
      </w:r>
      <w:r w:rsidRPr="00857AA1">
        <w:rPr>
          <w:noProof/>
        </w:rPr>
        <w:t xml:space="preserve"> και τα θέματα που σχετίζονται με τη δικαστική συνεργασία σε ποινικές υποθέσεις, το άσυλο και τη μη επαναπροώθηση</w:t>
      </w:r>
      <w:r w:rsidRPr="00857AA1">
        <w:rPr>
          <w:rStyle w:val="FootnoteReference"/>
          <w:rFonts w:eastAsia="Arial Unicode MS"/>
          <w:noProof/>
        </w:rPr>
        <w:footnoteReference w:id="19"/>
      </w:r>
      <w:r w:rsidRPr="00857AA1">
        <w:rPr>
          <w:noProof/>
        </w:rPr>
        <w:t>. Η προσχώρηση της ΕΕ στη σύμβαση της Κωνσταντινούπολης χωρίστηκε σε δύο διαφορετικές αποφάσεις του Συμβουλίου, προκειμένου να ληφθεί υπόψη η ειδική θέση της Δανίας και της Ιρλανδίας όσον αφορά τον τίτλο V της ΣΛΕΕ. Κατά συνέπεια, η απόφαση για τον καθορισμό της θέσης που πρέπει να ληφθεί εξ ονόματος της Ένωσης στην επιτροπή των μερών πρέπει επίσης να χωριστεί σε δύο αποφάσεις, όταν οι σχετικές συστάσεις ή συμπεράσματα αφορούν αμφότερα τα θέματα.</w:t>
      </w:r>
    </w:p>
    <w:p w:rsidR="004910EE" w:rsidRPr="00857AA1" w:rsidRDefault="004910EE" w:rsidP="004910EE">
      <w:pPr>
        <w:rPr>
          <w:noProof/>
        </w:rPr>
      </w:pPr>
      <w:r w:rsidRPr="00857AA1">
        <w:rPr>
          <w:noProof/>
        </w:rPr>
        <w:t>Οι προς έκδοση πράξεις επιδιώκουν στόχους και έχουν συνιστώσες στους τομείς της δικαστικής συνεργασίας σε ποινικές υποθέσεις (άρθρο 82 παράγραφος 2 και άρθρο 84 της ΣΛΕΕ), καθώς και του ασύλου και της μη επαναπροώθησης (άρθρο 78 παράγραφος 2 της ΣΛΕΕ). Αυτές είναι άρρηκτα συνδεδεμένες μεταξύ τους, χωρίς η μία να έχει παρεπόμενο χαρακτήρα ως προς την άλλη. Συνεπώς, η ουσιαστική νομική βάση της προτεινόμενης απόφασης περιλαμβάνει τις ακόλουθες διατάξεις: άρθρο 78 παράγραφος 2, άρθρο 82 παράγραφος 2 και άρθρο 84 της ΣΛΕΕ.</w:t>
      </w:r>
    </w:p>
    <w:p w:rsidR="00CA0046" w:rsidRPr="00857AA1" w:rsidRDefault="00430A09" w:rsidP="00430A09">
      <w:pPr>
        <w:pStyle w:val="ManualHeading2"/>
        <w:rPr>
          <w:noProof/>
        </w:rPr>
      </w:pPr>
      <w:r w:rsidRPr="00430A09">
        <w:rPr>
          <w:noProof/>
        </w:rPr>
        <w:t>4.3.</w:t>
      </w:r>
      <w:r w:rsidRPr="00430A09">
        <w:rPr>
          <w:noProof/>
        </w:rPr>
        <w:tab/>
      </w:r>
      <w:r w:rsidR="00CA0046" w:rsidRPr="00857AA1">
        <w:rPr>
          <w:noProof/>
        </w:rPr>
        <w:t>Συμπέρασμα</w:t>
      </w:r>
    </w:p>
    <w:p w:rsidR="00CA0046" w:rsidRPr="00857AA1" w:rsidRDefault="00CA0046" w:rsidP="009B37BC">
      <w:pPr>
        <w:rPr>
          <w:noProof/>
        </w:rPr>
      </w:pPr>
      <w:r w:rsidRPr="00857AA1">
        <w:rPr>
          <w:noProof/>
        </w:rPr>
        <w:t>Η νομική βάση της προτεινόμενης απόφασης θα πρέπει να είναι το άρθρο 78 παράγραφος 2, το άρθρο 82 παράγραφος 2 και το άρθρο 84, σε συνδυασμό με το άρθρο 218 παράγραφος 9 της ΣΛΕΕ.</w:t>
      </w:r>
    </w:p>
    <w:p w:rsidR="00CA0046" w:rsidRPr="00857AA1" w:rsidRDefault="00CA0046" w:rsidP="009B37BC">
      <w:pPr>
        <w:rPr>
          <w:noProof/>
        </w:rPr>
        <w:sectPr w:rsidR="00CA0046" w:rsidRPr="00857AA1" w:rsidSect="00F34FD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32CA8" w:rsidRDefault="00CC782D">
      <w:pPr>
        <w:pStyle w:val="Rfrenceinterinstitutionnelle"/>
        <w:rPr>
          <w:noProof/>
        </w:rPr>
      </w:pPr>
      <w:r>
        <w:rPr>
          <w:noProof/>
        </w:rPr>
        <w:t>2025/0118 (NLE)</w:t>
      </w:r>
    </w:p>
    <w:p w:rsidR="00CA0046" w:rsidRPr="00857AA1" w:rsidRDefault="00857AA1" w:rsidP="00857AA1">
      <w:pPr>
        <w:pStyle w:val="Statut"/>
        <w:rPr>
          <w:noProof/>
        </w:rPr>
      </w:pPr>
      <w:r w:rsidRPr="00857AA1">
        <w:rPr>
          <w:noProof/>
        </w:rPr>
        <w:t>Πρόταση</w:t>
      </w:r>
    </w:p>
    <w:p w:rsidR="00CA0046" w:rsidRPr="00857AA1" w:rsidRDefault="00857AA1" w:rsidP="00857AA1">
      <w:pPr>
        <w:pStyle w:val="Typedudocument"/>
        <w:rPr>
          <w:noProof/>
        </w:rPr>
      </w:pPr>
      <w:r w:rsidRPr="00857AA1">
        <w:rPr>
          <w:noProof/>
        </w:rPr>
        <w:t>ΑΠΟΦΑΣΗ ΤΟΥ ΣΥΜΒΟΥΛΙΟΥ</w:t>
      </w:r>
    </w:p>
    <w:p w:rsidR="00CA0046" w:rsidRPr="00857AA1" w:rsidRDefault="00857AA1" w:rsidP="00857AA1">
      <w:pPr>
        <w:pStyle w:val="Titreobjet"/>
        <w:rPr>
          <w:noProof/>
        </w:rPr>
      </w:pPr>
      <w:r w:rsidRPr="00857AA1">
        <w:rPr>
          <w:noProof/>
        </w:rPr>
        <w:t xml:space="preserve">σχετικά με τη θέση που πρέπει να ληφθεί εξ ονόματος της Ευρωπαϊκής Ένωσης στη 18η συνεδρίαση της επιτροπής των μερών της σύμβασης του Συμβουλίου της Ευρώπης για την πρόληψη και την καταπολέμηση της βίας κατά των γυναικών και της ενδοοικογενειακής βίας ως προς την έκδοση συστάσεων και συμπερασμάτων που απευθύνονται σε 10 συμβαλλόμενα κράτη και αφορούν την εκ μέρους τους εφαρμογή της εν λόγω σύμβασης, σχετικά με τα θέματα που αφορούν τη δικαστική συνεργασία σε ποινικές υποθέσεις, το άσυλο και τη μη επαναπροώθηση </w:t>
      </w:r>
      <w:r w:rsidRPr="00857AA1">
        <w:rPr>
          <w:noProof/>
        </w:rPr>
        <w:br/>
      </w:r>
    </w:p>
    <w:p w:rsidR="00CA0046" w:rsidRPr="00857AA1" w:rsidRDefault="00CA0046" w:rsidP="009B37BC">
      <w:pPr>
        <w:pStyle w:val="Institutionquiagit"/>
        <w:rPr>
          <w:noProof/>
        </w:rPr>
      </w:pPr>
      <w:r w:rsidRPr="00857AA1">
        <w:rPr>
          <w:noProof/>
        </w:rPr>
        <w:t>ΤΟ ΣΥΜΒΟΥΛΙΟ ΤΗΣ ΕΥΡΩΠΑΪΚΗΣ ΕΝΩΣΗΣ,</w:t>
      </w:r>
    </w:p>
    <w:p w:rsidR="00CA0046" w:rsidRPr="00857AA1" w:rsidRDefault="00CA0046" w:rsidP="009B37BC">
      <w:pPr>
        <w:rPr>
          <w:noProof/>
        </w:rPr>
      </w:pPr>
      <w:r w:rsidRPr="00857AA1">
        <w:rPr>
          <w:noProof/>
        </w:rPr>
        <w:t>Έχοντας υπόψη τη Συνθήκη για τη λειτουργία της Ευρωπαϊκής Ένωσης, και ιδίως το άρθρο 78 παράγραφος 2, το άρθρο 82 παράγραφος 2 και το άρθρο 84, σε συνδυασμό με το άρθρο 218 παράγραφος 9,</w:t>
      </w:r>
    </w:p>
    <w:p w:rsidR="00CA0046" w:rsidRPr="00857AA1" w:rsidRDefault="00CA0046" w:rsidP="009B37BC">
      <w:pPr>
        <w:rPr>
          <w:noProof/>
        </w:rPr>
      </w:pPr>
      <w:r w:rsidRPr="00857AA1">
        <w:rPr>
          <w:noProof/>
        </w:rPr>
        <w:t>Έχοντας υπόψη την πρόταση της Ευρωπαϊκής Επιτροπής,</w:t>
      </w:r>
    </w:p>
    <w:p w:rsidR="00CA0046" w:rsidRPr="00857AA1" w:rsidRDefault="00CA0046" w:rsidP="009B37BC">
      <w:pPr>
        <w:rPr>
          <w:noProof/>
        </w:rPr>
      </w:pPr>
      <w:r w:rsidRPr="00857AA1">
        <w:rPr>
          <w:noProof/>
        </w:rPr>
        <w:t>Εκτιμώντας τα ακόλουθα:</w:t>
      </w:r>
    </w:p>
    <w:p w:rsidR="004910EE" w:rsidRPr="00857AA1" w:rsidRDefault="00430A09" w:rsidP="00430A09">
      <w:pPr>
        <w:pStyle w:val="ManualConsidrant"/>
        <w:rPr>
          <w:noProof/>
        </w:rPr>
      </w:pPr>
      <w:r w:rsidRPr="00430A09">
        <w:rPr>
          <w:noProof/>
        </w:rPr>
        <w:t>(1)</w:t>
      </w:r>
      <w:r w:rsidRPr="00430A09">
        <w:rPr>
          <w:noProof/>
        </w:rPr>
        <w:tab/>
      </w:r>
      <w:r w:rsidR="004910EE" w:rsidRPr="00857AA1">
        <w:rPr>
          <w:noProof/>
        </w:rPr>
        <w:t xml:space="preserve">Η </w:t>
      </w:r>
      <w:bookmarkStart w:id="7" w:name="_Hlk155975914"/>
      <w:r w:rsidR="004910EE" w:rsidRPr="00857AA1">
        <w:rPr>
          <w:noProof/>
        </w:rPr>
        <w:t>σύμβαση του Συμβουλίου της Ευρώπης για την πρόληψη και την καταπολέμηση της βίας κατά των γυναικών και της ενδοοικογενειακής βίας</w:t>
      </w:r>
      <w:bookmarkEnd w:id="7"/>
      <w:r w:rsidR="004910EE" w:rsidRPr="00857AA1">
        <w:rPr>
          <w:noProof/>
        </w:rPr>
        <w:t xml:space="preserve"> (στο εξής: σύμβαση) συνήφθη από την Ένωση με την απόφαση (ΕΕ) 2023/1075 του Συμβουλίου</w:t>
      </w:r>
      <w:r w:rsidR="004910EE" w:rsidRPr="00857AA1">
        <w:rPr>
          <w:rStyle w:val="FootnoteReference"/>
          <w:noProof/>
        </w:rPr>
        <w:footnoteReference w:id="20"/>
      </w:r>
      <w:r w:rsidR="004910EE" w:rsidRPr="00857AA1">
        <w:rPr>
          <w:noProof/>
        </w:rPr>
        <w:t>, όσον αφορά τα θεσμικά όργανα και τη δημόσια διοίκηση της Ένωσης, και με την απόφαση (ΕΕ) 2023/1076 του Συμβουλίου</w:t>
      </w:r>
      <w:r w:rsidR="004910EE" w:rsidRPr="00857AA1">
        <w:rPr>
          <w:rStyle w:val="FootnoteReference"/>
          <w:noProof/>
        </w:rPr>
        <w:footnoteReference w:id="21"/>
      </w:r>
      <w:r w:rsidR="004910EE" w:rsidRPr="00857AA1">
        <w:rPr>
          <w:noProof/>
        </w:rPr>
        <w:t>, όσον αφορά τα θέματα που σχετίζονται με τη δικαστική συνεργασία σε ποινικές υποθέσεις, το άσυλο και τη μη επαναπροώθηση, στον βαθμό που εμπίπτουν στην αποκλειστική αρμοδιότητα της Ένωσης, και τέθηκε σε ισχύ για την Ένωση την 1η Οκτωβρίου 2023.</w:t>
      </w:r>
    </w:p>
    <w:p w:rsidR="00CA0046" w:rsidRPr="00857AA1" w:rsidRDefault="00430A09" w:rsidP="00430A09">
      <w:pPr>
        <w:pStyle w:val="ManualConsidrant"/>
        <w:rPr>
          <w:noProof/>
        </w:rPr>
      </w:pPr>
      <w:r w:rsidRPr="00430A09">
        <w:rPr>
          <w:noProof/>
        </w:rPr>
        <w:t>(2)</w:t>
      </w:r>
      <w:r w:rsidRPr="00430A09">
        <w:rPr>
          <w:noProof/>
        </w:rPr>
        <w:tab/>
      </w:r>
      <w:r w:rsidR="002F2595" w:rsidRPr="00857AA1">
        <w:rPr>
          <w:noProof/>
        </w:rPr>
        <w:t>Δυνάμει του άρθρου 66 παράγραφος 1 της σύμβασης, η ομάδα ειδικών στη δράση κατά της βίας εναντίον των γυναικών και της ενδοοικογενειακής βίας (GREVIO) παρακολουθεί την εφαρμογή της σύμβασης από τα μέρη. Σύμφωνα με το άρθρο 68 παράγραφος 11 της σύμβασης, η GREVIO εκδίδει τις εκθέσεις και τα συμπεράσματά της αναφορικά με τα μέτρα που λαμβάνονται από το εκάστοτε μέρος για την εφαρμογή των διατάξεων της σύμβασης.</w:t>
      </w:r>
    </w:p>
    <w:p w:rsidR="004910EE" w:rsidRPr="00857AA1" w:rsidRDefault="00430A09" w:rsidP="00430A09">
      <w:pPr>
        <w:pStyle w:val="ManualConsidrant"/>
        <w:rPr>
          <w:noProof/>
        </w:rPr>
      </w:pPr>
      <w:r w:rsidRPr="00430A09">
        <w:rPr>
          <w:noProof/>
        </w:rPr>
        <w:t>(3)</w:t>
      </w:r>
      <w:r w:rsidRPr="00430A09">
        <w:rPr>
          <w:noProof/>
        </w:rPr>
        <w:tab/>
      </w:r>
      <w:r w:rsidR="004910EE" w:rsidRPr="00857AA1">
        <w:rPr>
          <w:noProof/>
        </w:rPr>
        <w:t xml:space="preserve">Η επιτροπή των μερών της σύμβασης μπορεί να εκδώσει συστάσεις προς το οικείο μέρος, σύμφωνα με το άρθρο 68 παράγραφος 12 της σύμβασης. Οι συστάσεις βασίζονται στις εκθέσεις της GREVIO και κάνουν διάκριση μεταξύ των μέτρων που η επιτροπή των μερών θεωρεί ότι το μέρος θα πρέπει να λάβει το συντομότερο δυνατόν, παράλληλα με την υποχρέωση να της υποβάλει έκθεση σχετικά με τα μέτρα που έχουν ληφθεί στο πλαίσιο αυτό εντός τριών ετών, και των μέτρων που, αν και σημαντικά, η επιτροπή των μερών θεωρεί ότι δεν έχουν εξίσου επείγοντα χαρακτήρα. </w:t>
      </w:r>
      <w:bookmarkStart w:id="8" w:name="_Hlk155262451"/>
      <w:r w:rsidR="004910EE" w:rsidRPr="00857AA1">
        <w:rPr>
          <w:noProof/>
        </w:rPr>
        <w:t>Κατά τη λήξη της τριετούς περιόδου, το μέρος θα πρέπει να υποβάλει έκθεση στην επιτροπή των μερών σχετικά με τα μέτρα που έλαβε σε 10 ειδικούς τομείς της σύμβασης. Με βάση τις εν λόγω πληροφορίες και τυχόν πρόσθετες πληροφορίες που λαμβάνονται, η επιτροπή των μερών εκδίδει συμπεράσματα σχετικά με την εφαρμογή των συστάσεων, τα οποία καταρτίζονται από τη γραμματεία της</w:t>
      </w:r>
      <w:bookmarkEnd w:id="8"/>
      <w:r w:rsidR="004910EE" w:rsidRPr="00857AA1">
        <w:rPr>
          <w:noProof/>
        </w:rPr>
        <w:t xml:space="preserve"> επιτροπής.</w:t>
      </w:r>
    </w:p>
    <w:p w:rsidR="002F2595" w:rsidRPr="00857AA1" w:rsidRDefault="00430A09" w:rsidP="00430A09">
      <w:pPr>
        <w:pStyle w:val="ManualConsidrant"/>
        <w:rPr>
          <w:noProof/>
        </w:rPr>
      </w:pPr>
      <w:r w:rsidRPr="00430A09">
        <w:rPr>
          <w:noProof/>
        </w:rPr>
        <w:t>(4)</w:t>
      </w:r>
      <w:r w:rsidRPr="00430A09">
        <w:rPr>
          <w:noProof/>
        </w:rPr>
        <w:tab/>
      </w:r>
      <w:r w:rsidR="002F2595" w:rsidRPr="00857AA1">
        <w:rPr>
          <w:noProof/>
        </w:rPr>
        <w:t>Σύμφωνα με το άρθρο 68 παράγραφος 3 της σύμβασης, οι διαδικασίες αξιολόγησης μετά την αρχική βασική διαδικασία αξιολόγησης της GREVIO χωρίζονται σε γύρους (στο εξής: γύροι θεματικής αξιολόγησης). Ο πρώτος γύρος θεματικής αξιολόγησης φέρει τον τίτλο «Οικοδομώντας την εμπιστοσύνη με την παροχή υποστήριξης, προστασίας και δικαιοσύνης» και καλύπτει 20 άρθρα της σύμβασης, και συγκεκριμένα τα άρθρα 3, 7, 8, 11, 12, 14, 15, 16, 18, 20, 22, 25, 31, 48, 49, 50, 51, 52, 53 και 56. Η επιτροπή των μερών, στην τελευταία συνεδρίασή της στις 17 Δεκεμβρίου 2024, εξέδωσε απόφαση σχετικά με τις συστάσεις που πρέπει να εγκριθούν από την επιτροπή των μερών υπό το πρίσμα των εκθέσεων της GREVIO που είχαν εγκριθεί στο πλαίσιο του πρώτου γύρου θεματικής αξιολόγησης [IC-CP(2024)10 rev].</w:t>
      </w:r>
    </w:p>
    <w:p w:rsidR="004910EE" w:rsidRPr="00857AA1" w:rsidRDefault="00430A09" w:rsidP="00430A09">
      <w:pPr>
        <w:pStyle w:val="ManualConsidrant"/>
        <w:rPr>
          <w:noProof/>
        </w:rPr>
      </w:pPr>
      <w:r w:rsidRPr="00430A09">
        <w:rPr>
          <w:noProof/>
        </w:rPr>
        <w:t>(5)</w:t>
      </w:r>
      <w:r w:rsidRPr="00430A09">
        <w:rPr>
          <w:noProof/>
        </w:rPr>
        <w:tab/>
      </w:r>
      <w:r w:rsidR="004910EE" w:rsidRPr="00857AA1">
        <w:rPr>
          <w:noProof/>
        </w:rPr>
        <w:t>Η επιτροπή των μερών, κατά τη 18η συνεδρίασή της στις 5-6 Ιουνίου 2025, αναμένεται να εγκρίνει οκτώ σχέδια συστάσεων που βασίζονται στον πρώτο γύρο θεματικής αξιολόγησης και φέρουν τον τίτλο «Οικοδόμηση εμπιστοσύνης μέσω της παροχής στήριξης, προστασίας και δικαιοσύνης», καθώς και δύο σχέδια συμπερασμάτων σχετικά με την εφαρμογή της σύμβασης από 10 μέρη (στο εξής: σχέδια συστάσεων και συμπερασμάτων):</w:t>
      </w:r>
    </w:p>
    <w:p w:rsidR="0D046CA2" w:rsidRPr="00857AA1" w:rsidRDefault="6EC931DC" w:rsidP="3C8E0E83">
      <w:pPr>
        <w:pStyle w:val="Tiret1"/>
        <w:rPr>
          <w:rFonts w:eastAsia="Calibri"/>
          <w:noProof/>
        </w:rPr>
      </w:pPr>
      <w:r w:rsidRPr="00857AA1">
        <w:rPr>
          <w:noProof/>
        </w:rPr>
        <w:t>Συστάσεις προς την Αλβανία για βελτίωση της εμπιστοσύνης με την παροχή στήριξης, προστασίας και δικαιοσύνης βάσει της σύμβασης της Κωνσταντινούπολης [IC-CP(2025)2-prov],</w:t>
      </w:r>
    </w:p>
    <w:p w:rsidR="0D046CA2" w:rsidRPr="00857AA1" w:rsidRDefault="6EC931DC" w:rsidP="3C8E0E83">
      <w:pPr>
        <w:pStyle w:val="Tiret1"/>
        <w:rPr>
          <w:rFonts w:eastAsia="Calibri"/>
          <w:noProof/>
        </w:rPr>
      </w:pPr>
      <w:r w:rsidRPr="00857AA1">
        <w:rPr>
          <w:noProof/>
        </w:rPr>
        <w:t>Συστάσεις προς την Αυστρία για βελτίωση της εμπιστοσύνης με την παροχή στήριξης, προστασίας και δικαιοσύνης βάσει της σύμβασης της Κωνσταντινούπολης [IC-CP(2025)3-prov],</w:t>
      </w:r>
    </w:p>
    <w:p w:rsidR="0D046CA2" w:rsidRPr="00857AA1" w:rsidRDefault="6EC931DC" w:rsidP="3C8E0E83">
      <w:pPr>
        <w:pStyle w:val="Tiret1"/>
        <w:rPr>
          <w:rFonts w:eastAsia="Calibri"/>
          <w:noProof/>
        </w:rPr>
      </w:pPr>
      <w:r w:rsidRPr="00857AA1">
        <w:rPr>
          <w:noProof/>
        </w:rPr>
        <w:t>Συστάσεις προς τη Δανία για βελτίωση της εμπιστοσύνης με την παροχή στήριξης, προστασίας και δικαιοσύνης βάσει της σύμβασης της Κωνσταντινούπολης [IC-CP(2025)4-prov],</w:t>
      </w:r>
    </w:p>
    <w:p w:rsidR="0D046CA2" w:rsidRPr="00857AA1" w:rsidRDefault="6EC931DC" w:rsidP="3C8E0E83">
      <w:pPr>
        <w:pStyle w:val="Tiret1"/>
        <w:rPr>
          <w:rFonts w:eastAsia="Calibri"/>
          <w:noProof/>
        </w:rPr>
      </w:pPr>
      <w:r w:rsidRPr="00857AA1">
        <w:rPr>
          <w:noProof/>
        </w:rPr>
        <w:t>Συστάσεις προς τη Φινλανδία για βελτίωση της εμπιστοσύνης με την παροχή στήριξης, προστασίας και δικαιοσύνης βάσει της σύμβασης της Κωνσταντινούπολης [IC-CP(2025)5-prov],</w:t>
      </w:r>
    </w:p>
    <w:p w:rsidR="0D046CA2" w:rsidRPr="00857AA1" w:rsidRDefault="6EC931DC" w:rsidP="3C8E0E83">
      <w:pPr>
        <w:pStyle w:val="Tiret1"/>
        <w:rPr>
          <w:rFonts w:eastAsia="Calibri"/>
          <w:noProof/>
        </w:rPr>
      </w:pPr>
      <w:r w:rsidRPr="00857AA1">
        <w:rPr>
          <w:noProof/>
        </w:rPr>
        <w:t>Συστάσεις προς το Μονακό για βελτίωση της εμπιστοσύνης με την παροχή στήριξης, προστασίας και δικαιοσύνης βάσει της σύμβασης της Κωνσταντινούπολης [IC-CP(2025)6-prov],</w:t>
      </w:r>
    </w:p>
    <w:p w:rsidR="0D046CA2" w:rsidRPr="00857AA1" w:rsidRDefault="6EC931DC" w:rsidP="3C8E0E83">
      <w:pPr>
        <w:pStyle w:val="Tiret1"/>
        <w:rPr>
          <w:rFonts w:eastAsia="Calibri"/>
          <w:noProof/>
        </w:rPr>
      </w:pPr>
      <w:r w:rsidRPr="00857AA1">
        <w:rPr>
          <w:noProof/>
        </w:rPr>
        <w:t>Συστάσεις προς το Μαυροβούνιο για βελτίωση της εμπιστοσύνης με την παροχή στήριξης, προστασίας και δικαιοσύνης βάσει της σύμβασης της Κωνσταντινούπολης [IC-CP(2025)7-prov],</w:t>
      </w:r>
    </w:p>
    <w:p w:rsidR="0D046CA2" w:rsidRPr="00857AA1" w:rsidRDefault="6EC931DC" w:rsidP="3C8E0E83">
      <w:pPr>
        <w:pStyle w:val="Tiret1"/>
        <w:rPr>
          <w:rFonts w:eastAsia="Calibri"/>
          <w:noProof/>
        </w:rPr>
      </w:pPr>
      <w:r w:rsidRPr="00857AA1">
        <w:rPr>
          <w:noProof/>
        </w:rPr>
        <w:t>Συστάσεις προς την Ισπανία για βελτίωση της εμπιστοσύνης με την παροχή στήριξης, προστασίας και δικαιοσύνης βάσει της σύμβασης της Κωνσταντινούπολης [IC-CP(2025)8-prov],</w:t>
      </w:r>
    </w:p>
    <w:p w:rsidR="0D046CA2" w:rsidRPr="00857AA1" w:rsidRDefault="6EC931DC" w:rsidP="3C8E0E83">
      <w:pPr>
        <w:pStyle w:val="Tiret1"/>
        <w:rPr>
          <w:rFonts w:eastAsia="Calibri"/>
          <w:noProof/>
        </w:rPr>
      </w:pPr>
      <w:r w:rsidRPr="00857AA1">
        <w:rPr>
          <w:noProof/>
        </w:rPr>
        <w:t>Συστάσεις προς τη Σουηδία για βελτίωση της εμπιστοσύνης με την παροχή στήριξης, προστασίας και δικαιοσύνης βάσει της σύμβασης της Κωνσταντινούπολης [IC-CP(2025)9-prov],</w:t>
      </w:r>
    </w:p>
    <w:p w:rsidR="0D046CA2" w:rsidRPr="00857AA1" w:rsidRDefault="0D046CA2" w:rsidP="3C8E0E83">
      <w:pPr>
        <w:pStyle w:val="Tiret1"/>
        <w:rPr>
          <w:rFonts w:eastAsia="Calibri"/>
          <w:noProof/>
        </w:rPr>
      </w:pPr>
      <w:r w:rsidRPr="00857AA1">
        <w:rPr>
          <w:noProof/>
        </w:rPr>
        <w:t>Συμπεράσματα σχετικά με την εφαρμογή των συστάσεων που εκδόθηκαν από την επιτροπή των μερών όσον αφορά τον Άγιο Μαρίνο [IC-CP(2025)10-prov], και</w:t>
      </w:r>
    </w:p>
    <w:p w:rsidR="004910EE" w:rsidRPr="00857AA1" w:rsidRDefault="0D046CA2" w:rsidP="0038302B">
      <w:pPr>
        <w:pStyle w:val="Tiret1"/>
        <w:rPr>
          <w:rFonts w:eastAsia="Calibri"/>
          <w:noProof/>
          <w:color w:val="000000"/>
        </w:rPr>
      </w:pPr>
      <w:r w:rsidRPr="00857AA1">
        <w:rPr>
          <w:noProof/>
        </w:rPr>
        <w:t>Συμπεράσματα σχετικά με την εφαρμογή των συστάσεων που εκδόθηκαν από την επιτροπή των μερών όσον αφορά τη Σλοβενία [IC-CP (2025)11-prov].</w:t>
      </w:r>
    </w:p>
    <w:p w:rsidR="001358A1" w:rsidRPr="00857AA1" w:rsidRDefault="00430A09" w:rsidP="00430A09">
      <w:pPr>
        <w:pStyle w:val="ManualConsidrant"/>
        <w:rPr>
          <w:noProof/>
        </w:rPr>
      </w:pPr>
      <w:r w:rsidRPr="00430A09">
        <w:rPr>
          <w:noProof/>
        </w:rPr>
        <w:t>(6)</w:t>
      </w:r>
      <w:r w:rsidRPr="00430A09">
        <w:rPr>
          <w:noProof/>
        </w:rPr>
        <w:tab/>
      </w:r>
      <w:r w:rsidR="004910EE" w:rsidRPr="00857AA1">
        <w:rPr>
          <w:noProof/>
        </w:rPr>
        <w:t>Τα σχέδια συστάσεων και συμπερασμάτων αφορούν την εφαρμογή των διατάξεων της σύμβασης που σχετίζονται με τη δικαστική συνεργασία σε ποινικές υποθέσεις, για παράδειγμα θέματα σχετικά με την προστασία και τη στήριξη των θυμάτων βίας κατά των γυναικών και ενδοοικογενειακής βίας. Τα συμπεράσματα αφορούν επίσης την εφαρμογή των διατάξεων της σύμβασης που σχετίζονται με το άσυλο και τη μη επαναπροώθηση. Τα θέματα αυτά καλύπτονται από το κεκτημένο της Ένωσης, ιδίως την οδηγία (ΕΕ) 2024/1385 του Ευρωπαϊκού Κοινοβουλίου και του Συμβουλίου</w:t>
      </w:r>
      <w:r w:rsidR="004910EE" w:rsidRPr="00857AA1">
        <w:rPr>
          <w:rStyle w:val="FootnoteReference"/>
          <w:noProof/>
        </w:rPr>
        <w:footnoteReference w:id="22"/>
      </w:r>
      <w:r w:rsidR="004910EE" w:rsidRPr="00857AA1">
        <w:rPr>
          <w:noProof/>
        </w:rPr>
        <w:t>, την οδηγία 2012/29/ΕΕ του Ευρωπαϊκού Κοινοβουλίου και του Συμβουλίου</w:t>
      </w:r>
      <w:r w:rsidR="004910EE" w:rsidRPr="00857AA1">
        <w:rPr>
          <w:rStyle w:val="FootnoteReference"/>
          <w:noProof/>
        </w:rPr>
        <w:footnoteReference w:id="23"/>
      </w:r>
      <w:r w:rsidR="004910EE" w:rsidRPr="00857AA1">
        <w:rPr>
          <w:noProof/>
        </w:rPr>
        <w:t xml:space="preserve">, τον </w:t>
      </w:r>
      <w:bookmarkStart w:id="10" w:name="_Hlk166517647"/>
      <w:r w:rsidR="004910EE" w:rsidRPr="00857AA1">
        <w:rPr>
          <w:noProof/>
        </w:rPr>
        <w:t>κανονισμό (ΕΕ) 2024/1348 του Ευρωπαϊκού Κοινοβουλίου και του Συμβουλίου</w:t>
      </w:r>
      <w:r w:rsidR="004910EE" w:rsidRPr="00857AA1">
        <w:rPr>
          <w:rStyle w:val="FootnoteReference"/>
          <w:noProof/>
        </w:rPr>
        <w:footnoteReference w:id="24"/>
      </w:r>
      <w:r w:rsidR="004910EE" w:rsidRPr="00857AA1">
        <w:rPr>
          <w:noProof/>
        </w:rPr>
        <w:t xml:space="preserve"> </w:t>
      </w:r>
      <w:bookmarkEnd w:id="10"/>
      <w:r w:rsidR="004910EE" w:rsidRPr="00857AA1">
        <w:rPr>
          <w:noProof/>
        </w:rPr>
        <w:t>, την οδηγία (ΕΕ) 2024/1346 του Ευρωπαϊκού Κοινοβουλίου και του Συμβουλίου</w:t>
      </w:r>
      <w:r w:rsidR="004910EE" w:rsidRPr="00857AA1">
        <w:rPr>
          <w:rStyle w:val="FootnoteReference"/>
          <w:noProof/>
        </w:rPr>
        <w:footnoteReference w:id="25"/>
      </w:r>
      <w:r w:rsidR="004910EE" w:rsidRPr="00857AA1">
        <w:rPr>
          <w:noProof/>
        </w:rPr>
        <w:t xml:space="preserve"> και την οδηγία 2003/86/ΕΚ του Συμβουλίου</w:t>
      </w:r>
      <w:r w:rsidR="004910EE" w:rsidRPr="00857AA1">
        <w:rPr>
          <w:rStyle w:val="FootnoteReference"/>
          <w:noProof/>
        </w:rPr>
        <w:footnoteReference w:id="26"/>
      </w:r>
      <w:r w:rsidR="004910EE" w:rsidRPr="00857AA1">
        <w:rPr>
          <w:noProof/>
        </w:rPr>
        <w:t xml:space="preserve">. Τα σχέδια συστάσεων και συμπερασμάτων θα παράγουν έννομα αποτελέσματα. Ως εκ τούτου, είναι σκόπιμο να καθοριστεί η θέση που πρέπει να ληφθεί εξ ονόματος της Ένωσης στο πλαίσιο της επιτροπής των μερών για τα θέματα που αφορούν τη δικαστική συνεργασία σε ποινικές υποθέσεις, το άσυλο και τη μη επαναπροώθηση. </w:t>
      </w:r>
    </w:p>
    <w:p w:rsidR="00AC3C31" w:rsidRPr="00857AA1" w:rsidRDefault="00430A09" w:rsidP="00430A09">
      <w:pPr>
        <w:pStyle w:val="ManualConsidrant"/>
        <w:rPr>
          <w:noProof/>
        </w:rPr>
      </w:pPr>
      <w:bookmarkStart w:id="11" w:name="_Hlk197533465"/>
      <w:r w:rsidRPr="00430A09">
        <w:rPr>
          <w:noProof/>
        </w:rPr>
        <w:t>(7)</w:t>
      </w:r>
      <w:r w:rsidRPr="00430A09">
        <w:rPr>
          <w:noProof/>
        </w:rPr>
        <w:tab/>
      </w:r>
      <w:r w:rsidR="00912121" w:rsidRPr="00857AA1">
        <w:rPr>
          <w:noProof/>
        </w:rPr>
        <w:t xml:space="preserve">Θα πρέπει να σημειωθεί ότι οι συστάσεις που αφορούν ορισμένα άρθρα της σύμβασης εμπίπτουν μόνο εν μέρει στην αρμοδιότητα της Ένωσης. Ως εκ τούτου, ως προς τις συστάσεις σχετικά με τα άρθρα 49 και 50, η παρούσα απόφαση δεν θα πρέπει να θίγει την αρμοδιότητα των κρατών μελών για την εσωτερική οργάνωση και διοίκηση των δικαστικών τους συστημάτων· ως προς τις συστάσεις σχετικά με τα άρθρα 11 και 20, η παρούσα απόφαση δεν θα πρέπει να θίγει την αρμοδιότητα των κρατών μελών για την οργάνωση και την παροχή υπηρεσιών υγειονομικής και ιατρικής περίθαλψης· ως προς τις συστάσεις για το άρθρο 14, η παρούσα απόφαση δεν θα πρέπει να θίγει την αρμοδιότητα των κρατών μελών για το περιεχόμενο της διδασκαλίας και την οργάνωση των εκπαιδευτικών συστημάτων, ενώ ως προς τις συστάσεις για το άρθρο 31, η παρούσα απόφαση δεν θα πρέπει να θίγει την αρμοδιότητα των κρατών μελών στον τομέα του οικογενειακού δικαίου. </w:t>
      </w:r>
      <w:bookmarkEnd w:id="11"/>
    </w:p>
    <w:p w:rsidR="00E03EDF" w:rsidRPr="00857AA1" w:rsidRDefault="00430A09" w:rsidP="00430A09">
      <w:pPr>
        <w:pStyle w:val="ManualConsidrant"/>
        <w:rPr>
          <w:noProof/>
        </w:rPr>
      </w:pPr>
      <w:r w:rsidRPr="00430A09">
        <w:rPr>
          <w:noProof/>
        </w:rPr>
        <w:t>(8)</w:t>
      </w:r>
      <w:r w:rsidRPr="00430A09">
        <w:rPr>
          <w:noProof/>
        </w:rPr>
        <w:tab/>
      </w:r>
      <w:r w:rsidR="001322CC" w:rsidRPr="00857AA1">
        <w:rPr>
          <w:noProof/>
        </w:rPr>
        <w:t>Το σχέδιο σύστασης που αφορά την εφαρμογή της σύμβασης από την Αλβανία περιλαμβάνει την ανάγκη η εν λόγω χώρα να διασφαλίσει ότι οι πολιτικές και τα μέτρα για την πρόληψη και την καταπολέμηση όλων των μορφών βίας κατά των γυναικών λαμβάνουν επαρκή και βιώσιμη χρηματοδότηση, μεταξύ άλλων μέσω διαφανών διαδικασιών για την εξασφάλιση χρηματοδότησης σε οργανώσεις για τα δικαιώματα των γυναικών (άρθρο 8 της σύμβασης)· να προωθήσει εκστρατείες ή προγράμματα ευαισθητοποίησης και να αξιολογεί τακτικά τον αντίκτυπό τους (άρθρο 12 της σύμβασης)· να μεριμνά για την κατάρτιση των σχετικών επαγγελματιών και να την παρακολουθεί (άρθρο 15 της σύμβασης)·  να επεκτείνει τα υφιστάμενα προγράμματα για τους δράστες και να θεσπίσει προγράμματα ειδικά για τους δράστες σεξουαλικής βίας (άρθρο 16 της σύμβασης)· να διασφαλίσει ότι τα θύματα βίας έχουν πρόσβαση σε ολοκληρωμένες υπηρεσίες υγειονομικής περίθαλψης (άρθρο 20 της σύμβασης) και να αυξήσει τη χρηματοδότηση και τον αριθμό των διαθέσιμων υπηρεσιών για τις γυναίκες θύματα, ιδίως τις γυναίκες με ειδικές ανάγκες (άρθρο 20 της σύμβασης)·  να εξασφαλίσει επαρκείς εξειδικευμένες υπηρεσίες υποστήριξης σε όλες τις γυναίκες θύματα και τα παιδιά τους, ανεξάρτητα από τη βούλησή τους να καταγγείλουν τη βία, και να διασφαλίσει ότι οι εθνικές τηλεφωνικές γραμμές βοήθειας λαμβάνουν χρηματοδότηση (άρθρο 22 της σύμβασης)·  να διασφαλίσει ότι, αφενός, τα θύματα σεξουαλικής βίας έχουν πρόσβαση σε ιατροδικαστική εξέταση, ανεξάρτητα από τη βούλησή τους να καταγγείλουν το έγκλημα, και, αφετέρου, τα εγκληματολογικά αποδεικτικά στοιχεία αποθηκεύονται δεόντως (άρθρο 25 της σύμβασης)· να λάβει μέτρα για την κατάργηση της υποχρεωτικής συμφιλίωσης σε όλες τις ποινικές υποθέσεις που αφορούν τη βία κατά των γυναικών· να αυξήσει την ικανότητα, τις γνώσεις και την ανταπόκριση των οργάνων επιβολής του νόμου προκειμένου να αντιδρούν έγκαιρα και με ευαισθησία ως προς τα θύματα, και να λάβει μέτρα για να βελτιώσει την υποβολή καταγγελιών από γυναίκες θύματα (άρθρα 49 και 50 της σύμβασης)· να εξασφαλίσει ότι εφαρμόζονται διαδικασίες αξιολόγησης του κινδύνου σε περιπτώσεις που αφορούν κάθε μορφή βίας που καλύπτεται από τη σύμβαση και σε συντονισμό με όλες τις αρμόδιες υπηρεσίες (άρθρο 51 της σύμβασης)· να μεριμνήσει για την καλύτερη αξιοποίηση των έκτακτων εντολών απαγόρευσης, καθώς και για την παρακολούθηση και την εκτέλεσή τους (άρθρο 52 της σύμβασης)·  να διασφαλίσει ότι οι εντολές προστασίας είναι διαθέσιμες και προσβάσιμες σε όλα τα θύματα και να μεριμνήσει για την επιβολή και την παρακολούθηση των εν λόγω εντολών, μεταξύ άλλων μέσω κυρώσεων σε περίπτωση παράβασης (άρθρο 53 της σύμβασης)· και, τέλος, να αξιολογήσει την εφαρμογή των προστατευτικών μέτρων και να διασφαλίσει ότι συνάδουν με τη σύμβαση (άρθρο 56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στην Αλβανία.</w:t>
      </w:r>
    </w:p>
    <w:p w:rsidR="005A44DE" w:rsidRPr="00857AA1" w:rsidRDefault="00430A09" w:rsidP="00430A09">
      <w:pPr>
        <w:pStyle w:val="ManualConsidrant"/>
        <w:rPr>
          <w:noProof/>
        </w:rPr>
      </w:pPr>
      <w:r w:rsidRPr="00430A09">
        <w:rPr>
          <w:noProof/>
        </w:rPr>
        <w:t>(9)</w:t>
      </w:r>
      <w:r w:rsidRPr="00430A09">
        <w:rPr>
          <w:noProof/>
        </w:rPr>
        <w:tab/>
      </w:r>
      <w:r w:rsidR="005A44DE" w:rsidRPr="00857AA1">
        <w:rPr>
          <w:noProof/>
        </w:rPr>
        <w:t>Το σχέδιο σύστασης που αφορά την εφαρμογή της σύμβασης από την Αυστρία περιλαμβάνει την ανάγκη η εν λόγω χώρα να εγκρίνει και να ευθυγραμμίσει τον ορισμό της «ενδοοικογενειακής βίας» (άρθρο 3 της σύμβασης)· να καταρτίσει μακροπρόθεσμο ολοκληρωμένο σχέδιο δράσης / στρατηγικό έγγραφο πολιτικής για όλες τις μορφές βίας που καλύπτονται από τη σύμβαση (άρθρο 7 της σύμβασης)·  να προσαρμόσει τις κατηγορίες δεδομένων προκειμένου να χρησιμοποιούνται από τον τομέα της δικαιοσύνης και να συλλέξει δεδομένα σχετικά με τον αριθμό των γυναικών και των κοριτσιών που απευθύνονται στις κοινωνικές υπηρεσίες (άρθρο 11 της σύμβασης)·  να εντείνει τις προσπάθειες για την εξάλειψη των προκαταλήψεων και των έμφυλων στερεοτύπων στην αυστριακή κοινωνία μέσω μέτρων πρόληψης, συμπεριλαμβανομένων εκστρατειών ή προγραμμάτων ευαισθητοποίησης, για την ενημέρωση των θυμάτων σχετικά με τη διαθεσιμότητα υπηρεσιών υποστήριξης, και να αξιολογήσει τον αντίκτυπό τους (άρθρο 12 της σύμβασης)·  να μεριμνήσει ώστε οι σχετικοί επαγγελματίες να λαμβάνουν κατάλληλη κατάρτιση (άρθρο 15 της σύμβασης)·  να εξασφαλίσει ότι τα θύματα έχουν πρόσβαση σε υπηρεσίες υποστήριξης, όπως η παροχή στέγης και η έκδοση ιατροδικαστικών εκθέσεων που τεκμηριώνουν βλάβες· να διασφαλίσει επαρκή αριθμό θέσεων σε κέντρα υποδοχής σε ολόκληρη τη χώρα (άρθρο 22 της σύμβασης)·  να δημιουργήσει κέντρα παραπομπής θυμάτων σεξουαλικής βίας σε ολόκληρη τη χώρα και να μεριμνήσει για την αποτελεσματική στήριξη των θυμάτων σεξουαλικής βίας (άρθρο 25 της σύμβασης)·  να αυξήσει την ανταλλαγή πληροφοριών μεταξύ των αρμόδιων αρχών σε υποθέσεις που αφορούν δικαιώματα κηδεμονίας και επικοινωνίας με τα παιδιά (άρθρο 31 της σύμβασης)· και, τέλος, να διασφαλίσει τη χρήση εντολών προστασίας και να αποφύγει τα κενά μεταξύ των εντολών απαγόρευσης και των εντολών προστασίας (άρθρο 53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στην Αυστρία.</w:t>
      </w:r>
    </w:p>
    <w:p w:rsidR="005A44DE" w:rsidRPr="00857AA1" w:rsidRDefault="00430A09" w:rsidP="00430A09">
      <w:pPr>
        <w:pStyle w:val="ManualConsidrant"/>
        <w:rPr>
          <w:noProof/>
        </w:rPr>
      </w:pPr>
      <w:r w:rsidRPr="00430A09">
        <w:rPr>
          <w:noProof/>
        </w:rPr>
        <w:t>(10)</w:t>
      </w:r>
      <w:r w:rsidRPr="00430A09">
        <w:rPr>
          <w:noProof/>
        </w:rPr>
        <w:tab/>
      </w:r>
      <w:r w:rsidR="005A44DE" w:rsidRPr="00857AA1">
        <w:rPr>
          <w:noProof/>
        </w:rPr>
        <w:t>Το σχέδιο σύστασης που αφορά την εφαρμογή της σύμβασης από τη Δανία περιλαμβάνει την ανάγκη η εν λόγω χώρα να εξασφαλίσει ότι οι σχετικοί ορισμοί των μορφών βίας κατά των γυναικών ευθυγραμμίζονται με τη σύμβαση (άρθρο 3 της σύμβασης)·  να χαράξει μακροπρόθεσμη εθνική στρατηγική σύμφωνα με τη σύμβαση (άρθρο 7 της σύμβασης)·  να μεριμνήσει για την κατάλληλη κατανομή των κονδυλίων, συμπεριλαμβανομένων των πόρων για κέντρα υποδοχής θυμάτων ενδοοικογενειακής βίας (άρθρο 8 της σύμβασης)·  να φροντίσει για την ανάλυση των δεδομένων που συλλέγονται και την εγγύηση της εμπιστευτικότητάς τους (άρθρο 11 της σύμβασης)·  να δώσει προτεραιότητα σε μια προσέγγιση που να λαμβάνει υπόψη τη διάσταση του φύλου κατά την εκπόνηση προληπτικών μέτρων (άρθρο 12 της σύμβασης)· να εξασφαλίσει την παροχή συστηματικής αρχικής και ενδοϋπηρεσιακής κατάρτισης για τους σχετικούς επαγγελματίες (άρθρο 15 της σύμβασης)·  να δημιουργήσει θεσμοθετημένες δομές που να εγγυώνται αποτελεσματική διυπηρεσιακή συνεργασία (άρθρο 18 της σύμβασης)·  να διασφαλίσει πρόσβαση σε ψυχολογικές συμβουλές, πρότυπα ποιότητας, προσβασιμότητα και οικονομική βιωσιμότητα των κέντρων υποδοχής, καθώς και την απαραίτητη στήριξη για τα θύματα σεξουαλικής βίας (άρθρα 22 και 25 της σύμβασης)·  να ευαισθητοποιήσει τους φορείς της ποινικής δικαιοσύνης σχετικά με τη νέα ποινική νομοθεσία (άρθρα 49 και 50 της σύμβασης)·  να διασφαλίσει ότι η αξιολόγηση κινδύνου διενεργείται σε συντονισμό με τους αρμόδιους φορείς (άρθρο 51 της σύμβασης)·  να αυξήσει τη χρήση επειγουσών εντολών απαγόρευσης και εντολών προστασίας με σκοπό την παρακολούθηση των αξιολογήσεων συμμόρφωσης και να εξασφαλίσει την επιβολή κυρώσεων σε περίπτωση παράβασης (άρθρα 52 και 53 της σύμβασης)· και, τέλος, να διασφαλίσει την ορθή εφαρμογή των μέτρων προστασίας των θυμάτων κατά τις έρευνες και τις δικαστικές διαδικασίες (άρθρο 56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 Δανία.</w:t>
      </w:r>
    </w:p>
    <w:p w:rsidR="007A788B" w:rsidRPr="00857AA1" w:rsidRDefault="00430A09" w:rsidP="00430A09">
      <w:pPr>
        <w:pStyle w:val="ManualConsidrant"/>
        <w:rPr>
          <w:noProof/>
        </w:rPr>
      </w:pPr>
      <w:r w:rsidRPr="00430A09">
        <w:rPr>
          <w:noProof/>
        </w:rPr>
        <w:t>(11)</w:t>
      </w:r>
      <w:r w:rsidRPr="00430A09">
        <w:rPr>
          <w:noProof/>
        </w:rPr>
        <w:tab/>
      </w:r>
      <w:r w:rsidR="007A788B" w:rsidRPr="00857AA1">
        <w:rPr>
          <w:noProof/>
        </w:rPr>
        <w:t>Το σχέδιο σύστασης που αφορά την εφαρμογή της σύμβασης από τη Φινλανδία περιλαμβάνει την ανάγκη η εν λόγω χώρα να εκπονήσει μακροπρόθεσμη εθνική στρατηγική προκειμένου να εξασφαλίσει σφαιρική και συνεκτική προσέγγιση (άρθρο 7 της σύμβασης)·  να εξασφαλίσει επαρκή δημόσια χρηματοδότηση και βιώσιμους χρηματοδοτικούς μηχανισμούς για μη κυβερνητικές οργανώσεις που παρέχουν εξειδικευμένη υποστήριξη στα θύματα (άρθρο 8 της σύμβασης)· να καθορίσει τυποποιημένες κατηγορίες δεδομένων και να εναρμονίσει τα συστήματα συλλογής δεδομένων (άρθρο 11 της σύμβασης)· να διεξάγει τακτικά εκστρατείες ευαισθητοποίησης (άρθρο 12 της σύμβασης)· να εξασφαλίσει την παροχή συστηματικής κατάρτισης για τους σχετικούς επαγγελματίες (άρθρο 15 της σύμβασης)·  να εκπονήσει προγράμματα για τους δράστες ενδοοικογενειακής βίας (άρθρο 16 της σύμβασης)·  να δημιουργήσει θεσμοθετημένες δομές για τον διυπηρεσιακό συντονισμό μεταξύ των σχετικών φορέων (άρθρο 18 της σύμβασης)·  να δημιουργήσει υπηρεσίες υποστήριξης για να διευκολύνει την αποκατάσταση και την ανεξαρτησία των θυμάτων (άρθρο 20 της σύμβασης)·  να αυξήσει τόσο τον αριθμό των κέντρων υποδοχής όσο και την πρόσβαση σε αυτά (άρθρο 22 της σύμβασης)·  να εξασφαλίσει τη γεωγραφική κατανομή των κέντρων διαχείρισης περιστατικών βιασμού ώστε να διασφαλίζεται η στήριξη όλων των θυμάτων σεξουαλικής βίας (άρθρο 25 της σύμβασης)·  να διασφαλίσει ότι η διαμεσολάβηση δεν επηρεάζει δυσμενώς τις ποινικές έρευνες ούτε εμποδίζει την πρόσβαση των θυμάτων στη δικαιοσύνη (άρθρο 48 της σύμβασης)· να μεριμνήσει ώστε οι υπηρεσίες επιβολής του νόμου να λαμβάνουν κατάλληλη κατάρτιση για την έγκαιρη και επαρκή διερεύνηση υποθέσεων βίας κατά των γυναικών (άρθρα 49 και 50 της σύμβασης)·  να λάβει μέτρα για τη θέσπιση τυποποιημένου μηχανισμού αξιολόγησης κινδύνου που θα εφαρμόζεται συστηματικά (άρθρο 51 της σύμβασης) και να αυξήσει τη χρήση των επειγουσών εντολών απαγόρευσης και των εντολών προστασίας και να ενισχύσει την παρακολούθηση των εν λόγω εντολών (άρθρα 52 και 53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 Φινλανδία.</w:t>
      </w:r>
    </w:p>
    <w:p w:rsidR="00D02367" w:rsidRPr="00857AA1" w:rsidRDefault="00430A09" w:rsidP="00430A09">
      <w:pPr>
        <w:pStyle w:val="ManualConsidrant"/>
        <w:rPr>
          <w:noProof/>
        </w:rPr>
      </w:pPr>
      <w:r w:rsidRPr="00430A09">
        <w:rPr>
          <w:noProof/>
        </w:rPr>
        <w:t>(12)</w:t>
      </w:r>
      <w:r w:rsidRPr="00430A09">
        <w:rPr>
          <w:noProof/>
        </w:rPr>
        <w:tab/>
      </w:r>
      <w:r w:rsidR="00FA024F" w:rsidRPr="00857AA1">
        <w:rPr>
          <w:noProof/>
        </w:rPr>
        <w:t>Το σχέδιο σύστασης που αφορά την εφαρμογή της σύμβασης από το Μονακό περιλαμβάνει την ανάγκη η εν λόγω χώρα να θεσπίσει ορισμό της ενδοοικογενειακής βίας που να ευθυγραμμίζεται με τη σύμβαση (άρθρο 3 της σύμβασης)·  να εκπονήσει συνολική μακροπρόθεσμη στρατηγική για την επίτευξη ολοκληρωμένης και συντονισμένης προσέγγισης στη χάραξη πολιτικής (άρθρο 7 της σύμβασης)·  να εξακολουθήσει να αναπτύσσει τη συλλογή δεδομένων σχετικά με όλες τις μορφές βίας κατά των γυναικών που καλύπτονται από τη σύμβαση (άρθρο 11 της σύμβασης)·  να επεκτείνει τα μέτρα για την πρόληψη της ενδοοικογενειακής βίας ώστε να συμπεριληφθούν και άλλες μορφές βίας που καλύπτονται από τη σύμβαση της Κωνσταντινούπολης (άρθρο 12 της σύμβασης)· να λάβει μέτρα για να αυξήσει την ευαισθητοποίηση στα σχολεία όσον αφορά τη βία κατά των γυναικών (άρθρο 14 της σύμβασης)·  να εκπονήσει προγράμματα για τους δράστες βίας (άρθρο 16 της σύμβασης)·  να δημιουργήσει εθνική τηλεφωνική γραμμή βοήθειας για τις γυναίκες θύματα βίας και να συνεχίσει να αναπτύσσει εξειδικευμένες υπηρεσίες για τα θύματα μορφών βίας που καλύπτονται από τη σύμβαση (άρθρο 22 της σύμβασης)·  να δημιουργήσει κέντρο διαχείρισης περιστατικών βιασμού και σεξουαλικής βίας (άρθρο 25 της σύμβασης)·  να διασφαλίσει ότι οι επαγγελματίες που συμμετέχουν σε ποινικές διαδικασίες διαθέτουν επαρκή εμπειρογνωσία και παρακολουθούν κατάρτιση που λαμβάνει υπόψη τη διάσταση του φύλου (άρθρα 49 και 50 της σύμβασης)·  να τυποποιήσει την πρακτική συντονισμένης αξιολόγησης κινδύνου στις αρμόδιες υπηρεσίες για όλες τις μορφές βίας που καλύπτονται από τη σύμβαση (άρθρο 51 της σύμβασης)· και, τέλος, να διασφαλίσει την προστασία των δικαιωμάτων των θυμάτων κατά τις έρευνες και τις δικαστικές διαδικασίες (άρθρο 56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στο Μονακό.</w:t>
      </w:r>
    </w:p>
    <w:p w:rsidR="00FF4C1C" w:rsidRPr="00857AA1" w:rsidRDefault="00430A09" w:rsidP="00430A09">
      <w:pPr>
        <w:pStyle w:val="ManualConsidrant"/>
        <w:rPr>
          <w:noProof/>
        </w:rPr>
      </w:pPr>
      <w:r w:rsidRPr="00430A09">
        <w:rPr>
          <w:noProof/>
        </w:rPr>
        <w:t>(13)</w:t>
      </w:r>
      <w:r w:rsidRPr="00430A09">
        <w:rPr>
          <w:noProof/>
        </w:rPr>
        <w:tab/>
      </w:r>
      <w:r w:rsidR="00FF4C1C" w:rsidRPr="00857AA1">
        <w:rPr>
          <w:noProof/>
        </w:rPr>
        <w:t>Το σχέδιο σύστασης που αφορά την εφαρμογή της σύμβασης από το Μαυροβούνιο περιλαμβάνει την ανάγκη η εν λόγω χώρα να εξασφαλίσει, αφενός, επαρκείς ανθρώπινους και οικονομικούς πόρους για πολιτικές, μέτρα και νομοθεσία που αποσκοπούν στην πρόληψη και την καταπολέμηση της βίας κατά των γυναικών και, αφετέρου, βιώσιμη χρηματοδότηση για τις μη κυβερνητικές οργανώσεις (άρθρο 8 της σύμβασης)·  να μεριμνήσει για τη συλλογή και την ανάλυση των δεδομένων από όλα τα σχετικά ενδιαφερόμενα μέρη και να εναρμονίσει τη συλλογή δεδομένων (άρθρο 11 της σύμβασης)· να εντείνει τις προσπάθειες για την εφαρμογή τακτικών προληπτικών μέτρων, να διεξαγάγει εκστρατείες ευαισθητοποίησης και να αναδείξει τον αυξημένο κίνδυνο βίας που αντιμετωπίζουν τα θύματα διατομεακών διακρίσεων (άρθρο 12 της σύμβασης)·  να διασφαλίσει αρχική και ενδοϋπηρεσιακή κατάρτιση σχετικά με τη βία κατά των γυναικών για όλους τους σχετικούς επαγγελματίες (άρθρο 15 της σύμβασης)·  να καταρτίσει και να επεκτείνει προγράμματα για τους δράστες ενδοοικογενειακής βίας και τους δράστες σεξουαλικής βίας (άρθρο 16 της σύμβασης)· να διασφαλίσει ότι οι πάροχοι υγειονομικής περίθαλψης δίνουν προτεραιότητα στις γυναίκες θύματα βίας κατά των γυναικών και ενδοοικογενειακής βίας και σέβονται την ιδιωτική τους ζωή (άρθρο 20 της σύμβασης)·  να ενισχύσει τη διυπηρεσιακή συνεργασία (άρθρο 18 της σύμβασης)·  να αυξήσει τη διαθεσιμότητα εξειδικευμένων υπηρεσιών υποστήριξης για τα θύματα (άρθρο 22 της σύμβασης)·  να δημιουργήσει κέντρα διαχείρισης περιστατικών βιασμού σε ολόκληρη τη χώρα (άρθρο 25 της σύμβασης)·  να εξασφαλίσει την ανταλλαγή πληροφοριών σχετικά με τη βία κατά των γυναικών μεταξύ των αρμόδιων δικαστηρίων σε αστικές διαδικασίες (άρθρο 31 της σύμβασης)· να διερευνά και να διώκει αποτελεσματικά και εγκαίρως πράξεις βίας κατά των γυναικών και ενδοοικογενειακής βίας, μεταξύ άλλων διασφαλίζοντας ότι οι σχετικοί επαγγελματίες διαθέτουν την απαιτούμενη εμπειρογνωσία (άρθρο 49 και 50 της σύμβασης)·  να διασφαλίσει τη συστηματική διενέργεια αξιολογήσεων κινδύνου σε περιστατικά ενδοοικογενειακής βίας σε συνεργασία με τις αρμόδιες αρχές (άρθρο 51 της σύμβασης)·  να μεριμνήσει ώστε οι επείγουσες εντολές απαγόρευσης να είναι διαθέσιμες σε όλα τα θύματα βίας κατά των γυναικών, συμπεριλαμβανομένων των παιδιών (άρθρο 52 της σύμβασης)· να διασφαλίσει την αποτελεσματική παρακολούθηση των εντολών προστασίας και την επιβολή κυρώσεων σε περίπτωση παράβασης (άρθρο 53 της σύμβασης)· και, τέλος, να εξασφαλίσει την αποτελεσματική χρήση των υφιστάμενων προστατευτικών μέτρων και να εισαγάγει πρόσθετα προστατευτικά μέτρα σύμφωνα με τη σύμβαση (άρθρο 56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στο Μαυροβούνιο.</w:t>
      </w:r>
    </w:p>
    <w:p w:rsidR="006C1532" w:rsidRPr="00857AA1" w:rsidRDefault="00430A09" w:rsidP="00430A09">
      <w:pPr>
        <w:pStyle w:val="ManualConsidrant"/>
        <w:rPr>
          <w:noProof/>
        </w:rPr>
      </w:pPr>
      <w:r w:rsidRPr="00430A09">
        <w:rPr>
          <w:noProof/>
        </w:rPr>
        <w:t>(14)</w:t>
      </w:r>
      <w:r w:rsidRPr="00430A09">
        <w:rPr>
          <w:noProof/>
        </w:rPr>
        <w:tab/>
      </w:r>
      <w:r w:rsidR="00AE0921" w:rsidRPr="00857AA1">
        <w:rPr>
          <w:noProof/>
        </w:rPr>
        <w:t>Το σχέδιο σύστασης που αφορά την εφαρμογή της σύμβασης από την Ισπανία περιλαμβάνει την ανάγκη η εν λόγω χώρα να μεριμνήσει για την εφαρμογή των υφιστάμενων πολιτικών με σκοπό την πρόληψη και την καταπολέμηση της βίας κατά των γυναικών και της ενδοοικογενειακής βίας, και να εξασφαλίσει τη συμμετοχή μη κυβερνητικών οργανώσεων στη χάραξη πολιτικής και στην αξιολόγηση των πολιτικών και των μέτρων (άρθρο 7 της σύμβασης)·  να φροντίσει για την ανάλυση των δεδομένων που συλλέγονται και να εναρμονίσει τη συλλογή τους (άρθρο 11 της σύμβασης)·  να διδάξει στα παιδιά τον καθοριστικό ρόλο της συναίνεσης στις σεξουαλικές σχέσεις (άρθρο 14 της σύμβασης)·  να ενισχύσει την κατάρτιση όλων των σχετικών επαγγελματιών (άρθρο 15 της σύμβασης)·  να βελτιώσει τη συμμόρφωση των προγραμμάτων για τους δράστες με τη σύμβαση (άρθρο 16 της σύμβασης)·  να δημιουργήσει μηχανισμούς διυπηρεσιακής συνεργασίας με όλους τους σχετικούς φορείς για κάθε μορφή βίας που καλύπτεται από τη σύμβαση και να δημιουργήσει υπηρεσίες μίας στάσης, κατά περίπτωση (άρθρο 18 της σύμβασης)·  να διασφαλίσει ότι όλα τα θύματα σεξουαλικής βίας έχουν πρόσβαση σε υπηρεσίες υποστήριξης (άρθρο 25 της σύμβασης)· να εντείνει την ανταλλαγή πληροφοριών μεταξύ των αστικών και των ποινικών δικαστηρίων και να ενισχύσει τα μέτρα ώστε να εξασφαλίζεται ότι οι εγκαταστάσεις εποπτευόμενης επικοινωνίας διαθέτουν επαρκείς πόρους (άρθρο 31 της σύμβασης)·  να αντιμετωπίσει τους παράγοντες που εμποδίζουν τα θύματα να υποβάλουν καταγγελία και που οδηγούν σε δευτερογενή θυματοποίηση (άρθρα 49 και 50 της σύμβασης)· να διασφαλίσει ότι οι αρμόδιες αρχές έχουν πρόσβαση σε επείγουσες εντολές απαγόρευσης σύμφωνα με τη σύμβαση (άρθρο 52 της σύμβασης)· και να λάβει μέτρα για την κατάλληλη αντιμετώπιση των παραβιάσεων των εντολών προστασίας (άρθρο 53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στην Ισπανία.</w:t>
      </w:r>
    </w:p>
    <w:p w:rsidR="000B0E40" w:rsidRPr="00857AA1" w:rsidRDefault="00430A09" w:rsidP="00430A09">
      <w:pPr>
        <w:pStyle w:val="ManualConsidrant"/>
        <w:rPr>
          <w:noProof/>
        </w:rPr>
      </w:pPr>
      <w:r w:rsidRPr="00430A09">
        <w:rPr>
          <w:noProof/>
        </w:rPr>
        <w:t>(15)</w:t>
      </w:r>
      <w:r w:rsidRPr="00430A09">
        <w:rPr>
          <w:noProof/>
        </w:rPr>
        <w:tab/>
      </w:r>
      <w:r w:rsidR="00B25B6D" w:rsidRPr="00857AA1">
        <w:rPr>
          <w:noProof/>
        </w:rPr>
        <w:t>Το σχέδιο σύστασης που αφορά την εφαρμογή της σύμβασης από τη Σουηδία απαιτεί οι πολιτικές για τη βία κατά των γυναικών να λαμβάνουν υπόψη τις ανάγκες των θυμάτων που εκτίθενται σε διατομεακές διακρίσεις, οι στρατηγικές να αξιολογούνται ώστε να εκτιμάται ο αντίκτυπός τους, και οι πολιτικές να εφαρμόζουν έμφυλη αντίληψη ως προς τη βία κατά των γυναικών (άρθρα 3 και 7 της σύμβασης)·  να διασφαλίζονται βιώσιμα επίπεδα χρηματοδότησης των οργανώσεων για τα δικαιώματα των γυναικών που παρέχουν εξειδικευμένες υπηρεσίες υποστήριξης (άρθρο 8 της σύμβασης)·  να εναρμονίζεται η συλλογή δεδομένων και να εξασφαλίζεται η ανάλυσή τους (άρθρο 11 της σύμβασης)·  να εξασφαλίζεται η λήψη ευρύτερων μέτρων πρόληψης για όλες τις μορφές βίας κατά των γυναικών (άρθρο 12 της σύμβασης)·  να καθιερωθεί συστηματική κατάρτιση για όλους τους σχετικούς επαγγελματίες σχετικά με κάθε μορφή βίας που καλύπτεται από τη σύμβαση και να αξιολογείται η εν λόγω κατάρτιση (άρθρο 15 της σύμβασης)·  να καταρτιστούν ελάχιστα πρότυπα όσον αφορά τα προγράμματα για τους δράστες σύμφωνα με τη σύμβαση και να διασφαλιστεί η αξιολόγησή τους (άρθρο 16 της σύμβασης)·  να εγκριθούν μηχανισμοί συντονισμού και συνεργασίας μεταξύ των αρμόδιων υπηρεσιών και, όπου είναι δυνατόν, στους ίδιους χώρους (άρθρο 18 της σύμβασης)·  να διασφαλιστεί ότι οι κοινωνικές υπηρεσίες παρέχουν επαρκή στήριξη και συνδρομή σε όλα τα θύματα, συμπεριλαμβανομένης της υποστήριξης σε πρακτικά θέματα (άρθρο 20 της σύμβασης)·  να αυξηθεί η διαθεσιμότητα κέντρων υποδοχής και να διασφαλιστεί η πρόσβαση όλων των θυμάτων και των παιδιών τους στα κέντρα αυτά (άρθρο 22 της σύμβασης)·  να εξασφαλιστεί επαρκής αριθμός κέντρων διαχείρισης περιστατικών βιασμού και/ή σεξουαλικής βίας σε ολόκληρη τη χώρα (άρθρο 25 της σύμβασης)·  να παρέχονται ασφαλείς εγκαταστάσεις όπου να μπορούν να πραγματοποιούνται επισκέψεις υπό επίβλεψη με εκπαιδευμένους επαγγελματίες (άρθρο 31 της σύμβασης)·  να ενισχυθεί η ικανότητα της αστυνομίας να επεμβαίνει και να διερευνά όλες τις μορφές βίας κατά των γυναικών, συμπεριλαμβανομένων των ψηφιακών εκδηλώσεών της, και να ληφθούν μέτρα για την ενθάρρυνση της υποβολής καταγγελιών από γυναίκες που διατρέχουν κίνδυνο διατομεακών διακρίσεων (άρθρα 49 και 50 της σύμβασης)·  να διασφαλιστεί η συστηματική διενέργεια αξιολογήσεων κινδύνου για τα θύματα και τα παιδιά τους με συντονισμένο τρόπο (άρθρο 51 της σύμβασης)· και να ληφθούν μέτρα για να διασφαλίσει ότι οι επείγουσες εντολές απαγόρευσης, οι εντολές περιορισμού και οι εντολές προστασίας («εντολές απαγόρευσης επικοινωνίας όσον αφορά την κοινή εστία») εκδίδονται ταχέως με άμεση ισχύ, μεταξύ άλλων και για τα παιδιά, παρακολουθούνται αποτελεσματικά και συνοδεύονται από κατάλληλες κυρώσεις (άρθρο 52 και 53 της σύμβασης). Δεδομένου ότι οι συστάσεις για τα εν λόγω θέματα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της σύστασης που απευθύνεται στη Σουηδία.</w:t>
      </w:r>
    </w:p>
    <w:p w:rsidR="5396E572" w:rsidRPr="00857AA1" w:rsidRDefault="00430A09" w:rsidP="00430A09">
      <w:pPr>
        <w:pStyle w:val="ManualConsidrant"/>
        <w:rPr>
          <w:noProof/>
        </w:rPr>
      </w:pPr>
      <w:r w:rsidRPr="00430A09">
        <w:rPr>
          <w:noProof/>
        </w:rPr>
        <w:t>(16)</w:t>
      </w:r>
      <w:r w:rsidRPr="00430A09">
        <w:rPr>
          <w:noProof/>
        </w:rPr>
        <w:tab/>
      </w:r>
      <w:r w:rsidR="5396E572" w:rsidRPr="00857AA1">
        <w:rPr>
          <w:noProof/>
        </w:rPr>
        <w:t>Το σχέδιο συμπερασμάτων που αφορά την εφαρμογή της σύμβασης από τον Άγιο Μαρίνο περιλαμβάνει την ανάγκη η εν λόγω χώρα να στηρίξει τις οργανώσεις της κοινωνίας των πολιτών με την εξασφάλιση βιώσιμης χρηματοδότησης για τη δημιουργία μηχανισμών συνεργασίας, και να διασφαλίσει ότι ο εθνικός συντονιστικός φορέας συντονίζεται με τις οργανώσεις της κοινωνίας των πολιτών (άρθρα 9 και 10 της σύμβασης)·  να βελτιώσει τη συλλογή αναλυτικών δεδομένων βάσει κοινού συστήματος συλλογής δεδομένων, με σκοπό τόσο την τακτική διεξαγωγή ερευνών σχετικά με τη θυματοποίηση όσο και την προώθηση ερευνητικών δραστηριοτήτων (άρθρο 11 της σύμβασης)· και να συμμορφώνεται με τις απαιτήσεις του άρθρου 59 της σύμβασης σχετικά με το καθεστώς διαμονής των θυμάτων βίας κατά των γυναικών (άρθρο 59 της σύμβασης). Δεδομένου ότι τα συμπεράσματα για τα θέματα αυτά συνάδουν με τις πολιτικές και τους στόχους της Ένωσης στους τομείς της δικαστικής συνεργασίας σε ποινικές υποθέσεις, του ασύλου και της μη επαναπροώθησης και δεν προκαλούν ανησυχίες όσον αφορά το δίκαιο της Ένωσης, η θέση της Ένωσης θα πρέπει να είναι να μην εναντιωθεί στην έκδοση των συμπερασμάτων που απευθύνονται στον Άγιο Μαρίνο.</w:t>
      </w:r>
    </w:p>
    <w:p w:rsidR="20B14CB5" w:rsidRPr="00857AA1" w:rsidRDefault="00430A09" w:rsidP="00430A09">
      <w:pPr>
        <w:pStyle w:val="ManualConsidrant"/>
        <w:rPr>
          <w:noProof/>
        </w:rPr>
      </w:pPr>
      <w:r w:rsidRPr="00430A09">
        <w:rPr>
          <w:noProof/>
        </w:rPr>
        <w:t>(17)</w:t>
      </w:r>
      <w:r w:rsidRPr="00430A09">
        <w:rPr>
          <w:noProof/>
        </w:rPr>
        <w:tab/>
      </w:r>
      <w:r w:rsidR="07385B0D" w:rsidRPr="00857AA1">
        <w:rPr>
          <w:noProof/>
        </w:rPr>
        <w:t>Το σχέδιο συμπερασμάτων που αφορά την εφαρμογή της σύμβασης από τη Σλοβενία περιλαμβάνει την ανάγκη η εν λόγω χώρα να αναθέσει τον ρόλο του συντονιστικού φορέα σε πλήρως θεσμοθετημένες οντότητες και να εξασφαλίσει τους αναγκαίους ανθρώπινους και οικονομικούς πόρους (άρθρο 10 της σύμβασης)·  να μεριμνήσει για τη σφαιρική συλλογή δεδομένων σχετικά με όλες τις μορφές βίας που καλύπτονται από τη σύμβαση (άρθρο 11 της σύμβασης)·  να ενισχύσει την ανταλλαγή πληροφοριών μεταξύ των αστικών και των ποινικών δικαστηρίων (άρθρο 31 της σύμβασης)·  να διασφαλίσει την ταχεία και κατάλληλη αντίδραση των υπηρεσιών επιβολής του νόμου σε περιστατικά βίας κατά των γυναικών (άρθρα 49 και 50 της σύμβασης)· και να συμμορφωθεί με τη σύμβαση σε θέματα που αφορούν την αυτεπάγγελτη δίωξη του συζυγικού βιασμού (άρθρο 55 της σύμβασης). Δεδομένου ότι τα συμπεράσματα για τα θέματα αυτά συνάδουν με τις πολιτικές και τους στόχους της Ένωσης στον τομέα της δικαστικής συνεργασίας σε ποινικές υποθέσεις και δεν προκαλούν ανησυχίες όσον αφορά το δίκαιο της Ένωσης, η θέση της Ένωσης θα πρέπει να είναι να μην εναντιωθεί στην έκδοση των συμπερασμάτων που απευθύνονται στη Σλοβενία.</w:t>
      </w:r>
    </w:p>
    <w:p w:rsidR="008B3E75" w:rsidRPr="00857AA1" w:rsidRDefault="00430A09" w:rsidP="00430A09">
      <w:pPr>
        <w:pStyle w:val="ManualConsidrant"/>
        <w:rPr>
          <w:noProof/>
        </w:rPr>
      </w:pPr>
      <w:r w:rsidRPr="00430A09">
        <w:rPr>
          <w:noProof/>
        </w:rPr>
        <w:t>(18)</w:t>
      </w:r>
      <w:r w:rsidRPr="00430A09">
        <w:rPr>
          <w:noProof/>
        </w:rPr>
        <w:tab/>
      </w:r>
      <w:r w:rsidR="008B3E75" w:rsidRPr="00857AA1">
        <w:rPr>
          <w:noProof/>
        </w:rPr>
        <w:t>Η Ιρλανδία δεν δεσμεύεται από την απόφαση (ΕΕ) 2023/1076 του Συμβουλίου και, συνεπώς, δεν συμμετέχει στην έκδοση της παρούσας απόφασης.</w:t>
      </w:r>
    </w:p>
    <w:p w:rsidR="00CA0046" w:rsidRPr="00857AA1" w:rsidRDefault="00430A09" w:rsidP="00430A09">
      <w:pPr>
        <w:pStyle w:val="ManualConsidrant"/>
        <w:rPr>
          <w:noProof/>
        </w:rPr>
      </w:pPr>
      <w:r w:rsidRPr="00430A09">
        <w:rPr>
          <w:noProof/>
        </w:rPr>
        <w:t>(19)</w:t>
      </w:r>
      <w:r w:rsidRPr="00430A09">
        <w:rPr>
          <w:noProof/>
        </w:rPr>
        <w:tab/>
      </w:r>
      <w:r w:rsidR="008B3E75" w:rsidRPr="00857AA1">
        <w:rPr>
          <w:noProof/>
        </w:rPr>
        <w:t>Σύμφωνα με τα άρθρα 1 και 2 του πρωτοκόλλου αριθ. 22 σχετικά με τη θέση της Δανίας, το οποίο προσαρτάται στη Συνθήκη για την Ευρωπαϊκή Ένωση και στη Συνθήκη για τη λειτουργία της Ευρωπαϊκής Ένωσης, η Δανία δεν συμμετέχει στην έκδοση της παρούσας απόφασης και δεν δεσμεύεται από αυτήν ούτε υπόκειται στην εφαρμογή της,</w:t>
      </w:r>
    </w:p>
    <w:p w:rsidR="00CA0046" w:rsidRPr="00857AA1" w:rsidRDefault="00CA0046" w:rsidP="009B37BC">
      <w:pPr>
        <w:pStyle w:val="Formuledadoption"/>
        <w:rPr>
          <w:noProof/>
        </w:rPr>
      </w:pPr>
      <w:r w:rsidRPr="00857AA1">
        <w:rPr>
          <w:noProof/>
        </w:rPr>
        <w:t>ΕΞΕΔΩΣΕ ΤΗΝ ΠΑΡΟΥΣΑ ΑΠΟΦΑΣΗ:</w:t>
      </w:r>
    </w:p>
    <w:p w:rsidR="00CA0046" w:rsidRPr="00857AA1" w:rsidRDefault="00CA0046" w:rsidP="009B37BC">
      <w:pPr>
        <w:pStyle w:val="Titrearticle"/>
        <w:rPr>
          <w:noProof/>
        </w:rPr>
      </w:pPr>
      <w:r w:rsidRPr="00857AA1">
        <w:rPr>
          <w:noProof/>
        </w:rPr>
        <w:t>Άρθρο 1</w:t>
      </w:r>
    </w:p>
    <w:p w:rsidR="008B3E75" w:rsidRPr="00857AA1" w:rsidRDefault="008B3E75" w:rsidP="008B3E75">
      <w:pPr>
        <w:rPr>
          <w:noProof/>
        </w:rPr>
      </w:pPr>
      <w:r w:rsidRPr="00857AA1">
        <w:rPr>
          <w:noProof/>
        </w:rPr>
        <w:t>Η θέση που πρέπει να ληφθεί εξ ονόματος της Ένωσης στη 18η συνεδρίαση της επιτροπής των μερών, η οποία έχει συσταθεί βάσει του άρθρου 67 της σύμβασης, είναι να μην εναντιωθεί στην έκδοση των ακόλουθων πράξεων:</w:t>
      </w:r>
    </w:p>
    <w:p w:rsidR="6BFA5043" w:rsidRPr="00857AA1" w:rsidRDefault="00430A09" w:rsidP="00430A09">
      <w:pPr>
        <w:pStyle w:val="Point1"/>
        <w:rPr>
          <w:noProof/>
        </w:rPr>
      </w:pPr>
      <w:r w:rsidRPr="00430A09">
        <w:rPr>
          <w:noProof/>
        </w:rPr>
        <w:t>(1)</w:t>
      </w:r>
      <w:r w:rsidRPr="00430A09">
        <w:rPr>
          <w:noProof/>
        </w:rPr>
        <w:tab/>
      </w:r>
      <w:r w:rsidR="6BFA5043" w:rsidRPr="00857AA1">
        <w:rPr>
          <w:noProof/>
        </w:rPr>
        <w:t>Συστάσεις προς την Αλβανία για βελτίωση της εμπιστοσύνης με την παροχή στήριξης, προστασίας και δικαιοσύνης βάσει της σύμβασης της Κωνσταντινούπολης [IC-CP(2025)2-prov],</w:t>
      </w:r>
    </w:p>
    <w:p w:rsidR="6BFA5043" w:rsidRPr="00857AA1" w:rsidRDefault="00430A09" w:rsidP="00430A09">
      <w:pPr>
        <w:pStyle w:val="Point1"/>
        <w:rPr>
          <w:rFonts w:eastAsia="Calibri"/>
          <w:noProof/>
        </w:rPr>
      </w:pPr>
      <w:r w:rsidRPr="00430A09">
        <w:rPr>
          <w:noProof/>
        </w:rPr>
        <w:t>(2)</w:t>
      </w:r>
      <w:r w:rsidRPr="00430A09">
        <w:rPr>
          <w:noProof/>
        </w:rPr>
        <w:tab/>
      </w:r>
      <w:r w:rsidR="6BFA5043" w:rsidRPr="00857AA1">
        <w:rPr>
          <w:noProof/>
        </w:rPr>
        <w:t>Συστάσεις προς την Αυστρία για βελτίωση της εμπιστοσύνης με την παροχή στήριξης, προστασίας και δικαιοσύνης βάσει της σύμβασης της Κωνσταντινούπολης [IC-CP(2025)3-prov],</w:t>
      </w:r>
    </w:p>
    <w:p w:rsidR="6BFA5043" w:rsidRPr="00857AA1" w:rsidRDefault="00430A09" w:rsidP="00430A09">
      <w:pPr>
        <w:pStyle w:val="Point1"/>
        <w:rPr>
          <w:rFonts w:eastAsia="Calibri"/>
          <w:noProof/>
        </w:rPr>
      </w:pPr>
      <w:r w:rsidRPr="00430A09">
        <w:rPr>
          <w:noProof/>
        </w:rPr>
        <w:t>(3)</w:t>
      </w:r>
      <w:r w:rsidRPr="00430A09">
        <w:rPr>
          <w:noProof/>
        </w:rPr>
        <w:tab/>
      </w:r>
      <w:r w:rsidR="6BFA5043" w:rsidRPr="00857AA1">
        <w:rPr>
          <w:noProof/>
        </w:rPr>
        <w:t>Συστάσεις προς τη Δανία για βελτίωση της εμπιστοσύνης με την παροχή στήριξης, προστασίας και δικαιοσύνης βάσει της σύμβασης της Κωνσταντινούπολης [IC-CP(2025)4-prov],</w:t>
      </w:r>
    </w:p>
    <w:p w:rsidR="6BFA5043" w:rsidRPr="00857AA1" w:rsidRDefault="00430A09" w:rsidP="00430A09">
      <w:pPr>
        <w:pStyle w:val="Point1"/>
        <w:rPr>
          <w:noProof/>
        </w:rPr>
      </w:pPr>
      <w:r w:rsidRPr="00430A09">
        <w:rPr>
          <w:noProof/>
        </w:rPr>
        <w:t>(4)</w:t>
      </w:r>
      <w:r w:rsidRPr="00430A09">
        <w:rPr>
          <w:noProof/>
        </w:rPr>
        <w:tab/>
      </w:r>
      <w:r w:rsidR="6BFA5043" w:rsidRPr="00857AA1">
        <w:rPr>
          <w:noProof/>
        </w:rPr>
        <w:t>Συστάσεις προς τη Φινλανδία για βελτίωση της εμπιστοσύνης με την παροχή στήριξης, προστασίας και δικαιοσύνης βάσει της σύμβασης της Κωνσταντινούπολης [IC-CP(2025)5-prov],</w:t>
      </w:r>
    </w:p>
    <w:p w:rsidR="6BFA5043" w:rsidRPr="00857AA1" w:rsidRDefault="00430A09" w:rsidP="00430A09">
      <w:pPr>
        <w:pStyle w:val="Point1"/>
        <w:rPr>
          <w:noProof/>
        </w:rPr>
      </w:pPr>
      <w:r w:rsidRPr="00430A09">
        <w:rPr>
          <w:noProof/>
        </w:rPr>
        <w:t>(5)</w:t>
      </w:r>
      <w:r w:rsidRPr="00430A09">
        <w:rPr>
          <w:noProof/>
        </w:rPr>
        <w:tab/>
      </w:r>
      <w:r w:rsidR="6BFA5043" w:rsidRPr="00857AA1">
        <w:rPr>
          <w:noProof/>
        </w:rPr>
        <w:t>Συστάσεις προς το Μονακό για βελτίωση της εμπιστοσύνης με την παροχή στήριξης, προστασίας και δικαιοσύνης βάσει της σύμβασης της Κωνσταντινούπολης [IC-CP(2025)6-prov],</w:t>
      </w:r>
    </w:p>
    <w:p w:rsidR="6BFA5043" w:rsidRPr="00857AA1" w:rsidRDefault="00430A09" w:rsidP="00430A09">
      <w:pPr>
        <w:pStyle w:val="Point1"/>
        <w:rPr>
          <w:noProof/>
        </w:rPr>
      </w:pPr>
      <w:r w:rsidRPr="00430A09">
        <w:rPr>
          <w:noProof/>
        </w:rPr>
        <w:t>(6)</w:t>
      </w:r>
      <w:r w:rsidRPr="00430A09">
        <w:rPr>
          <w:noProof/>
        </w:rPr>
        <w:tab/>
      </w:r>
      <w:r w:rsidR="6BFA5043" w:rsidRPr="00857AA1">
        <w:rPr>
          <w:noProof/>
        </w:rPr>
        <w:t>Συστάσεις προς το Μαυροβούνιο για βελτίωση της εμπιστοσύνης με την παροχή στήριξης, προστασίας και δικαιοσύνης βάσει της σύμβασης της Κωνσταντινούπολης [IC-CP(2025)7-prov],</w:t>
      </w:r>
    </w:p>
    <w:p w:rsidR="6BFA5043" w:rsidRPr="00857AA1" w:rsidRDefault="00430A09" w:rsidP="00430A09">
      <w:pPr>
        <w:pStyle w:val="Point1"/>
        <w:rPr>
          <w:noProof/>
        </w:rPr>
      </w:pPr>
      <w:r w:rsidRPr="00430A09">
        <w:rPr>
          <w:noProof/>
        </w:rPr>
        <w:t>(7)</w:t>
      </w:r>
      <w:r w:rsidRPr="00430A09">
        <w:rPr>
          <w:noProof/>
        </w:rPr>
        <w:tab/>
      </w:r>
      <w:r w:rsidR="6BFA5043" w:rsidRPr="00857AA1">
        <w:rPr>
          <w:noProof/>
        </w:rPr>
        <w:t>Συστάσεις προς την Ισπανία για βελτίωση της εμπιστοσύνης με την παροχή στήριξης, προστασίας και δικαιοσύνης βάσει της σύμβασης της Κωνσταντινούπολης [IC-CP(2025)8-prov],</w:t>
      </w:r>
    </w:p>
    <w:p w:rsidR="6BFA5043" w:rsidRPr="00857AA1" w:rsidRDefault="00430A09" w:rsidP="00430A09">
      <w:pPr>
        <w:pStyle w:val="Point1"/>
        <w:rPr>
          <w:noProof/>
        </w:rPr>
      </w:pPr>
      <w:r w:rsidRPr="00430A09">
        <w:rPr>
          <w:noProof/>
        </w:rPr>
        <w:t>(8)</w:t>
      </w:r>
      <w:r w:rsidRPr="00430A09">
        <w:rPr>
          <w:noProof/>
        </w:rPr>
        <w:tab/>
      </w:r>
      <w:r w:rsidR="6BFA5043" w:rsidRPr="00857AA1">
        <w:rPr>
          <w:noProof/>
        </w:rPr>
        <w:t>Συστάσεις προς τη Σουηδία για βελτίωση της εμπιστοσύνης με την παροχή στήριξης, προστασίας και δικαιοσύνης βάσει της σύμβασης της Κωνσταντινούπολης [IC-CP(2025)9-prov],</w:t>
      </w:r>
    </w:p>
    <w:p w:rsidR="493C003A" w:rsidRPr="00857AA1" w:rsidRDefault="00430A09" w:rsidP="00430A09">
      <w:pPr>
        <w:pStyle w:val="Point1"/>
        <w:rPr>
          <w:noProof/>
        </w:rPr>
      </w:pPr>
      <w:r w:rsidRPr="00430A09">
        <w:rPr>
          <w:noProof/>
        </w:rPr>
        <w:t>(9)</w:t>
      </w:r>
      <w:r w:rsidRPr="00430A09">
        <w:rPr>
          <w:noProof/>
        </w:rPr>
        <w:tab/>
      </w:r>
      <w:r w:rsidR="493C003A" w:rsidRPr="00857AA1">
        <w:rPr>
          <w:noProof/>
        </w:rPr>
        <w:t>Συμπεράσματα σχετικά με την εφαρμογή των συστάσεων που εκδόθηκαν από την επιτροπή των μερών όσον αφορά τον Άγιο Μαρίνο [IC-CP(2025)10-prov], και</w:t>
      </w:r>
    </w:p>
    <w:p w:rsidR="493C003A" w:rsidRPr="00857AA1" w:rsidRDefault="00430A09" w:rsidP="00430A09">
      <w:pPr>
        <w:pStyle w:val="Point1"/>
        <w:rPr>
          <w:noProof/>
        </w:rPr>
      </w:pPr>
      <w:r w:rsidRPr="00430A09">
        <w:rPr>
          <w:noProof/>
        </w:rPr>
        <w:t>(10)</w:t>
      </w:r>
      <w:r w:rsidRPr="00430A09">
        <w:rPr>
          <w:noProof/>
        </w:rPr>
        <w:tab/>
      </w:r>
      <w:r w:rsidR="493C003A" w:rsidRPr="00857AA1">
        <w:rPr>
          <w:noProof/>
        </w:rPr>
        <w:t>Συμπεράσματα σχετικά με την εφαρμογή των συστάσεων που εκδόθηκαν από την επιτροπή των μερών όσον αφορά τη Σλοβενία [IC-CP (2025)11-prov].</w:t>
      </w:r>
    </w:p>
    <w:p w:rsidR="3154F711" w:rsidRPr="00857AA1" w:rsidRDefault="3154F711" w:rsidP="3C8E0E83">
      <w:pPr>
        <w:pStyle w:val="ListParagraph"/>
        <w:ind w:left="1080"/>
        <w:rPr>
          <w:noProof/>
        </w:rPr>
      </w:pPr>
    </w:p>
    <w:p w:rsidR="00CA0046" w:rsidRPr="00857AA1" w:rsidRDefault="00CA0046" w:rsidP="00C97F20">
      <w:pPr>
        <w:pStyle w:val="Titrearticle"/>
        <w:rPr>
          <w:noProof/>
        </w:rPr>
      </w:pPr>
      <w:r w:rsidRPr="00857AA1">
        <w:rPr>
          <w:noProof/>
        </w:rPr>
        <w:t>Άρθρο 2</w:t>
      </w:r>
    </w:p>
    <w:p w:rsidR="008B3E75" w:rsidRPr="00857AA1" w:rsidRDefault="008B3E75" w:rsidP="008B3E75">
      <w:pPr>
        <w:rPr>
          <w:noProof/>
        </w:rPr>
      </w:pPr>
      <w:bookmarkStart w:id="12" w:name="_Hlk167359088"/>
      <w:r w:rsidRPr="00857AA1">
        <w:rPr>
          <w:noProof/>
        </w:rPr>
        <w:t>Η παρούσα απόφαση αρχίζει να ισχύει την ημερομηνία της έκδοσής της.</w:t>
      </w:r>
      <w:bookmarkEnd w:id="12"/>
    </w:p>
    <w:p w:rsidR="00CA0046" w:rsidRPr="00857AA1" w:rsidRDefault="00857AA1" w:rsidP="00C97F20">
      <w:pPr>
        <w:pStyle w:val="Fait"/>
        <w:rPr>
          <w:noProof/>
        </w:rPr>
      </w:pPr>
      <w:r>
        <w:rPr>
          <w:noProof/>
        </w:rPr>
        <w:t>Βρυξέλλες,</w:t>
      </w:r>
    </w:p>
    <w:p w:rsidR="00CA0046" w:rsidRPr="00857AA1" w:rsidRDefault="00CA0046" w:rsidP="00C97F20">
      <w:pPr>
        <w:pStyle w:val="Institutionquisigne"/>
        <w:rPr>
          <w:noProof/>
        </w:rPr>
      </w:pPr>
      <w:r w:rsidRPr="00857AA1">
        <w:rPr>
          <w:noProof/>
        </w:rPr>
        <w:tab/>
        <w:t>Για το Συμβούλιο</w:t>
      </w:r>
    </w:p>
    <w:p w:rsidR="00CA0046" w:rsidRPr="00857AA1" w:rsidRDefault="00CA0046" w:rsidP="00CA0046">
      <w:pPr>
        <w:pStyle w:val="Personnequisigne"/>
        <w:rPr>
          <w:noProof/>
        </w:rPr>
      </w:pPr>
      <w:r w:rsidRPr="00857AA1">
        <w:rPr>
          <w:noProof/>
        </w:rPr>
        <w:tab/>
        <w:t>Ο/Η Πρόεδρος</w:t>
      </w:r>
    </w:p>
    <w:sectPr w:rsidR="00CA0046" w:rsidRPr="00857AA1" w:rsidSect="00F34FD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84F" w:rsidRPr="00BB4B61" w:rsidRDefault="0058084F" w:rsidP="00CA0046">
      <w:pPr>
        <w:spacing w:before="0" w:after="0"/>
      </w:pPr>
      <w:r>
        <w:separator/>
      </w:r>
    </w:p>
  </w:endnote>
  <w:endnote w:type="continuationSeparator" w:id="0">
    <w:p w:rsidR="0058084F" w:rsidRPr="00BB4B61" w:rsidRDefault="0058084F" w:rsidP="00CA0046">
      <w:pPr>
        <w:spacing w:before="0" w:after="0"/>
      </w:pPr>
      <w:r>
        <w:continuationSeparator/>
      </w:r>
    </w:p>
  </w:endnote>
  <w:endnote w:type="continuationNotice" w:id="1">
    <w:p w:rsidR="0058084F" w:rsidRPr="00BB4B61" w:rsidRDefault="005808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Pr="00F34FDB" w:rsidRDefault="00F34FDB" w:rsidP="00F34FDB">
    <w:pPr>
      <w:pStyle w:val="Footer"/>
      <w:rPr>
        <w:rFonts w:ascii="Arial" w:hAnsi="Arial" w:cs="Arial"/>
        <w:b/>
        <w:sz w:val="48"/>
      </w:rPr>
    </w:pPr>
    <w:r w:rsidRPr="00F34FDB">
      <w:rPr>
        <w:rFonts w:ascii="Arial" w:hAnsi="Arial" w:cs="Arial"/>
        <w:b/>
        <w:sz w:val="48"/>
      </w:rPr>
      <w:t>EL</w:t>
    </w:r>
    <w:r w:rsidRPr="00F34FDB">
      <w:rPr>
        <w:rFonts w:ascii="Arial" w:hAnsi="Arial" w:cs="Arial"/>
        <w:b/>
        <w:sz w:val="48"/>
      </w:rPr>
      <w:tab/>
    </w:r>
    <w:r w:rsidRPr="00F34FDB">
      <w:rPr>
        <w:rFonts w:ascii="Arial" w:hAnsi="Arial" w:cs="Arial"/>
        <w:b/>
        <w:sz w:val="48"/>
      </w:rPr>
      <w:tab/>
    </w:r>
    <w:r w:rsidRPr="00F34FDB">
      <w:tab/>
    </w:r>
    <w:r w:rsidRPr="00F34FDB">
      <w:rPr>
        <w:rFonts w:ascii="Arial" w:hAnsi="Arial" w:cs="Arial"/>
        <w:b/>
        <w:sz w:val="48"/>
      </w:rP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Pr="00F34FDB" w:rsidRDefault="00F34FDB" w:rsidP="00F34FDB">
    <w:pPr>
      <w:pStyle w:val="Footer"/>
      <w:rPr>
        <w:rFonts w:ascii="Arial" w:hAnsi="Arial" w:cs="Arial"/>
        <w:b/>
        <w:sz w:val="48"/>
      </w:rPr>
    </w:pPr>
    <w:r w:rsidRPr="00F34FDB">
      <w:rPr>
        <w:rFonts w:ascii="Arial" w:hAnsi="Arial" w:cs="Arial"/>
        <w:b/>
        <w:sz w:val="48"/>
      </w:rPr>
      <w:t>EL</w:t>
    </w:r>
    <w:r w:rsidRPr="00F34FDB">
      <w:rPr>
        <w:rFonts w:ascii="Arial" w:hAnsi="Arial" w:cs="Arial"/>
        <w:b/>
        <w:sz w:val="48"/>
      </w:rPr>
      <w:tab/>
    </w:r>
    <w:r w:rsidRPr="00F34FDB">
      <w:rPr>
        <w:rFonts w:ascii="Arial" w:hAnsi="Arial" w:cs="Arial"/>
        <w:b/>
        <w:sz w:val="48"/>
      </w:rPr>
      <w:tab/>
    </w:r>
    <w:r w:rsidRPr="00F34FDB">
      <w:tab/>
    </w:r>
    <w:r w:rsidRPr="00F34FDB">
      <w:rPr>
        <w:rFonts w:ascii="Arial" w:hAnsi="Arial" w:cs="Arial"/>
        <w:b/>
        <w:sz w:val="48"/>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Default="00F34F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Pr="00F34FDB" w:rsidRDefault="00F34FDB" w:rsidP="00F34FDB">
    <w:pPr>
      <w:pStyle w:val="Footer"/>
      <w:rPr>
        <w:rFonts w:ascii="Arial" w:hAnsi="Arial" w:cs="Arial"/>
        <w:b/>
        <w:sz w:val="48"/>
      </w:rPr>
    </w:pPr>
    <w:r w:rsidRPr="00F34FDB">
      <w:rPr>
        <w:rFonts w:ascii="Arial" w:hAnsi="Arial" w:cs="Arial"/>
        <w:b/>
        <w:sz w:val="48"/>
      </w:rPr>
      <w:t>EL</w:t>
    </w:r>
    <w:r w:rsidRPr="00F34FDB">
      <w:rPr>
        <w:rFonts w:ascii="Arial" w:hAnsi="Arial" w:cs="Arial"/>
        <w:b/>
        <w:sz w:val="48"/>
      </w:rPr>
      <w:tab/>
    </w:r>
    <w:r>
      <w:fldChar w:fldCharType="begin"/>
    </w:r>
    <w:r>
      <w:instrText xml:space="preserve"> PAGE  \* MERGEFORMAT </w:instrText>
    </w:r>
    <w:r>
      <w:fldChar w:fldCharType="separate"/>
    </w:r>
    <w:r w:rsidR="00C97F20">
      <w:rPr>
        <w:noProof/>
      </w:rPr>
      <w:t>17</w:t>
    </w:r>
    <w:r>
      <w:fldChar w:fldCharType="end"/>
    </w:r>
    <w:r>
      <w:tab/>
    </w:r>
    <w:r w:rsidRPr="00F34FDB">
      <w:tab/>
    </w:r>
    <w:r w:rsidRPr="00F34FDB">
      <w:rPr>
        <w:rFonts w:ascii="Arial" w:hAnsi="Arial" w:cs="Arial"/>
        <w:b/>
        <w:sz w:val="48"/>
      </w:rPr>
      <w:t>EL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Default="00F34FDB" w:rsidP="00F34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84F" w:rsidRPr="00BB4B61" w:rsidRDefault="0058084F" w:rsidP="00CA0046">
      <w:pPr>
        <w:spacing w:before="0" w:after="0"/>
      </w:pPr>
      <w:r>
        <w:separator/>
      </w:r>
    </w:p>
  </w:footnote>
  <w:footnote w:type="continuationSeparator" w:id="0">
    <w:p w:rsidR="0058084F" w:rsidRPr="00BB4B61" w:rsidRDefault="0058084F" w:rsidP="00CA0046">
      <w:pPr>
        <w:spacing w:before="0" w:after="0"/>
      </w:pPr>
      <w:r>
        <w:continuationSeparator/>
      </w:r>
    </w:p>
  </w:footnote>
  <w:footnote w:type="continuationNotice" w:id="1">
    <w:p w:rsidR="0058084F" w:rsidRPr="00BB4B61" w:rsidRDefault="0058084F">
      <w:pPr>
        <w:spacing w:before="0" w:after="0"/>
      </w:pPr>
    </w:p>
  </w:footnote>
  <w:footnote w:id="2">
    <w:p w:rsidR="00B9721A" w:rsidRPr="00857AA1" w:rsidRDefault="00B9721A" w:rsidP="00B9721A">
      <w:pPr>
        <w:pStyle w:val="FootnoteText"/>
      </w:pPr>
      <w:r>
        <w:rPr>
          <w:rStyle w:val="FootnoteReference"/>
        </w:rPr>
        <w:footnoteRef/>
      </w:r>
      <w:r w:rsidRPr="00857AA1">
        <w:tab/>
        <w:t>Απόφαση (ΕΕ) 2023/1075 του Συμβουλίου, της 1ης</w:t>
      </w:r>
      <w:r>
        <w:t> </w:t>
      </w:r>
      <w:r w:rsidRPr="00857AA1">
        <w:t xml:space="preserve">Ιουνίου 2023, σχετικά με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τα θεσμικά όργανα και τη δημόσια διοίκηση της Ένωσης (ΕΕ </w:t>
      </w:r>
      <w:r>
        <w:t>L </w:t>
      </w:r>
      <w:r w:rsidRPr="00857AA1">
        <w:t xml:space="preserve">143 </w:t>
      </w:r>
      <w:r>
        <w:t>I </w:t>
      </w:r>
      <w:r w:rsidRPr="00857AA1">
        <w:t>της 2.6.2023, σ.</w:t>
      </w:r>
      <w:r>
        <w:t> </w:t>
      </w:r>
      <w:r w:rsidRPr="00857AA1">
        <w:t xml:space="preserve">1, </w:t>
      </w:r>
      <w:bookmarkStart w:id="1" w:name="_Hlk166497907"/>
      <w:r>
        <w:t>ELI</w:t>
      </w:r>
      <w:r w:rsidRPr="00857AA1">
        <w:t xml:space="preserve">: </w:t>
      </w:r>
      <w:hyperlink r:id="rId1"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dec</w:t>
        </w:r>
        <w:r w:rsidRPr="00857AA1">
          <w:rPr>
            <w:rStyle w:val="Hyperlink"/>
          </w:rPr>
          <w:t>/2023/1075/</w:t>
        </w:r>
        <w:r>
          <w:rPr>
            <w:rStyle w:val="Hyperlink"/>
          </w:rPr>
          <w:t>oj</w:t>
        </w:r>
      </w:hyperlink>
      <w:r w:rsidRPr="00857AA1">
        <w:t>).</w:t>
      </w:r>
    </w:p>
    <w:bookmarkEnd w:id="1"/>
  </w:footnote>
  <w:footnote w:id="3">
    <w:p w:rsidR="00B9721A" w:rsidRPr="00857AA1" w:rsidRDefault="00B9721A" w:rsidP="00B9721A">
      <w:pPr>
        <w:pStyle w:val="FootnoteText"/>
      </w:pPr>
      <w:r>
        <w:rPr>
          <w:rStyle w:val="FootnoteReference"/>
        </w:rPr>
        <w:footnoteRef/>
      </w:r>
      <w:r w:rsidRPr="00857AA1">
        <w:tab/>
        <w:t>Απόφαση (ΕΕ) 2023/1076 του Συμβουλίου, της 1ης</w:t>
      </w:r>
      <w:r>
        <w:t> </w:t>
      </w:r>
      <w:r w:rsidRPr="00857AA1">
        <w:t xml:space="preserve">Ιουνίου 2023, για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θέματα που άπτονται της δικαστικής συνεργασίας σε ποινικές υποθέσεις και όσον αφορά το άσυλο και τη μη επαναπροώθηση (ΕΕ </w:t>
      </w:r>
      <w:r>
        <w:t>L</w:t>
      </w:r>
      <w:r w:rsidRPr="00857AA1">
        <w:t xml:space="preserve"> 143</w:t>
      </w:r>
      <w:r>
        <w:t> I</w:t>
      </w:r>
      <w:r w:rsidRPr="00857AA1">
        <w:t xml:space="preserve"> της 2.6.2023, σ. 4, </w:t>
      </w:r>
      <w:bookmarkStart w:id="2" w:name="_Hlk166497990"/>
      <w:r>
        <w:t>ELI</w:t>
      </w:r>
      <w:r w:rsidRPr="00857AA1">
        <w:t xml:space="preserve">:  </w:t>
      </w:r>
      <w:hyperlink r:id="rId2"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dec</w:t>
        </w:r>
        <w:r w:rsidRPr="00857AA1">
          <w:rPr>
            <w:rStyle w:val="Hyperlink"/>
          </w:rPr>
          <w:t>/2023/1076/</w:t>
        </w:r>
        <w:r>
          <w:rPr>
            <w:rStyle w:val="Hyperlink"/>
          </w:rPr>
          <w:t>oj</w:t>
        </w:r>
      </w:hyperlink>
      <w:r w:rsidRPr="00857AA1">
        <w:t>)</w:t>
      </w:r>
      <w:bookmarkEnd w:id="2"/>
      <w:r w:rsidRPr="00857AA1">
        <w:t>.</w:t>
      </w:r>
    </w:p>
  </w:footnote>
  <w:footnote w:id="4">
    <w:p w:rsidR="00B9721A" w:rsidRPr="00857AA1" w:rsidRDefault="00B9721A" w:rsidP="00B9721A">
      <w:pPr>
        <w:pStyle w:val="FootnoteText"/>
      </w:pPr>
      <w:r>
        <w:rPr>
          <w:rStyle w:val="FootnoteReference"/>
        </w:rPr>
        <w:footnoteRef/>
      </w:r>
      <w:r w:rsidRPr="00857AA1">
        <w:tab/>
        <w:t xml:space="preserve">Κατάσταση ως προς την κύρωση στις 24.4.2025: </w:t>
      </w:r>
      <w:r>
        <w:t>AT</w:t>
      </w:r>
      <w:r w:rsidRPr="00857AA1">
        <w:t xml:space="preserve"> (2013), </w:t>
      </w:r>
      <w:r>
        <w:t>BE</w:t>
      </w:r>
      <w:r w:rsidRPr="00857AA1">
        <w:t xml:space="preserve"> (2016), </w:t>
      </w:r>
      <w:r>
        <w:t>CY</w:t>
      </w:r>
      <w:r w:rsidRPr="00857AA1">
        <w:t xml:space="preserve"> (2017), </w:t>
      </w:r>
      <w:r>
        <w:t>DE</w:t>
      </w:r>
      <w:r w:rsidRPr="00857AA1">
        <w:t xml:space="preserve"> (2017), </w:t>
      </w:r>
      <w:r>
        <w:t>DK</w:t>
      </w:r>
      <w:r w:rsidRPr="00857AA1">
        <w:t xml:space="preserve"> (2014), </w:t>
      </w:r>
      <w:r>
        <w:t>IE</w:t>
      </w:r>
      <w:r w:rsidRPr="00857AA1">
        <w:t xml:space="preserve"> (2019), </w:t>
      </w:r>
      <w:r>
        <w:t>EL</w:t>
      </w:r>
      <w:r w:rsidRPr="00857AA1">
        <w:t xml:space="preserve"> (2018), </w:t>
      </w:r>
      <w:r>
        <w:t>ES</w:t>
      </w:r>
      <w:r w:rsidRPr="00857AA1">
        <w:t xml:space="preserve"> (2014), </w:t>
      </w:r>
      <w:r>
        <w:t>EE</w:t>
      </w:r>
      <w:r w:rsidRPr="00857AA1">
        <w:t xml:space="preserve"> (2017), </w:t>
      </w:r>
      <w:r>
        <w:t>FI</w:t>
      </w:r>
      <w:r w:rsidRPr="00857AA1">
        <w:t xml:space="preserve"> (2015), </w:t>
      </w:r>
      <w:r>
        <w:t>FR</w:t>
      </w:r>
      <w:r w:rsidRPr="00857AA1">
        <w:t xml:space="preserve"> (2014), </w:t>
      </w:r>
      <w:r>
        <w:t>HR</w:t>
      </w:r>
      <w:r w:rsidRPr="00857AA1">
        <w:t xml:space="preserve"> (2018), </w:t>
      </w:r>
      <w:r>
        <w:t>IT</w:t>
      </w:r>
      <w:r w:rsidRPr="00857AA1">
        <w:t xml:space="preserve"> (2013), </w:t>
      </w:r>
      <w:r>
        <w:t>LU</w:t>
      </w:r>
      <w:r w:rsidRPr="00857AA1">
        <w:t xml:space="preserve"> (2018), </w:t>
      </w:r>
      <w:r>
        <w:t>MT</w:t>
      </w:r>
      <w:r w:rsidRPr="00857AA1">
        <w:t xml:space="preserve"> (2014), </w:t>
      </w:r>
      <w:r>
        <w:t>NL</w:t>
      </w:r>
      <w:r w:rsidRPr="00857AA1">
        <w:t xml:space="preserve"> (2015), </w:t>
      </w:r>
      <w:r>
        <w:t>PL</w:t>
      </w:r>
      <w:r w:rsidRPr="00857AA1">
        <w:t xml:space="preserve"> (2015), </w:t>
      </w:r>
      <w:r>
        <w:t>PT</w:t>
      </w:r>
      <w:r w:rsidRPr="00857AA1">
        <w:t xml:space="preserve"> (2013), </w:t>
      </w:r>
      <w:r>
        <w:t>RO</w:t>
      </w:r>
      <w:r w:rsidRPr="00857AA1">
        <w:t xml:space="preserve"> (2016), </w:t>
      </w:r>
      <w:r>
        <w:t>SI</w:t>
      </w:r>
      <w:r w:rsidRPr="00857AA1">
        <w:t xml:space="preserve"> (2015), </w:t>
      </w:r>
      <w:r>
        <w:t>SV</w:t>
      </w:r>
      <w:r w:rsidRPr="00857AA1">
        <w:t xml:space="preserve"> (2014), </w:t>
      </w:r>
      <w:r>
        <w:t>LV</w:t>
      </w:r>
      <w:r w:rsidRPr="00857AA1">
        <w:t xml:space="preserve"> (2023).</w:t>
      </w:r>
    </w:p>
  </w:footnote>
  <w:footnote w:id="5">
    <w:p w:rsidR="00B9721A" w:rsidRPr="00857AA1" w:rsidRDefault="00B9721A" w:rsidP="00B9721A">
      <w:pPr>
        <w:pStyle w:val="FootnoteText"/>
      </w:pPr>
      <w:r>
        <w:rPr>
          <w:rStyle w:val="FootnoteReference"/>
        </w:rPr>
        <w:footnoteRef/>
      </w:r>
      <w:r w:rsidRPr="00857AA1">
        <w:tab/>
      </w:r>
      <w:hyperlink r:id="rId3" w:history="1">
        <w:r w:rsidRPr="00857AA1">
          <w:rPr>
            <w:rStyle w:val="Hyperlink"/>
          </w:rPr>
          <w:t>Επιτροπή των μερών – Σύμβαση της Κωνσταντινούπολης για την πρόληψη και την καταπολέμηση της βίας κατά των γυναικών και της ενδοοικογενειακής βίας (</w:t>
        </w:r>
        <w:r>
          <w:rPr>
            <w:rStyle w:val="Hyperlink"/>
          </w:rPr>
          <w:t>coe</w:t>
        </w:r>
        <w:r w:rsidRPr="00857AA1">
          <w:rPr>
            <w:rStyle w:val="Hyperlink"/>
          </w:rPr>
          <w:t>.</w:t>
        </w:r>
        <w:r>
          <w:rPr>
            <w:rStyle w:val="Hyperlink"/>
          </w:rPr>
          <w:t>int</w:t>
        </w:r>
        <w:r w:rsidRPr="00857AA1">
          <w:rPr>
            <w:rStyle w:val="Hyperlink"/>
          </w:rPr>
          <w:t>)</w:t>
        </w:r>
      </w:hyperlink>
      <w:r w:rsidR="00857AA1" w:rsidRPr="00857AA1">
        <w:t>.</w:t>
      </w:r>
    </w:p>
  </w:footnote>
  <w:footnote w:id="6">
    <w:p w:rsidR="00B9721A" w:rsidRPr="00857AA1" w:rsidRDefault="00B9721A" w:rsidP="00B9721A">
      <w:pPr>
        <w:pStyle w:val="FootnoteText"/>
      </w:pPr>
      <w:r>
        <w:rPr>
          <w:rStyle w:val="FootnoteReference"/>
        </w:rPr>
        <w:footnoteRef/>
      </w:r>
      <w:r w:rsidRPr="00857AA1">
        <w:tab/>
        <w:t>Διάταξη 2.1.β του εσωτερικού κανονισμού της επιτροπής των μερών.</w:t>
      </w:r>
    </w:p>
  </w:footnote>
  <w:footnote w:id="7">
    <w:p w:rsidR="00B9721A" w:rsidRPr="00857AA1" w:rsidRDefault="00B9721A" w:rsidP="00B9721A">
      <w:pPr>
        <w:pStyle w:val="FootnoteText"/>
      </w:pPr>
      <w:r>
        <w:rPr>
          <w:rStyle w:val="FootnoteReference"/>
        </w:rPr>
        <w:footnoteRef/>
      </w:r>
      <w:r w:rsidRPr="00857AA1">
        <w:tab/>
        <w:t xml:space="preserve">Έγγραφο </w:t>
      </w:r>
      <w:r>
        <w:t>IC</w:t>
      </w:r>
      <w:r w:rsidRPr="00857AA1">
        <w:t>-</w:t>
      </w:r>
      <w:r>
        <w:t>CP</w:t>
      </w:r>
      <w:r w:rsidRPr="00857AA1">
        <w:t>(2015)2, που εγκρίθηκε στις 4 Μαΐου 2015.</w:t>
      </w:r>
    </w:p>
  </w:footnote>
  <w:footnote w:id="8">
    <w:p w:rsidR="00425494" w:rsidRPr="00857AA1" w:rsidRDefault="00425494" w:rsidP="00425494">
      <w:pPr>
        <w:pStyle w:val="FootnoteText"/>
      </w:pPr>
      <w:r>
        <w:rPr>
          <w:rStyle w:val="FootnoteReference"/>
        </w:rPr>
        <w:footnoteRef/>
      </w:r>
      <w:r w:rsidRPr="00857AA1">
        <w:tab/>
        <w:t>Άρθρο 1 παράγραφος 2 της σύμβασης της Κωνσταντινούπολης.</w:t>
      </w:r>
    </w:p>
  </w:footnote>
  <w:footnote w:id="9">
    <w:p w:rsidR="007B19AA" w:rsidRPr="00857AA1" w:rsidRDefault="007B19AA" w:rsidP="007B19AA">
      <w:pPr>
        <w:pStyle w:val="FootnoteText"/>
      </w:pPr>
      <w:r>
        <w:rPr>
          <w:rStyle w:val="FootnoteReference"/>
        </w:rPr>
        <w:footnoteRef/>
      </w:r>
      <w:r w:rsidRPr="00857AA1">
        <w:tab/>
        <w:t>Άρθρο 68 παράγραφος 10 της σύμβασης της Κωνσταντινούπολης.</w:t>
      </w:r>
    </w:p>
  </w:footnote>
  <w:footnote w:id="10">
    <w:p w:rsidR="004B2364" w:rsidRPr="00857AA1" w:rsidRDefault="004B2364" w:rsidP="004B2364">
      <w:pPr>
        <w:pStyle w:val="FootnoteText"/>
      </w:pPr>
      <w:r>
        <w:rPr>
          <w:rStyle w:val="FootnoteReference"/>
        </w:rPr>
        <w:footnoteRef/>
      </w:r>
      <w:r w:rsidRPr="00857AA1">
        <w:tab/>
        <w:t>Η εφαρμοστέα διαδικασία για την εποπτεία της εφαρμογής και της υποβολής εκθέσεων ορίζεται στο «Πλαίσιο για την εποπτεία της εφαρμογής των συστάσεων που απευθύνονται στα συμβαλλόμενα κράτη», το οποίο εγκρίθηκε από την επιτροπή των μερών στις 13 Απριλίου 2021 [</w:t>
      </w:r>
      <w:r>
        <w:t>IC</w:t>
      </w:r>
      <w:r w:rsidRPr="00857AA1">
        <w:t>-</w:t>
      </w:r>
      <w:r>
        <w:t>CP</w:t>
      </w:r>
      <w:r w:rsidRPr="00857AA1">
        <w:t>/</w:t>
      </w:r>
      <w:r>
        <w:t>Inf</w:t>
      </w:r>
      <w:r w:rsidRPr="00857AA1">
        <w:t>(2021)2].</w:t>
      </w:r>
    </w:p>
  </w:footnote>
  <w:footnote w:id="11">
    <w:p w:rsidR="006F40B7" w:rsidRPr="00857AA1" w:rsidRDefault="006F40B7">
      <w:pPr>
        <w:pStyle w:val="FootnoteText"/>
      </w:pPr>
      <w:r>
        <w:rPr>
          <w:rStyle w:val="FootnoteReference"/>
        </w:rPr>
        <w:footnoteRef/>
      </w:r>
      <w:r w:rsidRPr="00857AA1">
        <w:tab/>
        <w:t>Άρθρο 67 παράγραφος 2 της σύμβασης.</w:t>
      </w:r>
    </w:p>
  </w:footnote>
  <w:footnote w:id="12">
    <w:p w:rsidR="00425494" w:rsidRPr="00857AA1" w:rsidRDefault="00425494" w:rsidP="00425494">
      <w:pPr>
        <w:pStyle w:val="FootnoteText"/>
      </w:pPr>
      <w:r>
        <w:rPr>
          <w:rStyle w:val="FootnoteReference"/>
        </w:rPr>
        <w:footnoteRef/>
      </w:r>
      <w:r w:rsidRPr="00857AA1">
        <w:tab/>
        <w:t>Οδηγία (ΕΕ) 2024/1385 του Ευρωπαϊκού Κοινοβουλίου και του Συμβουλίου, της 14ης Μαΐου 2024, για την καταπολέμηση της βίας κατά των γυναικών και της εξ οικείων βίας (ΕΕ</w:t>
      </w:r>
      <w:r>
        <w:t> L</w:t>
      </w:r>
      <w:r w:rsidRPr="00857AA1">
        <w:t>,</w:t>
      </w:r>
      <w:r>
        <w:t> </w:t>
      </w:r>
      <w:r w:rsidRPr="00857AA1">
        <w:t xml:space="preserve">2024/1385, </w:t>
      </w:r>
      <w:r>
        <w:t>ELI</w:t>
      </w:r>
      <w:r w:rsidRPr="00857AA1">
        <w:t>:</w:t>
      </w:r>
      <w:r>
        <w:rPr>
          <w:i/>
        </w:rPr>
        <w:t> </w:t>
      </w:r>
      <w:hyperlink r:id="rId4" w:tgtFrame="_blank" w:tooltip="Παρέχει πρόσβαση στο έγγραφο μέσω του URI του ELI." w:history="1">
        <w:r>
          <w:rPr>
            <w:rStyle w:val="Hyperlink"/>
            <w:i/>
          </w:rPr>
          <w:t>http</w:t>
        </w:r>
        <w:r w:rsidRPr="00857AA1">
          <w:rPr>
            <w:rStyle w:val="Hyperlink"/>
            <w:i/>
          </w:rPr>
          <w:t>://</w:t>
        </w:r>
        <w:r>
          <w:rPr>
            <w:rStyle w:val="Hyperlink"/>
            <w:i/>
          </w:rPr>
          <w:t>data</w:t>
        </w:r>
        <w:r w:rsidRPr="00857AA1">
          <w:rPr>
            <w:rStyle w:val="Hyperlink"/>
            <w:i/>
          </w:rPr>
          <w:t>.</w:t>
        </w:r>
        <w:r>
          <w:rPr>
            <w:rStyle w:val="Hyperlink"/>
            <w:i/>
          </w:rPr>
          <w:t>europa</w:t>
        </w:r>
        <w:r w:rsidRPr="00857AA1">
          <w:rPr>
            <w:rStyle w:val="Hyperlink"/>
            <w:i/>
          </w:rPr>
          <w:t>.</w:t>
        </w:r>
        <w:r>
          <w:rPr>
            <w:rStyle w:val="Hyperlink"/>
            <w:i/>
          </w:rPr>
          <w:t>eu</w:t>
        </w:r>
        <w:r w:rsidRPr="00857AA1">
          <w:rPr>
            <w:rStyle w:val="Hyperlink"/>
            <w:i/>
          </w:rPr>
          <w:t>/</w:t>
        </w:r>
        <w:r>
          <w:rPr>
            <w:rStyle w:val="Hyperlink"/>
            <w:i/>
          </w:rPr>
          <w:t>eli</w:t>
        </w:r>
        <w:r w:rsidRPr="00857AA1">
          <w:rPr>
            <w:rStyle w:val="Hyperlink"/>
            <w:i/>
          </w:rPr>
          <w:t>/</w:t>
        </w:r>
        <w:r>
          <w:rPr>
            <w:rStyle w:val="Hyperlink"/>
            <w:i/>
          </w:rPr>
          <w:t>dir</w:t>
        </w:r>
        <w:r w:rsidRPr="00857AA1">
          <w:rPr>
            <w:rStyle w:val="Hyperlink"/>
            <w:i/>
          </w:rPr>
          <w:t>/2024/1385/</w:t>
        </w:r>
        <w:r>
          <w:rPr>
            <w:rStyle w:val="Hyperlink"/>
            <w:i/>
          </w:rPr>
          <w:t>oj</w:t>
        </w:r>
      </w:hyperlink>
      <w:r w:rsidRPr="00857AA1">
        <w:t>).</w:t>
      </w:r>
    </w:p>
  </w:footnote>
  <w:footnote w:id="13">
    <w:p w:rsidR="00425494" w:rsidRPr="00857AA1" w:rsidRDefault="00425494" w:rsidP="00425494">
      <w:pPr>
        <w:pStyle w:val="FootnoteText"/>
      </w:pPr>
      <w:r>
        <w:rPr>
          <w:rStyle w:val="FootnoteReference"/>
        </w:rPr>
        <w:footnoteRef/>
      </w:r>
      <w:r w:rsidRPr="00857AA1">
        <w:tab/>
        <w:t xml:space="preserve">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 (ΕΕ </w:t>
      </w:r>
      <w:r>
        <w:t>L</w:t>
      </w:r>
      <w:r w:rsidRPr="00857AA1">
        <w:t xml:space="preserve"> 315, </w:t>
      </w:r>
      <w:r>
        <w:t>ELI</w:t>
      </w:r>
      <w:r w:rsidRPr="00857AA1">
        <w:t xml:space="preserve">: </w:t>
      </w:r>
      <w:hyperlink r:id="rId5"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dir</w:t>
        </w:r>
        <w:r w:rsidRPr="00857AA1">
          <w:rPr>
            <w:rStyle w:val="Hyperlink"/>
          </w:rPr>
          <w:t>/2012/29/</w:t>
        </w:r>
        <w:r>
          <w:rPr>
            <w:rStyle w:val="Hyperlink"/>
          </w:rPr>
          <w:t>oj</w:t>
        </w:r>
      </w:hyperlink>
      <w:r w:rsidRPr="00857AA1">
        <w:t>).</w:t>
      </w:r>
    </w:p>
  </w:footnote>
  <w:footnote w:id="14">
    <w:p w:rsidR="00425494" w:rsidRPr="00857AA1" w:rsidRDefault="00425494" w:rsidP="00425494">
      <w:pPr>
        <w:pStyle w:val="FootnoteText"/>
      </w:pPr>
      <w:r>
        <w:rPr>
          <w:rStyle w:val="FootnoteReference"/>
        </w:rPr>
        <w:footnoteRef/>
      </w:r>
      <w:r w:rsidRPr="00857AA1">
        <w:tab/>
        <w:t>Κανονισμός (ΕΕ)</w:t>
      </w:r>
      <w:r>
        <w:t> </w:t>
      </w:r>
      <w:r w:rsidRPr="00857AA1">
        <w:t>2024/1348 του Ευρωπαϊκού Κοινοβουλίου και του Συμβουλίου, της 14ης</w:t>
      </w:r>
      <w:r>
        <w:t> </w:t>
      </w:r>
      <w:r w:rsidRPr="00857AA1">
        <w:t>Μαΐου</w:t>
      </w:r>
      <w:r>
        <w:t> </w:t>
      </w:r>
      <w:r w:rsidRPr="00857AA1">
        <w:t>2024, για τη θέσπιση κοινής διαδικασίας διεθνούς προστασίας στην Ένωση και την κατάργηση της οδηγίας 2013/32/ΕΕ (</w:t>
      </w:r>
      <w:r>
        <w:t>EE L</w:t>
      </w:r>
      <w:r w:rsidRPr="00857AA1">
        <w:t xml:space="preserve">, 2024/1348, </w:t>
      </w:r>
      <w:r>
        <w:t>ELI</w:t>
      </w:r>
      <w:r w:rsidRPr="00857AA1">
        <w:t>:</w:t>
      </w:r>
      <w:r w:rsidRPr="00857AA1">
        <w:rPr>
          <w:i/>
        </w:rPr>
        <w:t xml:space="preserve"> </w:t>
      </w:r>
      <w:hyperlink r:id="rId6" w:tgtFrame="_blank" w:tooltip="Παρέχει πρόσβαση στο έγγραφο μέσω του URI του ELI." w:history="1">
        <w:r>
          <w:rPr>
            <w:rStyle w:val="Hyperlink"/>
            <w:i/>
          </w:rPr>
          <w:t>http</w:t>
        </w:r>
        <w:r w:rsidRPr="00857AA1">
          <w:rPr>
            <w:rStyle w:val="Hyperlink"/>
            <w:i/>
          </w:rPr>
          <w:t>://</w:t>
        </w:r>
        <w:r>
          <w:rPr>
            <w:rStyle w:val="Hyperlink"/>
            <w:i/>
          </w:rPr>
          <w:t>data</w:t>
        </w:r>
        <w:r w:rsidRPr="00857AA1">
          <w:rPr>
            <w:rStyle w:val="Hyperlink"/>
            <w:i/>
          </w:rPr>
          <w:t>.</w:t>
        </w:r>
        <w:r>
          <w:rPr>
            <w:rStyle w:val="Hyperlink"/>
            <w:i/>
          </w:rPr>
          <w:t>europa</w:t>
        </w:r>
        <w:r w:rsidRPr="00857AA1">
          <w:rPr>
            <w:rStyle w:val="Hyperlink"/>
            <w:i/>
          </w:rPr>
          <w:t>.</w:t>
        </w:r>
        <w:r>
          <w:rPr>
            <w:rStyle w:val="Hyperlink"/>
            <w:i/>
          </w:rPr>
          <w:t>eu</w:t>
        </w:r>
        <w:r w:rsidRPr="00857AA1">
          <w:rPr>
            <w:rStyle w:val="Hyperlink"/>
            <w:i/>
          </w:rPr>
          <w:t>/</w:t>
        </w:r>
        <w:r>
          <w:rPr>
            <w:rStyle w:val="Hyperlink"/>
            <w:i/>
          </w:rPr>
          <w:t>eli</w:t>
        </w:r>
        <w:r w:rsidRPr="00857AA1">
          <w:rPr>
            <w:rStyle w:val="Hyperlink"/>
            <w:i/>
          </w:rPr>
          <w:t>/</w:t>
        </w:r>
        <w:r>
          <w:rPr>
            <w:rStyle w:val="Hyperlink"/>
            <w:i/>
          </w:rPr>
          <w:t>reg</w:t>
        </w:r>
        <w:r w:rsidRPr="00857AA1">
          <w:rPr>
            <w:rStyle w:val="Hyperlink"/>
            <w:i/>
          </w:rPr>
          <w:t>/2024/1348/</w:t>
        </w:r>
        <w:r>
          <w:rPr>
            <w:rStyle w:val="Hyperlink"/>
            <w:i/>
          </w:rPr>
          <w:t>oj</w:t>
        </w:r>
      </w:hyperlink>
      <w:r w:rsidRPr="00857AA1">
        <w:t>).</w:t>
      </w:r>
    </w:p>
  </w:footnote>
  <w:footnote w:id="15">
    <w:p w:rsidR="00425494" w:rsidRPr="00857AA1" w:rsidRDefault="00425494" w:rsidP="00425494">
      <w:pPr>
        <w:pStyle w:val="FootnoteText"/>
      </w:pPr>
      <w:r>
        <w:rPr>
          <w:rStyle w:val="FootnoteReference"/>
        </w:rPr>
        <w:footnoteRef/>
      </w:r>
      <w:r w:rsidRPr="00857AA1">
        <w:tab/>
        <w:t>Οδηγία (ΕΕ) 2024/1346 του Ευρωπαϊκού Κοινοβουλίου και του Συμβουλίου, της 14ης</w:t>
      </w:r>
      <w:r>
        <w:t> </w:t>
      </w:r>
      <w:r w:rsidRPr="00857AA1">
        <w:t>Μαΐου 2024, σχετικά με τις απαιτήσεις για την υποδοχή των αιτούντων διεθνή προστασία (ΕΕ</w:t>
      </w:r>
      <w:r>
        <w:t> L</w:t>
      </w:r>
      <w:r w:rsidRPr="00857AA1">
        <w:t xml:space="preserve">, 2024/1346, </w:t>
      </w:r>
      <w:r>
        <w:t>ELI</w:t>
      </w:r>
      <w:r w:rsidRPr="00857AA1">
        <w:t xml:space="preserve">: </w:t>
      </w:r>
      <w:r>
        <w:t>https</w:t>
      </w:r>
      <w:r w:rsidRPr="00857AA1">
        <w:t>://</w:t>
      </w:r>
      <w:r>
        <w:t>eur</w:t>
      </w:r>
      <w:r w:rsidRPr="00857AA1">
        <w:t>-</w:t>
      </w:r>
      <w:r>
        <w:t>lex</w:t>
      </w:r>
      <w:r w:rsidRPr="00857AA1">
        <w:t>.</w:t>
      </w:r>
      <w:r>
        <w:t>europa</w:t>
      </w:r>
      <w:r w:rsidRPr="00857AA1">
        <w:t>.</w:t>
      </w:r>
      <w:r>
        <w:t>eu</w:t>
      </w:r>
      <w:r w:rsidRPr="00857AA1">
        <w:t>/</w:t>
      </w:r>
      <w:r>
        <w:t>eli</w:t>
      </w:r>
      <w:r w:rsidRPr="00857AA1">
        <w:t>/</w:t>
      </w:r>
      <w:r>
        <w:t>dir</w:t>
      </w:r>
      <w:r w:rsidRPr="00857AA1">
        <w:t>/2024/1346/</w:t>
      </w:r>
      <w:r>
        <w:t>oj</w:t>
      </w:r>
      <w:r w:rsidRPr="00857AA1">
        <w:t>).</w:t>
      </w:r>
    </w:p>
  </w:footnote>
  <w:footnote w:id="16">
    <w:p w:rsidR="006F40B7" w:rsidRPr="00857AA1" w:rsidRDefault="006F40B7">
      <w:pPr>
        <w:pStyle w:val="FootnoteText"/>
      </w:pPr>
      <w:r>
        <w:rPr>
          <w:rStyle w:val="FootnoteReference"/>
        </w:rPr>
        <w:footnoteRef/>
      </w:r>
      <w:r w:rsidRPr="00857AA1">
        <w:tab/>
        <w:t>Οδηγία 2003/86/ΕΚ του Συμβουλίου, της 22ας</w:t>
      </w:r>
      <w:r>
        <w:t> </w:t>
      </w:r>
      <w:r w:rsidRPr="00857AA1">
        <w:t xml:space="preserve">Σεπτεμβρίου 2003, σχετικά με το δικαίωμα οικογενειακής επανένωσης (ΕΕ </w:t>
      </w:r>
      <w:r>
        <w:t>L </w:t>
      </w:r>
      <w:r w:rsidRPr="00857AA1">
        <w:t xml:space="preserve">251, </w:t>
      </w:r>
      <w:r>
        <w:t>ELI</w:t>
      </w:r>
      <w:r w:rsidRPr="00857AA1">
        <w:t xml:space="preserve">: </w:t>
      </w:r>
      <w:hyperlink r:id="rId7"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dir</w:t>
        </w:r>
        <w:r w:rsidRPr="00857AA1">
          <w:rPr>
            <w:rStyle w:val="Hyperlink"/>
          </w:rPr>
          <w:t>/2003/86/</w:t>
        </w:r>
        <w:r>
          <w:rPr>
            <w:rStyle w:val="Hyperlink"/>
          </w:rPr>
          <w:t>oj</w:t>
        </w:r>
      </w:hyperlink>
      <w:r w:rsidRPr="00857AA1">
        <w:t>).</w:t>
      </w:r>
    </w:p>
  </w:footnote>
  <w:footnote w:id="17">
    <w:p w:rsidR="00CA0046" w:rsidRPr="00857AA1" w:rsidRDefault="00CA0046" w:rsidP="009B37BC">
      <w:pPr>
        <w:pStyle w:val="FootnoteText"/>
      </w:pPr>
      <w:r>
        <w:rPr>
          <w:rStyle w:val="FootnoteReference"/>
        </w:rPr>
        <w:footnoteRef/>
      </w:r>
      <w:r w:rsidRPr="00857AA1">
        <w:tab/>
        <w:t xml:space="preserve">Απόφαση του Δικαστηρίου, της 7ης Οκτωβρίου 2014, Γερμανία κατά Συμβουλίου, </w:t>
      </w:r>
      <w:r>
        <w:t>C</w:t>
      </w:r>
      <w:r w:rsidRPr="00857AA1">
        <w:t xml:space="preserve">-399/12, </w:t>
      </w:r>
      <w:r>
        <w:t>ECLI</w:t>
      </w:r>
      <w:r w:rsidRPr="00857AA1">
        <w:t>:</w:t>
      </w:r>
      <w:r>
        <w:t>EU</w:t>
      </w:r>
      <w:r w:rsidRPr="00857AA1">
        <w:t>:</w:t>
      </w:r>
      <w:r>
        <w:t>C</w:t>
      </w:r>
      <w:r w:rsidRPr="00857AA1">
        <w:t>:2014:2258, σκέψεις 61 έως 64.</w:t>
      </w:r>
    </w:p>
  </w:footnote>
  <w:footnote w:id="18">
    <w:p w:rsidR="004910EE" w:rsidRPr="00857AA1" w:rsidRDefault="004910EE" w:rsidP="004910EE">
      <w:pPr>
        <w:pStyle w:val="FootnoteText"/>
      </w:pPr>
      <w:r>
        <w:rPr>
          <w:rStyle w:val="FootnoteReference"/>
        </w:rPr>
        <w:footnoteRef/>
      </w:r>
      <w:r w:rsidRPr="00857AA1">
        <w:tab/>
        <w:t>Απόφαση (ΕΕ) 2023/1075 του Συμβουλίου, της 1ης</w:t>
      </w:r>
      <w:r>
        <w:t> </w:t>
      </w:r>
      <w:r w:rsidRPr="00857AA1">
        <w:t xml:space="preserve">Ιουνίου 2023, σχετικά με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τα θεσμικά όργανα και τη δημόσια διοίκηση της Ένωσης (ΕΕ </w:t>
      </w:r>
      <w:r>
        <w:t>L </w:t>
      </w:r>
      <w:r w:rsidRPr="00857AA1">
        <w:t>143</w:t>
      </w:r>
      <w:r>
        <w:t> I </w:t>
      </w:r>
      <w:r w:rsidRPr="00857AA1">
        <w:t>της 2.6.2023, σ.</w:t>
      </w:r>
      <w:r>
        <w:t> </w:t>
      </w:r>
      <w:r w:rsidRPr="00857AA1">
        <w:t xml:space="preserve">1, </w:t>
      </w:r>
      <w:r>
        <w:t>ELI</w:t>
      </w:r>
      <w:r w:rsidRPr="00857AA1">
        <w:t xml:space="preserve">: </w:t>
      </w:r>
      <w:r>
        <w:t>http</w:t>
      </w:r>
      <w:r w:rsidRPr="00857AA1">
        <w:t>://</w:t>
      </w:r>
      <w:r>
        <w:t>data</w:t>
      </w:r>
      <w:r w:rsidRPr="00857AA1">
        <w:t>.</w:t>
      </w:r>
      <w:r>
        <w:t>europa</w:t>
      </w:r>
      <w:r w:rsidRPr="00857AA1">
        <w:t>.</w:t>
      </w:r>
      <w:r>
        <w:t>eu</w:t>
      </w:r>
      <w:r w:rsidRPr="00857AA1">
        <w:t>/</w:t>
      </w:r>
      <w:r>
        <w:t>eli</w:t>
      </w:r>
      <w:r w:rsidRPr="00857AA1">
        <w:t>/</w:t>
      </w:r>
      <w:r>
        <w:t>dec</w:t>
      </w:r>
      <w:r w:rsidRPr="00857AA1">
        <w:t>/2023/1075/</w:t>
      </w:r>
      <w:r>
        <w:t>oj</w:t>
      </w:r>
      <w:r w:rsidRPr="00857AA1">
        <w:t>).</w:t>
      </w:r>
    </w:p>
  </w:footnote>
  <w:footnote w:id="19">
    <w:p w:rsidR="004910EE" w:rsidRPr="00857AA1" w:rsidRDefault="004910EE" w:rsidP="004910EE">
      <w:pPr>
        <w:pStyle w:val="FootnoteText"/>
      </w:pPr>
      <w:r>
        <w:rPr>
          <w:rStyle w:val="FootnoteReference"/>
        </w:rPr>
        <w:footnoteRef/>
      </w:r>
      <w:r w:rsidRPr="00857AA1">
        <w:tab/>
        <w:t>Απόφαση (ΕΕ) 2023/1076 του Συμβουλίου, της 1ης</w:t>
      </w:r>
      <w:r>
        <w:t> </w:t>
      </w:r>
      <w:r w:rsidRPr="00857AA1">
        <w:t xml:space="preserve">Ιουνίου 2023, για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θέματα που άπτονται της δικαστικής συνεργασίας σε ποινικές υποθέσεις και όσον αφορά το άσυλο και τη μη επαναπροώθηση (ΕΕ </w:t>
      </w:r>
      <w:r>
        <w:t>L </w:t>
      </w:r>
      <w:r w:rsidRPr="00857AA1">
        <w:t>143</w:t>
      </w:r>
      <w:r>
        <w:t> I </w:t>
      </w:r>
      <w:r w:rsidRPr="00857AA1">
        <w:t>της 2.6.2023, σ.</w:t>
      </w:r>
      <w:r>
        <w:t> </w:t>
      </w:r>
      <w:r w:rsidRPr="00857AA1">
        <w:t xml:space="preserve">4, </w:t>
      </w:r>
      <w:r>
        <w:t>ELI</w:t>
      </w:r>
      <w:r w:rsidRPr="00857AA1">
        <w:t xml:space="preserve">: </w:t>
      </w:r>
      <w:r>
        <w:t>http</w:t>
      </w:r>
      <w:r w:rsidRPr="00857AA1">
        <w:t>://</w:t>
      </w:r>
      <w:r>
        <w:t>data</w:t>
      </w:r>
      <w:r w:rsidRPr="00857AA1">
        <w:t>.</w:t>
      </w:r>
      <w:r>
        <w:t>europa</w:t>
      </w:r>
      <w:r w:rsidRPr="00857AA1">
        <w:t>.</w:t>
      </w:r>
      <w:r>
        <w:t>eu</w:t>
      </w:r>
      <w:r w:rsidRPr="00857AA1">
        <w:t>/</w:t>
      </w:r>
      <w:r>
        <w:t>eli</w:t>
      </w:r>
      <w:r w:rsidRPr="00857AA1">
        <w:t>/</w:t>
      </w:r>
      <w:r>
        <w:t>dec</w:t>
      </w:r>
      <w:r w:rsidRPr="00857AA1">
        <w:t>/2023/1076/</w:t>
      </w:r>
      <w:r>
        <w:t>oj</w:t>
      </w:r>
      <w:r w:rsidRPr="00857AA1">
        <w:t>).</w:t>
      </w:r>
    </w:p>
  </w:footnote>
  <w:footnote w:id="20">
    <w:p w:rsidR="004910EE" w:rsidRPr="00857AA1" w:rsidRDefault="004910EE" w:rsidP="004910EE">
      <w:pPr>
        <w:pStyle w:val="FootnoteText"/>
      </w:pPr>
      <w:r>
        <w:rPr>
          <w:rStyle w:val="FootnoteReference"/>
        </w:rPr>
        <w:footnoteRef/>
      </w:r>
      <w:r w:rsidRPr="00857AA1">
        <w:tab/>
        <w:t>Απόφαση (ΕΕ) 2023/1075 του Συμβουλίου, της 1ης</w:t>
      </w:r>
      <w:r>
        <w:t> </w:t>
      </w:r>
      <w:r w:rsidRPr="00857AA1">
        <w:t xml:space="preserve">Ιουνίου 2023, σχετικά με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τα θεσμικά όργανα και τη δημόσια διοίκηση της Ένωσης (ΕΕ </w:t>
      </w:r>
      <w:r>
        <w:t>L </w:t>
      </w:r>
      <w:r w:rsidRPr="00857AA1">
        <w:t>143</w:t>
      </w:r>
      <w:r>
        <w:t> I </w:t>
      </w:r>
      <w:r w:rsidRPr="00857AA1">
        <w:t>της 2.6.2023, σ.</w:t>
      </w:r>
      <w:r>
        <w:t> </w:t>
      </w:r>
      <w:r w:rsidRPr="00857AA1">
        <w:t xml:space="preserve">1), </w:t>
      </w:r>
      <w:hyperlink r:id="rId8" w:history="1">
        <w:r w:rsidRPr="00857AA1">
          <w:rPr>
            <w:rStyle w:val="Hyperlink"/>
          </w:rPr>
          <w:t xml:space="preserve">Απόφαση 2023/1075 - </w:t>
        </w:r>
        <w:r>
          <w:rPr>
            <w:rStyle w:val="Hyperlink"/>
          </w:rPr>
          <w:t>EL</w:t>
        </w:r>
        <w:r w:rsidRPr="00857AA1">
          <w:rPr>
            <w:rStyle w:val="Hyperlink"/>
          </w:rPr>
          <w:t xml:space="preserve"> - </w:t>
        </w:r>
        <w:r>
          <w:rPr>
            <w:rStyle w:val="Hyperlink"/>
          </w:rPr>
          <w:t>EUR</w:t>
        </w:r>
        <w:r w:rsidRPr="00857AA1">
          <w:rPr>
            <w:rStyle w:val="Hyperlink"/>
          </w:rPr>
          <w:t>-</w:t>
        </w:r>
        <w:r>
          <w:rPr>
            <w:rStyle w:val="Hyperlink"/>
          </w:rPr>
          <w:t>Lex</w:t>
        </w:r>
      </w:hyperlink>
      <w:r w:rsidRPr="00857AA1">
        <w:t>.</w:t>
      </w:r>
    </w:p>
  </w:footnote>
  <w:footnote w:id="21">
    <w:p w:rsidR="004910EE" w:rsidRPr="00857AA1" w:rsidRDefault="004910EE" w:rsidP="004910EE">
      <w:pPr>
        <w:pStyle w:val="FootnoteText"/>
      </w:pPr>
      <w:r>
        <w:rPr>
          <w:rStyle w:val="FootnoteReference"/>
        </w:rPr>
        <w:footnoteRef/>
      </w:r>
      <w:r w:rsidRPr="00857AA1">
        <w:tab/>
        <w:t>Απόφαση (ΕΕ) 2023/1076 του Συμβουλίου, της 1ης</w:t>
      </w:r>
      <w:r>
        <w:t> </w:t>
      </w:r>
      <w:r w:rsidRPr="00857AA1">
        <w:t xml:space="preserve">Ιουνίου 2023, για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θέματα που άπτονται της δικαστικής συνεργασίας σε ποινικές υποθέσεις και όσον αφορά το άσυλο και τη μη επαναπροώθηση (ΕΕ </w:t>
      </w:r>
      <w:r>
        <w:t>L </w:t>
      </w:r>
      <w:r w:rsidRPr="00857AA1">
        <w:t>143</w:t>
      </w:r>
      <w:r>
        <w:t> I </w:t>
      </w:r>
      <w:r w:rsidRPr="00857AA1">
        <w:t>της 2.6.2023, σ.</w:t>
      </w:r>
      <w:r>
        <w:t> </w:t>
      </w:r>
      <w:r w:rsidRPr="00857AA1">
        <w:t xml:space="preserve">1076, σ. 4), </w:t>
      </w:r>
      <w:hyperlink r:id="rId9" w:history="1">
        <w:r w:rsidRPr="00857AA1">
          <w:rPr>
            <w:rStyle w:val="Hyperlink"/>
          </w:rPr>
          <w:t xml:space="preserve">Απόφαση 2023/1076 - </w:t>
        </w:r>
        <w:r>
          <w:rPr>
            <w:rStyle w:val="Hyperlink"/>
          </w:rPr>
          <w:t>EL</w:t>
        </w:r>
        <w:r w:rsidRPr="00857AA1">
          <w:rPr>
            <w:rStyle w:val="Hyperlink"/>
          </w:rPr>
          <w:t xml:space="preserve"> - </w:t>
        </w:r>
        <w:r>
          <w:rPr>
            <w:rStyle w:val="Hyperlink"/>
          </w:rPr>
          <w:t>EUR</w:t>
        </w:r>
        <w:r w:rsidRPr="00857AA1">
          <w:rPr>
            <w:rStyle w:val="Hyperlink"/>
          </w:rPr>
          <w:t>-</w:t>
        </w:r>
        <w:r>
          <w:rPr>
            <w:rStyle w:val="Hyperlink"/>
          </w:rPr>
          <w:t>Lex</w:t>
        </w:r>
      </w:hyperlink>
      <w:r w:rsidRPr="00857AA1">
        <w:t>.</w:t>
      </w:r>
    </w:p>
  </w:footnote>
  <w:footnote w:id="22">
    <w:p w:rsidR="004910EE" w:rsidRPr="00857AA1" w:rsidRDefault="004910EE" w:rsidP="004910EE">
      <w:pPr>
        <w:pStyle w:val="FootnoteText"/>
      </w:pPr>
      <w:r>
        <w:rPr>
          <w:rStyle w:val="FootnoteReference"/>
        </w:rPr>
        <w:footnoteRef/>
      </w:r>
      <w:r w:rsidRPr="00857AA1">
        <w:tab/>
      </w:r>
      <w:bookmarkStart w:id="9" w:name="_Hlk166517794"/>
      <w:r w:rsidRPr="00857AA1">
        <w:t>Οδηγία (ΕΕ)</w:t>
      </w:r>
      <w:r>
        <w:t> </w:t>
      </w:r>
      <w:r w:rsidRPr="00857AA1">
        <w:t>2024/1385 του Ευρωπαϊκού Κοινοβουλίου και του Συμβουλίου, της 14ης</w:t>
      </w:r>
      <w:r>
        <w:t> </w:t>
      </w:r>
      <w:r w:rsidRPr="00857AA1">
        <w:t>Μαΐου 2024, για την καταπολέμηση της βίας κατά των γυναικών και της εξ οικείων βίας (ΕΕ</w:t>
      </w:r>
      <w:r>
        <w:t> L</w:t>
      </w:r>
      <w:r w:rsidRPr="00857AA1">
        <w:t xml:space="preserve">, 2024/1385, 24.5.2024, </w:t>
      </w:r>
      <w:r>
        <w:t>ELI</w:t>
      </w:r>
      <w:r w:rsidRPr="00857AA1">
        <w:t>:</w:t>
      </w:r>
      <w:r>
        <w:t> </w:t>
      </w:r>
      <w:hyperlink r:id="rId10" w:tgtFrame="_blank" w:tooltip="Παρέχει πρόσβαση στο έγγραφο μέσω του URI του ELI."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dir</w:t>
        </w:r>
        <w:r w:rsidRPr="00857AA1">
          <w:rPr>
            <w:rStyle w:val="Hyperlink"/>
          </w:rPr>
          <w:t>/2024/1385/</w:t>
        </w:r>
        <w:r>
          <w:rPr>
            <w:rStyle w:val="Hyperlink"/>
          </w:rPr>
          <w:t>oj</w:t>
        </w:r>
        <w:r w:rsidRPr="00857AA1">
          <w:rPr>
            <w:rStyle w:val="Hyperlink"/>
          </w:rPr>
          <w:t>)</w:t>
        </w:r>
      </w:hyperlink>
      <w:r w:rsidRPr="00857AA1">
        <w:t>.</w:t>
      </w:r>
      <w:bookmarkEnd w:id="9"/>
    </w:p>
  </w:footnote>
  <w:footnote w:id="23">
    <w:p w:rsidR="004910EE" w:rsidRPr="00857AA1" w:rsidRDefault="004910EE" w:rsidP="004910EE">
      <w:pPr>
        <w:pStyle w:val="FootnoteText"/>
      </w:pPr>
      <w:r>
        <w:rPr>
          <w:rStyle w:val="FootnoteReference"/>
        </w:rPr>
        <w:footnoteRef/>
      </w:r>
      <w:r w:rsidRPr="00857AA1">
        <w:tab/>
        <w:t>Οδηγία</w:t>
      </w:r>
      <w:r>
        <w:t> </w:t>
      </w:r>
      <w:r w:rsidRPr="00857AA1">
        <w:t>2012/29/ΕΕ του Ευρωπαϊκού Κοινοβουλίου και του Συμβουλίου, της 25ης</w:t>
      </w:r>
      <w:r>
        <w:t> </w:t>
      </w:r>
      <w:r w:rsidRPr="00857AA1">
        <w:t>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w:t>
      </w:r>
      <w:r>
        <w:t> </w:t>
      </w:r>
      <w:r w:rsidRPr="00857AA1">
        <w:t>2001/220/ΔΕΥ του Συμβουλίου (ΕΕ</w:t>
      </w:r>
      <w:r>
        <w:t> L </w:t>
      </w:r>
      <w:r w:rsidRPr="00857AA1">
        <w:t>315 της 14.11.2012, σ.</w:t>
      </w:r>
      <w:r>
        <w:t> </w:t>
      </w:r>
      <w:r w:rsidRPr="00857AA1">
        <w:t xml:space="preserve">57, </w:t>
      </w:r>
      <w:r>
        <w:t>ELI</w:t>
      </w:r>
      <w:r w:rsidRPr="00857AA1">
        <w:t xml:space="preserve">: </w:t>
      </w:r>
      <w:r>
        <w:t>http</w:t>
      </w:r>
      <w:r w:rsidRPr="00857AA1">
        <w:t>://</w:t>
      </w:r>
      <w:r>
        <w:t>data</w:t>
      </w:r>
      <w:r w:rsidRPr="00857AA1">
        <w:t>.</w:t>
      </w:r>
      <w:r>
        <w:t>europa</w:t>
      </w:r>
      <w:r w:rsidRPr="00857AA1">
        <w:t>.</w:t>
      </w:r>
      <w:r>
        <w:t>eu</w:t>
      </w:r>
      <w:r w:rsidRPr="00857AA1">
        <w:t>/</w:t>
      </w:r>
      <w:r>
        <w:t>eli</w:t>
      </w:r>
      <w:r w:rsidRPr="00857AA1">
        <w:t>/</w:t>
      </w:r>
      <w:r>
        <w:t>dir</w:t>
      </w:r>
      <w:r w:rsidRPr="00857AA1">
        <w:t>/2012/29/</w:t>
      </w:r>
      <w:r>
        <w:t>oj</w:t>
      </w:r>
      <w:r w:rsidRPr="00857AA1">
        <w:t>).</w:t>
      </w:r>
    </w:p>
  </w:footnote>
  <w:footnote w:id="24">
    <w:p w:rsidR="004910EE" w:rsidRPr="00857AA1" w:rsidRDefault="004910EE" w:rsidP="002861A5">
      <w:pPr>
        <w:pStyle w:val="FootnoteText"/>
      </w:pPr>
      <w:r>
        <w:rPr>
          <w:rStyle w:val="FootnoteReference"/>
        </w:rPr>
        <w:footnoteRef/>
      </w:r>
      <w:r w:rsidRPr="00857AA1">
        <w:tab/>
        <w:t>Κανονισμός (ΕΕ)</w:t>
      </w:r>
      <w:r>
        <w:t> </w:t>
      </w:r>
      <w:r w:rsidRPr="00857AA1">
        <w:t>2024/1348 του Ευρωπαϊκού Κοινοβουλίου και του Συμβουλίου, της 14ης</w:t>
      </w:r>
      <w:r>
        <w:t> </w:t>
      </w:r>
      <w:r w:rsidRPr="00857AA1">
        <w:t>Μαΐου</w:t>
      </w:r>
      <w:r>
        <w:t> </w:t>
      </w:r>
      <w:r w:rsidRPr="00857AA1">
        <w:t>2024, για τη θέσπιση κοινής διαδικασίας διεθνούς προστασίας στην Ένωση και την κατάργηση της οδηγίας 2013/32/ΕΕ (</w:t>
      </w:r>
      <w:r>
        <w:t>EE L</w:t>
      </w:r>
      <w:r w:rsidRPr="00857AA1">
        <w:t xml:space="preserve">, 2024/1348, </w:t>
      </w:r>
      <w:r>
        <w:t>ELI</w:t>
      </w:r>
      <w:r w:rsidRPr="00857AA1">
        <w:t xml:space="preserve">: </w:t>
      </w:r>
      <w:hyperlink r:id="rId11" w:tgtFrame="_blank" w:tooltip="Παρέχει πρόσβαση στο έγγραφο μέσω του URI του ELI."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reg</w:t>
        </w:r>
        <w:r w:rsidRPr="00857AA1">
          <w:rPr>
            <w:rStyle w:val="Hyperlink"/>
          </w:rPr>
          <w:t>/2024/1348/</w:t>
        </w:r>
        <w:r>
          <w:rPr>
            <w:rStyle w:val="Hyperlink"/>
          </w:rPr>
          <w:t>oj</w:t>
        </w:r>
      </w:hyperlink>
      <w:r w:rsidRPr="00857AA1">
        <w:t>).</w:t>
      </w:r>
    </w:p>
  </w:footnote>
  <w:footnote w:id="25">
    <w:p w:rsidR="004910EE" w:rsidRPr="00857AA1" w:rsidRDefault="004910EE" w:rsidP="00E30690">
      <w:pPr>
        <w:pStyle w:val="FootnoteText"/>
      </w:pPr>
      <w:r>
        <w:rPr>
          <w:rStyle w:val="FootnoteReference"/>
        </w:rPr>
        <w:footnoteRef/>
      </w:r>
      <w:r w:rsidRPr="00857AA1">
        <w:tab/>
        <w:t>Οδηγία (ΕΕ) 2024/1346 του Ευρωπαϊκού Κοινοβουλίου και του Συμβουλίου, της 14ης</w:t>
      </w:r>
      <w:r>
        <w:t> </w:t>
      </w:r>
      <w:r w:rsidRPr="00857AA1">
        <w:t>Μαΐου 2024, σχετικά με τις απαιτήσεις για την υποδοχή των αιτούντων διεθνή προστασία (ΕΕ</w:t>
      </w:r>
      <w:r>
        <w:t> L</w:t>
      </w:r>
      <w:r w:rsidRPr="00857AA1">
        <w:t xml:space="preserve">, 2024/1346, </w:t>
      </w:r>
      <w:r>
        <w:t>ELI</w:t>
      </w:r>
      <w:r w:rsidRPr="00857AA1">
        <w:t xml:space="preserve">: </w:t>
      </w:r>
      <w:r>
        <w:t>http</w:t>
      </w:r>
      <w:r w:rsidRPr="00857AA1">
        <w:t>://</w:t>
      </w:r>
      <w:r>
        <w:t>data</w:t>
      </w:r>
      <w:r w:rsidRPr="00857AA1">
        <w:t>.</w:t>
      </w:r>
      <w:r>
        <w:t>europa</w:t>
      </w:r>
      <w:r w:rsidRPr="00857AA1">
        <w:t>.</w:t>
      </w:r>
      <w:r>
        <w:t>eu</w:t>
      </w:r>
      <w:r w:rsidRPr="00857AA1">
        <w:t>/</w:t>
      </w:r>
      <w:r>
        <w:t>eli</w:t>
      </w:r>
      <w:r w:rsidRPr="00857AA1">
        <w:t>/</w:t>
      </w:r>
      <w:r>
        <w:t>dir</w:t>
      </w:r>
      <w:r w:rsidRPr="00857AA1">
        <w:t>/2024/1346/</w:t>
      </w:r>
      <w:r>
        <w:t>oj</w:t>
      </w:r>
      <w:r w:rsidRPr="00857AA1">
        <w:t>).</w:t>
      </w:r>
    </w:p>
  </w:footnote>
  <w:footnote w:id="26">
    <w:p w:rsidR="0038302B" w:rsidRPr="00857AA1" w:rsidRDefault="0038302B">
      <w:pPr>
        <w:pStyle w:val="FootnoteText"/>
      </w:pPr>
      <w:r>
        <w:rPr>
          <w:rStyle w:val="FootnoteReference"/>
        </w:rPr>
        <w:footnoteRef/>
      </w:r>
      <w:r w:rsidRPr="00857AA1">
        <w:tab/>
        <w:t>Οδηγία 2003/86/ΕΚ του Συμβουλίου, της 22ας</w:t>
      </w:r>
      <w:r>
        <w:t> </w:t>
      </w:r>
      <w:r w:rsidRPr="00857AA1">
        <w:t xml:space="preserve">Σεπτεμβρίου 2003, σχετικά με το δικαίωμα οικογενειακής επανένωσης (ΕΕ </w:t>
      </w:r>
      <w:r>
        <w:t>L </w:t>
      </w:r>
      <w:r w:rsidRPr="00857AA1">
        <w:t>251 της 3.10.2003, σ.</w:t>
      </w:r>
      <w:r>
        <w:t> </w:t>
      </w:r>
      <w:r w:rsidRPr="00857AA1">
        <w:t xml:space="preserve">12, </w:t>
      </w:r>
      <w:r>
        <w:t>ELI</w:t>
      </w:r>
      <w:r w:rsidRPr="00857AA1">
        <w:t xml:space="preserve">: </w:t>
      </w:r>
      <w:hyperlink r:id="rId12" w:history="1">
        <w:r>
          <w:rPr>
            <w:rStyle w:val="Hyperlink"/>
          </w:rPr>
          <w:t>http</w:t>
        </w:r>
        <w:r w:rsidRPr="00857AA1">
          <w:rPr>
            <w:rStyle w:val="Hyperlink"/>
          </w:rPr>
          <w:t>://</w:t>
        </w:r>
        <w:r>
          <w:rPr>
            <w:rStyle w:val="Hyperlink"/>
          </w:rPr>
          <w:t>data</w:t>
        </w:r>
        <w:r w:rsidRPr="00857AA1">
          <w:rPr>
            <w:rStyle w:val="Hyperlink"/>
          </w:rPr>
          <w:t>.</w:t>
        </w:r>
        <w:r>
          <w:rPr>
            <w:rStyle w:val="Hyperlink"/>
          </w:rPr>
          <w:t>europa</w:t>
        </w:r>
        <w:r w:rsidRPr="00857AA1">
          <w:rPr>
            <w:rStyle w:val="Hyperlink"/>
          </w:rPr>
          <w:t>.</w:t>
        </w:r>
        <w:r>
          <w:rPr>
            <w:rStyle w:val="Hyperlink"/>
          </w:rPr>
          <w:t>eu</w:t>
        </w:r>
        <w:r w:rsidRPr="00857AA1">
          <w:rPr>
            <w:rStyle w:val="Hyperlink"/>
          </w:rPr>
          <w:t>/</w:t>
        </w:r>
        <w:r>
          <w:rPr>
            <w:rStyle w:val="Hyperlink"/>
          </w:rPr>
          <w:t>eli</w:t>
        </w:r>
        <w:r w:rsidRPr="00857AA1">
          <w:rPr>
            <w:rStyle w:val="Hyperlink"/>
          </w:rPr>
          <w:t>/</w:t>
        </w:r>
        <w:r>
          <w:rPr>
            <w:rStyle w:val="Hyperlink"/>
          </w:rPr>
          <w:t>dir</w:t>
        </w:r>
        <w:r w:rsidRPr="00857AA1">
          <w:rPr>
            <w:rStyle w:val="Hyperlink"/>
          </w:rPr>
          <w:t>/2003/86/</w:t>
        </w:r>
        <w:r>
          <w:rPr>
            <w:rStyle w:val="Hyperlink"/>
          </w:rPr>
          <w:t>oj</w:t>
        </w:r>
      </w:hyperlink>
      <w:r w:rsidRPr="00857AA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Default="00F34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DB" w:rsidRDefault="00F34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B2CA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3B864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F44A1F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538635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23 08:54: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09B6564-24C7-49B8-B536-3D07C2BFF7AD"/>
    <w:docVar w:name="LW_COVERPAGE_TYPE" w:val="1"/>
    <w:docVar w:name="LW_CreatedUtc" w:val="2025-04-16T14:07:37.9010800Z"/>
    <w:docVar w:name="LW_CROSSREFERENCE" w:val="&lt;UNUSED&gt;"/>
    <w:docVar w:name="LW_DocType" w:val="COM"/>
    <w:docVar w:name="LW_EMISSION" w:val="13.5.2025"/>
    <w:docVar w:name="LW_EMISSION_ISODATE" w:val="2025-05-13"/>
    <w:docVar w:name="LW_EMISSION_LOCATION" w:val="BRX"/>
    <w:docVar w:name="LW_EMISSION_PREFIX" w:val="\u914?\u961?\u965?\u958?\u941?\u955?\u955?\u949?\u962?,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I.NEW.CP" w:val="NLE"/>
    <w:docVar w:name="LW_REF.II.NEW.CP_NUMBER" w:val="0118"/>
    <w:docVar w:name="LW_REF.II.NEW.CP_YEAR" w:val="2025"/>
    <w:docVar w:name="LW_REF.INST.NEW" w:val="COM"/>
    <w:docVar w:name="LW_REF.INST.NEW_ADOPTED" w:val="final"/>
    <w:docVar w:name="LW_REF.INST.NEW_TEXT" w:val="(2025) 2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928?\u961?\u972?\u964?\u945?\u963?\u951?"/>
    <w:docVar w:name="LW_SUPERTITRE" w:val="&lt;UNUSED&gt;"/>
    <w:docVar w:name="LW_TITRE.OBJ.CP" w:val="\u963?\u967?\u949?\u964?\u953?\u954?\u940? \u956?\u949? \u964?\u951? \u952?\u941?\u963?\u951? \u960?\u959?\u965? \u960?\u961?\u941?\u960?\u949?\u953? \u957?\u945? \u955?\u951?\u966?\u952?\u949?\u943? \u949?\u958? \u959?\u957?\u972?\u956?\u945?\u964?\u959?\u962? \u964?\u951?\u962? \u917?\u965?\u961?\u969?\u960?\u945?\u970?\u954?\u942?\u962? \u904?\u957?\u969?\u963?\u951?\u962? \u963?\u964?\u951? 18\u951? \u963?\u965?\u957?\u949?\u948?\u961?\u943?\u945?\u963?\u951? \u964?\u951?\u962? \u949?\u960?\u953?\u964?\u961?\u959?\u960?\u942?\u962? \u964?\u969?\u957? \u956?\u949?\u961?\u974?\u957? \u964?\u951?\u962? \u963?\u973?\u956?\u946?\u945?\u963?\u951?\u962? \u964?\u959?\u965? \u931?\u965?\u956?\u946?\u959?\u965?\u955?\u943?\u959?\u965? \u964?\u951?\u962? \u917?\u965?\u961?\u974?\u960?\u951?\u962? \u947?\u953?\u945? \u964?\u951?\u957? \u960?\u961?\u972?\u955?\u951?\u968?\u951? \u954?\u945?\u953? \u964?\u951?\u957? \u954?\u945?\u964?\u945?\u960?\u959?\u955?\u941?\u956?\u951?\u963?\u951? \u964?\u951?\u962? \u946?\u943?\u945?\u962? \u954?\u945?\u964?\u940? \u964?\u969?\u957? \u947?\u965?\u957?\u945?\u953?\u954?\u974?\u957? \u954?\u945?\u953? \u964?\u951?\u962? \u949?\u957?\u948?\u959?\u959?\u953?\u954?\u959?\u947?\u949?\u957?\u949?\u953?\u945?\u954?\u942?\u962? \u946?\u943?\u945?\u962? \u969?\u962? \u960?\u961?\u959?\u962? \u964?\u951?\u957? \u941?\u954?\u948?\u959?\u963?\u951? \u963?\u965?\u963?\u964?\u940?\u963?\u949?\u969?\u957? \u954?\u945?\u953? \u963?\u965?\u956?\u960?\u949?\u961?\u945?\u963?\u956?\u940?\u964?\u969?\u957? \u960?\u959?\u965? \u945?\u960?\u949?\u965?\u952?\u973?\u957?\u959?\u957?\u964?\u945?\u953? \u963?\u949? 10 \u963?\u965?\u956?\u946?\u945?\u955?\u955?\u972?\u956?\u949?\u957?\u945? \u954?\u961?\u940?\u964?\u951? \u954?\u945?\u953? \u945?\u966?\u959?\u961?\u959?\u973?\u957? \u964?\u951?\u957? \u949?\u954? \u956?\u941?\u961?\u959?\u965?\u962? \u964?\u959?\u965?\u962? \u949?\u966?\u945?\u961?\u956?\u959?\u947?\u942? \u964?\u951?\u962? \u949?\u957? \u955?\u972?\u947?\u969? \u963?\u973?\u956?\u946?\u945?\u963?\u951?\u962?, \u963?\u967?\u949?\u964?\u953?\u954?\u940? \u956?\u949? \u964?\u945? \u952?\u941?\u956?\u945?\u964?\u945? \u960?\u959?\u965? \u945?\u966?\u959?\u961?\u959?\u973?\u957? \u964?\u951? \u948?\u953?\u954?\u945?\u963?\u964?\u953?\u954?\u942? \u963?\u965?\u957?\u949?\u961?\u947?\u945?\u963?\u943?\u945? \u963?\u949? \u960?\u959?\u953?\u957?\u953?\u954?\u941?\u962? \u965?\u960?\u959?\u952?\u941?\u963?\u949?\u953?\u962?, \u964?\u959? \u940?\u963?\u965?\u955?\u959? \u954?\u945?\u953? \u964?\u951? \u956?\u951? \u949?\u960?\u945?\u957?\u945?\u960?\u961?\u959?\u974?\u952?\u951?\u963?\u951? _x000b_"/>
    <w:docVar w:name="LW_TYPE.DOC.CP" w:val="\u913?\u928?\u927?\u934?\u913?\u931?\u919? \u932?\u927?\u933? \u931?\u933?\u924?\u914?\u927?\u933?\u923?\u921?\u927?\u933?"/>
    <w:docVar w:name="LwApiVersions" w:val="LW4CoDe 1.24.5.0; LW 9.0, Build 20240221"/>
    <w:docVar w:name="Stamp" w:val="\\net1.cec.eu.int\offline\06\bouroya\Desktop\Draft 218.9 dec. jud.coop.clean.docx"/>
  </w:docVars>
  <w:rsids>
    <w:rsidRoot w:val="00CA0046"/>
    <w:rsid w:val="00000997"/>
    <w:rsid w:val="00000AD3"/>
    <w:rsid w:val="00000B95"/>
    <w:rsid w:val="0000141C"/>
    <w:rsid w:val="00001660"/>
    <w:rsid w:val="00001D40"/>
    <w:rsid w:val="000023E4"/>
    <w:rsid w:val="00002B6D"/>
    <w:rsid w:val="00003680"/>
    <w:rsid w:val="00004534"/>
    <w:rsid w:val="0000453B"/>
    <w:rsid w:val="000047AE"/>
    <w:rsid w:val="00004A25"/>
    <w:rsid w:val="00005A19"/>
    <w:rsid w:val="000062F1"/>
    <w:rsid w:val="00007EA7"/>
    <w:rsid w:val="000119EB"/>
    <w:rsid w:val="000122F4"/>
    <w:rsid w:val="00012B0F"/>
    <w:rsid w:val="00013561"/>
    <w:rsid w:val="000135DC"/>
    <w:rsid w:val="00013F0C"/>
    <w:rsid w:val="000141E4"/>
    <w:rsid w:val="00015C74"/>
    <w:rsid w:val="000161AF"/>
    <w:rsid w:val="00020ECD"/>
    <w:rsid w:val="0002155C"/>
    <w:rsid w:val="00021A8A"/>
    <w:rsid w:val="000221AC"/>
    <w:rsid w:val="00022877"/>
    <w:rsid w:val="0002289D"/>
    <w:rsid w:val="00022F7F"/>
    <w:rsid w:val="00023EBB"/>
    <w:rsid w:val="000245A7"/>
    <w:rsid w:val="00025163"/>
    <w:rsid w:val="00026239"/>
    <w:rsid w:val="00027C37"/>
    <w:rsid w:val="00031810"/>
    <w:rsid w:val="000321EC"/>
    <w:rsid w:val="0003776C"/>
    <w:rsid w:val="00040F28"/>
    <w:rsid w:val="000425A0"/>
    <w:rsid w:val="0004297A"/>
    <w:rsid w:val="00042E50"/>
    <w:rsid w:val="0004431F"/>
    <w:rsid w:val="00044679"/>
    <w:rsid w:val="00044A90"/>
    <w:rsid w:val="00044CC8"/>
    <w:rsid w:val="000453E0"/>
    <w:rsid w:val="0004581C"/>
    <w:rsid w:val="00045FB9"/>
    <w:rsid w:val="000467C4"/>
    <w:rsid w:val="00047318"/>
    <w:rsid w:val="00050F66"/>
    <w:rsid w:val="00053505"/>
    <w:rsid w:val="00053B7B"/>
    <w:rsid w:val="00053D46"/>
    <w:rsid w:val="000540E2"/>
    <w:rsid w:val="0005456B"/>
    <w:rsid w:val="00054958"/>
    <w:rsid w:val="00054E3B"/>
    <w:rsid w:val="00055874"/>
    <w:rsid w:val="00056009"/>
    <w:rsid w:val="00056FA1"/>
    <w:rsid w:val="000575F8"/>
    <w:rsid w:val="00057603"/>
    <w:rsid w:val="000601B2"/>
    <w:rsid w:val="00061433"/>
    <w:rsid w:val="00061896"/>
    <w:rsid w:val="0006219F"/>
    <w:rsid w:val="00062547"/>
    <w:rsid w:val="00062D3C"/>
    <w:rsid w:val="00064C1A"/>
    <w:rsid w:val="000656BD"/>
    <w:rsid w:val="000661E3"/>
    <w:rsid w:val="000673DC"/>
    <w:rsid w:val="00067AF7"/>
    <w:rsid w:val="0007030F"/>
    <w:rsid w:val="00071B28"/>
    <w:rsid w:val="00071CEB"/>
    <w:rsid w:val="000728BB"/>
    <w:rsid w:val="00072956"/>
    <w:rsid w:val="00072A12"/>
    <w:rsid w:val="000735F2"/>
    <w:rsid w:val="00073E8A"/>
    <w:rsid w:val="0007418A"/>
    <w:rsid w:val="000756CD"/>
    <w:rsid w:val="00075966"/>
    <w:rsid w:val="00076107"/>
    <w:rsid w:val="000763E3"/>
    <w:rsid w:val="00077C29"/>
    <w:rsid w:val="0008042F"/>
    <w:rsid w:val="000818A8"/>
    <w:rsid w:val="00082627"/>
    <w:rsid w:val="00082BEB"/>
    <w:rsid w:val="00082F02"/>
    <w:rsid w:val="000835A1"/>
    <w:rsid w:val="0008791D"/>
    <w:rsid w:val="00087E20"/>
    <w:rsid w:val="0009010A"/>
    <w:rsid w:val="00090C20"/>
    <w:rsid w:val="00091418"/>
    <w:rsid w:val="00092822"/>
    <w:rsid w:val="00092BFB"/>
    <w:rsid w:val="0009363F"/>
    <w:rsid w:val="000939BC"/>
    <w:rsid w:val="00093D87"/>
    <w:rsid w:val="0009517C"/>
    <w:rsid w:val="000967E7"/>
    <w:rsid w:val="00096F15"/>
    <w:rsid w:val="0009733B"/>
    <w:rsid w:val="0009738B"/>
    <w:rsid w:val="0009794A"/>
    <w:rsid w:val="000A02D9"/>
    <w:rsid w:val="000A0566"/>
    <w:rsid w:val="000A0AF3"/>
    <w:rsid w:val="000A0FFC"/>
    <w:rsid w:val="000A17B4"/>
    <w:rsid w:val="000A18A2"/>
    <w:rsid w:val="000A2965"/>
    <w:rsid w:val="000A29ED"/>
    <w:rsid w:val="000A2CD3"/>
    <w:rsid w:val="000A2CDD"/>
    <w:rsid w:val="000A2E77"/>
    <w:rsid w:val="000A3AF6"/>
    <w:rsid w:val="000A45DF"/>
    <w:rsid w:val="000A5822"/>
    <w:rsid w:val="000A587E"/>
    <w:rsid w:val="000A69C6"/>
    <w:rsid w:val="000A6C60"/>
    <w:rsid w:val="000A72EE"/>
    <w:rsid w:val="000B0168"/>
    <w:rsid w:val="000B0E40"/>
    <w:rsid w:val="000B0F0C"/>
    <w:rsid w:val="000B1E1C"/>
    <w:rsid w:val="000B1F97"/>
    <w:rsid w:val="000B2A65"/>
    <w:rsid w:val="000B3956"/>
    <w:rsid w:val="000B47FA"/>
    <w:rsid w:val="000B526B"/>
    <w:rsid w:val="000B5361"/>
    <w:rsid w:val="000C2DCF"/>
    <w:rsid w:val="000C2FB2"/>
    <w:rsid w:val="000C31B0"/>
    <w:rsid w:val="000C500B"/>
    <w:rsid w:val="000C5A31"/>
    <w:rsid w:val="000C61FA"/>
    <w:rsid w:val="000C61FB"/>
    <w:rsid w:val="000C7AE1"/>
    <w:rsid w:val="000D023F"/>
    <w:rsid w:val="000D1DD2"/>
    <w:rsid w:val="000D1F34"/>
    <w:rsid w:val="000D2219"/>
    <w:rsid w:val="000D4271"/>
    <w:rsid w:val="000D6444"/>
    <w:rsid w:val="000D649D"/>
    <w:rsid w:val="000D6B1C"/>
    <w:rsid w:val="000D7106"/>
    <w:rsid w:val="000D72C0"/>
    <w:rsid w:val="000E0AD6"/>
    <w:rsid w:val="000E0C51"/>
    <w:rsid w:val="000E0F6D"/>
    <w:rsid w:val="000E26D7"/>
    <w:rsid w:val="000E2FB0"/>
    <w:rsid w:val="000E3D09"/>
    <w:rsid w:val="000E4371"/>
    <w:rsid w:val="000E4522"/>
    <w:rsid w:val="000E4ED2"/>
    <w:rsid w:val="000E5631"/>
    <w:rsid w:val="000E6133"/>
    <w:rsid w:val="000E77BB"/>
    <w:rsid w:val="000E7DAB"/>
    <w:rsid w:val="000F0FFD"/>
    <w:rsid w:val="000F2324"/>
    <w:rsid w:val="000F2688"/>
    <w:rsid w:val="000F2A5F"/>
    <w:rsid w:val="000F324B"/>
    <w:rsid w:val="000F3D4C"/>
    <w:rsid w:val="000F4523"/>
    <w:rsid w:val="000F50D8"/>
    <w:rsid w:val="000F5B74"/>
    <w:rsid w:val="000F768D"/>
    <w:rsid w:val="000F7B22"/>
    <w:rsid w:val="00102E7D"/>
    <w:rsid w:val="001038DB"/>
    <w:rsid w:val="001039B9"/>
    <w:rsid w:val="00103AA8"/>
    <w:rsid w:val="0010494D"/>
    <w:rsid w:val="00105B57"/>
    <w:rsid w:val="00105B9C"/>
    <w:rsid w:val="001065F5"/>
    <w:rsid w:val="00107B04"/>
    <w:rsid w:val="00111401"/>
    <w:rsid w:val="00111950"/>
    <w:rsid w:val="00112217"/>
    <w:rsid w:val="0011267F"/>
    <w:rsid w:val="0011282C"/>
    <w:rsid w:val="001157BA"/>
    <w:rsid w:val="00117AC8"/>
    <w:rsid w:val="00117C98"/>
    <w:rsid w:val="0012187B"/>
    <w:rsid w:val="00122158"/>
    <w:rsid w:val="0012275B"/>
    <w:rsid w:val="0012293C"/>
    <w:rsid w:val="00122952"/>
    <w:rsid w:val="001235D8"/>
    <w:rsid w:val="001238EF"/>
    <w:rsid w:val="00123AB9"/>
    <w:rsid w:val="00125AED"/>
    <w:rsid w:val="00126120"/>
    <w:rsid w:val="00126215"/>
    <w:rsid w:val="00126EB1"/>
    <w:rsid w:val="00127395"/>
    <w:rsid w:val="001303A8"/>
    <w:rsid w:val="00131554"/>
    <w:rsid w:val="00131F0E"/>
    <w:rsid w:val="001321DD"/>
    <w:rsid w:val="001322CC"/>
    <w:rsid w:val="00132C40"/>
    <w:rsid w:val="001343D6"/>
    <w:rsid w:val="001352C4"/>
    <w:rsid w:val="001358A1"/>
    <w:rsid w:val="00137C30"/>
    <w:rsid w:val="00140957"/>
    <w:rsid w:val="00143C75"/>
    <w:rsid w:val="00143E44"/>
    <w:rsid w:val="00144125"/>
    <w:rsid w:val="00144654"/>
    <w:rsid w:val="00146761"/>
    <w:rsid w:val="00146D74"/>
    <w:rsid w:val="001475FD"/>
    <w:rsid w:val="0015243C"/>
    <w:rsid w:val="00153114"/>
    <w:rsid w:val="00153396"/>
    <w:rsid w:val="00153865"/>
    <w:rsid w:val="00153CB3"/>
    <w:rsid w:val="0015432D"/>
    <w:rsid w:val="001544EE"/>
    <w:rsid w:val="0015602D"/>
    <w:rsid w:val="001563EE"/>
    <w:rsid w:val="00156741"/>
    <w:rsid w:val="001621CF"/>
    <w:rsid w:val="00162714"/>
    <w:rsid w:val="00162F83"/>
    <w:rsid w:val="0016318C"/>
    <w:rsid w:val="00163AB0"/>
    <w:rsid w:val="00165971"/>
    <w:rsid w:val="00165EEB"/>
    <w:rsid w:val="001662E0"/>
    <w:rsid w:val="00166C63"/>
    <w:rsid w:val="00166D6D"/>
    <w:rsid w:val="00167522"/>
    <w:rsid w:val="0017082E"/>
    <w:rsid w:val="0017088C"/>
    <w:rsid w:val="001710D5"/>
    <w:rsid w:val="00171241"/>
    <w:rsid w:val="00171619"/>
    <w:rsid w:val="00171905"/>
    <w:rsid w:val="00171B6F"/>
    <w:rsid w:val="00172747"/>
    <w:rsid w:val="0017347F"/>
    <w:rsid w:val="001751C9"/>
    <w:rsid w:val="00175549"/>
    <w:rsid w:val="00175949"/>
    <w:rsid w:val="00175E38"/>
    <w:rsid w:val="00177775"/>
    <w:rsid w:val="00177E1B"/>
    <w:rsid w:val="00181C5E"/>
    <w:rsid w:val="001820AD"/>
    <w:rsid w:val="00182217"/>
    <w:rsid w:val="0018279B"/>
    <w:rsid w:val="00183193"/>
    <w:rsid w:val="00183536"/>
    <w:rsid w:val="00183D17"/>
    <w:rsid w:val="00183EA8"/>
    <w:rsid w:val="00186635"/>
    <w:rsid w:val="00186EBE"/>
    <w:rsid w:val="00187522"/>
    <w:rsid w:val="001879B2"/>
    <w:rsid w:val="00190D9D"/>
    <w:rsid w:val="001919AC"/>
    <w:rsid w:val="00192044"/>
    <w:rsid w:val="00192A1F"/>
    <w:rsid w:val="00193048"/>
    <w:rsid w:val="00193183"/>
    <w:rsid w:val="001937B0"/>
    <w:rsid w:val="00194929"/>
    <w:rsid w:val="001951E8"/>
    <w:rsid w:val="001961FF"/>
    <w:rsid w:val="00196234"/>
    <w:rsid w:val="00196D9F"/>
    <w:rsid w:val="00197613"/>
    <w:rsid w:val="00197C36"/>
    <w:rsid w:val="001A0E90"/>
    <w:rsid w:val="001A12CE"/>
    <w:rsid w:val="001A160E"/>
    <w:rsid w:val="001A253B"/>
    <w:rsid w:val="001A35B6"/>
    <w:rsid w:val="001A4F4C"/>
    <w:rsid w:val="001A5039"/>
    <w:rsid w:val="001A7170"/>
    <w:rsid w:val="001A7B26"/>
    <w:rsid w:val="001B06B6"/>
    <w:rsid w:val="001B0967"/>
    <w:rsid w:val="001B1E69"/>
    <w:rsid w:val="001B23EA"/>
    <w:rsid w:val="001B2533"/>
    <w:rsid w:val="001B2B90"/>
    <w:rsid w:val="001B3748"/>
    <w:rsid w:val="001B4A53"/>
    <w:rsid w:val="001B4C7D"/>
    <w:rsid w:val="001B61A9"/>
    <w:rsid w:val="001B6E50"/>
    <w:rsid w:val="001B742A"/>
    <w:rsid w:val="001B773B"/>
    <w:rsid w:val="001C06B3"/>
    <w:rsid w:val="001C0E2F"/>
    <w:rsid w:val="001C1887"/>
    <w:rsid w:val="001C271E"/>
    <w:rsid w:val="001C3BEC"/>
    <w:rsid w:val="001C4665"/>
    <w:rsid w:val="001C486A"/>
    <w:rsid w:val="001C575C"/>
    <w:rsid w:val="001C6B1C"/>
    <w:rsid w:val="001C7377"/>
    <w:rsid w:val="001D0543"/>
    <w:rsid w:val="001D27CD"/>
    <w:rsid w:val="001D2967"/>
    <w:rsid w:val="001D2AC4"/>
    <w:rsid w:val="001D3B86"/>
    <w:rsid w:val="001D4DD2"/>
    <w:rsid w:val="001D5DB2"/>
    <w:rsid w:val="001D770E"/>
    <w:rsid w:val="001D7C95"/>
    <w:rsid w:val="001E0617"/>
    <w:rsid w:val="001E0EC6"/>
    <w:rsid w:val="001E17CA"/>
    <w:rsid w:val="001E182C"/>
    <w:rsid w:val="001E1DD5"/>
    <w:rsid w:val="001E1ED2"/>
    <w:rsid w:val="001E291F"/>
    <w:rsid w:val="001E308F"/>
    <w:rsid w:val="001E310A"/>
    <w:rsid w:val="001E336B"/>
    <w:rsid w:val="001E3526"/>
    <w:rsid w:val="001E35AF"/>
    <w:rsid w:val="001E512B"/>
    <w:rsid w:val="001E5558"/>
    <w:rsid w:val="001E76C0"/>
    <w:rsid w:val="001F0787"/>
    <w:rsid w:val="001F1814"/>
    <w:rsid w:val="001F1AAE"/>
    <w:rsid w:val="001F1EAA"/>
    <w:rsid w:val="001F345A"/>
    <w:rsid w:val="001F48AF"/>
    <w:rsid w:val="001F4B78"/>
    <w:rsid w:val="001F6FCF"/>
    <w:rsid w:val="001F7258"/>
    <w:rsid w:val="001F76DC"/>
    <w:rsid w:val="00200767"/>
    <w:rsid w:val="00201B76"/>
    <w:rsid w:val="00201FF9"/>
    <w:rsid w:val="00202409"/>
    <w:rsid w:val="0020364D"/>
    <w:rsid w:val="00203C52"/>
    <w:rsid w:val="00204006"/>
    <w:rsid w:val="00204256"/>
    <w:rsid w:val="002044B3"/>
    <w:rsid w:val="0020575F"/>
    <w:rsid w:val="00205A40"/>
    <w:rsid w:val="00205BBB"/>
    <w:rsid w:val="00210D83"/>
    <w:rsid w:val="00211018"/>
    <w:rsid w:val="00211097"/>
    <w:rsid w:val="00212078"/>
    <w:rsid w:val="0021210E"/>
    <w:rsid w:val="00212115"/>
    <w:rsid w:val="002127C5"/>
    <w:rsid w:val="002135B9"/>
    <w:rsid w:val="0021396A"/>
    <w:rsid w:val="0021440A"/>
    <w:rsid w:val="002160F2"/>
    <w:rsid w:val="00216641"/>
    <w:rsid w:val="0021732F"/>
    <w:rsid w:val="00220499"/>
    <w:rsid w:val="00222526"/>
    <w:rsid w:val="00222A16"/>
    <w:rsid w:val="00224268"/>
    <w:rsid w:val="002245AA"/>
    <w:rsid w:val="0022551C"/>
    <w:rsid w:val="0022743B"/>
    <w:rsid w:val="00227E8C"/>
    <w:rsid w:val="002303E8"/>
    <w:rsid w:val="0023051D"/>
    <w:rsid w:val="00231128"/>
    <w:rsid w:val="00231C01"/>
    <w:rsid w:val="00231D1C"/>
    <w:rsid w:val="00231FD5"/>
    <w:rsid w:val="0023251E"/>
    <w:rsid w:val="00233DC7"/>
    <w:rsid w:val="002340A1"/>
    <w:rsid w:val="002348E5"/>
    <w:rsid w:val="00234BFA"/>
    <w:rsid w:val="00235173"/>
    <w:rsid w:val="00236E21"/>
    <w:rsid w:val="002379B8"/>
    <w:rsid w:val="00237B3C"/>
    <w:rsid w:val="0024056F"/>
    <w:rsid w:val="0024201C"/>
    <w:rsid w:val="00242835"/>
    <w:rsid w:val="00242AD3"/>
    <w:rsid w:val="00242F46"/>
    <w:rsid w:val="002431EB"/>
    <w:rsid w:val="00243809"/>
    <w:rsid w:val="00243A23"/>
    <w:rsid w:val="00244EC3"/>
    <w:rsid w:val="00245CFF"/>
    <w:rsid w:val="0024707E"/>
    <w:rsid w:val="002474D7"/>
    <w:rsid w:val="00247779"/>
    <w:rsid w:val="00247886"/>
    <w:rsid w:val="00247C50"/>
    <w:rsid w:val="0025101A"/>
    <w:rsid w:val="00251433"/>
    <w:rsid w:val="00251A91"/>
    <w:rsid w:val="00251E35"/>
    <w:rsid w:val="0025228F"/>
    <w:rsid w:val="0025346A"/>
    <w:rsid w:val="00253737"/>
    <w:rsid w:val="00253AFB"/>
    <w:rsid w:val="00253E6F"/>
    <w:rsid w:val="00254DAB"/>
    <w:rsid w:val="00256B61"/>
    <w:rsid w:val="00256E03"/>
    <w:rsid w:val="0026015C"/>
    <w:rsid w:val="00260270"/>
    <w:rsid w:val="00261799"/>
    <w:rsid w:val="002627B7"/>
    <w:rsid w:val="00263925"/>
    <w:rsid w:val="00264CE7"/>
    <w:rsid w:val="0026513B"/>
    <w:rsid w:val="00265D41"/>
    <w:rsid w:val="002664A7"/>
    <w:rsid w:val="00266C71"/>
    <w:rsid w:val="00266F98"/>
    <w:rsid w:val="00267139"/>
    <w:rsid w:val="002705B5"/>
    <w:rsid w:val="002708CA"/>
    <w:rsid w:val="00271030"/>
    <w:rsid w:val="002715AA"/>
    <w:rsid w:val="00272E7F"/>
    <w:rsid w:val="00273C20"/>
    <w:rsid w:val="00273C4E"/>
    <w:rsid w:val="00274095"/>
    <w:rsid w:val="002742CA"/>
    <w:rsid w:val="00274A97"/>
    <w:rsid w:val="0027539C"/>
    <w:rsid w:val="00275B41"/>
    <w:rsid w:val="0028202D"/>
    <w:rsid w:val="00282ACB"/>
    <w:rsid w:val="00284A60"/>
    <w:rsid w:val="00285009"/>
    <w:rsid w:val="0028579B"/>
    <w:rsid w:val="00285BEE"/>
    <w:rsid w:val="002861A5"/>
    <w:rsid w:val="002861C1"/>
    <w:rsid w:val="00286360"/>
    <w:rsid w:val="002878AA"/>
    <w:rsid w:val="0029053B"/>
    <w:rsid w:val="00292E47"/>
    <w:rsid w:val="002937AE"/>
    <w:rsid w:val="00293D07"/>
    <w:rsid w:val="002944B5"/>
    <w:rsid w:val="00294A88"/>
    <w:rsid w:val="00294B1C"/>
    <w:rsid w:val="0029509E"/>
    <w:rsid w:val="0029533F"/>
    <w:rsid w:val="00296319"/>
    <w:rsid w:val="002A1DD8"/>
    <w:rsid w:val="002A20E7"/>
    <w:rsid w:val="002A277A"/>
    <w:rsid w:val="002A2FD1"/>
    <w:rsid w:val="002A71B6"/>
    <w:rsid w:val="002A7214"/>
    <w:rsid w:val="002A7ABE"/>
    <w:rsid w:val="002B0213"/>
    <w:rsid w:val="002B0AB9"/>
    <w:rsid w:val="002B0DDB"/>
    <w:rsid w:val="002B126E"/>
    <w:rsid w:val="002B30AF"/>
    <w:rsid w:val="002B37DC"/>
    <w:rsid w:val="002B484C"/>
    <w:rsid w:val="002B52B8"/>
    <w:rsid w:val="002B6009"/>
    <w:rsid w:val="002B641D"/>
    <w:rsid w:val="002B6E03"/>
    <w:rsid w:val="002C0E0A"/>
    <w:rsid w:val="002C15FF"/>
    <w:rsid w:val="002C563D"/>
    <w:rsid w:val="002C5710"/>
    <w:rsid w:val="002C5920"/>
    <w:rsid w:val="002C5B55"/>
    <w:rsid w:val="002C6012"/>
    <w:rsid w:val="002C69D2"/>
    <w:rsid w:val="002C6C1F"/>
    <w:rsid w:val="002C777A"/>
    <w:rsid w:val="002C7971"/>
    <w:rsid w:val="002D032E"/>
    <w:rsid w:val="002D088B"/>
    <w:rsid w:val="002D0F63"/>
    <w:rsid w:val="002D1F34"/>
    <w:rsid w:val="002D1FAB"/>
    <w:rsid w:val="002D2440"/>
    <w:rsid w:val="002D2BE3"/>
    <w:rsid w:val="002D30E6"/>
    <w:rsid w:val="002D4253"/>
    <w:rsid w:val="002D4481"/>
    <w:rsid w:val="002D4ECA"/>
    <w:rsid w:val="002D56A6"/>
    <w:rsid w:val="002D5B75"/>
    <w:rsid w:val="002D77EC"/>
    <w:rsid w:val="002D79BD"/>
    <w:rsid w:val="002D7F4C"/>
    <w:rsid w:val="002E1011"/>
    <w:rsid w:val="002E13B3"/>
    <w:rsid w:val="002E18A9"/>
    <w:rsid w:val="002E29B1"/>
    <w:rsid w:val="002E340E"/>
    <w:rsid w:val="002E3948"/>
    <w:rsid w:val="002E3DF4"/>
    <w:rsid w:val="002E4EB6"/>
    <w:rsid w:val="002E4EBA"/>
    <w:rsid w:val="002E5D0F"/>
    <w:rsid w:val="002E5D43"/>
    <w:rsid w:val="002F0081"/>
    <w:rsid w:val="002F0819"/>
    <w:rsid w:val="002F08F5"/>
    <w:rsid w:val="002F0E9D"/>
    <w:rsid w:val="002F1AF4"/>
    <w:rsid w:val="002F255C"/>
    <w:rsid w:val="002F2595"/>
    <w:rsid w:val="002F46C6"/>
    <w:rsid w:val="002F551A"/>
    <w:rsid w:val="002F58A0"/>
    <w:rsid w:val="002F67FC"/>
    <w:rsid w:val="00300C79"/>
    <w:rsid w:val="00301E52"/>
    <w:rsid w:val="00303A91"/>
    <w:rsid w:val="00303DAC"/>
    <w:rsid w:val="0030521D"/>
    <w:rsid w:val="0030590F"/>
    <w:rsid w:val="003062C2"/>
    <w:rsid w:val="00306516"/>
    <w:rsid w:val="00306706"/>
    <w:rsid w:val="003069EB"/>
    <w:rsid w:val="00306B10"/>
    <w:rsid w:val="003070FC"/>
    <w:rsid w:val="00313B89"/>
    <w:rsid w:val="00315952"/>
    <w:rsid w:val="0031720F"/>
    <w:rsid w:val="00320F08"/>
    <w:rsid w:val="00321544"/>
    <w:rsid w:val="0032215A"/>
    <w:rsid w:val="0032238E"/>
    <w:rsid w:val="00322487"/>
    <w:rsid w:val="00323D94"/>
    <w:rsid w:val="003241C9"/>
    <w:rsid w:val="00324852"/>
    <w:rsid w:val="003259BA"/>
    <w:rsid w:val="00326976"/>
    <w:rsid w:val="003269FE"/>
    <w:rsid w:val="00327BA4"/>
    <w:rsid w:val="0033115F"/>
    <w:rsid w:val="0033129E"/>
    <w:rsid w:val="0033344A"/>
    <w:rsid w:val="00333BD8"/>
    <w:rsid w:val="0033518F"/>
    <w:rsid w:val="003358A2"/>
    <w:rsid w:val="00335A55"/>
    <w:rsid w:val="00336E00"/>
    <w:rsid w:val="003379B7"/>
    <w:rsid w:val="0034120C"/>
    <w:rsid w:val="00341C72"/>
    <w:rsid w:val="00342D87"/>
    <w:rsid w:val="00343551"/>
    <w:rsid w:val="00344605"/>
    <w:rsid w:val="00344B49"/>
    <w:rsid w:val="003459F4"/>
    <w:rsid w:val="003466D0"/>
    <w:rsid w:val="00347BB4"/>
    <w:rsid w:val="00350ACA"/>
    <w:rsid w:val="003551DD"/>
    <w:rsid w:val="00355389"/>
    <w:rsid w:val="003556BB"/>
    <w:rsid w:val="003558DF"/>
    <w:rsid w:val="00355D55"/>
    <w:rsid w:val="00360454"/>
    <w:rsid w:val="00361F15"/>
    <w:rsid w:val="003620CA"/>
    <w:rsid w:val="00362223"/>
    <w:rsid w:val="003623E2"/>
    <w:rsid w:val="00364684"/>
    <w:rsid w:val="00365623"/>
    <w:rsid w:val="00365EA4"/>
    <w:rsid w:val="00366A8C"/>
    <w:rsid w:val="003701DC"/>
    <w:rsid w:val="00370750"/>
    <w:rsid w:val="00370D76"/>
    <w:rsid w:val="0037233C"/>
    <w:rsid w:val="00372E54"/>
    <w:rsid w:val="00372EB5"/>
    <w:rsid w:val="00374CF6"/>
    <w:rsid w:val="00374F25"/>
    <w:rsid w:val="00375A53"/>
    <w:rsid w:val="00375A8E"/>
    <w:rsid w:val="00375B0D"/>
    <w:rsid w:val="00377F82"/>
    <w:rsid w:val="00377FAA"/>
    <w:rsid w:val="003801F5"/>
    <w:rsid w:val="0038302B"/>
    <w:rsid w:val="0038336C"/>
    <w:rsid w:val="003848EA"/>
    <w:rsid w:val="00384BBF"/>
    <w:rsid w:val="00385CE5"/>
    <w:rsid w:val="0038625D"/>
    <w:rsid w:val="003867D1"/>
    <w:rsid w:val="00387190"/>
    <w:rsid w:val="00387F04"/>
    <w:rsid w:val="00387FBB"/>
    <w:rsid w:val="00390822"/>
    <w:rsid w:val="003915ED"/>
    <w:rsid w:val="00391989"/>
    <w:rsid w:val="00391AB4"/>
    <w:rsid w:val="0039452A"/>
    <w:rsid w:val="00395494"/>
    <w:rsid w:val="003974DF"/>
    <w:rsid w:val="00397896"/>
    <w:rsid w:val="003A0197"/>
    <w:rsid w:val="003A0805"/>
    <w:rsid w:val="003A1B99"/>
    <w:rsid w:val="003A1E9A"/>
    <w:rsid w:val="003A1EDC"/>
    <w:rsid w:val="003A2172"/>
    <w:rsid w:val="003A291E"/>
    <w:rsid w:val="003A2AA7"/>
    <w:rsid w:val="003A2B17"/>
    <w:rsid w:val="003A3CE5"/>
    <w:rsid w:val="003A49DF"/>
    <w:rsid w:val="003A5925"/>
    <w:rsid w:val="003A5C99"/>
    <w:rsid w:val="003A600F"/>
    <w:rsid w:val="003A6C01"/>
    <w:rsid w:val="003A725C"/>
    <w:rsid w:val="003A771E"/>
    <w:rsid w:val="003A7FF6"/>
    <w:rsid w:val="003B06DF"/>
    <w:rsid w:val="003B0C3D"/>
    <w:rsid w:val="003B15A0"/>
    <w:rsid w:val="003B1BA8"/>
    <w:rsid w:val="003B2A36"/>
    <w:rsid w:val="003B2D49"/>
    <w:rsid w:val="003B3BB2"/>
    <w:rsid w:val="003B3FE8"/>
    <w:rsid w:val="003B545A"/>
    <w:rsid w:val="003C1082"/>
    <w:rsid w:val="003C1758"/>
    <w:rsid w:val="003C18E9"/>
    <w:rsid w:val="003C19BC"/>
    <w:rsid w:val="003C1A64"/>
    <w:rsid w:val="003C2368"/>
    <w:rsid w:val="003C3964"/>
    <w:rsid w:val="003C4861"/>
    <w:rsid w:val="003C6E62"/>
    <w:rsid w:val="003C7578"/>
    <w:rsid w:val="003C7B7E"/>
    <w:rsid w:val="003C7E22"/>
    <w:rsid w:val="003D04F1"/>
    <w:rsid w:val="003D0507"/>
    <w:rsid w:val="003D0DD5"/>
    <w:rsid w:val="003D3782"/>
    <w:rsid w:val="003D3AD1"/>
    <w:rsid w:val="003D400E"/>
    <w:rsid w:val="003D525E"/>
    <w:rsid w:val="003D6859"/>
    <w:rsid w:val="003D7E3C"/>
    <w:rsid w:val="003E0177"/>
    <w:rsid w:val="003E03B4"/>
    <w:rsid w:val="003E1443"/>
    <w:rsid w:val="003E18AA"/>
    <w:rsid w:val="003E2174"/>
    <w:rsid w:val="003E227B"/>
    <w:rsid w:val="003E2C11"/>
    <w:rsid w:val="003E3EA7"/>
    <w:rsid w:val="003E591B"/>
    <w:rsid w:val="003F0179"/>
    <w:rsid w:val="003F3338"/>
    <w:rsid w:val="003F4F83"/>
    <w:rsid w:val="003F5D64"/>
    <w:rsid w:val="003F7686"/>
    <w:rsid w:val="0040209B"/>
    <w:rsid w:val="00403C69"/>
    <w:rsid w:val="0040427E"/>
    <w:rsid w:val="0040456E"/>
    <w:rsid w:val="004045AD"/>
    <w:rsid w:val="00406AC1"/>
    <w:rsid w:val="00406EA4"/>
    <w:rsid w:val="00407553"/>
    <w:rsid w:val="004075BE"/>
    <w:rsid w:val="00411311"/>
    <w:rsid w:val="00411400"/>
    <w:rsid w:val="0041150A"/>
    <w:rsid w:val="00411CDE"/>
    <w:rsid w:val="0041299B"/>
    <w:rsid w:val="00413A75"/>
    <w:rsid w:val="004144E4"/>
    <w:rsid w:val="00414971"/>
    <w:rsid w:val="004156B4"/>
    <w:rsid w:val="00416D43"/>
    <w:rsid w:val="00416F50"/>
    <w:rsid w:val="004172AC"/>
    <w:rsid w:val="00417C2B"/>
    <w:rsid w:val="00420304"/>
    <w:rsid w:val="00420C76"/>
    <w:rsid w:val="00421952"/>
    <w:rsid w:val="00422C59"/>
    <w:rsid w:val="004231AB"/>
    <w:rsid w:val="00424445"/>
    <w:rsid w:val="004244AF"/>
    <w:rsid w:val="004249D7"/>
    <w:rsid w:val="00424CC8"/>
    <w:rsid w:val="00424DD4"/>
    <w:rsid w:val="004253DB"/>
    <w:rsid w:val="00425494"/>
    <w:rsid w:val="0042648E"/>
    <w:rsid w:val="004274C6"/>
    <w:rsid w:val="00427E68"/>
    <w:rsid w:val="0043016E"/>
    <w:rsid w:val="00430A09"/>
    <w:rsid w:val="00430DE3"/>
    <w:rsid w:val="00431CBF"/>
    <w:rsid w:val="00432B63"/>
    <w:rsid w:val="00432BB9"/>
    <w:rsid w:val="00434494"/>
    <w:rsid w:val="00434A16"/>
    <w:rsid w:val="00434C8C"/>
    <w:rsid w:val="00435D99"/>
    <w:rsid w:val="00436A07"/>
    <w:rsid w:val="00437649"/>
    <w:rsid w:val="00437DBC"/>
    <w:rsid w:val="00437FC2"/>
    <w:rsid w:val="00440B22"/>
    <w:rsid w:val="00441355"/>
    <w:rsid w:val="004427C3"/>
    <w:rsid w:val="00442B45"/>
    <w:rsid w:val="00443502"/>
    <w:rsid w:val="004436CF"/>
    <w:rsid w:val="00443F85"/>
    <w:rsid w:val="004457CF"/>
    <w:rsid w:val="00445E14"/>
    <w:rsid w:val="00446382"/>
    <w:rsid w:val="00447CE7"/>
    <w:rsid w:val="00450654"/>
    <w:rsid w:val="0045200D"/>
    <w:rsid w:val="00452AB9"/>
    <w:rsid w:val="004537F9"/>
    <w:rsid w:val="00454668"/>
    <w:rsid w:val="00454B8F"/>
    <w:rsid w:val="00455121"/>
    <w:rsid w:val="0045521A"/>
    <w:rsid w:val="00455749"/>
    <w:rsid w:val="00455DE4"/>
    <w:rsid w:val="00456781"/>
    <w:rsid w:val="00457B3F"/>
    <w:rsid w:val="0046024F"/>
    <w:rsid w:val="0046331D"/>
    <w:rsid w:val="00466785"/>
    <w:rsid w:val="00470547"/>
    <w:rsid w:val="00471607"/>
    <w:rsid w:val="00471764"/>
    <w:rsid w:val="004729FE"/>
    <w:rsid w:val="00472DF9"/>
    <w:rsid w:val="00472F12"/>
    <w:rsid w:val="00475032"/>
    <w:rsid w:val="00476820"/>
    <w:rsid w:val="00480CBC"/>
    <w:rsid w:val="00481463"/>
    <w:rsid w:val="00481A1E"/>
    <w:rsid w:val="004858FB"/>
    <w:rsid w:val="00485CBF"/>
    <w:rsid w:val="00490A3F"/>
    <w:rsid w:val="00490F2E"/>
    <w:rsid w:val="004910EE"/>
    <w:rsid w:val="00491867"/>
    <w:rsid w:val="00491E5B"/>
    <w:rsid w:val="00492CC6"/>
    <w:rsid w:val="00492DBE"/>
    <w:rsid w:val="00493425"/>
    <w:rsid w:val="004936D2"/>
    <w:rsid w:val="004958AF"/>
    <w:rsid w:val="00497CD3"/>
    <w:rsid w:val="004A2CC3"/>
    <w:rsid w:val="004A304B"/>
    <w:rsid w:val="004A4248"/>
    <w:rsid w:val="004A4F3D"/>
    <w:rsid w:val="004A7860"/>
    <w:rsid w:val="004A7C07"/>
    <w:rsid w:val="004B06AF"/>
    <w:rsid w:val="004B0E20"/>
    <w:rsid w:val="004B1747"/>
    <w:rsid w:val="004B18F7"/>
    <w:rsid w:val="004B2364"/>
    <w:rsid w:val="004B3A34"/>
    <w:rsid w:val="004B4B5E"/>
    <w:rsid w:val="004B524B"/>
    <w:rsid w:val="004B5862"/>
    <w:rsid w:val="004B59D3"/>
    <w:rsid w:val="004C0879"/>
    <w:rsid w:val="004C0D2D"/>
    <w:rsid w:val="004C2AE4"/>
    <w:rsid w:val="004C327E"/>
    <w:rsid w:val="004C5051"/>
    <w:rsid w:val="004C5627"/>
    <w:rsid w:val="004C66B7"/>
    <w:rsid w:val="004C71C3"/>
    <w:rsid w:val="004D070C"/>
    <w:rsid w:val="004D11D1"/>
    <w:rsid w:val="004D1283"/>
    <w:rsid w:val="004D236F"/>
    <w:rsid w:val="004D2428"/>
    <w:rsid w:val="004D2791"/>
    <w:rsid w:val="004D3CB0"/>
    <w:rsid w:val="004D49CF"/>
    <w:rsid w:val="004D63C3"/>
    <w:rsid w:val="004D771C"/>
    <w:rsid w:val="004D7AEB"/>
    <w:rsid w:val="004E07AB"/>
    <w:rsid w:val="004E0C6A"/>
    <w:rsid w:val="004E1254"/>
    <w:rsid w:val="004E1B17"/>
    <w:rsid w:val="004E3619"/>
    <w:rsid w:val="004E43FB"/>
    <w:rsid w:val="004E5B38"/>
    <w:rsid w:val="004E6E3F"/>
    <w:rsid w:val="004E776D"/>
    <w:rsid w:val="004E7F10"/>
    <w:rsid w:val="004E7F94"/>
    <w:rsid w:val="004F02AD"/>
    <w:rsid w:val="004F2010"/>
    <w:rsid w:val="004F2781"/>
    <w:rsid w:val="004F280F"/>
    <w:rsid w:val="004F4CFF"/>
    <w:rsid w:val="004F6A9A"/>
    <w:rsid w:val="004F6E1B"/>
    <w:rsid w:val="005016D6"/>
    <w:rsid w:val="00505ADF"/>
    <w:rsid w:val="00505EDA"/>
    <w:rsid w:val="0050619B"/>
    <w:rsid w:val="0050655A"/>
    <w:rsid w:val="00506BD9"/>
    <w:rsid w:val="005076D4"/>
    <w:rsid w:val="00507FC0"/>
    <w:rsid w:val="00510215"/>
    <w:rsid w:val="00510246"/>
    <w:rsid w:val="00510F37"/>
    <w:rsid w:val="00511153"/>
    <w:rsid w:val="0051241D"/>
    <w:rsid w:val="005126DA"/>
    <w:rsid w:val="005136E3"/>
    <w:rsid w:val="00514531"/>
    <w:rsid w:val="005145C2"/>
    <w:rsid w:val="005147C0"/>
    <w:rsid w:val="00514CA7"/>
    <w:rsid w:val="00515EDD"/>
    <w:rsid w:val="0051601E"/>
    <w:rsid w:val="00516182"/>
    <w:rsid w:val="00517F6E"/>
    <w:rsid w:val="0052056A"/>
    <w:rsid w:val="0052149E"/>
    <w:rsid w:val="005217B0"/>
    <w:rsid w:val="005222F4"/>
    <w:rsid w:val="005228FC"/>
    <w:rsid w:val="00522DF3"/>
    <w:rsid w:val="00523C15"/>
    <w:rsid w:val="00523C99"/>
    <w:rsid w:val="00524387"/>
    <w:rsid w:val="00524588"/>
    <w:rsid w:val="00525B5F"/>
    <w:rsid w:val="005260C1"/>
    <w:rsid w:val="00527241"/>
    <w:rsid w:val="00527359"/>
    <w:rsid w:val="00530667"/>
    <w:rsid w:val="005310AF"/>
    <w:rsid w:val="00532406"/>
    <w:rsid w:val="00532E1C"/>
    <w:rsid w:val="00533002"/>
    <w:rsid w:val="00533691"/>
    <w:rsid w:val="00533713"/>
    <w:rsid w:val="00533A46"/>
    <w:rsid w:val="005346A2"/>
    <w:rsid w:val="00535294"/>
    <w:rsid w:val="00535BC1"/>
    <w:rsid w:val="00535E5F"/>
    <w:rsid w:val="00537203"/>
    <w:rsid w:val="005373DD"/>
    <w:rsid w:val="00538BE4"/>
    <w:rsid w:val="005429C3"/>
    <w:rsid w:val="00542E21"/>
    <w:rsid w:val="00543558"/>
    <w:rsid w:val="005446B3"/>
    <w:rsid w:val="00545B02"/>
    <w:rsid w:val="005500CD"/>
    <w:rsid w:val="00550607"/>
    <w:rsid w:val="00550D22"/>
    <w:rsid w:val="0055143E"/>
    <w:rsid w:val="00551B02"/>
    <w:rsid w:val="00551B22"/>
    <w:rsid w:val="00551CB5"/>
    <w:rsid w:val="00552AFC"/>
    <w:rsid w:val="00552EBA"/>
    <w:rsid w:val="0055451D"/>
    <w:rsid w:val="00554B1F"/>
    <w:rsid w:val="00556148"/>
    <w:rsid w:val="005566E0"/>
    <w:rsid w:val="005572E4"/>
    <w:rsid w:val="00557860"/>
    <w:rsid w:val="00557D18"/>
    <w:rsid w:val="0056209E"/>
    <w:rsid w:val="005651CE"/>
    <w:rsid w:val="005657F6"/>
    <w:rsid w:val="00565E6E"/>
    <w:rsid w:val="0056620B"/>
    <w:rsid w:val="00566288"/>
    <w:rsid w:val="0057152C"/>
    <w:rsid w:val="005715DE"/>
    <w:rsid w:val="005723DA"/>
    <w:rsid w:val="00572401"/>
    <w:rsid w:val="005735E3"/>
    <w:rsid w:val="005747AE"/>
    <w:rsid w:val="0057501B"/>
    <w:rsid w:val="00575A4C"/>
    <w:rsid w:val="00575B2E"/>
    <w:rsid w:val="00577479"/>
    <w:rsid w:val="00577699"/>
    <w:rsid w:val="0058084F"/>
    <w:rsid w:val="00581211"/>
    <w:rsid w:val="00581BEC"/>
    <w:rsid w:val="00583221"/>
    <w:rsid w:val="0058404E"/>
    <w:rsid w:val="00584619"/>
    <w:rsid w:val="00584A46"/>
    <w:rsid w:val="0058521C"/>
    <w:rsid w:val="00586C2D"/>
    <w:rsid w:val="00590B20"/>
    <w:rsid w:val="005914A7"/>
    <w:rsid w:val="00592344"/>
    <w:rsid w:val="005924A3"/>
    <w:rsid w:val="005934CA"/>
    <w:rsid w:val="00594003"/>
    <w:rsid w:val="00595483"/>
    <w:rsid w:val="00597756"/>
    <w:rsid w:val="00597D6A"/>
    <w:rsid w:val="005A03AF"/>
    <w:rsid w:val="005A2841"/>
    <w:rsid w:val="005A29C9"/>
    <w:rsid w:val="005A44DE"/>
    <w:rsid w:val="005A49FD"/>
    <w:rsid w:val="005A5511"/>
    <w:rsid w:val="005A5BCC"/>
    <w:rsid w:val="005A67BF"/>
    <w:rsid w:val="005A6BC0"/>
    <w:rsid w:val="005A758D"/>
    <w:rsid w:val="005A7638"/>
    <w:rsid w:val="005A7BED"/>
    <w:rsid w:val="005A7DBC"/>
    <w:rsid w:val="005B1071"/>
    <w:rsid w:val="005B1CFD"/>
    <w:rsid w:val="005B1EB6"/>
    <w:rsid w:val="005B25F8"/>
    <w:rsid w:val="005B2648"/>
    <w:rsid w:val="005B2EBC"/>
    <w:rsid w:val="005B2EF3"/>
    <w:rsid w:val="005B388D"/>
    <w:rsid w:val="005B514C"/>
    <w:rsid w:val="005B6595"/>
    <w:rsid w:val="005B6AF1"/>
    <w:rsid w:val="005B7014"/>
    <w:rsid w:val="005B70A2"/>
    <w:rsid w:val="005B7461"/>
    <w:rsid w:val="005C00FE"/>
    <w:rsid w:val="005C1342"/>
    <w:rsid w:val="005C197A"/>
    <w:rsid w:val="005C34C0"/>
    <w:rsid w:val="005C4E39"/>
    <w:rsid w:val="005C4F87"/>
    <w:rsid w:val="005C61C5"/>
    <w:rsid w:val="005C6708"/>
    <w:rsid w:val="005C7E06"/>
    <w:rsid w:val="005D0128"/>
    <w:rsid w:val="005D0505"/>
    <w:rsid w:val="005D1192"/>
    <w:rsid w:val="005D3B40"/>
    <w:rsid w:val="005D455A"/>
    <w:rsid w:val="005D4914"/>
    <w:rsid w:val="005D4BEC"/>
    <w:rsid w:val="005D79CE"/>
    <w:rsid w:val="005D7E28"/>
    <w:rsid w:val="005E007E"/>
    <w:rsid w:val="005E02B3"/>
    <w:rsid w:val="005E0B7E"/>
    <w:rsid w:val="005E1E69"/>
    <w:rsid w:val="005E2342"/>
    <w:rsid w:val="005E2C81"/>
    <w:rsid w:val="005E45FA"/>
    <w:rsid w:val="005E48E3"/>
    <w:rsid w:val="005E4EB0"/>
    <w:rsid w:val="005E731D"/>
    <w:rsid w:val="005F0DCA"/>
    <w:rsid w:val="005F0ECB"/>
    <w:rsid w:val="005F160D"/>
    <w:rsid w:val="005F21CF"/>
    <w:rsid w:val="005F22DB"/>
    <w:rsid w:val="005F234F"/>
    <w:rsid w:val="005F2C35"/>
    <w:rsid w:val="005F2FD1"/>
    <w:rsid w:val="005F59F5"/>
    <w:rsid w:val="005F5DB1"/>
    <w:rsid w:val="005F67D0"/>
    <w:rsid w:val="006001FB"/>
    <w:rsid w:val="00600DC0"/>
    <w:rsid w:val="006017BD"/>
    <w:rsid w:val="00602F9E"/>
    <w:rsid w:val="00604818"/>
    <w:rsid w:val="006074E1"/>
    <w:rsid w:val="006111B8"/>
    <w:rsid w:val="006112A7"/>
    <w:rsid w:val="00611C80"/>
    <w:rsid w:val="00612DAD"/>
    <w:rsid w:val="00613792"/>
    <w:rsid w:val="006143ED"/>
    <w:rsid w:val="00615446"/>
    <w:rsid w:val="006159FB"/>
    <w:rsid w:val="00615BD3"/>
    <w:rsid w:val="00616210"/>
    <w:rsid w:val="0061754F"/>
    <w:rsid w:val="006175AE"/>
    <w:rsid w:val="00620B3E"/>
    <w:rsid w:val="006215B9"/>
    <w:rsid w:val="00621C08"/>
    <w:rsid w:val="00621DCC"/>
    <w:rsid w:val="0062308E"/>
    <w:rsid w:val="0062367F"/>
    <w:rsid w:val="006244DC"/>
    <w:rsid w:val="006246A4"/>
    <w:rsid w:val="006251E4"/>
    <w:rsid w:val="0062612B"/>
    <w:rsid w:val="00626E93"/>
    <w:rsid w:val="00627D19"/>
    <w:rsid w:val="006316BC"/>
    <w:rsid w:val="00631A78"/>
    <w:rsid w:val="0063265C"/>
    <w:rsid w:val="00632DF1"/>
    <w:rsid w:val="00633D15"/>
    <w:rsid w:val="00633D84"/>
    <w:rsid w:val="006341AD"/>
    <w:rsid w:val="006341B4"/>
    <w:rsid w:val="0063449D"/>
    <w:rsid w:val="006355B6"/>
    <w:rsid w:val="006355EF"/>
    <w:rsid w:val="00635ED7"/>
    <w:rsid w:val="006375F8"/>
    <w:rsid w:val="0063790D"/>
    <w:rsid w:val="00640061"/>
    <w:rsid w:val="006404FE"/>
    <w:rsid w:val="00641836"/>
    <w:rsid w:val="006419EE"/>
    <w:rsid w:val="00642B90"/>
    <w:rsid w:val="006439D5"/>
    <w:rsid w:val="00644104"/>
    <w:rsid w:val="0064486C"/>
    <w:rsid w:val="00644D3F"/>
    <w:rsid w:val="006466E4"/>
    <w:rsid w:val="00646D3F"/>
    <w:rsid w:val="0065276B"/>
    <w:rsid w:val="00653A23"/>
    <w:rsid w:val="006572BB"/>
    <w:rsid w:val="00657720"/>
    <w:rsid w:val="00660966"/>
    <w:rsid w:val="0066142F"/>
    <w:rsid w:val="00662B75"/>
    <w:rsid w:val="00663942"/>
    <w:rsid w:val="006647D7"/>
    <w:rsid w:val="00665B4B"/>
    <w:rsid w:val="00670DF0"/>
    <w:rsid w:val="00670EC2"/>
    <w:rsid w:val="00672446"/>
    <w:rsid w:val="0067296B"/>
    <w:rsid w:val="00672E9F"/>
    <w:rsid w:val="00673EF2"/>
    <w:rsid w:val="00674036"/>
    <w:rsid w:val="00675D67"/>
    <w:rsid w:val="00677269"/>
    <w:rsid w:val="0068162B"/>
    <w:rsid w:val="006822E5"/>
    <w:rsid w:val="006827C7"/>
    <w:rsid w:val="00682AC1"/>
    <w:rsid w:val="00683686"/>
    <w:rsid w:val="00684CB1"/>
    <w:rsid w:val="00686578"/>
    <w:rsid w:val="00687E83"/>
    <w:rsid w:val="00690BCD"/>
    <w:rsid w:val="00690D4D"/>
    <w:rsid w:val="00691376"/>
    <w:rsid w:val="006914FC"/>
    <w:rsid w:val="00696C7E"/>
    <w:rsid w:val="0069758F"/>
    <w:rsid w:val="00697D93"/>
    <w:rsid w:val="00697FA3"/>
    <w:rsid w:val="006A0B03"/>
    <w:rsid w:val="006A11AE"/>
    <w:rsid w:val="006A12DD"/>
    <w:rsid w:val="006A1397"/>
    <w:rsid w:val="006A21CB"/>
    <w:rsid w:val="006A2219"/>
    <w:rsid w:val="006A30B5"/>
    <w:rsid w:val="006A4AA8"/>
    <w:rsid w:val="006A4FA1"/>
    <w:rsid w:val="006A7269"/>
    <w:rsid w:val="006B080F"/>
    <w:rsid w:val="006B2715"/>
    <w:rsid w:val="006B3400"/>
    <w:rsid w:val="006B35DE"/>
    <w:rsid w:val="006B4131"/>
    <w:rsid w:val="006B6969"/>
    <w:rsid w:val="006B6B35"/>
    <w:rsid w:val="006B6C86"/>
    <w:rsid w:val="006B6E6D"/>
    <w:rsid w:val="006C14A3"/>
    <w:rsid w:val="006C1532"/>
    <w:rsid w:val="006C1552"/>
    <w:rsid w:val="006C32E3"/>
    <w:rsid w:val="006C4534"/>
    <w:rsid w:val="006C7D90"/>
    <w:rsid w:val="006D3477"/>
    <w:rsid w:val="006D368B"/>
    <w:rsid w:val="006D5CCD"/>
    <w:rsid w:val="006E0825"/>
    <w:rsid w:val="006E1D88"/>
    <w:rsid w:val="006E2A58"/>
    <w:rsid w:val="006E2B85"/>
    <w:rsid w:val="006E33AD"/>
    <w:rsid w:val="006E41E3"/>
    <w:rsid w:val="006E50C3"/>
    <w:rsid w:val="006E6E12"/>
    <w:rsid w:val="006E6F4C"/>
    <w:rsid w:val="006E796C"/>
    <w:rsid w:val="006F0692"/>
    <w:rsid w:val="006F24EE"/>
    <w:rsid w:val="006F2DAF"/>
    <w:rsid w:val="006F2E22"/>
    <w:rsid w:val="006F2FF2"/>
    <w:rsid w:val="006F3CDB"/>
    <w:rsid w:val="006F40B7"/>
    <w:rsid w:val="006F49D1"/>
    <w:rsid w:val="006F578C"/>
    <w:rsid w:val="006F626F"/>
    <w:rsid w:val="006F6D1B"/>
    <w:rsid w:val="006F7066"/>
    <w:rsid w:val="007015D7"/>
    <w:rsid w:val="00701AF8"/>
    <w:rsid w:val="00701D9E"/>
    <w:rsid w:val="00702110"/>
    <w:rsid w:val="0070268F"/>
    <w:rsid w:val="00704267"/>
    <w:rsid w:val="0070494F"/>
    <w:rsid w:val="00705E6D"/>
    <w:rsid w:val="00705FA8"/>
    <w:rsid w:val="00706875"/>
    <w:rsid w:val="007073BE"/>
    <w:rsid w:val="00707DF1"/>
    <w:rsid w:val="00710E68"/>
    <w:rsid w:val="00711D20"/>
    <w:rsid w:val="007126CA"/>
    <w:rsid w:val="00713899"/>
    <w:rsid w:val="00713D32"/>
    <w:rsid w:val="007147C2"/>
    <w:rsid w:val="007148DE"/>
    <w:rsid w:val="00714E8B"/>
    <w:rsid w:val="00715505"/>
    <w:rsid w:val="0071588B"/>
    <w:rsid w:val="00716D00"/>
    <w:rsid w:val="00717C7F"/>
    <w:rsid w:val="007218B9"/>
    <w:rsid w:val="00722DA5"/>
    <w:rsid w:val="00723B88"/>
    <w:rsid w:val="0072415A"/>
    <w:rsid w:val="007251C2"/>
    <w:rsid w:val="00726590"/>
    <w:rsid w:val="00727920"/>
    <w:rsid w:val="007279CC"/>
    <w:rsid w:val="00730A9B"/>
    <w:rsid w:val="0073289A"/>
    <w:rsid w:val="00732998"/>
    <w:rsid w:val="00733D75"/>
    <w:rsid w:val="00735E36"/>
    <w:rsid w:val="0073652F"/>
    <w:rsid w:val="00736837"/>
    <w:rsid w:val="0073684E"/>
    <w:rsid w:val="00736AE7"/>
    <w:rsid w:val="00736F90"/>
    <w:rsid w:val="00740591"/>
    <w:rsid w:val="00741424"/>
    <w:rsid w:val="007420A9"/>
    <w:rsid w:val="0074230C"/>
    <w:rsid w:val="007425DA"/>
    <w:rsid w:val="00742B2D"/>
    <w:rsid w:val="0074398A"/>
    <w:rsid w:val="007439E3"/>
    <w:rsid w:val="00744B4D"/>
    <w:rsid w:val="00744DF5"/>
    <w:rsid w:val="00745C1D"/>
    <w:rsid w:val="00746AEF"/>
    <w:rsid w:val="007471AF"/>
    <w:rsid w:val="007471F3"/>
    <w:rsid w:val="007505CC"/>
    <w:rsid w:val="00750A3F"/>
    <w:rsid w:val="00751084"/>
    <w:rsid w:val="00751DE5"/>
    <w:rsid w:val="00752E06"/>
    <w:rsid w:val="007535C3"/>
    <w:rsid w:val="00753B08"/>
    <w:rsid w:val="00753FB7"/>
    <w:rsid w:val="007541E6"/>
    <w:rsid w:val="00754244"/>
    <w:rsid w:val="00754315"/>
    <w:rsid w:val="00754C59"/>
    <w:rsid w:val="00755EBC"/>
    <w:rsid w:val="00756409"/>
    <w:rsid w:val="00756828"/>
    <w:rsid w:val="007574AE"/>
    <w:rsid w:val="00757989"/>
    <w:rsid w:val="00760066"/>
    <w:rsid w:val="00760249"/>
    <w:rsid w:val="00760406"/>
    <w:rsid w:val="00760A78"/>
    <w:rsid w:val="00762CD2"/>
    <w:rsid w:val="007639A7"/>
    <w:rsid w:val="00764F21"/>
    <w:rsid w:val="00765022"/>
    <w:rsid w:val="007658F6"/>
    <w:rsid w:val="0076596F"/>
    <w:rsid w:val="0076644D"/>
    <w:rsid w:val="00766C68"/>
    <w:rsid w:val="00766C86"/>
    <w:rsid w:val="00767894"/>
    <w:rsid w:val="007702AF"/>
    <w:rsid w:val="00773331"/>
    <w:rsid w:val="00773409"/>
    <w:rsid w:val="00773568"/>
    <w:rsid w:val="00773F6E"/>
    <w:rsid w:val="00774B63"/>
    <w:rsid w:val="00776E36"/>
    <w:rsid w:val="00777069"/>
    <w:rsid w:val="00777EB9"/>
    <w:rsid w:val="0078173F"/>
    <w:rsid w:val="00781860"/>
    <w:rsid w:val="007818E9"/>
    <w:rsid w:val="00781FBA"/>
    <w:rsid w:val="00783331"/>
    <w:rsid w:val="00785283"/>
    <w:rsid w:val="007852FF"/>
    <w:rsid w:val="00785891"/>
    <w:rsid w:val="0078606A"/>
    <w:rsid w:val="00786574"/>
    <w:rsid w:val="00786E70"/>
    <w:rsid w:val="00787373"/>
    <w:rsid w:val="0078786A"/>
    <w:rsid w:val="00787C52"/>
    <w:rsid w:val="00790BC1"/>
    <w:rsid w:val="007925D0"/>
    <w:rsid w:val="007931F9"/>
    <w:rsid w:val="007932EF"/>
    <w:rsid w:val="0079336E"/>
    <w:rsid w:val="007934E5"/>
    <w:rsid w:val="007949E6"/>
    <w:rsid w:val="00795B2C"/>
    <w:rsid w:val="00795D1D"/>
    <w:rsid w:val="00795D9C"/>
    <w:rsid w:val="0079764D"/>
    <w:rsid w:val="00797AA2"/>
    <w:rsid w:val="00797F1B"/>
    <w:rsid w:val="007A00B8"/>
    <w:rsid w:val="007A0501"/>
    <w:rsid w:val="007A0524"/>
    <w:rsid w:val="007A0756"/>
    <w:rsid w:val="007A0C8F"/>
    <w:rsid w:val="007A228D"/>
    <w:rsid w:val="007A3266"/>
    <w:rsid w:val="007A386A"/>
    <w:rsid w:val="007A4526"/>
    <w:rsid w:val="007A57A3"/>
    <w:rsid w:val="007A6457"/>
    <w:rsid w:val="007A75D8"/>
    <w:rsid w:val="007A788B"/>
    <w:rsid w:val="007B0362"/>
    <w:rsid w:val="007B069C"/>
    <w:rsid w:val="007B14B6"/>
    <w:rsid w:val="007B16B2"/>
    <w:rsid w:val="007B19AA"/>
    <w:rsid w:val="007B3491"/>
    <w:rsid w:val="007B38E1"/>
    <w:rsid w:val="007B64F1"/>
    <w:rsid w:val="007B67DB"/>
    <w:rsid w:val="007B71EC"/>
    <w:rsid w:val="007B7495"/>
    <w:rsid w:val="007B7A58"/>
    <w:rsid w:val="007C09F7"/>
    <w:rsid w:val="007C1CD0"/>
    <w:rsid w:val="007C2702"/>
    <w:rsid w:val="007C2B7B"/>
    <w:rsid w:val="007C2BAB"/>
    <w:rsid w:val="007C3ACA"/>
    <w:rsid w:val="007C48E8"/>
    <w:rsid w:val="007C49A7"/>
    <w:rsid w:val="007C55AA"/>
    <w:rsid w:val="007C62A6"/>
    <w:rsid w:val="007C65A5"/>
    <w:rsid w:val="007C6718"/>
    <w:rsid w:val="007C672D"/>
    <w:rsid w:val="007D0F49"/>
    <w:rsid w:val="007D2EB5"/>
    <w:rsid w:val="007D3F9F"/>
    <w:rsid w:val="007D4537"/>
    <w:rsid w:val="007D59F1"/>
    <w:rsid w:val="007D5F18"/>
    <w:rsid w:val="007D6547"/>
    <w:rsid w:val="007D66E6"/>
    <w:rsid w:val="007E0515"/>
    <w:rsid w:val="007E05B0"/>
    <w:rsid w:val="007E1311"/>
    <w:rsid w:val="007E36C8"/>
    <w:rsid w:val="007E4008"/>
    <w:rsid w:val="007E481C"/>
    <w:rsid w:val="007E664D"/>
    <w:rsid w:val="007E6E8D"/>
    <w:rsid w:val="007E70B5"/>
    <w:rsid w:val="007E714E"/>
    <w:rsid w:val="007F1879"/>
    <w:rsid w:val="007F20F9"/>
    <w:rsid w:val="007F35F1"/>
    <w:rsid w:val="007F3763"/>
    <w:rsid w:val="007F40F2"/>
    <w:rsid w:val="007F4C19"/>
    <w:rsid w:val="007F5B91"/>
    <w:rsid w:val="007F6052"/>
    <w:rsid w:val="007F6CEC"/>
    <w:rsid w:val="007F759D"/>
    <w:rsid w:val="007F77FC"/>
    <w:rsid w:val="0080018E"/>
    <w:rsid w:val="0080131A"/>
    <w:rsid w:val="00803254"/>
    <w:rsid w:val="0080378C"/>
    <w:rsid w:val="008046D7"/>
    <w:rsid w:val="008049AE"/>
    <w:rsid w:val="00804C60"/>
    <w:rsid w:val="00805351"/>
    <w:rsid w:val="008054E0"/>
    <w:rsid w:val="00805E95"/>
    <w:rsid w:val="00806462"/>
    <w:rsid w:val="00807666"/>
    <w:rsid w:val="00810A27"/>
    <w:rsid w:val="00810B32"/>
    <w:rsid w:val="00810CC9"/>
    <w:rsid w:val="00811977"/>
    <w:rsid w:val="00811C31"/>
    <w:rsid w:val="00812199"/>
    <w:rsid w:val="00812483"/>
    <w:rsid w:val="0081255C"/>
    <w:rsid w:val="00812ACE"/>
    <w:rsid w:val="008131CA"/>
    <w:rsid w:val="00813759"/>
    <w:rsid w:val="00815143"/>
    <w:rsid w:val="00817315"/>
    <w:rsid w:val="00820201"/>
    <w:rsid w:val="00820EC1"/>
    <w:rsid w:val="0082325D"/>
    <w:rsid w:val="00823BDA"/>
    <w:rsid w:val="00824380"/>
    <w:rsid w:val="00824414"/>
    <w:rsid w:val="0082441B"/>
    <w:rsid w:val="0082530F"/>
    <w:rsid w:val="00826D0F"/>
    <w:rsid w:val="0083046E"/>
    <w:rsid w:val="0083060D"/>
    <w:rsid w:val="0083316B"/>
    <w:rsid w:val="00833597"/>
    <w:rsid w:val="00834057"/>
    <w:rsid w:val="00834693"/>
    <w:rsid w:val="0083473E"/>
    <w:rsid w:val="00834F33"/>
    <w:rsid w:val="0083549E"/>
    <w:rsid w:val="00835C1C"/>
    <w:rsid w:val="0083639B"/>
    <w:rsid w:val="008369F6"/>
    <w:rsid w:val="00837FAA"/>
    <w:rsid w:val="00840023"/>
    <w:rsid w:val="008403AA"/>
    <w:rsid w:val="00840603"/>
    <w:rsid w:val="0084126E"/>
    <w:rsid w:val="00841A38"/>
    <w:rsid w:val="00841E94"/>
    <w:rsid w:val="008427EE"/>
    <w:rsid w:val="00843D21"/>
    <w:rsid w:val="008441A0"/>
    <w:rsid w:val="00847C85"/>
    <w:rsid w:val="008535F6"/>
    <w:rsid w:val="00854916"/>
    <w:rsid w:val="00854C02"/>
    <w:rsid w:val="008551D0"/>
    <w:rsid w:val="00855C9A"/>
    <w:rsid w:val="008560A1"/>
    <w:rsid w:val="00857268"/>
    <w:rsid w:val="008576B6"/>
    <w:rsid w:val="00857AA1"/>
    <w:rsid w:val="00860170"/>
    <w:rsid w:val="00860264"/>
    <w:rsid w:val="00860415"/>
    <w:rsid w:val="0086060E"/>
    <w:rsid w:val="00860A7E"/>
    <w:rsid w:val="00863636"/>
    <w:rsid w:val="008636AB"/>
    <w:rsid w:val="00867B92"/>
    <w:rsid w:val="0087011A"/>
    <w:rsid w:val="00870C0B"/>
    <w:rsid w:val="00870FF7"/>
    <w:rsid w:val="00871122"/>
    <w:rsid w:val="008713AF"/>
    <w:rsid w:val="00872C80"/>
    <w:rsid w:val="0087361A"/>
    <w:rsid w:val="008740C3"/>
    <w:rsid w:val="0087424D"/>
    <w:rsid w:val="008746D6"/>
    <w:rsid w:val="00874D22"/>
    <w:rsid w:val="00876DC5"/>
    <w:rsid w:val="00877D65"/>
    <w:rsid w:val="00880DC9"/>
    <w:rsid w:val="008816C7"/>
    <w:rsid w:val="00882152"/>
    <w:rsid w:val="008823E2"/>
    <w:rsid w:val="00882A77"/>
    <w:rsid w:val="00883906"/>
    <w:rsid w:val="00883CFB"/>
    <w:rsid w:val="00883DD8"/>
    <w:rsid w:val="0088562B"/>
    <w:rsid w:val="00886338"/>
    <w:rsid w:val="00886525"/>
    <w:rsid w:val="008866D4"/>
    <w:rsid w:val="00887666"/>
    <w:rsid w:val="00887EDF"/>
    <w:rsid w:val="00887F4F"/>
    <w:rsid w:val="00890167"/>
    <w:rsid w:val="00892568"/>
    <w:rsid w:val="0089269C"/>
    <w:rsid w:val="008944D8"/>
    <w:rsid w:val="00894D83"/>
    <w:rsid w:val="00895F3D"/>
    <w:rsid w:val="00896052"/>
    <w:rsid w:val="008966DD"/>
    <w:rsid w:val="00897E71"/>
    <w:rsid w:val="008A2172"/>
    <w:rsid w:val="008A27D8"/>
    <w:rsid w:val="008A2914"/>
    <w:rsid w:val="008A291F"/>
    <w:rsid w:val="008A3450"/>
    <w:rsid w:val="008A40BA"/>
    <w:rsid w:val="008A512A"/>
    <w:rsid w:val="008B09BF"/>
    <w:rsid w:val="008B15DE"/>
    <w:rsid w:val="008B193E"/>
    <w:rsid w:val="008B1AD8"/>
    <w:rsid w:val="008B328C"/>
    <w:rsid w:val="008B3AFF"/>
    <w:rsid w:val="008B3E75"/>
    <w:rsid w:val="008B5830"/>
    <w:rsid w:val="008B6071"/>
    <w:rsid w:val="008B60FA"/>
    <w:rsid w:val="008B655B"/>
    <w:rsid w:val="008C06AC"/>
    <w:rsid w:val="008C12B4"/>
    <w:rsid w:val="008C17D5"/>
    <w:rsid w:val="008C1EB0"/>
    <w:rsid w:val="008C2746"/>
    <w:rsid w:val="008C2938"/>
    <w:rsid w:val="008C384A"/>
    <w:rsid w:val="008C3D42"/>
    <w:rsid w:val="008C4700"/>
    <w:rsid w:val="008C4970"/>
    <w:rsid w:val="008C4F70"/>
    <w:rsid w:val="008C611C"/>
    <w:rsid w:val="008C65C6"/>
    <w:rsid w:val="008D08BB"/>
    <w:rsid w:val="008D14B5"/>
    <w:rsid w:val="008D228D"/>
    <w:rsid w:val="008D260F"/>
    <w:rsid w:val="008D4F70"/>
    <w:rsid w:val="008D79C4"/>
    <w:rsid w:val="008E006F"/>
    <w:rsid w:val="008E007D"/>
    <w:rsid w:val="008E00E7"/>
    <w:rsid w:val="008E0760"/>
    <w:rsid w:val="008E1CE2"/>
    <w:rsid w:val="008E24C5"/>
    <w:rsid w:val="008E4D8E"/>
    <w:rsid w:val="008E720D"/>
    <w:rsid w:val="008E7715"/>
    <w:rsid w:val="008E783D"/>
    <w:rsid w:val="008E7DC7"/>
    <w:rsid w:val="008F18E3"/>
    <w:rsid w:val="008F2421"/>
    <w:rsid w:val="008F2F96"/>
    <w:rsid w:val="008F310A"/>
    <w:rsid w:val="008F5D54"/>
    <w:rsid w:val="008F5E34"/>
    <w:rsid w:val="008F66BE"/>
    <w:rsid w:val="008F6FFD"/>
    <w:rsid w:val="008F7CFC"/>
    <w:rsid w:val="00901C94"/>
    <w:rsid w:val="00901ED9"/>
    <w:rsid w:val="009039FC"/>
    <w:rsid w:val="00903FAB"/>
    <w:rsid w:val="009042C2"/>
    <w:rsid w:val="00904A36"/>
    <w:rsid w:val="00904C73"/>
    <w:rsid w:val="00905280"/>
    <w:rsid w:val="00905733"/>
    <w:rsid w:val="009061DD"/>
    <w:rsid w:val="00907A16"/>
    <w:rsid w:val="00907B14"/>
    <w:rsid w:val="00907D0B"/>
    <w:rsid w:val="00910EB3"/>
    <w:rsid w:val="00912121"/>
    <w:rsid w:val="009124C6"/>
    <w:rsid w:val="00912532"/>
    <w:rsid w:val="00912746"/>
    <w:rsid w:val="009129DE"/>
    <w:rsid w:val="00913223"/>
    <w:rsid w:val="0091365C"/>
    <w:rsid w:val="00913AAC"/>
    <w:rsid w:val="00913B2C"/>
    <w:rsid w:val="00913C2A"/>
    <w:rsid w:val="00913C31"/>
    <w:rsid w:val="00915660"/>
    <w:rsid w:val="00915A1E"/>
    <w:rsid w:val="00915EF5"/>
    <w:rsid w:val="0091617D"/>
    <w:rsid w:val="009161B7"/>
    <w:rsid w:val="009161FE"/>
    <w:rsid w:val="009169E2"/>
    <w:rsid w:val="009169FF"/>
    <w:rsid w:val="00917116"/>
    <w:rsid w:val="00920337"/>
    <w:rsid w:val="00920E3F"/>
    <w:rsid w:val="00921935"/>
    <w:rsid w:val="00922435"/>
    <w:rsid w:val="00922439"/>
    <w:rsid w:val="00923E62"/>
    <w:rsid w:val="00923FF4"/>
    <w:rsid w:val="0092439D"/>
    <w:rsid w:val="00924533"/>
    <w:rsid w:val="00925503"/>
    <w:rsid w:val="009258F9"/>
    <w:rsid w:val="00926192"/>
    <w:rsid w:val="009261B2"/>
    <w:rsid w:val="0092633E"/>
    <w:rsid w:val="0093028F"/>
    <w:rsid w:val="00930D8B"/>
    <w:rsid w:val="00931011"/>
    <w:rsid w:val="00932528"/>
    <w:rsid w:val="009328E7"/>
    <w:rsid w:val="00932EE8"/>
    <w:rsid w:val="00933056"/>
    <w:rsid w:val="00933FA8"/>
    <w:rsid w:val="0093406E"/>
    <w:rsid w:val="009340D7"/>
    <w:rsid w:val="00934B69"/>
    <w:rsid w:val="009366BE"/>
    <w:rsid w:val="0093755E"/>
    <w:rsid w:val="0093777A"/>
    <w:rsid w:val="0093794F"/>
    <w:rsid w:val="00937C0D"/>
    <w:rsid w:val="00937FDD"/>
    <w:rsid w:val="0094154E"/>
    <w:rsid w:val="009415C3"/>
    <w:rsid w:val="00942047"/>
    <w:rsid w:val="0094298B"/>
    <w:rsid w:val="00943C11"/>
    <w:rsid w:val="00944CD3"/>
    <w:rsid w:val="00945C10"/>
    <w:rsid w:val="00946AAC"/>
    <w:rsid w:val="00946BBF"/>
    <w:rsid w:val="00947235"/>
    <w:rsid w:val="00947254"/>
    <w:rsid w:val="00947B71"/>
    <w:rsid w:val="00951725"/>
    <w:rsid w:val="009528F6"/>
    <w:rsid w:val="0095302A"/>
    <w:rsid w:val="00953AB4"/>
    <w:rsid w:val="00955299"/>
    <w:rsid w:val="00955434"/>
    <w:rsid w:val="0095566C"/>
    <w:rsid w:val="009558EF"/>
    <w:rsid w:val="0095691C"/>
    <w:rsid w:val="00957C5A"/>
    <w:rsid w:val="00957DB8"/>
    <w:rsid w:val="00957EA1"/>
    <w:rsid w:val="00960296"/>
    <w:rsid w:val="009614A2"/>
    <w:rsid w:val="00962A5B"/>
    <w:rsid w:val="009631B2"/>
    <w:rsid w:val="0096327D"/>
    <w:rsid w:val="00963AB2"/>
    <w:rsid w:val="00963C3C"/>
    <w:rsid w:val="00963D8A"/>
    <w:rsid w:val="00963E42"/>
    <w:rsid w:val="00964683"/>
    <w:rsid w:val="009658F7"/>
    <w:rsid w:val="00966220"/>
    <w:rsid w:val="00966C8D"/>
    <w:rsid w:val="00966EAE"/>
    <w:rsid w:val="00970390"/>
    <w:rsid w:val="009717B7"/>
    <w:rsid w:val="0097187D"/>
    <w:rsid w:val="00972733"/>
    <w:rsid w:val="00972A22"/>
    <w:rsid w:val="00973762"/>
    <w:rsid w:val="009738B2"/>
    <w:rsid w:val="00974B3A"/>
    <w:rsid w:val="00974F0E"/>
    <w:rsid w:val="00976183"/>
    <w:rsid w:val="0097694B"/>
    <w:rsid w:val="00976E0A"/>
    <w:rsid w:val="0097700C"/>
    <w:rsid w:val="0098006E"/>
    <w:rsid w:val="00980811"/>
    <w:rsid w:val="0098172B"/>
    <w:rsid w:val="00982048"/>
    <w:rsid w:val="00982B55"/>
    <w:rsid w:val="00983750"/>
    <w:rsid w:val="00983A26"/>
    <w:rsid w:val="009842CB"/>
    <w:rsid w:val="00985661"/>
    <w:rsid w:val="009862E8"/>
    <w:rsid w:val="00991139"/>
    <w:rsid w:val="00992E7F"/>
    <w:rsid w:val="00994B73"/>
    <w:rsid w:val="0099552A"/>
    <w:rsid w:val="0099768F"/>
    <w:rsid w:val="009976D1"/>
    <w:rsid w:val="009A0036"/>
    <w:rsid w:val="009A13AA"/>
    <w:rsid w:val="009A1BDB"/>
    <w:rsid w:val="009A1C2D"/>
    <w:rsid w:val="009A257C"/>
    <w:rsid w:val="009A2709"/>
    <w:rsid w:val="009A282C"/>
    <w:rsid w:val="009A2F72"/>
    <w:rsid w:val="009A3FCD"/>
    <w:rsid w:val="009A426F"/>
    <w:rsid w:val="009A4628"/>
    <w:rsid w:val="009A4E99"/>
    <w:rsid w:val="009A5083"/>
    <w:rsid w:val="009A60F4"/>
    <w:rsid w:val="009A624D"/>
    <w:rsid w:val="009A72E8"/>
    <w:rsid w:val="009A770A"/>
    <w:rsid w:val="009B0652"/>
    <w:rsid w:val="009B06B2"/>
    <w:rsid w:val="009B26B0"/>
    <w:rsid w:val="009B29F4"/>
    <w:rsid w:val="009B37BC"/>
    <w:rsid w:val="009B3E5C"/>
    <w:rsid w:val="009B4C69"/>
    <w:rsid w:val="009B531F"/>
    <w:rsid w:val="009B6256"/>
    <w:rsid w:val="009B630E"/>
    <w:rsid w:val="009B65D1"/>
    <w:rsid w:val="009B73C7"/>
    <w:rsid w:val="009C0E2A"/>
    <w:rsid w:val="009C16ED"/>
    <w:rsid w:val="009C170F"/>
    <w:rsid w:val="009C1819"/>
    <w:rsid w:val="009C1A71"/>
    <w:rsid w:val="009C2636"/>
    <w:rsid w:val="009C4114"/>
    <w:rsid w:val="009C508F"/>
    <w:rsid w:val="009C5D58"/>
    <w:rsid w:val="009C759C"/>
    <w:rsid w:val="009C7D8D"/>
    <w:rsid w:val="009D026E"/>
    <w:rsid w:val="009D02FD"/>
    <w:rsid w:val="009D0531"/>
    <w:rsid w:val="009D1E0A"/>
    <w:rsid w:val="009D22D2"/>
    <w:rsid w:val="009D24D6"/>
    <w:rsid w:val="009D2888"/>
    <w:rsid w:val="009D2BB1"/>
    <w:rsid w:val="009D462E"/>
    <w:rsid w:val="009D4BE4"/>
    <w:rsid w:val="009D5FDB"/>
    <w:rsid w:val="009D6D92"/>
    <w:rsid w:val="009D719E"/>
    <w:rsid w:val="009E088B"/>
    <w:rsid w:val="009E19F5"/>
    <w:rsid w:val="009E280E"/>
    <w:rsid w:val="009E2BC1"/>
    <w:rsid w:val="009E2D53"/>
    <w:rsid w:val="009E34FD"/>
    <w:rsid w:val="009E3FEF"/>
    <w:rsid w:val="009E4C09"/>
    <w:rsid w:val="009E567C"/>
    <w:rsid w:val="009E6EAA"/>
    <w:rsid w:val="009F0A41"/>
    <w:rsid w:val="009F2A59"/>
    <w:rsid w:val="009F3826"/>
    <w:rsid w:val="009F56DC"/>
    <w:rsid w:val="009F707B"/>
    <w:rsid w:val="00A012AB"/>
    <w:rsid w:val="00A01657"/>
    <w:rsid w:val="00A01C00"/>
    <w:rsid w:val="00A02510"/>
    <w:rsid w:val="00A030FF"/>
    <w:rsid w:val="00A034A4"/>
    <w:rsid w:val="00A03989"/>
    <w:rsid w:val="00A05C14"/>
    <w:rsid w:val="00A05ED4"/>
    <w:rsid w:val="00A10473"/>
    <w:rsid w:val="00A1131D"/>
    <w:rsid w:val="00A121E9"/>
    <w:rsid w:val="00A12410"/>
    <w:rsid w:val="00A12412"/>
    <w:rsid w:val="00A12F56"/>
    <w:rsid w:val="00A13452"/>
    <w:rsid w:val="00A13849"/>
    <w:rsid w:val="00A13C33"/>
    <w:rsid w:val="00A149C5"/>
    <w:rsid w:val="00A14E2B"/>
    <w:rsid w:val="00A15B04"/>
    <w:rsid w:val="00A16390"/>
    <w:rsid w:val="00A168E8"/>
    <w:rsid w:val="00A17E85"/>
    <w:rsid w:val="00A20104"/>
    <w:rsid w:val="00A2060E"/>
    <w:rsid w:val="00A2068F"/>
    <w:rsid w:val="00A20BFA"/>
    <w:rsid w:val="00A2178F"/>
    <w:rsid w:val="00A21EF4"/>
    <w:rsid w:val="00A2202B"/>
    <w:rsid w:val="00A2219E"/>
    <w:rsid w:val="00A22AD4"/>
    <w:rsid w:val="00A22F34"/>
    <w:rsid w:val="00A23276"/>
    <w:rsid w:val="00A237C6"/>
    <w:rsid w:val="00A238CF"/>
    <w:rsid w:val="00A24CC3"/>
    <w:rsid w:val="00A24DED"/>
    <w:rsid w:val="00A25298"/>
    <w:rsid w:val="00A25608"/>
    <w:rsid w:val="00A269B3"/>
    <w:rsid w:val="00A27807"/>
    <w:rsid w:val="00A308C5"/>
    <w:rsid w:val="00A30909"/>
    <w:rsid w:val="00A32E64"/>
    <w:rsid w:val="00A3376A"/>
    <w:rsid w:val="00A33A5B"/>
    <w:rsid w:val="00A34E02"/>
    <w:rsid w:val="00A35B12"/>
    <w:rsid w:val="00A364DC"/>
    <w:rsid w:val="00A37836"/>
    <w:rsid w:val="00A37EA7"/>
    <w:rsid w:val="00A4126D"/>
    <w:rsid w:val="00A41289"/>
    <w:rsid w:val="00A42034"/>
    <w:rsid w:val="00A4276A"/>
    <w:rsid w:val="00A4426B"/>
    <w:rsid w:val="00A44A92"/>
    <w:rsid w:val="00A47200"/>
    <w:rsid w:val="00A47E14"/>
    <w:rsid w:val="00A47FB3"/>
    <w:rsid w:val="00A50237"/>
    <w:rsid w:val="00A504EE"/>
    <w:rsid w:val="00A50547"/>
    <w:rsid w:val="00A5206D"/>
    <w:rsid w:val="00A52389"/>
    <w:rsid w:val="00A52FFF"/>
    <w:rsid w:val="00A535D8"/>
    <w:rsid w:val="00A53830"/>
    <w:rsid w:val="00A54239"/>
    <w:rsid w:val="00A543CB"/>
    <w:rsid w:val="00A54B69"/>
    <w:rsid w:val="00A555B2"/>
    <w:rsid w:val="00A559BF"/>
    <w:rsid w:val="00A5620F"/>
    <w:rsid w:val="00A56316"/>
    <w:rsid w:val="00A56E29"/>
    <w:rsid w:val="00A57991"/>
    <w:rsid w:val="00A579A2"/>
    <w:rsid w:val="00A606EC"/>
    <w:rsid w:val="00A61580"/>
    <w:rsid w:val="00A642F7"/>
    <w:rsid w:val="00A646F4"/>
    <w:rsid w:val="00A6591B"/>
    <w:rsid w:val="00A66366"/>
    <w:rsid w:val="00A666E8"/>
    <w:rsid w:val="00A66938"/>
    <w:rsid w:val="00A706FC"/>
    <w:rsid w:val="00A70FA8"/>
    <w:rsid w:val="00A71AE0"/>
    <w:rsid w:val="00A72076"/>
    <w:rsid w:val="00A72729"/>
    <w:rsid w:val="00A727BC"/>
    <w:rsid w:val="00A72BA4"/>
    <w:rsid w:val="00A73257"/>
    <w:rsid w:val="00A73AB9"/>
    <w:rsid w:val="00A742E1"/>
    <w:rsid w:val="00A74AC6"/>
    <w:rsid w:val="00A7537D"/>
    <w:rsid w:val="00A75F58"/>
    <w:rsid w:val="00A8069D"/>
    <w:rsid w:val="00A806F1"/>
    <w:rsid w:val="00A8161D"/>
    <w:rsid w:val="00A81D42"/>
    <w:rsid w:val="00A842DB"/>
    <w:rsid w:val="00A843F5"/>
    <w:rsid w:val="00A86048"/>
    <w:rsid w:val="00A86908"/>
    <w:rsid w:val="00A86D5F"/>
    <w:rsid w:val="00A9086D"/>
    <w:rsid w:val="00A90F1F"/>
    <w:rsid w:val="00A91032"/>
    <w:rsid w:val="00A914F2"/>
    <w:rsid w:val="00A9245C"/>
    <w:rsid w:val="00A932E0"/>
    <w:rsid w:val="00A93DBF"/>
    <w:rsid w:val="00A94068"/>
    <w:rsid w:val="00A95159"/>
    <w:rsid w:val="00A95283"/>
    <w:rsid w:val="00A96708"/>
    <w:rsid w:val="00A96F81"/>
    <w:rsid w:val="00A97A79"/>
    <w:rsid w:val="00A97AA1"/>
    <w:rsid w:val="00AA11B1"/>
    <w:rsid w:val="00AA304C"/>
    <w:rsid w:val="00AA3101"/>
    <w:rsid w:val="00AA3601"/>
    <w:rsid w:val="00AA573A"/>
    <w:rsid w:val="00AA5AA5"/>
    <w:rsid w:val="00AA5DF4"/>
    <w:rsid w:val="00AA6320"/>
    <w:rsid w:val="00AA693E"/>
    <w:rsid w:val="00AA6ECF"/>
    <w:rsid w:val="00AA73B9"/>
    <w:rsid w:val="00AA7C6C"/>
    <w:rsid w:val="00AB00BA"/>
    <w:rsid w:val="00AB0853"/>
    <w:rsid w:val="00AB1D4B"/>
    <w:rsid w:val="00AB2E8B"/>
    <w:rsid w:val="00AB38AA"/>
    <w:rsid w:val="00AB3B5F"/>
    <w:rsid w:val="00AB4623"/>
    <w:rsid w:val="00AB4655"/>
    <w:rsid w:val="00AB4FE8"/>
    <w:rsid w:val="00AB5536"/>
    <w:rsid w:val="00AB7275"/>
    <w:rsid w:val="00AC090B"/>
    <w:rsid w:val="00AC0C05"/>
    <w:rsid w:val="00AC1737"/>
    <w:rsid w:val="00AC2CC8"/>
    <w:rsid w:val="00AC3B6C"/>
    <w:rsid w:val="00AC3C31"/>
    <w:rsid w:val="00AC4087"/>
    <w:rsid w:val="00AC42D3"/>
    <w:rsid w:val="00AC58BB"/>
    <w:rsid w:val="00AC63C5"/>
    <w:rsid w:val="00AC6FD9"/>
    <w:rsid w:val="00AD286F"/>
    <w:rsid w:val="00AD295B"/>
    <w:rsid w:val="00AD2F7A"/>
    <w:rsid w:val="00AD4B48"/>
    <w:rsid w:val="00AD4BB2"/>
    <w:rsid w:val="00AD4FE4"/>
    <w:rsid w:val="00AD520D"/>
    <w:rsid w:val="00AD5FBF"/>
    <w:rsid w:val="00AD631A"/>
    <w:rsid w:val="00AD6464"/>
    <w:rsid w:val="00AD6D9A"/>
    <w:rsid w:val="00AD70BE"/>
    <w:rsid w:val="00AE0921"/>
    <w:rsid w:val="00AE0D95"/>
    <w:rsid w:val="00AE31A3"/>
    <w:rsid w:val="00AE370A"/>
    <w:rsid w:val="00AE386F"/>
    <w:rsid w:val="00AE43FA"/>
    <w:rsid w:val="00AE49FD"/>
    <w:rsid w:val="00AE50D7"/>
    <w:rsid w:val="00AE53EB"/>
    <w:rsid w:val="00AE5944"/>
    <w:rsid w:val="00AF1EFA"/>
    <w:rsid w:val="00AF1F86"/>
    <w:rsid w:val="00AF1F88"/>
    <w:rsid w:val="00AF3376"/>
    <w:rsid w:val="00AF4188"/>
    <w:rsid w:val="00AF480D"/>
    <w:rsid w:val="00AF4D8F"/>
    <w:rsid w:val="00AF545D"/>
    <w:rsid w:val="00AF78BD"/>
    <w:rsid w:val="00AF7CA0"/>
    <w:rsid w:val="00B0137D"/>
    <w:rsid w:val="00B01590"/>
    <w:rsid w:val="00B036E0"/>
    <w:rsid w:val="00B04108"/>
    <w:rsid w:val="00B0431C"/>
    <w:rsid w:val="00B05009"/>
    <w:rsid w:val="00B05258"/>
    <w:rsid w:val="00B0574D"/>
    <w:rsid w:val="00B05CEC"/>
    <w:rsid w:val="00B07259"/>
    <w:rsid w:val="00B07582"/>
    <w:rsid w:val="00B10D6B"/>
    <w:rsid w:val="00B13D26"/>
    <w:rsid w:val="00B1485B"/>
    <w:rsid w:val="00B14BA8"/>
    <w:rsid w:val="00B153B3"/>
    <w:rsid w:val="00B15B3F"/>
    <w:rsid w:val="00B178F2"/>
    <w:rsid w:val="00B21220"/>
    <w:rsid w:val="00B24D30"/>
    <w:rsid w:val="00B25B6D"/>
    <w:rsid w:val="00B2777B"/>
    <w:rsid w:val="00B304F7"/>
    <w:rsid w:val="00B30689"/>
    <w:rsid w:val="00B31819"/>
    <w:rsid w:val="00B32298"/>
    <w:rsid w:val="00B3234D"/>
    <w:rsid w:val="00B328F3"/>
    <w:rsid w:val="00B32AB5"/>
    <w:rsid w:val="00B3371A"/>
    <w:rsid w:val="00B34174"/>
    <w:rsid w:val="00B348E3"/>
    <w:rsid w:val="00B350C1"/>
    <w:rsid w:val="00B37890"/>
    <w:rsid w:val="00B37CA5"/>
    <w:rsid w:val="00B40A43"/>
    <w:rsid w:val="00B41C06"/>
    <w:rsid w:val="00B428B4"/>
    <w:rsid w:val="00B433C8"/>
    <w:rsid w:val="00B43437"/>
    <w:rsid w:val="00B4350E"/>
    <w:rsid w:val="00B45F2E"/>
    <w:rsid w:val="00B47C5B"/>
    <w:rsid w:val="00B51E28"/>
    <w:rsid w:val="00B53C0D"/>
    <w:rsid w:val="00B53CAB"/>
    <w:rsid w:val="00B54115"/>
    <w:rsid w:val="00B54309"/>
    <w:rsid w:val="00B54414"/>
    <w:rsid w:val="00B56EA1"/>
    <w:rsid w:val="00B57C54"/>
    <w:rsid w:val="00B60919"/>
    <w:rsid w:val="00B61BB7"/>
    <w:rsid w:val="00B61E38"/>
    <w:rsid w:val="00B62318"/>
    <w:rsid w:val="00B62EAD"/>
    <w:rsid w:val="00B63957"/>
    <w:rsid w:val="00B6446D"/>
    <w:rsid w:val="00B64615"/>
    <w:rsid w:val="00B65C28"/>
    <w:rsid w:val="00B65EC2"/>
    <w:rsid w:val="00B67721"/>
    <w:rsid w:val="00B71B65"/>
    <w:rsid w:val="00B73114"/>
    <w:rsid w:val="00B73839"/>
    <w:rsid w:val="00B73FE4"/>
    <w:rsid w:val="00B74F71"/>
    <w:rsid w:val="00B7504A"/>
    <w:rsid w:val="00B75329"/>
    <w:rsid w:val="00B768E2"/>
    <w:rsid w:val="00B76E87"/>
    <w:rsid w:val="00B80569"/>
    <w:rsid w:val="00B8092C"/>
    <w:rsid w:val="00B80E6F"/>
    <w:rsid w:val="00B80FB2"/>
    <w:rsid w:val="00B818C3"/>
    <w:rsid w:val="00B81B6D"/>
    <w:rsid w:val="00B82416"/>
    <w:rsid w:val="00B8270C"/>
    <w:rsid w:val="00B82916"/>
    <w:rsid w:val="00B82B51"/>
    <w:rsid w:val="00B82DE8"/>
    <w:rsid w:val="00B8353E"/>
    <w:rsid w:val="00B8358C"/>
    <w:rsid w:val="00B837D6"/>
    <w:rsid w:val="00B83C9C"/>
    <w:rsid w:val="00B849EB"/>
    <w:rsid w:val="00B85580"/>
    <w:rsid w:val="00B85886"/>
    <w:rsid w:val="00B85D82"/>
    <w:rsid w:val="00B86F53"/>
    <w:rsid w:val="00B902D4"/>
    <w:rsid w:val="00B903C2"/>
    <w:rsid w:val="00B90B64"/>
    <w:rsid w:val="00B90E92"/>
    <w:rsid w:val="00B91024"/>
    <w:rsid w:val="00B915B1"/>
    <w:rsid w:val="00B91DE3"/>
    <w:rsid w:val="00B91EE2"/>
    <w:rsid w:val="00B927A0"/>
    <w:rsid w:val="00B92F0E"/>
    <w:rsid w:val="00B9504A"/>
    <w:rsid w:val="00B9721A"/>
    <w:rsid w:val="00B978B0"/>
    <w:rsid w:val="00BA124E"/>
    <w:rsid w:val="00BA1DAE"/>
    <w:rsid w:val="00BA1E0E"/>
    <w:rsid w:val="00BA2CD1"/>
    <w:rsid w:val="00BA4503"/>
    <w:rsid w:val="00BA5432"/>
    <w:rsid w:val="00BB0321"/>
    <w:rsid w:val="00BB0552"/>
    <w:rsid w:val="00BB170A"/>
    <w:rsid w:val="00BB2718"/>
    <w:rsid w:val="00BB34ED"/>
    <w:rsid w:val="00BB4079"/>
    <w:rsid w:val="00BB4B61"/>
    <w:rsid w:val="00BB5849"/>
    <w:rsid w:val="00BB5EE8"/>
    <w:rsid w:val="00BB6008"/>
    <w:rsid w:val="00BB6D35"/>
    <w:rsid w:val="00BC1258"/>
    <w:rsid w:val="00BC1956"/>
    <w:rsid w:val="00BC1EC0"/>
    <w:rsid w:val="00BC410B"/>
    <w:rsid w:val="00BC413B"/>
    <w:rsid w:val="00BC44F7"/>
    <w:rsid w:val="00BC5554"/>
    <w:rsid w:val="00BC5709"/>
    <w:rsid w:val="00BC59A1"/>
    <w:rsid w:val="00BC5CE6"/>
    <w:rsid w:val="00BC646E"/>
    <w:rsid w:val="00BC7249"/>
    <w:rsid w:val="00BC7299"/>
    <w:rsid w:val="00BC7B2C"/>
    <w:rsid w:val="00BC7BFA"/>
    <w:rsid w:val="00BD1171"/>
    <w:rsid w:val="00BD312F"/>
    <w:rsid w:val="00BD37EA"/>
    <w:rsid w:val="00BD561C"/>
    <w:rsid w:val="00BD6943"/>
    <w:rsid w:val="00BD6C21"/>
    <w:rsid w:val="00BD7480"/>
    <w:rsid w:val="00BD7615"/>
    <w:rsid w:val="00BE00CB"/>
    <w:rsid w:val="00BE024C"/>
    <w:rsid w:val="00BE25F3"/>
    <w:rsid w:val="00BE3DE1"/>
    <w:rsid w:val="00BE40D9"/>
    <w:rsid w:val="00BE45D6"/>
    <w:rsid w:val="00BE46B5"/>
    <w:rsid w:val="00BE62C6"/>
    <w:rsid w:val="00BE6403"/>
    <w:rsid w:val="00BE69D8"/>
    <w:rsid w:val="00BE70D9"/>
    <w:rsid w:val="00BF0406"/>
    <w:rsid w:val="00BF06C0"/>
    <w:rsid w:val="00BF0A80"/>
    <w:rsid w:val="00BF12B8"/>
    <w:rsid w:val="00BF25FF"/>
    <w:rsid w:val="00BF2D20"/>
    <w:rsid w:val="00BF3CF9"/>
    <w:rsid w:val="00BF44A7"/>
    <w:rsid w:val="00BF4D60"/>
    <w:rsid w:val="00BF5ADE"/>
    <w:rsid w:val="00BF61C8"/>
    <w:rsid w:val="00BF77D2"/>
    <w:rsid w:val="00C00647"/>
    <w:rsid w:val="00C01297"/>
    <w:rsid w:val="00C019C2"/>
    <w:rsid w:val="00C02727"/>
    <w:rsid w:val="00C03A26"/>
    <w:rsid w:val="00C04B80"/>
    <w:rsid w:val="00C05400"/>
    <w:rsid w:val="00C05628"/>
    <w:rsid w:val="00C05EC5"/>
    <w:rsid w:val="00C05F04"/>
    <w:rsid w:val="00C06652"/>
    <w:rsid w:val="00C0679B"/>
    <w:rsid w:val="00C0734F"/>
    <w:rsid w:val="00C10615"/>
    <w:rsid w:val="00C1218F"/>
    <w:rsid w:val="00C12301"/>
    <w:rsid w:val="00C130F9"/>
    <w:rsid w:val="00C13516"/>
    <w:rsid w:val="00C13693"/>
    <w:rsid w:val="00C136DB"/>
    <w:rsid w:val="00C138A6"/>
    <w:rsid w:val="00C140DA"/>
    <w:rsid w:val="00C141CB"/>
    <w:rsid w:val="00C15293"/>
    <w:rsid w:val="00C162AC"/>
    <w:rsid w:val="00C16D24"/>
    <w:rsid w:val="00C21790"/>
    <w:rsid w:val="00C21C52"/>
    <w:rsid w:val="00C225CD"/>
    <w:rsid w:val="00C2493D"/>
    <w:rsid w:val="00C24A5C"/>
    <w:rsid w:val="00C24D58"/>
    <w:rsid w:val="00C24F2B"/>
    <w:rsid w:val="00C25041"/>
    <w:rsid w:val="00C2647D"/>
    <w:rsid w:val="00C26F58"/>
    <w:rsid w:val="00C273EF"/>
    <w:rsid w:val="00C278E0"/>
    <w:rsid w:val="00C300F3"/>
    <w:rsid w:val="00C30525"/>
    <w:rsid w:val="00C30A0C"/>
    <w:rsid w:val="00C331A8"/>
    <w:rsid w:val="00C33B1C"/>
    <w:rsid w:val="00C33FDB"/>
    <w:rsid w:val="00C3474D"/>
    <w:rsid w:val="00C3522C"/>
    <w:rsid w:val="00C37EA6"/>
    <w:rsid w:val="00C41468"/>
    <w:rsid w:val="00C43267"/>
    <w:rsid w:val="00C443BD"/>
    <w:rsid w:val="00C44548"/>
    <w:rsid w:val="00C44A22"/>
    <w:rsid w:val="00C45380"/>
    <w:rsid w:val="00C45B1E"/>
    <w:rsid w:val="00C462DF"/>
    <w:rsid w:val="00C46DF0"/>
    <w:rsid w:val="00C4763A"/>
    <w:rsid w:val="00C50F67"/>
    <w:rsid w:val="00C51C02"/>
    <w:rsid w:val="00C524F1"/>
    <w:rsid w:val="00C5320D"/>
    <w:rsid w:val="00C53313"/>
    <w:rsid w:val="00C538E7"/>
    <w:rsid w:val="00C544BA"/>
    <w:rsid w:val="00C55679"/>
    <w:rsid w:val="00C560B5"/>
    <w:rsid w:val="00C5632C"/>
    <w:rsid w:val="00C56432"/>
    <w:rsid w:val="00C638A0"/>
    <w:rsid w:val="00C63F83"/>
    <w:rsid w:val="00C6400F"/>
    <w:rsid w:val="00C64C91"/>
    <w:rsid w:val="00C661A1"/>
    <w:rsid w:val="00C67AFE"/>
    <w:rsid w:val="00C70347"/>
    <w:rsid w:val="00C70477"/>
    <w:rsid w:val="00C72EB1"/>
    <w:rsid w:val="00C7393F"/>
    <w:rsid w:val="00C775F7"/>
    <w:rsid w:val="00C813D7"/>
    <w:rsid w:val="00C81787"/>
    <w:rsid w:val="00C81DE8"/>
    <w:rsid w:val="00C820B1"/>
    <w:rsid w:val="00C82C8F"/>
    <w:rsid w:val="00C83670"/>
    <w:rsid w:val="00C838B3"/>
    <w:rsid w:val="00C846B7"/>
    <w:rsid w:val="00C8477B"/>
    <w:rsid w:val="00C8492B"/>
    <w:rsid w:val="00C86D6D"/>
    <w:rsid w:val="00C86FBC"/>
    <w:rsid w:val="00C900E9"/>
    <w:rsid w:val="00C915B1"/>
    <w:rsid w:val="00C91842"/>
    <w:rsid w:val="00C9245E"/>
    <w:rsid w:val="00C925F7"/>
    <w:rsid w:val="00C926F1"/>
    <w:rsid w:val="00C92DD2"/>
    <w:rsid w:val="00C93079"/>
    <w:rsid w:val="00C936E6"/>
    <w:rsid w:val="00C94B5F"/>
    <w:rsid w:val="00C96773"/>
    <w:rsid w:val="00C975E4"/>
    <w:rsid w:val="00C97F20"/>
    <w:rsid w:val="00CA0046"/>
    <w:rsid w:val="00CA06E0"/>
    <w:rsid w:val="00CA0F81"/>
    <w:rsid w:val="00CA1265"/>
    <w:rsid w:val="00CA15E8"/>
    <w:rsid w:val="00CA2334"/>
    <w:rsid w:val="00CA3376"/>
    <w:rsid w:val="00CA35A5"/>
    <w:rsid w:val="00CA4181"/>
    <w:rsid w:val="00CA65F2"/>
    <w:rsid w:val="00CA718B"/>
    <w:rsid w:val="00CA737E"/>
    <w:rsid w:val="00CA7879"/>
    <w:rsid w:val="00CB02CE"/>
    <w:rsid w:val="00CB11AD"/>
    <w:rsid w:val="00CB25A7"/>
    <w:rsid w:val="00CB4F8E"/>
    <w:rsid w:val="00CB61A1"/>
    <w:rsid w:val="00CB6355"/>
    <w:rsid w:val="00CB716F"/>
    <w:rsid w:val="00CB74C6"/>
    <w:rsid w:val="00CB796A"/>
    <w:rsid w:val="00CC12AA"/>
    <w:rsid w:val="00CC1BD0"/>
    <w:rsid w:val="00CC36D2"/>
    <w:rsid w:val="00CC444B"/>
    <w:rsid w:val="00CC6079"/>
    <w:rsid w:val="00CC6604"/>
    <w:rsid w:val="00CC6C12"/>
    <w:rsid w:val="00CC6CC4"/>
    <w:rsid w:val="00CC7C77"/>
    <w:rsid w:val="00CD1809"/>
    <w:rsid w:val="00CD1E43"/>
    <w:rsid w:val="00CD23D6"/>
    <w:rsid w:val="00CD2918"/>
    <w:rsid w:val="00CD3AB0"/>
    <w:rsid w:val="00CD3D04"/>
    <w:rsid w:val="00CD44EC"/>
    <w:rsid w:val="00CD609A"/>
    <w:rsid w:val="00CD664E"/>
    <w:rsid w:val="00CE14CD"/>
    <w:rsid w:val="00CE1EB3"/>
    <w:rsid w:val="00CE2F49"/>
    <w:rsid w:val="00CE3CC4"/>
    <w:rsid w:val="00CE43AC"/>
    <w:rsid w:val="00CE4E13"/>
    <w:rsid w:val="00CE5BF3"/>
    <w:rsid w:val="00CE5E20"/>
    <w:rsid w:val="00CE6CF1"/>
    <w:rsid w:val="00CF0D33"/>
    <w:rsid w:val="00CF1AC2"/>
    <w:rsid w:val="00CF1C75"/>
    <w:rsid w:val="00CF1D45"/>
    <w:rsid w:val="00CF2353"/>
    <w:rsid w:val="00CF249C"/>
    <w:rsid w:val="00CF2EB8"/>
    <w:rsid w:val="00CF3782"/>
    <w:rsid w:val="00CF3FD9"/>
    <w:rsid w:val="00CF40F5"/>
    <w:rsid w:val="00CF4827"/>
    <w:rsid w:val="00CF54A9"/>
    <w:rsid w:val="00CF5D1A"/>
    <w:rsid w:val="00CF60EA"/>
    <w:rsid w:val="00CF614E"/>
    <w:rsid w:val="00CF63B8"/>
    <w:rsid w:val="00CF64E5"/>
    <w:rsid w:val="00CF7368"/>
    <w:rsid w:val="00CF77E9"/>
    <w:rsid w:val="00D00E79"/>
    <w:rsid w:val="00D01B35"/>
    <w:rsid w:val="00D0223E"/>
    <w:rsid w:val="00D02367"/>
    <w:rsid w:val="00D025F5"/>
    <w:rsid w:val="00D04370"/>
    <w:rsid w:val="00D043CD"/>
    <w:rsid w:val="00D045E3"/>
    <w:rsid w:val="00D04979"/>
    <w:rsid w:val="00D06693"/>
    <w:rsid w:val="00D07419"/>
    <w:rsid w:val="00D10CAF"/>
    <w:rsid w:val="00D1384A"/>
    <w:rsid w:val="00D143BC"/>
    <w:rsid w:val="00D14B14"/>
    <w:rsid w:val="00D14D3B"/>
    <w:rsid w:val="00D1540D"/>
    <w:rsid w:val="00D16A8A"/>
    <w:rsid w:val="00D17B30"/>
    <w:rsid w:val="00D20381"/>
    <w:rsid w:val="00D2320C"/>
    <w:rsid w:val="00D24414"/>
    <w:rsid w:val="00D24F75"/>
    <w:rsid w:val="00D25A13"/>
    <w:rsid w:val="00D271BA"/>
    <w:rsid w:val="00D2771F"/>
    <w:rsid w:val="00D30BCB"/>
    <w:rsid w:val="00D31AC6"/>
    <w:rsid w:val="00D31B2C"/>
    <w:rsid w:val="00D32CA8"/>
    <w:rsid w:val="00D33E11"/>
    <w:rsid w:val="00D343C8"/>
    <w:rsid w:val="00D34B69"/>
    <w:rsid w:val="00D34CBB"/>
    <w:rsid w:val="00D36C7B"/>
    <w:rsid w:val="00D36DD9"/>
    <w:rsid w:val="00D40F4D"/>
    <w:rsid w:val="00D413EB"/>
    <w:rsid w:val="00D417F0"/>
    <w:rsid w:val="00D41896"/>
    <w:rsid w:val="00D42A7D"/>
    <w:rsid w:val="00D42E44"/>
    <w:rsid w:val="00D4400F"/>
    <w:rsid w:val="00D44837"/>
    <w:rsid w:val="00D44E01"/>
    <w:rsid w:val="00D46E24"/>
    <w:rsid w:val="00D506A2"/>
    <w:rsid w:val="00D50C31"/>
    <w:rsid w:val="00D51268"/>
    <w:rsid w:val="00D513D6"/>
    <w:rsid w:val="00D51CC1"/>
    <w:rsid w:val="00D535E0"/>
    <w:rsid w:val="00D5361A"/>
    <w:rsid w:val="00D53F2E"/>
    <w:rsid w:val="00D5544E"/>
    <w:rsid w:val="00D55A4A"/>
    <w:rsid w:val="00D55E47"/>
    <w:rsid w:val="00D55E50"/>
    <w:rsid w:val="00D5621A"/>
    <w:rsid w:val="00D57C0A"/>
    <w:rsid w:val="00D60E40"/>
    <w:rsid w:val="00D61A96"/>
    <w:rsid w:val="00D6222F"/>
    <w:rsid w:val="00D6250C"/>
    <w:rsid w:val="00D640B1"/>
    <w:rsid w:val="00D6464D"/>
    <w:rsid w:val="00D66D0A"/>
    <w:rsid w:val="00D706A0"/>
    <w:rsid w:val="00D71A51"/>
    <w:rsid w:val="00D7206C"/>
    <w:rsid w:val="00D722F6"/>
    <w:rsid w:val="00D73E7D"/>
    <w:rsid w:val="00D745DC"/>
    <w:rsid w:val="00D747F4"/>
    <w:rsid w:val="00D74BA7"/>
    <w:rsid w:val="00D74F31"/>
    <w:rsid w:val="00D75124"/>
    <w:rsid w:val="00D753C5"/>
    <w:rsid w:val="00D755DA"/>
    <w:rsid w:val="00D76872"/>
    <w:rsid w:val="00D8078C"/>
    <w:rsid w:val="00D80AA1"/>
    <w:rsid w:val="00D813C1"/>
    <w:rsid w:val="00D819C5"/>
    <w:rsid w:val="00D81F24"/>
    <w:rsid w:val="00D82935"/>
    <w:rsid w:val="00D82A7A"/>
    <w:rsid w:val="00D83281"/>
    <w:rsid w:val="00D83641"/>
    <w:rsid w:val="00D83C2D"/>
    <w:rsid w:val="00D87176"/>
    <w:rsid w:val="00D87E08"/>
    <w:rsid w:val="00D91AF3"/>
    <w:rsid w:val="00D921DC"/>
    <w:rsid w:val="00D9313D"/>
    <w:rsid w:val="00D95535"/>
    <w:rsid w:val="00D95613"/>
    <w:rsid w:val="00D95FA9"/>
    <w:rsid w:val="00D96A24"/>
    <w:rsid w:val="00D96ED1"/>
    <w:rsid w:val="00D9736B"/>
    <w:rsid w:val="00D97C99"/>
    <w:rsid w:val="00DA0F6B"/>
    <w:rsid w:val="00DA1B59"/>
    <w:rsid w:val="00DA1D8B"/>
    <w:rsid w:val="00DA2009"/>
    <w:rsid w:val="00DA2871"/>
    <w:rsid w:val="00DA3467"/>
    <w:rsid w:val="00DA46AD"/>
    <w:rsid w:val="00DA4E59"/>
    <w:rsid w:val="00DA4F66"/>
    <w:rsid w:val="00DA60D0"/>
    <w:rsid w:val="00DA62FD"/>
    <w:rsid w:val="00DA6C86"/>
    <w:rsid w:val="00DA77AB"/>
    <w:rsid w:val="00DB3A24"/>
    <w:rsid w:val="00DB5059"/>
    <w:rsid w:val="00DB5958"/>
    <w:rsid w:val="00DB61BD"/>
    <w:rsid w:val="00DB63E1"/>
    <w:rsid w:val="00DB7189"/>
    <w:rsid w:val="00DB742E"/>
    <w:rsid w:val="00DB7AE9"/>
    <w:rsid w:val="00DC06A0"/>
    <w:rsid w:val="00DC0C9F"/>
    <w:rsid w:val="00DC104D"/>
    <w:rsid w:val="00DC20AB"/>
    <w:rsid w:val="00DC2CF4"/>
    <w:rsid w:val="00DC3D97"/>
    <w:rsid w:val="00DC41A0"/>
    <w:rsid w:val="00DC4383"/>
    <w:rsid w:val="00DC43EB"/>
    <w:rsid w:val="00DC566A"/>
    <w:rsid w:val="00DC6132"/>
    <w:rsid w:val="00DD0B63"/>
    <w:rsid w:val="00DD3781"/>
    <w:rsid w:val="00DD407F"/>
    <w:rsid w:val="00DD4741"/>
    <w:rsid w:val="00DD5B8C"/>
    <w:rsid w:val="00DD7121"/>
    <w:rsid w:val="00DD764C"/>
    <w:rsid w:val="00DD7849"/>
    <w:rsid w:val="00DE06D6"/>
    <w:rsid w:val="00DE1709"/>
    <w:rsid w:val="00DE369D"/>
    <w:rsid w:val="00DE52E0"/>
    <w:rsid w:val="00DE642F"/>
    <w:rsid w:val="00DE695C"/>
    <w:rsid w:val="00DE788B"/>
    <w:rsid w:val="00DE7EE3"/>
    <w:rsid w:val="00DF00D4"/>
    <w:rsid w:val="00DF05A7"/>
    <w:rsid w:val="00DF1567"/>
    <w:rsid w:val="00DF1832"/>
    <w:rsid w:val="00DF1D4D"/>
    <w:rsid w:val="00DF2494"/>
    <w:rsid w:val="00DF32E8"/>
    <w:rsid w:val="00DF33FE"/>
    <w:rsid w:val="00DF4DBC"/>
    <w:rsid w:val="00DF50BC"/>
    <w:rsid w:val="00DF53D6"/>
    <w:rsid w:val="00DF65A2"/>
    <w:rsid w:val="00DF7057"/>
    <w:rsid w:val="00DF7446"/>
    <w:rsid w:val="00DF78DE"/>
    <w:rsid w:val="00E000FA"/>
    <w:rsid w:val="00E0044F"/>
    <w:rsid w:val="00E00F08"/>
    <w:rsid w:val="00E01248"/>
    <w:rsid w:val="00E01C21"/>
    <w:rsid w:val="00E02223"/>
    <w:rsid w:val="00E02537"/>
    <w:rsid w:val="00E035AE"/>
    <w:rsid w:val="00E03EDF"/>
    <w:rsid w:val="00E046D0"/>
    <w:rsid w:val="00E04AF5"/>
    <w:rsid w:val="00E052EA"/>
    <w:rsid w:val="00E05319"/>
    <w:rsid w:val="00E054A4"/>
    <w:rsid w:val="00E05716"/>
    <w:rsid w:val="00E067F3"/>
    <w:rsid w:val="00E0702F"/>
    <w:rsid w:val="00E111FE"/>
    <w:rsid w:val="00E11B6C"/>
    <w:rsid w:val="00E11C1C"/>
    <w:rsid w:val="00E15162"/>
    <w:rsid w:val="00E15EA7"/>
    <w:rsid w:val="00E15EBB"/>
    <w:rsid w:val="00E15F01"/>
    <w:rsid w:val="00E162A6"/>
    <w:rsid w:val="00E16960"/>
    <w:rsid w:val="00E16C5A"/>
    <w:rsid w:val="00E16EF8"/>
    <w:rsid w:val="00E17D8D"/>
    <w:rsid w:val="00E17FD5"/>
    <w:rsid w:val="00E2224A"/>
    <w:rsid w:val="00E23493"/>
    <w:rsid w:val="00E2648E"/>
    <w:rsid w:val="00E2692A"/>
    <w:rsid w:val="00E27ECA"/>
    <w:rsid w:val="00E30244"/>
    <w:rsid w:val="00E30690"/>
    <w:rsid w:val="00E328E5"/>
    <w:rsid w:val="00E33852"/>
    <w:rsid w:val="00E33AB5"/>
    <w:rsid w:val="00E33F38"/>
    <w:rsid w:val="00E37BE8"/>
    <w:rsid w:val="00E37BFC"/>
    <w:rsid w:val="00E37C3F"/>
    <w:rsid w:val="00E44331"/>
    <w:rsid w:val="00E443AF"/>
    <w:rsid w:val="00E4697B"/>
    <w:rsid w:val="00E472BA"/>
    <w:rsid w:val="00E50DF4"/>
    <w:rsid w:val="00E5218D"/>
    <w:rsid w:val="00E5372F"/>
    <w:rsid w:val="00E546F9"/>
    <w:rsid w:val="00E553E5"/>
    <w:rsid w:val="00E55B3D"/>
    <w:rsid w:val="00E563D5"/>
    <w:rsid w:val="00E56587"/>
    <w:rsid w:val="00E57626"/>
    <w:rsid w:val="00E57BA9"/>
    <w:rsid w:val="00E621EE"/>
    <w:rsid w:val="00E6237E"/>
    <w:rsid w:val="00E63F39"/>
    <w:rsid w:val="00E645E9"/>
    <w:rsid w:val="00E64E7C"/>
    <w:rsid w:val="00E65056"/>
    <w:rsid w:val="00E66AC6"/>
    <w:rsid w:val="00E6732F"/>
    <w:rsid w:val="00E67B6C"/>
    <w:rsid w:val="00E72399"/>
    <w:rsid w:val="00E7318B"/>
    <w:rsid w:val="00E744DF"/>
    <w:rsid w:val="00E75296"/>
    <w:rsid w:val="00E75E95"/>
    <w:rsid w:val="00E76264"/>
    <w:rsid w:val="00E77777"/>
    <w:rsid w:val="00E77935"/>
    <w:rsid w:val="00E77AA6"/>
    <w:rsid w:val="00E77AF5"/>
    <w:rsid w:val="00E77C16"/>
    <w:rsid w:val="00E80341"/>
    <w:rsid w:val="00E80B4A"/>
    <w:rsid w:val="00E81C38"/>
    <w:rsid w:val="00E81D58"/>
    <w:rsid w:val="00E82233"/>
    <w:rsid w:val="00E823B6"/>
    <w:rsid w:val="00E83FEE"/>
    <w:rsid w:val="00E862F4"/>
    <w:rsid w:val="00E86BBD"/>
    <w:rsid w:val="00E86EB0"/>
    <w:rsid w:val="00E86F83"/>
    <w:rsid w:val="00E87F33"/>
    <w:rsid w:val="00E90B2B"/>
    <w:rsid w:val="00E90D98"/>
    <w:rsid w:val="00E91FBE"/>
    <w:rsid w:val="00E92F29"/>
    <w:rsid w:val="00E9509C"/>
    <w:rsid w:val="00E95698"/>
    <w:rsid w:val="00E95BD2"/>
    <w:rsid w:val="00E95F4F"/>
    <w:rsid w:val="00E95F9A"/>
    <w:rsid w:val="00E96978"/>
    <w:rsid w:val="00E96B61"/>
    <w:rsid w:val="00E971B2"/>
    <w:rsid w:val="00E97ADA"/>
    <w:rsid w:val="00EA0200"/>
    <w:rsid w:val="00EA059E"/>
    <w:rsid w:val="00EA45CF"/>
    <w:rsid w:val="00EA5F6C"/>
    <w:rsid w:val="00EA6124"/>
    <w:rsid w:val="00EA6E47"/>
    <w:rsid w:val="00EA6E79"/>
    <w:rsid w:val="00EA7B4C"/>
    <w:rsid w:val="00EA7BDA"/>
    <w:rsid w:val="00EB070D"/>
    <w:rsid w:val="00EB1D5F"/>
    <w:rsid w:val="00EB3187"/>
    <w:rsid w:val="00EB3D0E"/>
    <w:rsid w:val="00EB4C47"/>
    <w:rsid w:val="00EB516D"/>
    <w:rsid w:val="00EB60F3"/>
    <w:rsid w:val="00EB6195"/>
    <w:rsid w:val="00EB6375"/>
    <w:rsid w:val="00EB638E"/>
    <w:rsid w:val="00EB7A64"/>
    <w:rsid w:val="00EB7EFD"/>
    <w:rsid w:val="00EB7F47"/>
    <w:rsid w:val="00EC127B"/>
    <w:rsid w:val="00EC14EA"/>
    <w:rsid w:val="00EC1679"/>
    <w:rsid w:val="00EC18DD"/>
    <w:rsid w:val="00EC23BB"/>
    <w:rsid w:val="00EC2AC2"/>
    <w:rsid w:val="00EC2F13"/>
    <w:rsid w:val="00EC33AE"/>
    <w:rsid w:val="00EC3C8E"/>
    <w:rsid w:val="00EC4DDC"/>
    <w:rsid w:val="00EC553E"/>
    <w:rsid w:val="00EC5835"/>
    <w:rsid w:val="00EC5AFF"/>
    <w:rsid w:val="00EC5CA7"/>
    <w:rsid w:val="00EC6579"/>
    <w:rsid w:val="00EC6882"/>
    <w:rsid w:val="00EC7AF3"/>
    <w:rsid w:val="00EC7BB1"/>
    <w:rsid w:val="00ED039A"/>
    <w:rsid w:val="00ED12B1"/>
    <w:rsid w:val="00ED1432"/>
    <w:rsid w:val="00ED1721"/>
    <w:rsid w:val="00ED1FC9"/>
    <w:rsid w:val="00ED223F"/>
    <w:rsid w:val="00ED2702"/>
    <w:rsid w:val="00ED2D44"/>
    <w:rsid w:val="00ED40E4"/>
    <w:rsid w:val="00ED5993"/>
    <w:rsid w:val="00ED5A3E"/>
    <w:rsid w:val="00ED60F4"/>
    <w:rsid w:val="00ED78FF"/>
    <w:rsid w:val="00EE0AE3"/>
    <w:rsid w:val="00EE0C1D"/>
    <w:rsid w:val="00EE2F5E"/>
    <w:rsid w:val="00EE3A8F"/>
    <w:rsid w:val="00EE44F7"/>
    <w:rsid w:val="00EE7C0C"/>
    <w:rsid w:val="00EF4BAA"/>
    <w:rsid w:val="00EF4BCA"/>
    <w:rsid w:val="00EF579C"/>
    <w:rsid w:val="00EF6459"/>
    <w:rsid w:val="00EF79A7"/>
    <w:rsid w:val="00EF7A47"/>
    <w:rsid w:val="00F0057A"/>
    <w:rsid w:val="00F020B8"/>
    <w:rsid w:val="00F024B4"/>
    <w:rsid w:val="00F02A92"/>
    <w:rsid w:val="00F059C1"/>
    <w:rsid w:val="00F0614D"/>
    <w:rsid w:val="00F061AA"/>
    <w:rsid w:val="00F06C4D"/>
    <w:rsid w:val="00F0735E"/>
    <w:rsid w:val="00F07DA3"/>
    <w:rsid w:val="00F114DC"/>
    <w:rsid w:val="00F14236"/>
    <w:rsid w:val="00F14B8A"/>
    <w:rsid w:val="00F151FC"/>
    <w:rsid w:val="00F17093"/>
    <w:rsid w:val="00F207B2"/>
    <w:rsid w:val="00F22BCB"/>
    <w:rsid w:val="00F23A1C"/>
    <w:rsid w:val="00F24A65"/>
    <w:rsid w:val="00F24AD0"/>
    <w:rsid w:val="00F25492"/>
    <w:rsid w:val="00F27229"/>
    <w:rsid w:val="00F277C4"/>
    <w:rsid w:val="00F27EFF"/>
    <w:rsid w:val="00F3146E"/>
    <w:rsid w:val="00F31AA1"/>
    <w:rsid w:val="00F31DFC"/>
    <w:rsid w:val="00F3223A"/>
    <w:rsid w:val="00F32783"/>
    <w:rsid w:val="00F32C32"/>
    <w:rsid w:val="00F32F3C"/>
    <w:rsid w:val="00F334D5"/>
    <w:rsid w:val="00F33CB5"/>
    <w:rsid w:val="00F34FDB"/>
    <w:rsid w:val="00F35A60"/>
    <w:rsid w:val="00F37863"/>
    <w:rsid w:val="00F4079A"/>
    <w:rsid w:val="00F409E2"/>
    <w:rsid w:val="00F41C5C"/>
    <w:rsid w:val="00F41E64"/>
    <w:rsid w:val="00F41FF1"/>
    <w:rsid w:val="00F42CFA"/>
    <w:rsid w:val="00F431B3"/>
    <w:rsid w:val="00F45296"/>
    <w:rsid w:val="00F45B94"/>
    <w:rsid w:val="00F462E1"/>
    <w:rsid w:val="00F472A1"/>
    <w:rsid w:val="00F473AA"/>
    <w:rsid w:val="00F47A6A"/>
    <w:rsid w:val="00F5090E"/>
    <w:rsid w:val="00F5156D"/>
    <w:rsid w:val="00F517C3"/>
    <w:rsid w:val="00F525E0"/>
    <w:rsid w:val="00F53FF2"/>
    <w:rsid w:val="00F54995"/>
    <w:rsid w:val="00F54ED6"/>
    <w:rsid w:val="00F552DB"/>
    <w:rsid w:val="00F55524"/>
    <w:rsid w:val="00F57217"/>
    <w:rsid w:val="00F60DC9"/>
    <w:rsid w:val="00F610E7"/>
    <w:rsid w:val="00F6133E"/>
    <w:rsid w:val="00F61412"/>
    <w:rsid w:val="00F619C1"/>
    <w:rsid w:val="00F63FA7"/>
    <w:rsid w:val="00F64229"/>
    <w:rsid w:val="00F6490A"/>
    <w:rsid w:val="00F64D8E"/>
    <w:rsid w:val="00F66008"/>
    <w:rsid w:val="00F66E20"/>
    <w:rsid w:val="00F6714D"/>
    <w:rsid w:val="00F727CE"/>
    <w:rsid w:val="00F72BD4"/>
    <w:rsid w:val="00F735B8"/>
    <w:rsid w:val="00F7461F"/>
    <w:rsid w:val="00F75736"/>
    <w:rsid w:val="00F75F0A"/>
    <w:rsid w:val="00F766B2"/>
    <w:rsid w:val="00F76AD7"/>
    <w:rsid w:val="00F80559"/>
    <w:rsid w:val="00F82AAD"/>
    <w:rsid w:val="00F83F67"/>
    <w:rsid w:val="00F85DA1"/>
    <w:rsid w:val="00F868AF"/>
    <w:rsid w:val="00F86DEF"/>
    <w:rsid w:val="00F86E2C"/>
    <w:rsid w:val="00F877C8"/>
    <w:rsid w:val="00F905CE"/>
    <w:rsid w:val="00F917C5"/>
    <w:rsid w:val="00F92F49"/>
    <w:rsid w:val="00F93759"/>
    <w:rsid w:val="00F93C70"/>
    <w:rsid w:val="00F9408A"/>
    <w:rsid w:val="00F94121"/>
    <w:rsid w:val="00F94B95"/>
    <w:rsid w:val="00F94EBE"/>
    <w:rsid w:val="00F958E9"/>
    <w:rsid w:val="00F9612C"/>
    <w:rsid w:val="00F96675"/>
    <w:rsid w:val="00FA0026"/>
    <w:rsid w:val="00FA024F"/>
    <w:rsid w:val="00FA0F61"/>
    <w:rsid w:val="00FA26E5"/>
    <w:rsid w:val="00FA2DF3"/>
    <w:rsid w:val="00FA4557"/>
    <w:rsid w:val="00FA4C5C"/>
    <w:rsid w:val="00FA5645"/>
    <w:rsid w:val="00FA6477"/>
    <w:rsid w:val="00FA6F99"/>
    <w:rsid w:val="00FA7873"/>
    <w:rsid w:val="00FB0D40"/>
    <w:rsid w:val="00FB30FE"/>
    <w:rsid w:val="00FB35AF"/>
    <w:rsid w:val="00FB36FC"/>
    <w:rsid w:val="00FB4018"/>
    <w:rsid w:val="00FB4C13"/>
    <w:rsid w:val="00FB52CA"/>
    <w:rsid w:val="00FB5EEC"/>
    <w:rsid w:val="00FB70D3"/>
    <w:rsid w:val="00FB7898"/>
    <w:rsid w:val="00FC1148"/>
    <w:rsid w:val="00FC1A01"/>
    <w:rsid w:val="00FC1D8D"/>
    <w:rsid w:val="00FC1EA4"/>
    <w:rsid w:val="00FC21B3"/>
    <w:rsid w:val="00FC35D8"/>
    <w:rsid w:val="00FC3761"/>
    <w:rsid w:val="00FC38F8"/>
    <w:rsid w:val="00FC4492"/>
    <w:rsid w:val="00FC4E2A"/>
    <w:rsid w:val="00FC508B"/>
    <w:rsid w:val="00FC50BC"/>
    <w:rsid w:val="00FC5998"/>
    <w:rsid w:val="00FC7561"/>
    <w:rsid w:val="00FC7765"/>
    <w:rsid w:val="00FD057D"/>
    <w:rsid w:val="00FD08F9"/>
    <w:rsid w:val="00FD1AD7"/>
    <w:rsid w:val="00FD1CDD"/>
    <w:rsid w:val="00FD3289"/>
    <w:rsid w:val="00FD3B45"/>
    <w:rsid w:val="00FD5D1B"/>
    <w:rsid w:val="00FD6247"/>
    <w:rsid w:val="00FD6D67"/>
    <w:rsid w:val="00FD70A4"/>
    <w:rsid w:val="00FE0816"/>
    <w:rsid w:val="00FE0F21"/>
    <w:rsid w:val="00FE1463"/>
    <w:rsid w:val="00FE219A"/>
    <w:rsid w:val="00FE2D58"/>
    <w:rsid w:val="00FE2ECE"/>
    <w:rsid w:val="00FE3026"/>
    <w:rsid w:val="00FE31E0"/>
    <w:rsid w:val="00FE3EA6"/>
    <w:rsid w:val="00FE4396"/>
    <w:rsid w:val="00FE4AFB"/>
    <w:rsid w:val="00FE4C8C"/>
    <w:rsid w:val="00FE4E71"/>
    <w:rsid w:val="00FE50C0"/>
    <w:rsid w:val="00FE5C6B"/>
    <w:rsid w:val="00FE6F20"/>
    <w:rsid w:val="00FE7BCB"/>
    <w:rsid w:val="00FF17B7"/>
    <w:rsid w:val="00FF1CB4"/>
    <w:rsid w:val="00FF29B2"/>
    <w:rsid w:val="00FF36C8"/>
    <w:rsid w:val="00FF4C1C"/>
    <w:rsid w:val="00FF5A3F"/>
    <w:rsid w:val="00FF6652"/>
    <w:rsid w:val="00FF7E46"/>
    <w:rsid w:val="0122A9DC"/>
    <w:rsid w:val="01C66662"/>
    <w:rsid w:val="01CE9C72"/>
    <w:rsid w:val="02129DD0"/>
    <w:rsid w:val="02A2E507"/>
    <w:rsid w:val="02DEEACF"/>
    <w:rsid w:val="03340122"/>
    <w:rsid w:val="0361E987"/>
    <w:rsid w:val="03B82D74"/>
    <w:rsid w:val="0443158E"/>
    <w:rsid w:val="04698617"/>
    <w:rsid w:val="04C617EC"/>
    <w:rsid w:val="04DF3F45"/>
    <w:rsid w:val="052BFE08"/>
    <w:rsid w:val="0532E620"/>
    <w:rsid w:val="0558BE32"/>
    <w:rsid w:val="066F9112"/>
    <w:rsid w:val="0721D8C7"/>
    <w:rsid w:val="07385B0D"/>
    <w:rsid w:val="07C0BB2B"/>
    <w:rsid w:val="07EB0BB1"/>
    <w:rsid w:val="08166BA9"/>
    <w:rsid w:val="083E2DDF"/>
    <w:rsid w:val="08404DCF"/>
    <w:rsid w:val="089DE7CB"/>
    <w:rsid w:val="08D1D774"/>
    <w:rsid w:val="08D20BFC"/>
    <w:rsid w:val="091A355C"/>
    <w:rsid w:val="093D0EE4"/>
    <w:rsid w:val="0998AF6B"/>
    <w:rsid w:val="09C66E5F"/>
    <w:rsid w:val="09CDC870"/>
    <w:rsid w:val="0AA38AB7"/>
    <w:rsid w:val="0AD4D343"/>
    <w:rsid w:val="0ADF53B9"/>
    <w:rsid w:val="0B1C7EED"/>
    <w:rsid w:val="0B3FED32"/>
    <w:rsid w:val="0BC50998"/>
    <w:rsid w:val="0BD53A73"/>
    <w:rsid w:val="0BEB001E"/>
    <w:rsid w:val="0C97F905"/>
    <w:rsid w:val="0D046CA2"/>
    <w:rsid w:val="0D2707BF"/>
    <w:rsid w:val="0D3E848E"/>
    <w:rsid w:val="0D7991C8"/>
    <w:rsid w:val="0D847D6D"/>
    <w:rsid w:val="0E5992B3"/>
    <w:rsid w:val="0E944201"/>
    <w:rsid w:val="0EBFE358"/>
    <w:rsid w:val="0EEB4B5D"/>
    <w:rsid w:val="0F5E825A"/>
    <w:rsid w:val="0F912125"/>
    <w:rsid w:val="0FD2616D"/>
    <w:rsid w:val="0FD54690"/>
    <w:rsid w:val="0FD92298"/>
    <w:rsid w:val="10E630F5"/>
    <w:rsid w:val="10F3CFF3"/>
    <w:rsid w:val="10FBC128"/>
    <w:rsid w:val="110A03D5"/>
    <w:rsid w:val="110C1551"/>
    <w:rsid w:val="115DC986"/>
    <w:rsid w:val="1161C5B0"/>
    <w:rsid w:val="1217B992"/>
    <w:rsid w:val="12633DB4"/>
    <w:rsid w:val="12C9DE99"/>
    <w:rsid w:val="130B24B2"/>
    <w:rsid w:val="131BB49C"/>
    <w:rsid w:val="13A3EFA4"/>
    <w:rsid w:val="13FE8298"/>
    <w:rsid w:val="147BDA52"/>
    <w:rsid w:val="14F5A1DB"/>
    <w:rsid w:val="15CA48CC"/>
    <w:rsid w:val="15D2B4B1"/>
    <w:rsid w:val="15EE58A3"/>
    <w:rsid w:val="163D2C2F"/>
    <w:rsid w:val="16A3DBAE"/>
    <w:rsid w:val="179523C3"/>
    <w:rsid w:val="179723AD"/>
    <w:rsid w:val="17ABB847"/>
    <w:rsid w:val="17D957F8"/>
    <w:rsid w:val="18183C05"/>
    <w:rsid w:val="1832F7F8"/>
    <w:rsid w:val="186A187D"/>
    <w:rsid w:val="18BBC0D2"/>
    <w:rsid w:val="1923B0D3"/>
    <w:rsid w:val="19707D7F"/>
    <w:rsid w:val="19747647"/>
    <w:rsid w:val="197F918C"/>
    <w:rsid w:val="1A5CAC9E"/>
    <w:rsid w:val="1A981E65"/>
    <w:rsid w:val="1B0FDC24"/>
    <w:rsid w:val="1B5CB4BC"/>
    <w:rsid w:val="1B631E5D"/>
    <w:rsid w:val="1B84EA26"/>
    <w:rsid w:val="1B9F8121"/>
    <w:rsid w:val="1C5EE05C"/>
    <w:rsid w:val="1C8E8876"/>
    <w:rsid w:val="1C8FE500"/>
    <w:rsid w:val="1CB2350B"/>
    <w:rsid w:val="1D222234"/>
    <w:rsid w:val="1DAF00DF"/>
    <w:rsid w:val="1DBEA599"/>
    <w:rsid w:val="1DC118CF"/>
    <w:rsid w:val="1DF593E2"/>
    <w:rsid w:val="1DF94A40"/>
    <w:rsid w:val="1E245EAC"/>
    <w:rsid w:val="1E5742BB"/>
    <w:rsid w:val="1EA0D121"/>
    <w:rsid w:val="1EE4E5C1"/>
    <w:rsid w:val="1F43AAA9"/>
    <w:rsid w:val="1FDAD8F8"/>
    <w:rsid w:val="205A62C1"/>
    <w:rsid w:val="207FC294"/>
    <w:rsid w:val="20A859A1"/>
    <w:rsid w:val="20B14CB5"/>
    <w:rsid w:val="213C10DB"/>
    <w:rsid w:val="215DA0F9"/>
    <w:rsid w:val="2169F394"/>
    <w:rsid w:val="21F65521"/>
    <w:rsid w:val="22459F9E"/>
    <w:rsid w:val="224BEA94"/>
    <w:rsid w:val="2262BD98"/>
    <w:rsid w:val="227CEA68"/>
    <w:rsid w:val="238AF00A"/>
    <w:rsid w:val="238CDA2F"/>
    <w:rsid w:val="23D837AF"/>
    <w:rsid w:val="23DA891A"/>
    <w:rsid w:val="23DD27C6"/>
    <w:rsid w:val="23EBC9B4"/>
    <w:rsid w:val="2414F336"/>
    <w:rsid w:val="2421FE67"/>
    <w:rsid w:val="24541749"/>
    <w:rsid w:val="24A69220"/>
    <w:rsid w:val="25693A3B"/>
    <w:rsid w:val="25901C65"/>
    <w:rsid w:val="25A53DCF"/>
    <w:rsid w:val="268F7D99"/>
    <w:rsid w:val="270CA0F1"/>
    <w:rsid w:val="2716CD0B"/>
    <w:rsid w:val="272853A8"/>
    <w:rsid w:val="273F55A4"/>
    <w:rsid w:val="275DBF24"/>
    <w:rsid w:val="27C5E78E"/>
    <w:rsid w:val="27F16C49"/>
    <w:rsid w:val="27F85D8C"/>
    <w:rsid w:val="281F63DA"/>
    <w:rsid w:val="2889CAF2"/>
    <w:rsid w:val="2890A283"/>
    <w:rsid w:val="28A01006"/>
    <w:rsid w:val="28BB42FD"/>
    <w:rsid w:val="28FD2B74"/>
    <w:rsid w:val="2995E207"/>
    <w:rsid w:val="29BDAA74"/>
    <w:rsid w:val="29CF4FE3"/>
    <w:rsid w:val="29F318DC"/>
    <w:rsid w:val="2A24EBAC"/>
    <w:rsid w:val="2A2E0AEE"/>
    <w:rsid w:val="2A7740AA"/>
    <w:rsid w:val="2AB540F3"/>
    <w:rsid w:val="2AE71820"/>
    <w:rsid w:val="2B7279B0"/>
    <w:rsid w:val="2B949EBA"/>
    <w:rsid w:val="2BFF0E29"/>
    <w:rsid w:val="2C279CD9"/>
    <w:rsid w:val="2C5C5ACC"/>
    <w:rsid w:val="2C837FC0"/>
    <w:rsid w:val="2D674E9F"/>
    <w:rsid w:val="2D8EF5FB"/>
    <w:rsid w:val="2DEECD1B"/>
    <w:rsid w:val="2E4A0BA2"/>
    <w:rsid w:val="2E4B487A"/>
    <w:rsid w:val="2E5316CC"/>
    <w:rsid w:val="2E7F666C"/>
    <w:rsid w:val="2EFD2473"/>
    <w:rsid w:val="2F0B6D93"/>
    <w:rsid w:val="2F82E664"/>
    <w:rsid w:val="2F9E0BAE"/>
    <w:rsid w:val="2F9F46D8"/>
    <w:rsid w:val="2FDD963E"/>
    <w:rsid w:val="2FEBF1A6"/>
    <w:rsid w:val="3016432A"/>
    <w:rsid w:val="3050C0FE"/>
    <w:rsid w:val="30A2B7B9"/>
    <w:rsid w:val="30AC69A7"/>
    <w:rsid w:val="3154F711"/>
    <w:rsid w:val="31732782"/>
    <w:rsid w:val="31CB7003"/>
    <w:rsid w:val="32162F7C"/>
    <w:rsid w:val="322EE4F3"/>
    <w:rsid w:val="32AD3EED"/>
    <w:rsid w:val="32D59165"/>
    <w:rsid w:val="33179E48"/>
    <w:rsid w:val="33D3F99A"/>
    <w:rsid w:val="340AF6A8"/>
    <w:rsid w:val="343450B2"/>
    <w:rsid w:val="34832A85"/>
    <w:rsid w:val="34DB3991"/>
    <w:rsid w:val="34E21A53"/>
    <w:rsid w:val="34E853AC"/>
    <w:rsid w:val="350B423B"/>
    <w:rsid w:val="3518076A"/>
    <w:rsid w:val="3531DBC8"/>
    <w:rsid w:val="3598B426"/>
    <w:rsid w:val="35CAF3EE"/>
    <w:rsid w:val="362ED1B8"/>
    <w:rsid w:val="363F5BEB"/>
    <w:rsid w:val="3712DE55"/>
    <w:rsid w:val="373E7136"/>
    <w:rsid w:val="3755C847"/>
    <w:rsid w:val="377D06C1"/>
    <w:rsid w:val="37C6E2EB"/>
    <w:rsid w:val="3823906F"/>
    <w:rsid w:val="383F1DDA"/>
    <w:rsid w:val="38AFB1E7"/>
    <w:rsid w:val="38C5E382"/>
    <w:rsid w:val="38E83FCD"/>
    <w:rsid w:val="395A0219"/>
    <w:rsid w:val="39CD72D8"/>
    <w:rsid w:val="39DDBFFE"/>
    <w:rsid w:val="3A6BAEF8"/>
    <w:rsid w:val="3A8E3FE9"/>
    <w:rsid w:val="3AA47286"/>
    <w:rsid w:val="3B11BD70"/>
    <w:rsid w:val="3B36B9A2"/>
    <w:rsid w:val="3B8B7EFF"/>
    <w:rsid w:val="3BB0FC24"/>
    <w:rsid w:val="3BDD82D0"/>
    <w:rsid w:val="3C6138E7"/>
    <w:rsid w:val="3C7EEF07"/>
    <w:rsid w:val="3C806FDE"/>
    <w:rsid w:val="3C8E0E83"/>
    <w:rsid w:val="3C99E574"/>
    <w:rsid w:val="3C9BABA3"/>
    <w:rsid w:val="3CAAC534"/>
    <w:rsid w:val="3CE3FC83"/>
    <w:rsid w:val="3D05D615"/>
    <w:rsid w:val="3D228293"/>
    <w:rsid w:val="3D250B07"/>
    <w:rsid w:val="3D305199"/>
    <w:rsid w:val="3DA66E5A"/>
    <w:rsid w:val="3DD95441"/>
    <w:rsid w:val="3DE9EA8D"/>
    <w:rsid w:val="3E0C6226"/>
    <w:rsid w:val="3E1F8444"/>
    <w:rsid w:val="3E2F5730"/>
    <w:rsid w:val="3E5EDE8E"/>
    <w:rsid w:val="3E8479E5"/>
    <w:rsid w:val="3EAD04BD"/>
    <w:rsid w:val="3EB6D1FC"/>
    <w:rsid w:val="3F10202B"/>
    <w:rsid w:val="3F3AC93B"/>
    <w:rsid w:val="3F3C505C"/>
    <w:rsid w:val="3F5D6E65"/>
    <w:rsid w:val="3F654D60"/>
    <w:rsid w:val="3F8E17A8"/>
    <w:rsid w:val="3FB7C619"/>
    <w:rsid w:val="3FC85C3C"/>
    <w:rsid w:val="402A28A2"/>
    <w:rsid w:val="40903556"/>
    <w:rsid w:val="40B0CA5A"/>
    <w:rsid w:val="40B5E45E"/>
    <w:rsid w:val="40C5086F"/>
    <w:rsid w:val="414F1016"/>
    <w:rsid w:val="417ACC73"/>
    <w:rsid w:val="41A77591"/>
    <w:rsid w:val="41B8F4F4"/>
    <w:rsid w:val="41D20EBE"/>
    <w:rsid w:val="41FB7A63"/>
    <w:rsid w:val="423CEE14"/>
    <w:rsid w:val="43044235"/>
    <w:rsid w:val="43E12D9D"/>
    <w:rsid w:val="4469BD44"/>
    <w:rsid w:val="44E98E55"/>
    <w:rsid w:val="45A17421"/>
    <w:rsid w:val="4602D0CA"/>
    <w:rsid w:val="461CF656"/>
    <w:rsid w:val="46636F10"/>
    <w:rsid w:val="4666523D"/>
    <w:rsid w:val="46E1B731"/>
    <w:rsid w:val="46E83787"/>
    <w:rsid w:val="46F9495A"/>
    <w:rsid w:val="47019A3D"/>
    <w:rsid w:val="470C8771"/>
    <w:rsid w:val="472E6D07"/>
    <w:rsid w:val="4784EC0B"/>
    <w:rsid w:val="47D63829"/>
    <w:rsid w:val="48945479"/>
    <w:rsid w:val="49134DFC"/>
    <w:rsid w:val="493C003A"/>
    <w:rsid w:val="493C98C1"/>
    <w:rsid w:val="496B1DD4"/>
    <w:rsid w:val="4A3E3214"/>
    <w:rsid w:val="4AB6CD2F"/>
    <w:rsid w:val="4ACB8248"/>
    <w:rsid w:val="4AF86D63"/>
    <w:rsid w:val="4B9B9EB1"/>
    <w:rsid w:val="4B9F2E87"/>
    <w:rsid w:val="4BA1B463"/>
    <w:rsid w:val="4BC3A91C"/>
    <w:rsid w:val="4C51E62B"/>
    <w:rsid w:val="4CEFA8AA"/>
    <w:rsid w:val="4D29FC84"/>
    <w:rsid w:val="4D3405FF"/>
    <w:rsid w:val="4DA0C24B"/>
    <w:rsid w:val="4DA3BDD4"/>
    <w:rsid w:val="4DD0780F"/>
    <w:rsid w:val="4DE9B33E"/>
    <w:rsid w:val="4DF19E2C"/>
    <w:rsid w:val="4E5A937D"/>
    <w:rsid w:val="4EE6208D"/>
    <w:rsid w:val="4F689CC9"/>
    <w:rsid w:val="4F895387"/>
    <w:rsid w:val="4FC9F2E3"/>
    <w:rsid w:val="4FE2FCEC"/>
    <w:rsid w:val="50102F2F"/>
    <w:rsid w:val="506E681C"/>
    <w:rsid w:val="506FD6C6"/>
    <w:rsid w:val="5076831F"/>
    <w:rsid w:val="50F9A511"/>
    <w:rsid w:val="5118CD10"/>
    <w:rsid w:val="5155003E"/>
    <w:rsid w:val="5190AF66"/>
    <w:rsid w:val="52138165"/>
    <w:rsid w:val="527671C6"/>
    <w:rsid w:val="52855D78"/>
    <w:rsid w:val="528FF45C"/>
    <w:rsid w:val="52EC6F2F"/>
    <w:rsid w:val="5305CE1D"/>
    <w:rsid w:val="531534E6"/>
    <w:rsid w:val="534F2AD0"/>
    <w:rsid w:val="5386308A"/>
    <w:rsid w:val="5396E572"/>
    <w:rsid w:val="53B12261"/>
    <w:rsid w:val="53C18112"/>
    <w:rsid w:val="53F7C98D"/>
    <w:rsid w:val="5439CD05"/>
    <w:rsid w:val="543B02FE"/>
    <w:rsid w:val="54578A29"/>
    <w:rsid w:val="54A6AA0A"/>
    <w:rsid w:val="54D27E75"/>
    <w:rsid w:val="552067EC"/>
    <w:rsid w:val="55926E4C"/>
    <w:rsid w:val="55EAB6A5"/>
    <w:rsid w:val="561107B2"/>
    <w:rsid w:val="56625095"/>
    <w:rsid w:val="566B8B57"/>
    <w:rsid w:val="56C1130D"/>
    <w:rsid w:val="57074D6C"/>
    <w:rsid w:val="576CF0EB"/>
    <w:rsid w:val="57915303"/>
    <w:rsid w:val="57C8199E"/>
    <w:rsid w:val="593CD065"/>
    <w:rsid w:val="599B65F4"/>
    <w:rsid w:val="59C5E62B"/>
    <w:rsid w:val="5A068F46"/>
    <w:rsid w:val="5A86C7A9"/>
    <w:rsid w:val="5AC17DA0"/>
    <w:rsid w:val="5B0D6213"/>
    <w:rsid w:val="5B498F3B"/>
    <w:rsid w:val="5BB50EFF"/>
    <w:rsid w:val="5BB8CCC6"/>
    <w:rsid w:val="5BF74387"/>
    <w:rsid w:val="5BF81A5C"/>
    <w:rsid w:val="5C0186C3"/>
    <w:rsid w:val="5C62BDCE"/>
    <w:rsid w:val="5C648FC2"/>
    <w:rsid w:val="5C6D1BD1"/>
    <w:rsid w:val="5C88EA35"/>
    <w:rsid w:val="5C90C0B0"/>
    <w:rsid w:val="5CBA0071"/>
    <w:rsid w:val="5CBD3C87"/>
    <w:rsid w:val="5D6B0E5A"/>
    <w:rsid w:val="5DA1EFA3"/>
    <w:rsid w:val="5EB5F8A5"/>
    <w:rsid w:val="5ECA22DE"/>
    <w:rsid w:val="5F067618"/>
    <w:rsid w:val="5F1BCFB7"/>
    <w:rsid w:val="5F2CBCB5"/>
    <w:rsid w:val="5FA05155"/>
    <w:rsid w:val="5FECEF6C"/>
    <w:rsid w:val="60BAA220"/>
    <w:rsid w:val="61159ED1"/>
    <w:rsid w:val="611E4ACF"/>
    <w:rsid w:val="61246B81"/>
    <w:rsid w:val="61406AA4"/>
    <w:rsid w:val="61DA9C11"/>
    <w:rsid w:val="61DF6971"/>
    <w:rsid w:val="6216D6BA"/>
    <w:rsid w:val="622CEB2C"/>
    <w:rsid w:val="630385C1"/>
    <w:rsid w:val="630F50C5"/>
    <w:rsid w:val="636C722B"/>
    <w:rsid w:val="63908307"/>
    <w:rsid w:val="63A20AE7"/>
    <w:rsid w:val="63F6837B"/>
    <w:rsid w:val="646B90DE"/>
    <w:rsid w:val="64872C0D"/>
    <w:rsid w:val="648982E6"/>
    <w:rsid w:val="6489B1C3"/>
    <w:rsid w:val="64DEF8E9"/>
    <w:rsid w:val="65157B8E"/>
    <w:rsid w:val="65231B79"/>
    <w:rsid w:val="659C30CB"/>
    <w:rsid w:val="65A0410C"/>
    <w:rsid w:val="65F58BA5"/>
    <w:rsid w:val="663FEF3D"/>
    <w:rsid w:val="665C3550"/>
    <w:rsid w:val="67829F56"/>
    <w:rsid w:val="678B457E"/>
    <w:rsid w:val="6798D694"/>
    <w:rsid w:val="67B75450"/>
    <w:rsid w:val="681127F9"/>
    <w:rsid w:val="6824ECB3"/>
    <w:rsid w:val="684CB92A"/>
    <w:rsid w:val="687BE08D"/>
    <w:rsid w:val="687D3B05"/>
    <w:rsid w:val="68D7760B"/>
    <w:rsid w:val="68E486BE"/>
    <w:rsid w:val="693F45CD"/>
    <w:rsid w:val="6968A502"/>
    <w:rsid w:val="6A2704AD"/>
    <w:rsid w:val="6A60F0B1"/>
    <w:rsid w:val="6ABCCFBB"/>
    <w:rsid w:val="6B4E3F3B"/>
    <w:rsid w:val="6B7C0972"/>
    <w:rsid w:val="6BFA5043"/>
    <w:rsid w:val="6C1983CD"/>
    <w:rsid w:val="6C6F9A91"/>
    <w:rsid w:val="6CB89F0C"/>
    <w:rsid w:val="6CCD9E30"/>
    <w:rsid w:val="6CD91A31"/>
    <w:rsid w:val="6CF6B28F"/>
    <w:rsid w:val="6D4CEF02"/>
    <w:rsid w:val="6D4DAD69"/>
    <w:rsid w:val="6D844DF0"/>
    <w:rsid w:val="6DAF7EA2"/>
    <w:rsid w:val="6DEDE434"/>
    <w:rsid w:val="6E141AEC"/>
    <w:rsid w:val="6E487759"/>
    <w:rsid w:val="6E6403E8"/>
    <w:rsid w:val="6EC931DC"/>
    <w:rsid w:val="6F081BB0"/>
    <w:rsid w:val="6F424023"/>
    <w:rsid w:val="6F7AA33C"/>
    <w:rsid w:val="6FB60F94"/>
    <w:rsid w:val="707B5B01"/>
    <w:rsid w:val="70989DDC"/>
    <w:rsid w:val="70C0F718"/>
    <w:rsid w:val="7115A8B3"/>
    <w:rsid w:val="712A23D4"/>
    <w:rsid w:val="7148ACBF"/>
    <w:rsid w:val="717160C6"/>
    <w:rsid w:val="717D3B26"/>
    <w:rsid w:val="7180885C"/>
    <w:rsid w:val="718B6DEE"/>
    <w:rsid w:val="71DEFFD9"/>
    <w:rsid w:val="71F0B98B"/>
    <w:rsid w:val="72279903"/>
    <w:rsid w:val="722CFC61"/>
    <w:rsid w:val="7298D463"/>
    <w:rsid w:val="72B9D621"/>
    <w:rsid w:val="72BA7A1D"/>
    <w:rsid w:val="735E8211"/>
    <w:rsid w:val="7363CFB0"/>
    <w:rsid w:val="736FD2EC"/>
    <w:rsid w:val="73C3A5C0"/>
    <w:rsid w:val="7426AC7A"/>
    <w:rsid w:val="7451997A"/>
    <w:rsid w:val="7457EEEE"/>
    <w:rsid w:val="74AF6367"/>
    <w:rsid w:val="74F7CF8B"/>
    <w:rsid w:val="76310950"/>
    <w:rsid w:val="7673AED6"/>
    <w:rsid w:val="7678D3AE"/>
    <w:rsid w:val="767CFDA7"/>
    <w:rsid w:val="76C7225B"/>
    <w:rsid w:val="76E0CCBF"/>
    <w:rsid w:val="7767B854"/>
    <w:rsid w:val="77995124"/>
    <w:rsid w:val="7862A001"/>
    <w:rsid w:val="78B7902D"/>
    <w:rsid w:val="78EC6BC4"/>
    <w:rsid w:val="7910360D"/>
    <w:rsid w:val="79618B3A"/>
    <w:rsid w:val="796CB526"/>
    <w:rsid w:val="79ECFA61"/>
    <w:rsid w:val="7A13D2D6"/>
    <w:rsid w:val="7A83DE3B"/>
    <w:rsid w:val="7AB15B72"/>
    <w:rsid w:val="7AB958C3"/>
    <w:rsid w:val="7ACF85F5"/>
    <w:rsid w:val="7AD36153"/>
    <w:rsid w:val="7ADAE58E"/>
    <w:rsid w:val="7AF37471"/>
    <w:rsid w:val="7B0F6256"/>
    <w:rsid w:val="7B2478F4"/>
    <w:rsid w:val="7B54B441"/>
    <w:rsid w:val="7B69996C"/>
    <w:rsid w:val="7B765619"/>
    <w:rsid w:val="7BA89766"/>
    <w:rsid w:val="7C7D90AF"/>
    <w:rsid w:val="7CABAD44"/>
    <w:rsid w:val="7E550680"/>
    <w:rsid w:val="7E5F7922"/>
    <w:rsid w:val="7F37E08C"/>
    <w:rsid w:val="7F6BA449"/>
    <w:rsid w:val="7F9217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080958-C991-48B2-BB6E-99AC928B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l-G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721A"/>
    <w:pPr>
      <w:numPr>
        <w:numId w:val="1"/>
      </w:numPr>
      <w:contextualSpacing/>
    </w:pPr>
  </w:style>
  <w:style w:type="paragraph" w:styleId="ListBullet2">
    <w:name w:val="List Bullet 2"/>
    <w:basedOn w:val="Normal"/>
    <w:uiPriority w:val="99"/>
    <w:semiHidden/>
    <w:unhideWhenUsed/>
    <w:rsid w:val="00B9721A"/>
    <w:pPr>
      <w:numPr>
        <w:numId w:val="2"/>
      </w:numPr>
      <w:contextualSpacing/>
    </w:pPr>
  </w:style>
  <w:style w:type="paragraph" w:styleId="ListBullet3">
    <w:name w:val="List Bullet 3"/>
    <w:basedOn w:val="Normal"/>
    <w:uiPriority w:val="99"/>
    <w:semiHidden/>
    <w:unhideWhenUsed/>
    <w:rsid w:val="00B9721A"/>
    <w:pPr>
      <w:numPr>
        <w:numId w:val="3"/>
      </w:numPr>
      <w:contextualSpacing/>
    </w:pPr>
  </w:style>
  <w:style w:type="paragraph" w:styleId="ListBullet4">
    <w:name w:val="List Bullet 4"/>
    <w:basedOn w:val="Normal"/>
    <w:uiPriority w:val="99"/>
    <w:semiHidden/>
    <w:unhideWhenUsed/>
    <w:rsid w:val="00B9721A"/>
    <w:pPr>
      <w:numPr>
        <w:numId w:val="4"/>
      </w:numPr>
      <w:contextualSpacing/>
    </w:pPr>
  </w:style>
  <w:style w:type="character" w:styleId="Hyperlink">
    <w:name w:val="Hyperlink"/>
    <w:basedOn w:val="DefaultParagraphFont"/>
    <w:uiPriority w:val="99"/>
    <w:unhideWhenUsed/>
    <w:rsid w:val="00B9721A"/>
    <w:rPr>
      <w:color w:val="0000FF"/>
      <w:u w:val="single"/>
    </w:rPr>
  </w:style>
  <w:style w:type="paragraph" w:styleId="ListParagraph">
    <w:name w:val="List Paragraph"/>
    <w:basedOn w:val="Normal"/>
    <w:uiPriority w:val="34"/>
    <w:qFormat/>
    <w:rsid w:val="004910EE"/>
    <w:pPr>
      <w:ind w:left="720"/>
      <w:contextualSpacing/>
    </w:pPr>
  </w:style>
  <w:style w:type="character" w:styleId="CommentReference">
    <w:name w:val="annotation reference"/>
    <w:basedOn w:val="DefaultParagraphFont"/>
    <w:uiPriority w:val="99"/>
    <w:semiHidden/>
    <w:unhideWhenUsed/>
    <w:rsid w:val="00205A40"/>
    <w:rPr>
      <w:sz w:val="16"/>
      <w:szCs w:val="16"/>
    </w:rPr>
  </w:style>
  <w:style w:type="paragraph" w:styleId="CommentText">
    <w:name w:val="annotation text"/>
    <w:basedOn w:val="Normal"/>
    <w:link w:val="CommentTextChar"/>
    <w:uiPriority w:val="99"/>
    <w:unhideWhenUsed/>
    <w:rsid w:val="00205A40"/>
    <w:pPr>
      <w:spacing w:before="0" w:after="160"/>
      <w:jc w:val="left"/>
    </w:pPr>
    <w:rPr>
      <w:rFonts w:asciiTheme="minorHAnsi" w:eastAsiaTheme="minorEastAsia" w:hAnsiTheme="minorHAnsi" w:cstheme="minorBidi"/>
      <w:sz w:val="20"/>
      <w:szCs w:val="20"/>
      <w:lang w:eastAsia="ja-JP"/>
    </w:rPr>
  </w:style>
  <w:style w:type="character" w:customStyle="1" w:styleId="CommentTextChar">
    <w:name w:val="Comment Text Char"/>
    <w:basedOn w:val="DefaultParagraphFont"/>
    <w:link w:val="CommentText"/>
    <w:uiPriority w:val="99"/>
    <w:rsid w:val="00205A40"/>
    <w:rPr>
      <w:rFonts w:eastAsiaTheme="minorEastAsia"/>
      <w:sz w:val="20"/>
      <w:szCs w:val="20"/>
      <w:lang w:eastAsia="ja-JP"/>
    </w:rPr>
  </w:style>
  <w:style w:type="character" w:customStyle="1" w:styleId="UnresolvedMention">
    <w:name w:val="Unresolved Mention"/>
    <w:basedOn w:val="DefaultParagraphFont"/>
    <w:uiPriority w:val="99"/>
    <w:semiHidden/>
    <w:unhideWhenUsed/>
    <w:rsid w:val="009B531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86D6D"/>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C86D6D"/>
    <w:rPr>
      <w:rFonts w:ascii="Times New Roman" w:eastAsiaTheme="minorEastAsia" w:hAnsi="Times New Roman" w:cs="Times New Roman"/>
      <w:b/>
      <w:bCs/>
      <w:sz w:val="20"/>
      <w:szCs w:val="20"/>
      <w:lang w:val="el-GR" w:eastAsia="ja-JP"/>
    </w:rPr>
  </w:style>
  <w:style w:type="character" w:customStyle="1" w:styleId="Mention">
    <w:name w:val="Mention"/>
    <w:basedOn w:val="DefaultParagraphFont"/>
    <w:uiPriority w:val="99"/>
    <w:unhideWhenUsed/>
    <w:rsid w:val="00C86D6D"/>
    <w:rPr>
      <w:color w:val="2B579A"/>
      <w:shd w:val="clear" w:color="auto" w:fill="E1DFDD"/>
    </w:rPr>
  </w:style>
  <w:style w:type="paragraph" w:styleId="Revision">
    <w:name w:val="Revision"/>
    <w:hidden/>
    <w:uiPriority w:val="99"/>
    <w:semiHidden/>
    <w:rsid w:val="0009738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E2B85"/>
    <w:rPr>
      <w:color w:val="800080" w:themeColor="followedHyperlink"/>
      <w:u w:val="single"/>
    </w:rPr>
  </w:style>
  <w:style w:type="paragraph" w:customStyle="1" w:styleId="No">
    <w:name w:val="No"/>
    <w:basedOn w:val="Heading2"/>
    <w:rsid w:val="0038302B"/>
    <w:pPr>
      <w:numPr>
        <w:numId w:val="0"/>
      </w:numPr>
    </w:pPr>
    <w:rPr>
      <w:rFonts w:eastAsia="Arial Unicode MS"/>
      <w:b w:val="0"/>
      <w:bCs w:val="0"/>
    </w:rPr>
  </w:style>
  <w:style w:type="character" w:customStyle="1" w:styleId="HeaderChar">
    <w:name w:val="Header Char"/>
    <w:basedOn w:val="DefaultParagraphFont"/>
    <w:link w:val="Header"/>
    <w:uiPriority w:val="99"/>
    <w:rsid w:val="00F34FDB"/>
    <w:rPr>
      <w:rFonts w:ascii="Times New Roman" w:hAnsi="Times New Roman" w:cs="Times New Roman"/>
      <w:sz w:val="24"/>
      <w:lang w:val="el-GR"/>
    </w:rPr>
  </w:style>
  <w:style w:type="character" w:customStyle="1" w:styleId="FooterChar">
    <w:name w:val="Footer Char"/>
    <w:basedOn w:val="DefaultParagraphFont"/>
    <w:link w:val="Footer"/>
    <w:uiPriority w:val="99"/>
    <w:rsid w:val="00F34FDB"/>
    <w:rPr>
      <w:rFonts w:ascii="Times New Roman" w:hAnsi="Times New Roman" w:cs="Times New Roman"/>
      <w:sz w:val="24"/>
      <w:lang w:val="el-G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l-G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l-G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l-G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l-G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l-G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l-G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l-G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34FD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4FDB"/>
    <w:pPr>
      <w:spacing w:before="0"/>
      <w:jc w:val="right"/>
    </w:pPr>
    <w:rPr>
      <w:sz w:val="28"/>
    </w:rPr>
  </w:style>
  <w:style w:type="paragraph" w:customStyle="1" w:styleId="FooterSensitivity">
    <w:name w:val="Footer Sensitivity"/>
    <w:basedOn w:val="Normal"/>
    <w:rsid w:val="00F34F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F34FDB"/>
    <w:pPr>
      <w:tabs>
        <w:tab w:val="center" w:pos="4535"/>
        <w:tab w:val="right" w:pos="9071"/>
      </w:tabs>
      <w:spacing w:before="0"/>
    </w:pPr>
  </w:style>
  <w:style w:type="paragraph" w:customStyle="1" w:styleId="HeaderLandscape">
    <w:name w:val="HeaderLandscape"/>
    <w:basedOn w:val="Normal"/>
    <w:rsid w:val="00F34FDB"/>
    <w:pPr>
      <w:tabs>
        <w:tab w:val="center" w:pos="7285"/>
        <w:tab w:val="right" w:pos="14003"/>
      </w:tabs>
      <w:spacing w:before="0"/>
    </w:pPr>
  </w:style>
  <w:style w:type="paragraph" w:styleId="Footer">
    <w:name w:val="footer"/>
    <w:basedOn w:val="Normal"/>
    <w:link w:val="FooterChar"/>
    <w:uiPriority w:val="99"/>
    <w:unhideWhenUsed/>
    <w:rsid w:val="00F34FD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4FD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5809">
      <w:bodyDiv w:val="1"/>
      <w:marLeft w:val="0"/>
      <w:marRight w:val="0"/>
      <w:marTop w:val="0"/>
      <w:marBottom w:val="0"/>
      <w:divBdr>
        <w:top w:val="none" w:sz="0" w:space="0" w:color="auto"/>
        <w:left w:val="none" w:sz="0" w:space="0" w:color="auto"/>
        <w:bottom w:val="none" w:sz="0" w:space="0" w:color="auto"/>
        <w:right w:val="none" w:sz="0" w:space="0" w:color="auto"/>
      </w:divBdr>
    </w:div>
    <w:div w:id="147551660">
      <w:bodyDiv w:val="1"/>
      <w:marLeft w:val="0"/>
      <w:marRight w:val="0"/>
      <w:marTop w:val="0"/>
      <w:marBottom w:val="0"/>
      <w:divBdr>
        <w:top w:val="none" w:sz="0" w:space="0" w:color="auto"/>
        <w:left w:val="none" w:sz="0" w:space="0" w:color="auto"/>
        <w:bottom w:val="none" w:sz="0" w:space="0" w:color="auto"/>
        <w:right w:val="none" w:sz="0" w:space="0" w:color="auto"/>
      </w:divBdr>
    </w:div>
    <w:div w:id="362901744">
      <w:bodyDiv w:val="1"/>
      <w:marLeft w:val="0"/>
      <w:marRight w:val="0"/>
      <w:marTop w:val="0"/>
      <w:marBottom w:val="0"/>
      <w:divBdr>
        <w:top w:val="none" w:sz="0" w:space="0" w:color="auto"/>
        <w:left w:val="none" w:sz="0" w:space="0" w:color="auto"/>
        <w:bottom w:val="none" w:sz="0" w:space="0" w:color="auto"/>
        <w:right w:val="none" w:sz="0" w:space="0" w:color="auto"/>
      </w:divBdr>
    </w:div>
    <w:div w:id="757596909">
      <w:bodyDiv w:val="1"/>
      <w:marLeft w:val="0"/>
      <w:marRight w:val="0"/>
      <w:marTop w:val="0"/>
      <w:marBottom w:val="0"/>
      <w:divBdr>
        <w:top w:val="none" w:sz="0" w:space="0" w:color="auto"/>
        <w:left w:val="none" w:sz="0" w:space="0" w:color="auto"/>
        <w:bottom w:val="none" w:sz="0" w:space="0" w:color="auto"/>
        <w:right w:val="none" w:sz="0" w:space="0" w:color="auto"/>
      </w:divBdr>
    </w:div>
    <w:div w:id="936602264">
      <w:bodyDiv w:val="1"/>
      <w:marLeft w:val="0"/>
      <w:marRight w:val="0"/>
      <w:marTop w:val="0"/>
      <w:marBottom w:val="0"/>
      <w:divBdr>
        <w:top w:val="none" w:sz="0" w:space="0" w:color="auto"/>
        <w:left w:val="none" w:sz="0" w:space="0" w:color="auto"/>
        <w:bottom w:val="none" w:sz="0" w:space="0" w:color="auto"/>
        <w:right w:val="none" w:sz="0" w:space="0" w:color="auto"/>
      </w:divBdr>
    </w:div>
    <w:div w:id="993409546">
      <w:bodyDiv w:val="1"/>
      <w:marLeft w:val="0"/>
      <w:marRight w:val="0"/>
      <w:marTop w:val="0"/>
      <w:marBottom w:val="0"/>
      <w:divBdr>
        <w:top w:val="none" w:sz="0" w:space="0" w:color="auto"/>
        <w:left w:val="none" w:sz="0" w:space="0" w:color="auto"/>
        <w:bottom w:val="none" w:sz="0" w:space="0" w:color="auto"/>
        <w:right w:val="none" w:sz="0" w:space="0" w:color="auto"/>
      </w:divBdr>
    </w:div>
    <w:div w:id="996418028">
      <w:bodyDiv w:val="1"/>
      <w:marLeft w:val="0"/>
      <w:marRight w:val="0"/>
      <w:marTop w:val="0"/>
      <w:marBottom w:val="0"/>
      <w:divBdr>
        <w:top w:val="none" w:sz="0" w:space="0" w:color="auto"/>
        <w:left w:val="none" w:sz="0" w:space="0" w:color="auto"/>
        <w:bottom w:val="none" w:sz="0" w:space="0" w:color="auto"/>
        <w:right w:val="none" w:sz="0" w:space="0" w:color="auto"/>
      </w:divBdr>
    </w:div>
    <w:div w:id="1045981097">
      <w:bodyDiv w:val="1"/>
      <w:marLeft w:val="0"/>
      <w:marRight w:val="0"/>
      <w:marTop w:val="0"/>
      <w:marBottom w:val="0"/>
      <w:divBdr>
        <w:top w:val="none" w:sz="0" w:space="0" w:color="auto"/>
        <w:left w:val="none" w:sz="0" w:space="0" w:color="auto"/>
        <w:bottom w:val="none" w:sz="0" w:space="0" w:color="auto"/>
        <w:right w:val="none" w:sz="0" w:space="0" w:color="auto"/>
      </w:divBdr>
    </w:div>
    <w:div w:id="1200972941">
      <w:bodyDiv w:val="1"/>
      <w:marLeft w:val="0"/>
      <w:marRight w:val="0"/>
      <w:marTop w:val="0"/>
      <w:marBottom w:val="0"/>
      <w:divBdr>
        <w:top w:val="none" w:sz="0" w:space="0" w:color="auto"/>
        <w:left w:val="none" w:sz="0" w:space="0" w:color="auto"/>
        <w:bottom w:val="none" w:sz="0" w:space="0" w:color="auto"/>
        <w:right w:val="none" w:sz="0" w:space="0" w:color="auto"/>
      </w:divBdr>
    </w:div>
    <w:div w:id="1389382283">
      <w:bodyDiv w:val="1"/>
      <w:marLeft w:val="0"/>
      <w:marRight w:val="0"/>
      <w:marTop w:val="0"/>
      <w:marBottom w:val="0"/>
      <w:divBdr>
        <w:top w:val="none" w:sz="0" w:space="0" w:color="auto"/>
        <w:left w:val="none" w:sz="0" w:space="0" w:color="auto"/>
        <w:bottom w:val="none" w:sz="0" w:space="0" w:color="auto"/>
        <w:right w:val="none" w:sz="0" w:space="0" w:color="auto"/>
      </w:divBdr>
    </w:div>
    <w:div w:id="1401251643">
      <w:bodyDiv w:val="1"/>
      <w:marLeft w:val="0"/>
      <w:marRight w:val="0"/>
      <w:marTop w:val="0"/>
      <w:marBottom w:val="0"/>
      <w:divBdr>
        <w:top w:val="none" w:sz="0" w:space="0" w:color="auto"/>
        <w:left w:val="none" w:sz="0" w:space="0" w:color="auto"/>
        <w:bottom w:val="none" w:sz="0" w:space="0" w:color="auto"/>
        <w:right w:val="none" w:sz="0" w:space="0" w:color="auto"/>
      </w:divBdr>
    </w:div>
    <w:div w:id="14060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L/TXT/?uri=CELEX:32023D1075" TargetMode="External"/><Relationship Id="rId3" Type="http://schemas.openxmlformats.org/officeDocument/2006/relationships/hyperlink" Target="https://www.coe.int/en/web/istanbul-convention/committee-of-the-parties" TargetMode="External"/><Relationship Id="rId7" Type="http://schemas.openxmlformats.org/officeDocument/2006/relationships/hyperlink" Target="http://data.europa.eu/eli/dir/2003/86/oj" TargetMode="External"/><Relationship Id="rId12" Type="http://schemas.openxmlformats.org/officeDocument/2006/relationships/hyperlink" Target="http://data.europa.eu/eli/dir/2003/86/oj" TargetMode="External"/><Relationship Id="rId2" Type="http://schemas.openxmlformats.org/officeDocument/2006/relationships/hyperlink" Target="http://data.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data.europa.eu/eli/reg/2024/1348/oj" TargetMode="External"/><Relationship Id="rId11" Type="http://schemas.openxmlformats.org/officeDocument/2006/relationships/hyperlink" Target="http://data.europa.eu/eli/reg/2024/1348/oj" TargetMode="External"/><Relationship Id="rId5" Type="http://schemas.openxmlformats.org/officeDocument/2006/relationships/hyperlink" Target="http://data.europa.eu/eli/dir/2012/29/oj" TargetMode="External"/><Relationship Id="rId10" Type="http://schemas.openxmlformats.org/officeDocument/2006/relationships/hyperlink" Target="http://data.europa.eu/eli/dir/2024/1385/oj" TargetMode="External"/><Relationship Id="rId4" Type="http://schemas.openxmlformats.org/officeDocument/2006/relationships/hyperlink" Target="http://data.europa.eu/eli/dir/2024/1385/oj" TargetMode="External"/><Relationship Id="rId9" Type="http://schemas.openxmlformats.org/officeDocument/2006/relationships/hyperlink" Target="https://eur-lex.europa.eu/eli/dec/2023/1076/oj/e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8F81BC71-8523-40F3-8816-8AD16330B3F8}">
    <t:Anchor>
      <t:Comment id="1512105073"/>
    </t:Anchor>
    <t:History>
      <t:Event id="{9CF6CBA2-80FD-417B-9BDA-E960AA4970FC}" time="2025-04-29T07:19:38.257Z">
        <t:Attribution userId="S::Lisa.COLLSTE@ec.europa.eu::45fa20fe-2182-4547-accb-c2d1c9456219" userProvider="AD" userName="COLLSTE Lisa (JUST)"/>
        <t:Anchor>
          <t:Comment id="1512105073"/>
        </t:Anchor>
        <t:Create/>
      </t:Event>
      <t:Event id="{D4A9E3E4-674B-4E54-AC00-3A24D1B1F13F}" time="2025-04-29T07:19:38.257Z">
        <t:Attribution userId="S::Lisa.COLLSTE@ec.europa.eu::45fa20fe-2182-4547-accb-c2d1c9456219" userProvider="AD" userName="COLLSTE Lisa (JUST)"/>
        <t:Anchor>
          <t:Comment id="1512105073"/>
        </t:Anchor>
        <t:Assign userId="S::Maria.POPOVA@ec.europa.eu::1c72ee4f-3675-4581-8b7b-f010e1d4f7c7" userProvider="AD" userName="POPOVA Maria (JUST)"/>
      </t:Event>
      <t:Event id="{AC34CD76-7A86-4185-8A5A-182230C4E8FC}" time="2025-04-29T07:19:38.257Z">
        <t:Attribution userId="S::Lisa.COLLSTE@ec.europa.eu::45fa20fe-2182-4547-accb-c2d1c9456219" userProvider="AD" userName="COLLSTE Lisa (JUST)"/>
        <t:Anchor>
          <t:Comment id="1512105073"/>
        </t:Anchor>
        <t:SetTitle title="@POPOVA Maria (JUST) thanks for adding! However, I think we should add the correct titles of the documents eg Recommendations on improving trust….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6" ma:contentTypeDescription="Create a new document." ma:contentTypeScope="" ma:versionID="f7eb253a49f7cfb41297ba04752bae1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ad1a6bb99c5e51f8789e849a49664226"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83028-AC7D-4463-AE1E-57CEEB4C50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D53C8A-6D3F-4F2E-ABA8-C2706F75A577}">
  <ds:schemaRefs>
    <ds:schemaRef ds:uri="http://schemas.microsoft.com/sharepoint/v3/contenttype/forms"/>
  </ds:schemaRefs>
</ds:datastoreItem>
</file>

<file path=customXml/itemProps3.xml><?xml version="1.0" encoding="utf-8"?>
<ds:datastoreItem xmlns:ds="http://schemas.openxmlformats.org/officeDocument/2006/customXml" ds:itemID="{8352F42B-8E60-4286-A101-7990FD362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18A76B-F81B-4006-BA26-F79BD253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17</Pages>
  <Words>7052</Words>
  <Characters>40200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47158</CharactersWithSpaces>
  <SharedDoc>false</SharedDoc>
  <HLinks>
    <vt:vector size="78" baseType="variant">
      <vt:variant>
        <vt:i4>6226011</vt:i4>
      </vt:variant>
      <vt:variant>
        <vt:i4>33</vt:i4>
      </vt:variant>
      <vt:variant>
        <vt:i4>0</vt:i4>
      </vt:variant>
      <vt:variant>
        <vt:i4>5</vt:i4>
      </vt:variant>
      <vt:variant>
        <vt:lpwstr>http://data.europa.eu/eli/dir/2003/86/oj</vt:lpwstr>
      </vt:variant>
      <vt:variant>
        <vt:lpwstr/>
      </vt:variant>
      <vt:variant>
        <vt:i4>6881383</vt:i4>
      </vt:variant>
      <vt:variant>
        <vt:i4>30</vt:i4>
      </vt:variant>
      <vt:variant>
        <vt:i4>0</vt:i4>
      </vt:variant>
      <vt:variant>
        <vt:i4>5</vt:i4>
      </vt:variant>
      <vt:variant>
        <vt:lpwstr>http://data.europa.eu/eli/reg/2024/1348/oj</vt:lpwstr>
      </vt:variant>
      <vt:variant>
        <vt:lpwstr/>
      </vt:variant>
      <vt:variant>
        <vt:i4>6881385</vt:i4>
      </vt:variant>
      <vt:variant>
        <vt:i4>27</vt:i4>
      </vt:variant>
      <vt:variant>
        <vt:i4>0</vt:i4>
      </vt:variant>
      <vt:variant>
        <vt:i4>5</vt:i4>
      </vt:variant>
      <vt:variant>
        <vt:lpwstr>http://data.europa.eu/eli/dir/2024/1385/oj</vt:lpwstr>
      </vt:variant>
      <vt:variant>
        <vt:lpwstr/>
      </vt:variant>
      <vt:variant>
        <vt:i4>7864435</vt:i4>
      </vt:variant>
      <vt:variant>
        <vt:i4>24</vt:i4>
      </vt:variant>
      <vt:variant>
        <vt:i4>0</vt:i4>
      </vt:variant>
      <vt:variant>
        <vt:i4>5</vt:i4>
      </vt:variant>
      <vt:variant>
        <vt:lpwstr>https://eur-lex.europa.eu/eli/dec/2023/1076/oj/eng</vt:lpwstr>
      </vt:variant>
      <vt:variant>
        <vt:lpwstr/>
      </vt:variant>
      <vt:variant>
        <vt:i4>327748</vt:i4>
      </vt:variant>
      <vt:variant>
        <vt:i4>21</vt:i4>
      </vt:variant>
      <vt:variant>
        <vt:i4>0</vt:i4>
      </vt:variant>
      <vt:variant>
        <vt:i4>5</vt:i4>
      </vt:variant>
      <vt:variant>
        <vt:lpwstr>https://eur-lex.europa.eu/legal-content/EN/TXT/?uri=CELEX:32023D1075</vt:lpwstr>
      </vt:variant>
      <vt:variant>
        <vt:lpwstr/>
      </vt:variant>
      <vt:variant>
        <vt:i4>6226011</vt:i4>
      </vt:variant>
      <vt:variant>
        <vt:i4>18</vt:i4>
      </vt:variant>
      <vt:variant>
        <vt:i4>0</vt:i4>
      </vt:variant>
      <vt:variant>
        <vt:i4>5</vt:i4>
      </vt:variant>
      <vt:variant>
        <vt:lpwstr>http://data.europa.eu/eli/dir/2003/86/oj</vt:lpwstr>
      </vt:variant>
      <vt:variant>
        <vt:lpwstr/>
      </vt:variant>
      <vt:variant>
        <vt:i4>6881383</vt:i4>
      </vt:variant>
      <vt:variant>
        <vt:i4>15</vt:i4>
      </vt:variant>
      <vt:variant>
        <vt:i4>0</vt:i4>
      </vt:variant>
      <vt:variant>
        <vt:i4>5</vt:i4>
      </vt:variant>
      <vt:variant>
        <vt:lpwstr>http://data.europa.eu/eli/reg/2024/1348/oj</vt:lpwstr>
      </vt:variant>
      <vt:variant>
        <vt:lpwstr/>
      </vt:variant>
      <vt:variant>
        <vt:i4>5505109</vt:i4>
      </vt:variant>
      <vt:variant>
        <vt:i4>12</vt:i4>
      </vt:variant>
      <vt:variant>
        <vt:i4>0</vt:i4>
      </vt:variant>
      <vt:variant>
        <vt:i4>5</vt:i4>
      </vt:variant>
      <vt:variant>
        <vt:lpwstr>http://data.europa.eu/eli/dir/2012/29/oj</vt:lpwstr>
      </vt:variant>
      <vt:variant>
        <vt:lpwstr/>
      </vt:variant>
      <vt:variant>
        <vt:i4>6881385</vt:i4>
      </vt:variant>
      <vt:variant>
        <vt:i4>9</vt:i4>
      </vt:variant>
      <vt:variant>
        <vt:i4>0</vt:i4>
      </vt:variant>
      <vt:variant>
        <vt:i4>5</vt:i4>
      </vt:variant>
      <vt:variant>
        <vt:lpwstr>http://data.europa.eu/eli/dir/2024/1385/oj</vt:lpwstr>
      </vt:variant>
      <vt:variant>
        <vt:lpwstr/>
      </vt:variant>
      <vt:variant>
        <vt:i4>6881337</vt:i4>
      </vt:variant>
      <vt:variant>
        <vt:i4>6</vt:i4>
      </vt:variant>
      <vt:variant>
        <vt:i4>0</vt:i4>
      </vt:variant>
      <vt:variant>
        <vt:i4>5</vt:i4>
      </vt:variant>
      <vt:variant>
        <vt:lpwstr>https://www.coe.int/en/web/istanbul-convention/committee-of-the-parties</vt:lpwstr>
      </vt:variant>
      <vt:variant>
        <vt:lpwstr/>
      </vt:variant>
      <vt:variant>
        <vt:i4>7143544</vt:i4>
      </vt:variant>
      <vt:variant>
        <vt:i4>3</vt:i4>
      </vt:variant>
      <vt:variant>
        <vt:i4>0</vt:i4>
      </vt:variant>
      <vt:variant>
        <vt:i4>5</vt:i4>
      </vt:variant>
      <vt:variant>
        <vt:lpwstr>http://data.europa.eu/eli/dec/2023/1076/oj</vt:lpwstr>
      </vt:variant>
      <vt:variant>
        <vt:lpwstr/>
      </vt:variant>
      <vt:variant>
        <vt:i4>7143547</vt:i4>
      </vt:variant>
      <vt:variant>
        <vt:i4>0</vt:i4>
      </vt:variant>
      <vt:variant>
        <vt:i4>0</vt:i4>
      </vt:variant>
      <vt:variant>
        <vt:i4>5</vt:i4>
      </vt:variant>
      <vt:variant>
        <vt:lpwstr>http://data.europa.eu/eli/dec/2023/1075/oj</vt:lpwstr>
      </vt:variant>
      <vt:variant>
        <vt:lpwstr/>
      </vt:variant>
      <vt:variant>
        <vt:i4>1507329</vt:i4>
      </vt:variant>
      <vt:variant>
        <vt:i4>0</vt:i4>
      </vt:variant>
      <vt:variant>
        <vt:i4>0</vt:i4>
      </vt:variant>
      <vt:variant>
        <vt:i4>5</vt:i4>
      </vt:variant>
      <vt:variant>
        <vt:lpwstr>https://myintracomm.ec.europa.eu/sg/Documents/commission_style_guide.pdf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34</cp:revision>
  <dcterms:created xsi:type="dcterms:W3CDTF">2025-05-08T15:16:00Z</dcterms:created>
  <dcterms:modified xsi:type="dcterms:W3CDTF">2025-05-23T06:54:00Z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2025-04-16T14:50:23Z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269de435-25e6-40d4-b6d8-14c234a02c5a</vt:lpwstr>
  </property>
  <property fmtid="{D5CDD505-2E9C-101B-9397-08002B2CF9AE}" pid="16" name="MSIP_Label_6bd9ddd1-4d20-43f6-abfa-fc3c07406f94_ContentBits">
    <vt:lpwstr>0</vt:lpwstr>
  </property>
  <property fmtid="{D5CDD505-2E9C-101B-9397-08002B2CF9AE}" pid="17" name="ContentTypeId">
    <vt:lpwstr>0x010100C81086966748074091B44B156AB49619</vt:lpwstr>
  </property>
  <property fmtid="{D5CDD505-2E9C-101B-9397-08002B2CF9AE}" pid="18" name="DQCStatus">
    <vt:lpwstr>Green (DQC version 03)</vt:lpwstr>
  </property>
</Properties>
</file>