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E0441" w14:textId="01B0C193" w:rsidR="00497577" w:rsidRDefault="005136E3" w:rsidP="005136E3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942F9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C2AAB33-1519-4BCD-83A2-8B7590D84C1D" style="width:455.25pt;height:351.75pt">
            <v:imagedata r:id="rId7" o:title=""/>
          </v:shape>
        </w:pict>
      </w:r>
    </w:p>
    <w:bookmarkEnd w:id="0"/>
    <w:p w14:paraId="7A90DC29" w14:textId="77777777" w:rsidR="00497577" w:rsidRDefault="00497577" w:rsidP="000F35AF">
      <w:pPr>
        <w:spacing w:before="240" w:after="120" w:line="240" w:lineRule="auto"/>
        <w:jc w:val="both"/>
        <w:rPr>
          <w:noProof/>
        </w:rPr>
        <w:sectPr w:rsidR="00497577" w:rsidSect="005136E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65B19427" w14:textId="01433016" w:rsidR="008212A4" w:rsidRPr="00BC5B97" w:rsidRDefault="008212A4" w:rsidP="00300B29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24"/>
        </w:rPr>
        <w:lastRenderedPageBreak/>
        <w:t xml:space="preserve">ΕΚΘΕΣΗ ΤΗΣ ΕΠΙΤΡΟΠΗΣ ΠΡΟΣ ΤΟ ΕΥΡΩΠΑΪΚΟ ΚΟΙΝΟΒΟΥΛΙΟ ΚΑΙ ΤΟ ΣΥΜΒΟΥΛΙΟ για την άσκηση της εξουσιοδότησης που έχει ανατεθεί στην Επιτροπή σύμφωνα με την οδηγία 2008/105/ΕΚ του Ευρωπαϊκού Κοινοβουλίου και του Συμβουλίου, της 16ης Δεκεμβρίου 2008, σχετικά με πρότυπα ποιότητας περιβάλλοντος στον τομέα της πολιτικής των υδάτων </w:t>
      </w:r>
    </w:p>
    <w:p w14:paraId="1ADD23E3" w14:textId="77777777" w:rsidR="008212A4" w:rsidRDefault="008212A4" w:rsidP="000F35AF">
      <w:pPr>
        <w:pStyle w:val="Heading1"/>
        <w:spacing w:after="120" w:line="240" w:lineRule="auto"/>
        <w:jc w:val="both"/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</w:rPr>
        <w:t xml:space="preserve">1. ΕΙΣΑΓΩΓΗ </w:t>
      </w:r>
    </w:p>
    <w:p w14:paraId="05EB8821" w14:textId="77777777" w:rsidR="00300B29" w:rsidRP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</w:p>
    <w:p w14:paraId="37D21B7A" w14:textId="467EE7C7" w:rsidR="00300B29" w:rsidRP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>Η οδηγία 2008/105/ΕΚ του Ευρωπαϊκού Κοινοβουλίου και του Συμβουλίου</w:t>
      </w:r>
      <w:r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:vertAlign w:val="superscript"/>
        </w:rPr>
        <w:footnoteReference w:id="1"/>
      </w:r>
      <w:r>
        <w:rPr>
          <w:rFonts w:ascii="Times New Roman" w:hAnsi="Times New Roman"/>
          <w:noProof/>
          <w:color w:val="000000"/>
          <w:sz w:val="23"/>
        </w:rPr>
        <w:t xml:space="preserve"> σχετικά με πρότυπα ποιότητας περιβάλλοντος στον τομέα της πολιτικής των υδάτων, όπως τροποποιήθηκε από την οδηγία 2013/39/ΕΕ</w:t>
      </w:r>
      <w:r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:vertAlign w:val="superscript"/>
        </w:rPr>
        <w:footnoteReference w:id="2"/>
      </w:r>
      <w:r>
        <w:rPr>
          <w:rFonts w:ascii="Times New Roman" w:hAnsi="Times New Roman"/>
          <w:noProof/>
          <w:color w:val="000000"/>
          <w:sz w:val="23"/>
        </w:rPr>
        <w:t>, καθορίζει πρότυπα ποιότητας περιβάλλοντος για τις ουσίες προτεραιότητας που προσδιορίζονται στο πλαίσιο της οδηγίας-πλαίσιο για τα ύδατα (2000/60/ΕΚ)</w:t>
      </w:r>
      <w:r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:vertAlign w:val="superscript"/>
        </w:rPr>
        <w:footnoteReference w:id="3"/>
      </w:r>
      <w:r>
        <w:rPr>
          <w:rFonts w:ascii="Times New Roman" w:hAnsi="Times New Roman"/>
          <w:noProof/>
          <w:color w:val="000000"/>
          <w:sz w:val="23"/>
        </w:rPr>
        <w:t xml:space="preserve"> ως ουσίες που παρουσιάζουν σημαντικό κίνδυνο σε επίπεδο ΕΕ για τα υδάτινα οικοσυστήματα ή μέσω αυτών. Η οδηγία 2008/105/ΕΚ είναι «θυγατρική» της οδηγίας-πλαισίου για τα ύδατα, η οποία επιδιώκει την προστασία, την αποκατάσταση και τη βελτίωση της κατάστασης των υδάτινων οικοσυστημάτων.</w:t>
      </w:r>
    </w:p>
    <w:p w14:paraId="1274E7B9" w14:textId="77777777" w:rsidR="00300B29" w:rsidRP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</w:p>
    <w:p w14:paraId="29EA53DD" w14:textId="603477F2" w:rsidR="00300B29" w:rsidRP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>Η οδηγία 2008/105/ΕΚ (όπως τροποποιήθηκε) εξουσιοδοτεί την Επιτροπή να εκδίδει κατ’ εξουσιοδότηση πράξεις για την προσαρμογή στις επιστημονικές ή τεχνικές εξελίξεις των προδιαγραφών του σημείου 3 του μέρους Β του παραρτήματος Ι της οδηγίας, δηλ. προδιαγραφές όσον αφορά το τμήμα σχετικά με το νερό</w:t>
      </w:r>
      <w:r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:vertAlign w:val="superscript"/>
        </w:rPr>
        <w:footnoteReference w:id="4"/>
      </w:r>
      <w:r>
        <w:rPr>
          <w:rFonts w:ascii="Times New Roman" w:hAnsi="Times New Roman"/>
          <w:noProof/>
          <w:color w:val="000000"/>
          <w:sz w:val="23"/>
        </w:rPr>
        <w:t xml:space="preserve"> στο οποίο εφαρμόζονται τα ποιοτικά περιβαλλοντικά πρότυπα του νερού, και οι παράγοντες που μπορούν να λαμβάνονται υπόψη κατά την αξιολόγηση της συμμόρφωσης προς τα πρότυπα ποιότητας περιβάλλοντος για τα μέταλλα. </w:t>
      </w:r>
    </w:p>
    <w:p w14:paraId="58E7E2F8" w14:textId="77777777" w:rsidR="008212A4" w:rsidRPr="008212A4" w:rsidRDefault="008212A4" w:rsidP="000F35AF">
      <w:pPr>
        <w:pStyle w:val="Heading1"/>
        <w:spacing w:after="120" w:line="240" w:lineRule="auto"/>
        <w:jc w:val="both"/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</w:rPr>
        <w:t xml:space="preserve">2. ΝΟΜΙΚΗ ΒΑΣΗ </w:t>
      </w:r>
    </w:p>
    <w:p w14:paraId="38928923" w14:textId="77777777" w:rsidR="00300B29" w:rsidRP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>Η υποβολή της παρούσας έκθεσης απαιτείται βάσει του άρθρου 9α παράγραφος 2 της οδηγίας 2008/105/ΕΚ, όπως τροποποιήθηκε από την οδηγία 2013/39/ΕΕ. Σύμφωνα με την εν λόγω διάταξη, η εξουσία να εκδίδει κατ’ εξουσιοδότηση πράξεις που αναφέρεται στο άρθρο 3 παράγραφος 8 ανατίθεται στην Επιτροπή για περίοδο έξι ετών από τις</w:t>
      </w:r>
      <w:r>
        <w:rPr>
          <w:noProof/>
        </w:rPr>
        <w:t xml:space="preserve"> </w:t>
      </w:r>
      <w:bookmarkStart w:id="2" w:name="_Hlk191309594"/>
      <w:r>
        <w:rPr>
          <w:rFonts w:ascii="Times New Roman" w:hAnsi="Times New Roman"/>
          <w:noProof/>
          <w:color w:val="000000"/>
          <w:sz w:val="23"/>
        </w:rPr>
        <w:t>13 Σεπτεμβρίου 2013,</w:t>
      </w:r>
      <w:bookmarkEnd w:id="2"/>
      <w:r>
        <w:rPr>
          <w:noProof/>
        </w:rPr>
        <w:t xml:space="preserve"> </w:t>
      </w:r>
      <w:r>
        <w:rPr>
          <w:rFonts w:ascii="Times New Roman" w:hAnsi="Times New Roman"/>
          <w:noProof/>
          <w:color w:val="000000"/>
          <w:sz w:val="23"/>
        </w:rPr>
        <w:t xml:space="preserve">και η Επιτροπή οφείλει να συντάξει έκθεση σχετικά με την εξουσιοδότηση το αργότερο εννέα μήνες πριν από τη λήξη της περιόδου των έξι ετών. Η εξουσιοδότηση ανανεώνεται αυτομάτως για περιόδους ίδιας διάρκειας, εκτός αν το Ευρωπαϊκό Κοινοβούλιο ή το Συμβούλιο αντιταχθούν σε μια τέτοια ανανέωση σύμφωνα με το άρθρο 9α. </w:t>
      </w:r>
    </w:p>
    <w:p w14:paraId="750C2F67" w14:textId="45BEFC59" w:rsidR="008212A4" w:rsidRPr="00DA1F35" w:rsidRDefault="008212A4" w:rsidP="000F35AF">
      <w:pPr>
        <w:pStyle w:val="Heading1"/>
        <w:spacing w:after="120" w:line="240" w:lineRule="auto"/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</w:rPr>
        <w:t xml:space="preserve">3. ΑΣΚΗΣΗ ΤΗΣ ΕΞΟΥΣΙΟΔΟΤΗΣΗΣ </w:t>
      </w:r>
    </w:p>
    <w:p w14:paraId="089AF440" w14:textId="57EA565B" w:rsidR="00300B29" w:rsidRPr="00300B29" w:rsidRDefault="005B10BF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>Στις 17 Δεκεμβρίου 2018 η Επιτροπή εξέδωσε πρώτη έκθεση προς το Ευρωπαϊκό Κοινοβούλιο και το Συμβούλιο</w:t>
      </w:r>
      <w:r>
        <w:rPr>
          <w:rStyle w:val="FootnoteReference"/>
          <w:rFonts w:ascii="Times New Roman" w:eastAsia="Calibri" w:hAnsi="Times New Roman" w:cs="Times New Roman"/>
          <w:noProof/>
          <w:color w:val="000000"/>
          <w:kern w:val="0"/>
          <w:sz w:val="23"/>
          <w:szCs w:val="23"/>
        </w:rPr>
        <w:footnoteReference w:id="5"/>
      </w:r>
      <w:r>
        <w:rPr>
          <w:rFonts w:ascii="Times New Roman" w:hAnsi="Times New Roman"/>
          <w:noProof/>
          <w:color w:val="000000"/>
          <w:sz w:val="23"/>
        </w:rPr>
        <w:t xml:space="preserve">, στην οποία εξηγούσε ότι η εξουσιοδότηση δεν είχε χρησιμοποιηθεί. </w:t>
      </w:r>
    </w:p>
    <w:p w14:paraId="3B98E942" w14:textId="77777777" w:rsidR="00300B29" w:rsidRP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 xml:space="preserve"> </w:t>
      </w:r>
    </w:p>
    <w:p w14:paraId="743950AE" w14:textId="50E91F16" w:rsidR="00300B29" w:rsidRDefault="00300B29" w:rsidP="0030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>Για τις επιστημονικές και τεχνολογικές εξελίξεις που έχουν σημειωθεί έκτοτε δεν έχει ακόμη απαιτηθεί περαιτέρω προσαρμογή του σημείου 3 του μέρους Β του παραρτήματος Ι και, ως εκ τούτου, η Επιτροπή δεν έκανε χρήση της εξουσίας που της έχει ανατεθεί κατά την τρέχουσα περίοδο αναφοράς. Ωστόσο, μπορεί να είναι αναγκαίο να χρησιμοποιηθεί η εξουσιοδότηση στο μέλλον, καθώς μάλιστα η ανάγκη να ληφθούν υπόψη οι σχετικές επιστημονικές ή τεχνικές εξελίξεις μπορεί να μην συμπίπτει με το χρονοδιάγραμμα άλλων πιθανών μελλοντικών τροποποιήσεων της οδηγίας.</w:t>
      </w:r>
    </w:p>
    <w:p w14:paraId="6F33058C" w14:textId="0B95B388" w:rsidR="008212A4" w:rsidRDefault="008212A4" w:rsidP="008016E7">
      <w:pPr>
        <w:pStyle w:val="Heading1"/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</w:rPr>
        <w:t xml:space="preserve">4. ΣΥΜΠΕΡΑΣΜΑ </w:t>
      </w:r>
    </w:p>
    <w:p w14:paraId="61BCFB3D" w14:textId="77777777" w:rsidR="00300B29" w:rsidRPr="00300B29" w:rsidRDefault="00300B29" w:rsidP="00300B29">
      <w:pPr>
        <w:rPr>
          <w:noProof/>
        </w:rPr>
      </w:pPr>
    </w:p>
    <w:p w14:paraId="5ECCA194" w14:textId="77777777" w:rsidR="00300B29" w:rsidRPr="00300B29" w:rsidRDefault="00300B29" w:rsidP="00300B29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3"/>
          <w:szCs w:val="23"/>
          <w14:ligatures w14:val="none"/>
        </w:rPr>
      </w:pPr>
      <w:r>
        <w:rPr>
          <w:rFonts w:ascii="Times New Roman" w:hAnsi="Times New Roman"/>
          <w:noProof/>
          <w:color w:val="000000"/>
          <w:sz w:val="23"/>
        </w:rPr>
        <w:t>Η Επιτροπή δεν έχει ασκήσει τις κατ’ εξουσιοδότηση εξουσίες που της έχουν ανατεθεί βάσει της οδηγίας 2008/105/ΕΚ, αλλά μπορεί να χρειαστεί να το πράξει στο μέλλον. Η Επιτροπή καλεί το Ευρωπαϊκό Κοινοβούλιο και το Συμβούλιο να λάβουν γνώση της παρούσας έκθεσης.</w:t>
      </w:r>
    </w:p>
    <w:p w14:paraId="6B5F9C21" w14:textId="77777777" w:rsidR="00300B29" w:rsidRPr="00300B29" w:rsidRDefault="00300B29" w:rsidP="00300B29">
      <w:pPr>
        <w:rPr>
          <w:noProof/>
        </w:rPr>
      </w:pPr>
    </w:p>
    <w:p w14:paraId="2EAED947" w14:textId="77777777" w:rsidR="00300B29" w:rsidRPr="00300B29" w:rsidRDefault="00300B29" w:rsidP="00300B29">
      <w:pPr>
        <w:rPr>
          <w:noProof/>
        </w:rPr>
      </w:pPr>
    </w:p>
    <w:sectPr w:rsidR="00300B29" w:rsidRPr="00300B29" w:rsidSect="004975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465CA" w14:textId="77777777" w:rsidR="00641EAA" w:rsidRDefault="00641EAA" w:rsidP="00497577">
      <w:pPr>
        <w:spacing w:after="0" w:line="240" w:lineRule="auto"/>
      </w:pPr>
      <w:r>
        <w:separator/>
      </w:r>
    </w:p>
  </w:endnote>
  <w:endnote w:type="continuationSeparator" w:id="0">
    <w:p w14:paraId="4420D88D" w14:textId="77777777" w:rsidR="00641EAA" w:rsidRDefault="00641EAA" w:rsidP="00497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ABA84" w14:textId="183F9F03" w:rsidR="005136E3" w:rsidRPr="005136E3" w:rsidRDefault="005136E3" w:rsidP="005136E3">
    <w:pPr>
      <w:pStyle w:val="FooterCoverPage"/>
      <w:rPr>
        <w:rFonts w:ascii="Arial" w:hAnsi="Arial" w:cs="Arial"/>
        <w:b/>
        <w:sz w:val="48"/>
      </w:rPr>
    </w:pPr>
    <w:r w:rsidRPr="005136E3">
      <w:rPr>
        <w:rFonts w:ascii="Arial" w:hAnsi="Arial" w:cs="Arial"/>
        <w:b/>
        <w:sz w:val="48"/>
      </w:rPr>
      <w:t>EL</w:t>
    </w:r>
    <w:r w:rsidRPr="005136E3">
      <w:rPr>
        <w:rFonts w:ascii="Arial" w:hAnsi="Arial" w:cs="Arial"/>
        <w:b/>
        <w:sz w:val="48"/>
      </w:rPr>
      <w:tab/>
    </w:r>
    <w:r w:rsidRPr="005136E3">
      <w:rPr>
        <w:rFonts w:ascii="Arial" w:hAnsi="Arial" w:cs="Arial"/>
        <w:b/>
        <w:sz w:val="48"/>
      </w:rPr>
      <w:tab/>
    </w:r>
    <w:r w:rsidRPr="005136E3">
      <w:tab/>
    </w:r>
    <w:r w:rsidRPr="005136E3">
      <w:rPr>
        <w:rFonts w:ascii="Arial" w:hAnsi="Arial" w:cs="Arial"/>
        <w:b/>
        <w:sz w:val="48"/>
      </w:rPr>
      <w:t>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261A" w14:textId="1B6E7A99" w:rsidR="005136E3" w:rsidRPr="005136E3" w:rsidRDefault="005136E3" w:rsidP="005136E3">
    <w:pPr>
      <w:pStyle w:val="FooterCoverPage"/>
      <w:rPr>
        <w:rFonts w:ascii="Arial" w:hAnsi="Arial" w:cs="Arial"/>
        <w:b/>
        <w:sz w:val="48"/>
      </w:rPr>
    </w:pPr>
    <w:r w:rsidRPr="005136E3">
      <w:rPr>
        <w:rFonts w:ascii="Arial" w:hAnsi="Arial" w:cs="Arial"/>
        <w:b/>
        <w:sz w:val="48"/>
      </w:rPr>
      <w:t>EL</w:t>
    </w:r>
    <w:r w:rsidRPr="005136E3">
      <w:rPr>
        <w:rFonts w:ascii="Arial" w:hAnsi="Arial" w:cs="Arial"/>
        <w:b/>
        <w:sz w:val="48"/>
      </w:rPr>
      <w:tab/>
    </w:r>
    <w:r w:rsidRPr="005136E3">
      <w:rPr>
        <w:rFonts w:ascii="Arial" w:hAnsi="Arial" w:cs="Arial"/>
        <w:b/>
        <w:sz w:val="48"/>
      </w:rPr>
      <w:tab/>
    </w:r>
    <w:r w:rsidRPr="005136E3">
      <w:tab/>
    </w:r>
    <w:r w:rsidRPr="005136E3">
      <w:rPr>
        <w:rFonts w:ascii="Arial" w:hAnsi="Arial" w:cs="Arial"/>
        <w:b/>
        <w:sz w:val="48"/>
      </w:rPr>
      <w:t>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736B1" w14:textId="77777777" w:rsidR="005136E3" w:rsidRPr="005136E3" w:rsidRDefault="005136E3" w:rsidP="005136E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3D33B" w14:textId="77777777" w:rsidR="00497577" w:rsidRDefault="004975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1DA7F" w14:textId="77777777" w:rsidR="00497577" w:rsidRDefault="004975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18DFC" w14:textId="77777777" w:rsidR="00497577" w:rsidRDefault="00497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B1457" w14:textId="77777777" w:rsidR="00641EAA" w:rsidRDefault="00641EAA" w:rsidP="00497577">
      <w:pPr>
        <w:spacing w:after="0" w:line="240" w:lineRule="auto"/>
      </w:pPr>
      <w:r>
        <w:separator/>
      </w:r>
    </w:p>
  </w:footnote>
  <w:footnote w:type="continuationSeparator" w:id="0">
    <w:p w14:paraId="50F36C27" w14:textId="77777777" w:rsidR="00641EAA" w:rsidRDefault="00641EAA" w:rsidP="00497577">
      <w:pPr>
        <w:spacing w:after="0" w:line="240" w:lineRule="auto"/>
      </w:pPr>
      <w:r>
        <w:continuationSeparator/>
      </w:r>
    </w:p>
  </w:footnote>
  <w:footnote w:id="1">
    <w:p w14:paraId="00903829" w14:textId="77777777" w:rsidR="00300B29" w:rsidRPr="00D1143E" w:rsidRDefault="00300B29" w:rsidP="00300B29">
      <w:pPr>
        <w:pStyle w:val="FootnoteText"/>
      </w:pPr>
      <w:r>
        <w:rPr>
          <w:rStyle w:val="FootnoteReference"/>
        </w:rPr>
        <w:footnoteRef/>
      </w:r>
      <w:r>
        <w:t xml:space="preserve"> ΕΕ L 348 της 24.12.2008, σ. 84</w:t>
      </w:r>
    </w:p>
  </w:footnote>
  <w:footnote w:id="2">
    <w:p w14:paraId="37C71E03" w14:textId="77777777" w:rsidR="00300B29" w:rsidRPr="00D1143E" w:rsidRDefault="00300B29" w:rsidP="00300B29">
      <w:pPr>
        <w:pStyle w:val="FootnoteText"/>
      </w:pPr>
      <w:r>
        <w:rPr>
          <w:rStyle w:val="FootnoteReference"/>
        </w:rPr>
        <w:footnoteRef/>
      </w:r>
      <w:r>
        <w:t xml:space="preserve"> ΕΕ L 226 της 24.8.2013, σ. 1</w:t>
      </w:r>
    </w:p>
  </w:footnote>
  <w:footnote w:id="3">
    <w:p w14:paraId="6CD73DDE" w14:textId="77777777" w:rsidR="00300B29" w:rsidRPr="00D1143E" w:rsidRDefault="00300B29" w:rsidP="00300B29">
      <w:pPr>
        <w:pStyle w:val="FootnoteText"/>
      </w:pPr>
      <w:r>
        <w:rPr>
          <w:rStyle w:val="FootnoteReference"/>
        </w:rPr>
        <w:footnoteRef/>
      </w:r>
      <w:r>
        <w:t xml:space="preserve"> ΕΕ L 327 της 22.12.2000, σ. 1</w:t>
      </w:r>
    </w:p>
  </w:footnote>
  <w:footnote w:id="4">
    <w:p w14:paraId="186D5EB8" w14:textId="77777777" w:rsidR="00300B29" w:rsidRPr="005F09F8" w:rsidRDefault="00300B29" w:rsidP="00300B29">
      <w:pPr>
        <w:pStyle w:val="FootnoteText"/>
      </w:pPr>
      <w:r>
        <w:rPr>
          <w:rStyle w:val="FootnoteReference"/>
        </w:rPr>
        <w:footnoteRef/>
      </w:r>
      <w:r>
        <w:t xml:space="preserve"> Δηλαδή το συνολικό δείγμα νερού ή το διαλυμένο τμήμα.</w:t>
      </w:r>
    </w:p>
  </w:footnote>
  <w:footnote w:id="5">
    <w:p w14:paraId="7D3B6E9E" w14:textId="088256B3" w:rsidR="00445552" w:rsidRPr="00445552" w:rsidRDefault="00445552">
      <w:pPr>
        <w:pStyle w:val="FootnoteText"/>
      </w:pPr>
      <w:r>
        <w:rPr>
          <w:rStyle w:val="FootnoteReference"/>
        </w:rPr>
        <w:footnoteRef/>
      </w:r>
      <w:r>
        <w:t xml:space="preserve"> COM(2018) 847 final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326FF" w14:textId="77777777" w:rsidR="005136E3" w:rsidRPr="005136E3" w:rsidRDefault="005136E3" w:rsidP="005136E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14F2E" w14:textId="77777777" w:rsidR="005136E3" w:rsidRPr="005136E3" w:rsidRDefault="005136E3" w:rsidP="005136E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ADC27" w14:textId="77777777" w:rsidR="005136E3" w:rsidRPr="005136E3" w:rsidRDefault="005136E3" w:rsidP="005136E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18039" w14:textId="77777777" w:rsidR="00497577" w:rsidRDefault="004975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9BE7A" w14:textId="77777777" w:rsidR="00497577" w:rsidRDefault="004975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030AD" w14:textId="77777777" w:rsidR="00497577" w:rsidRDefault="004975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CC2AAB33-1519-4BCD-83A2-8B7590D84C1D"/>
    <w:docVar w:name="LW_COVERPAGE_TYPE" w:val="1"/>
    <w:docVar w:name="LW_CROSSREFERENCE" w:val="&lt;UNUSED&gt;"/>
    <w:docVar w:name="LW_DocType" w:val="NORMAL"/>
    <w:docVar w:name="LW_EMISSION" w:val="22.9.2025"/>
    <w:docVar w:name="LW_EMISSION_ISODATE" w:val="2025-09-22"/>
    <w:docVar w:name="LW_EMISSION_LOCATION" w:val="BRX"/>
    <w:docVar w:name="LW_EMISSION_PREFIX" w:val="\u914?\u961?\u965?\u958?\u941?\u955?\u955?\u949?\u962?, "/>
    <w:docVar w:name="LW_EMISSION_SUFFIX" w:val=" "/>
    <w:docVar w:name="LW_ID_DOCTYPE_NONLW" w:val="CP-006"/>
    <w:docVar w:name="LW_LANGUE" w:val="EL"/>
    <w:docVar w:name="LW_LEVEL_OF_SENSITIVITY" w:val="Standard treatment"/>
    <w:docVar w:name="LW_NOM.INST" w:val="\u917?\u933?\u929?\u937?\u928?\u913?\u938?\u922?\u919? \u917?\u928?\u921?\u932?\u929?\u927?\u928?\u919?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5) 50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\u947?\u953?\u945? \u964?\u951?\u957? \u940?\u963?\u954?\u951?\u963?\u951? \u964?\u951?\u962? \u949?\u958?\u959?\u965?\u963?\u953?\u959?\u948?\u972?\u964?\u951?\u963?\u951?\u962? \u960?\u959?\u965? \u941?\u967?\u949?\u953? \u945?\u957?\u945?\u964?\u949?\u952?\u949?\u943? \u963?\u964?\u951?\u957? \u917?\u960?\u953?\u964?\u961?\u959?\u960?\u942? \u963?\u973?\u956?\u966?\u969?\u957?\u945? \u956?\u949? \u964?\u951?\u957? \u959?\u948?\u951?\u947?\u943?\u945? 2008/105/\u917?\u922? \u964?\u959?\u965? \u917?\u965?\u961?\u969?\u960?\u945?\u970?\u954?\u959?\u973? \u922?\u959?\u953?\u957?\u959?\u946?\u959?\u965?\u955?\u943?\u959?\u965? \u954?\u945?\u953? \u964?\u959?\u965? \u931?\u965?\u956?\u946?\u959?\u965?\u955?\u943?\u959?\u965?, \u964?\u951?\u962? 16\u951?\u962? \u916?\u949?\u954?\u949?\u956?\u946?\u961?\u943?\u959?\u965? 2008, \u963?\u967?\u949?\u964?\u953?\u954?\u940? \u956?\u949? \u960?\u961?\u972?\u964?\u965?\u960?\u945? \u960?\u959?\u953?\u972?\u964?\u951?\u964?\u945?\u962? \u960?\u949?\u961?\u953?\u946?\u940?\u955?\u955?\u959?\u957?\u964?\u959?\u962? \u963?\u964?\u959?\u957? \u964?\u959?\u956?\u941?\u945? \u964?\u951?\u962? \u960?\u959?\u955?\u953?\u964?\u953?\u954?\u942?\u962? \u964?\u969?\u957? \u965?\u948?\u940?\u964?\u969?\u957?"/>
    <w:docVar w:name="LW_TYPE.DOC.CP" w:val="\u917?\u922?\u920?\u917?\u931?\u919? \u932?\u919?\u931? \u917?\u928?\u921?\u932?\u929?\u927?\u928?\u919?\u931? \u928?\u929?\u927?\u931? \u932?\u927? \u917?\u933?\u929?\u937?\u928?\u913?\u938?\u922?\u927? \u922?\u927?\u921?\u925?\u927?\u914?\u927?\u933?\u923?\u921?\u927? \u922?\u913?\u921? \u932?\u927? \u931?\u933?\u924?\u914?\u927?\u933?\u923?\u921?\u927?"/>
    <w:docVar w:name="LwApiVersions" w:val="LW4CoDe 1.24.5.0; LW 9.0, Build 20240221"/>
  </w:docVars>
  <w:rsids>
    <w:rsidRoot w:val="008212A4"/>
    <w:rsid w:val="00044951"/>
    <w:rsid w:val="00054F1E"/>
    <w:rsid w:val="000861F8"/>
    <w:rsid w:val="000B4C54"/>
    <w:rsid w:val="000D1176"/>
    <w:rsid w:val="000F35AF"/>
    <w:rsid w:val="000F7E4F"/>
    <w:rsid w:val="00124B35"/>
    <w:rsid w:val="001508D8"/>
    <w:rsid w:val="0016280F"/>
    <w:rsid w:val="001A1F28"/>
    <w:rsid w:val="001B7496"/>
    <w:rsid w:val="001C6CB6"/>
    <w:rsid w:val="00201435"/>
    <w:rsid w:val="00205BF3"/>
    <w:rsid w:val="00206366"/>
    <w:rsid w:val="00217885"/>
    <w:rsid w:val="00251916"/>
    <w:rsid w:val="002C6D98"/>
    <w:rsid w:val="00300B29"/>
    <w:rsid w:val="003331CB"/>
    <w:rsid w:val="003815EE"/>
    <w:rsid w:val="003C494B"/>
    <w:rsid w:val="003D5004"/>
    <w:rsid w:val="00445552"/>
    <w:rsid w:val="00481EE9"/>
    <w:rsid w:val="0049374A"/>
    <w:rsid w:val="00497577"/>
    <w:rsid w:val="004E36DB"/>
    <w:rsid w:val="004F40DD"/>
    <w:rsid w:val="005136E3"/>
    <w:rsid w:val="00560B8D"/>
    <w:rsid w:val="005812B1"/>
    <w:rsid w:val="00594660"/>
    <w:rsid w:val="005B10BF"/>
    <w:rsid w:val="005E30E8"/>
    <w:rsid w:val="00614A56"/>
    <w:rsid w:val="00641EAA"/>
    <w:rsid w:val="00651199"/>
    <w:rsid w:val="006A4675"/>
    <w:rsid w:val="007560FF"/>
    <w:rsid w:val="00771390"/>
    <w:rsid w:val="007B0DD9"/>
    <w:rsid w:val="007C7FEE"/>
    <w:rsid w:val="007E2A81"/>
    <w:rsid w:val="008016E7"/>
    <w:rsid w:val="00814C59"/>
    <w:rsid w:val="008212A4"/>
    <w:rsid w:val="0082469B"/>
    <w:rsid w:val="00831A24"/>
    <w:rsid w:val="00877791"/>
    <w:rsid w:val="00896E2D"/>
    <w:rsid w:val="008E1B82"/>
    <w:rsid w:val="0097050E"/>
    <w:rsid w:val="009B6521"/>
    <w:rsid w:val="00A22185"/>
    <w:rsid w:val="00AA52A4"/>
    <w:rsid w:val="00B43D5A"/>
    <w:rsid w:val="00B45873"/>
    <w:rsid w:val="00B52B14"/>
    <w:rsid w:val="00B76858"/>
    <w:rsid w:val="00BC5B97"/>
    <w:rsid w:val="00BF04A6"/>
    <w:rsid w:val="00C1465B"/>
    <w:rsid w:val="00C32571"/>
    <w:rsid w:val="00C44FAA"/>
    <w:rsid w:val="00C930E7"/>
    <w:rsid w:val="00CB2B2E"/>
    <w:rsid w:val="00CD4836"/>
    <w:rsid w:val="00D10EFA"/>
    <w:rsid w:val="00D1143E"/>
    <w:rsid w:val="00D350F2"/>
    <w:rsid w:val="00D36F16"/>
    <w:rsid w:val="00DA1F35"/>
    <w:rsid w:val="00DC3D94"/>
    <w:rsid w:val="00DC733F"/>
    <w:rsid w:val="00E20E47"/>
    <w:rsid w:val="00E563A1"/>
    <w:rsid w:val="00E804A8"/>
    <w:rsid w:val="00E87903"/>
    <w:rsid w:val="00EA01F5"/>
    <w:rsid w:val="00EC6D2D"/>
    <w:rsid w:val="00F716D4"/>
    <w:rsid w:val="00F92A71"/>
    <w:rsid w:val="00FD08BC"/>
    <w:rsid w:val="00FE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A6F499A"/>
  <w15:chartTrackingRefBased/>
  <w15:docId w15:val="{38D9AFC6-0E78-45A6-A77D-96E0D634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2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5B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2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arker">
    <w:name w:val="Marker"/>
    <w:basedOn w:val="DefaultParagraphFont"/>
    <w:rsid w:val="0049757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4975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577"/>
  </w:style>
  <w:style w:type="paragraph" w:styleId="Footer">
    <w:name w:val="footer"/>
    <w:basedOn w:val="Normal"/>
    <w:link w:val="FooterChar"/>
    <w:uiPriority w:val="99"/>
    <w:unhideWhenUsed/>
    <w:rsid w:val="004975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577"/>
  </w:style>
  <w:style w:type="paragraph" w:customStyle="1" w:styleId="Pagedecouverture">
    <w:name w:val="Page de couverture"/>
    <w:basedOn w:val="Normal"/>
    <w:next w:val="Normal"/>
    <w:rsid w:val="00497577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49757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49757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4975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49757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49757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49757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4975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49757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49757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497577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36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36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36D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36D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733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C5B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B458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6438A-018B-4594-8F1C-B2EF4A33D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2025-08-29T08:48:00Z</dcterms:created>
  <dcterms:modified xsi:type="dcterms:W3CDTF">2025-09-22T06:47:00Z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CP-006</vt:lpwstr>
  </property>
  <property fmtid="{D5CDD505-2E9C-101B-9397-08002B2CF9AE}" pid="7" name="Last edited using">
    <vt:lpwstr>LW 9.1, Build 20240808</vt:lpwstr>
  </property>
  <property fmtid="{D5CDD505-2E9C-101B-9397-08002B2CF9AE}" pid="8" name="Created using">
    <vt:lpwstr>LW 9.0, Build 20230317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2024-06-27T15:54:54Z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6c16ccf1-a247-46d2-830c-f25ea8246be8</vt:lpwstr>
  </property>
  <property fmtid="{D5CDD505-2E9C-101B-9397-08002B2CF9AE}" pid="15" name="MSIP_Label_6bd9ddd1-4d20-43f6-abfa-fc3c07406f94_ContentBits">
    <vt:lpwstr>0</vt:lpwstr>
  </property>
</Properties>
</file>